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val="0"/>
        <w:spacing w:before="0" w:after="0" w:line="276" w:lineRule="auto"/>
        <w:jc w:val="left"/>
        <w:pBdr>
          <w:top w:val="single" w:sz="24" w:space="10" w:color="1F3A5F"/>
        </w:pBdr>
      </w:pPr>
    </w:p>
    <w:p>
      <w:pPr>
        <w:keepNext w:val="0"/>
        <w:spacing w:before="3000" w:after="0" w:line="288" w:lineRule="auto"/>
        <w:jc w:val="left"/>
      </w:pPr>
      <w:r>
        <w:rPr>
          <w:rFonts w:ascii="Times New Roman" w:hAnsi="Times New Roman" w:cs="Times New Roman" w:eastAsia="Times New Roman"/>
          <w:b/>
          <w:color w:val="1F3A5F"/>
          <w:sz w:val="48"/>
        </w:rPr>
        <w:t>Código de Processo Civil anotado: Parte Especial, arts. 318 a 1.072</w:t>
      </w:r>
    </w:p>
    <w:p>
      <w:pPr>
        <w:keepNext w:val="0"/>
        <w:spacing w:before="120" w:after="200" w:line="276" w:lineRule="auto"/>
        <w:jc w:val="left"/>
        <w:pBdr>
          <w:top w:val="single" w:sz="8" w:space="10" w:color="2E75B6"/>
        </w:pBdr>
      </w:pPr>
    </w:p>
    <w:p>
      <w:pPr>
        <w:keepNext w:val="0"/>
        <w:spacing w:before="80" w:after="0" w:line="276" w:lineRule="auto"/>
        <w:jc w:val="left"/>
      </w:pPr>
      <w:r>
        <w:rPr>
          <w:rFonts w:ascii="Times New Roman" w:hAnsi="Times New Roman" w:cs="Times New Roman" w:eastAsia="Times New Roman"/>
          <w:b w:val="0"/>
          <w:color w:val="595959"/>
          <w:sz w:val="32"/>
        </w:rPr>
        <w:t>Estudo jurisprudencial do Supremo Tribunal Federal e do Superior Tribunal de Justiça</w:t>
      </w:r>
    </w:p>
    <w:p>
      <w:pPr>
        <w:keepNext w:val="0"/>
        <w:spacing w:before="2400" w:after="0" w:line="276" w:lineRule="auto"/>
        <w:jc w:val="left"/>
      </w:pPr>
    </w:p>
    <w:p>
      <w:pPr>
        <w:keepNext w:val="0"/>
        <w:spacing w:before="0" w:after="0" w:line="276" w:lineRule="auto"/>
        <w:jc w:val="left"/>
        <w:pBdr>
          <w:top w:val="single" w:sz="6" w:space="10" w:color="7F7F7F"/>
        </w:pBdr>
      </w:pPr>
      <w:r>
        <w:rPr>
          <w:rFonts w:ascii="Times New Roman" w:hAnsi="Times New Roman" w:cs="Times New Roman" w:eastAsia="Times New Roman"/>
          <w:b/>
          <w:color w:val="000000"/>
          <w:sz w:val="36"/>
        </w:rPr>
        <w:t>Domingos José de Souza Lima Júnior</w:t>
      </w:r>
    </w:p>
    <w:p>
      <w:pPr>
        <w:keepNext w:val="0"/>
        <w:spacing w:before="40" w:after="0" w:line="276" w:lineRule="auto"/>
        <w:jc w:val="left"/>
      </w:pPr>
      <w:r>
        <w:rPr>
          <w:rFonts w:ascii="Times New Roman" w:hAnsi="Times New Roman" w:cs="Times New Roman" w:eastAsia="Times New Roman"/>
          <w:b w:val="0"/>
          <w:color w:val="595959"/>
          <w:sz w:val="32"/>
        </w:rPr>
        <w:t>Realizado em 25 de outubro de 2026</w:t>
      </w:r>
    </w:p>
    <w:p>
      <w:pPr>
        <w:keepNext w:val="0"/>
        <w:spacing w:before="400" w:after="0" w:line="276" w:lineRule="auto"/>
        <w:jc w:val="left"/>
        <w:pBdr>
          <w:top w:val="single" w:sz="6" w:space="10" w:color="2E75B6"/>
        </w:pBdr>
      </w:pPr>
      <w:r>
        <w:rPr>
          <w:rFonts w:ascii="Times New Roman" w:hAnsi="Times New Roman" w:cs="Times New Roman" w:eastAsia="Times New Roman"/>
          <w:b w:val="0"/>
          <w:color w:val="1F3A5F"/>
          <w:sz w:val="22"/>
        </w:rPr>
        <w:t>Licença Creative Commons Atribuição 4.0 Internacional (CC BY 4.0)</w:t>
      </w:r>
    </w:p>
    <w:p>
      <w:pPr>
        <w:keepNext w:val="0"/>
        <w:spacing w:before="40" w:after="0" w:line="276" w:lineRule="auto"/>
        <w:jc w:val="left"/>
      </w:pPr>
      <w:r>
        <w:rPr>
          <w:rFonts w:ascii="Times New Roman" w:hAnsi="Times New Roman" w:cs="Times New Roman" w:eastAsia="Times New Roman"/>
          <w:b w:val="0"/>
          <w:color w:val="595959"/>
          <w:sz w:val="20"/>
        </w:rPr>
        <w:t>creativecommons.org/licenses/by/4.0/deed.pt-br</w:t>
      </w:r>
    </w:p>
    <w:p>
      <w:pPr>
        <w:keepNext w:val="0"/>
        <w:spacing w:before="0" w:after="0" w:line="276" w:lineRule="auto"/>
        <w:jc w:val="left"/>
      </w:pPr>
      <w:r>
        <w:br w:type="page"/>
      </w:r>
    </w:p>
    <w:sdt>
      <w:sdtPr>
        <w:docPartObj>
          <w:docPartGallery w:val="Table of Contents"/>
          <w:docPartUnique/>
        </w:docPartObj>
      </w:sdtPr>
      <w:sdtContent>
        <w:p>
          <w:pPr>
            <w:pStyle w:val="TOCHeading"/>
          </w:pPr>
          <w:r>
            <w:t xml:space="preserve">Sumário</w:t>
          </w:r>
        </w:p>
        <w:p>
          <w:r>
            <w:fldChar w:fldCharType="begin" w:dirty="true"/>
            <w:instrText xml:space="preserve">TOC \o "1-5" \h \z \u</w:instrText>
            <w:fldChar w:fldCharType="separate"/>
            <w:fldChar w:fldCharType="end"/>
          </w:r>
        </w:p>
      </w:sdtContent>
    </w:sdt>
    <w:bookmarkStart w:id="9" w:name="lista-de-abreviaturas-e-siglas"/>
    <w:p>
      <w:pPr>
        <w:pStyle w:val="Heading1"/>
        <w:keepNext/>
        <w:pageBreakBefore/>
        <w:pBdr>
          <w:left w:val="single" w:sz="48" w:space="8" w:color="1F3A5F"/>
        </w:pBdr>
        <w:shd w:val="clear" w:color="auto" w:fill="DCE6F2"/>
        <w:spacing w:before="200" w:after="100"/>
        <w:ind w:left="142"/>
      </w:pPr>
      <w:r>
        <w:t xml:space="preserve">Lista de abreviaturas e siglas</w:t>
      </w:r>
    </w:p>
    <w:tbl>
      <w:tblPr>
        <w:tblStyle w:val="Table"/>
        <w:tblLook w:firstRow="1" w:lastRow="0" w:firstColumn="0" w:lastColumn="0" w:noHBand="0" w:noVBand="0" w:val="0020"/>
        <w:tblW w:w="9355" w:type="dxa"/>
        <w:tblLayout w:type="fixed"/>
      </w:tblPr>
      <w:tblGrid>
        <w:gridCol w:w="1474"/>
        <w:gridCol w:w="7881"/>
      </w:tblGrid>
      <w:tr>
        <w:trPr>
          <w:cantSplit/>
        </w:trPr>
        <w:tc>
          <w:tcPr>
            <w:tcW w:type="dxa" w:w="1474"/>
            <w:tcBorders>
              <w:right w:val="single" w:sz="12" w:space="0" w:color="1F3A5F"/>
            </w:tcBorders>
          </w:tcPr>
          <w:p>
            <w:pPr>
              <w:pStyle w:val="Compact"/>
              <w:keepNext/>
              <w:spacing w:before="40" w:after="40" w:line="264" w:lineRule="auto"/>
              <w:jc w:val="right"/>
            </w:pPr>
            <w:r>
              <w:rPr>
                <w:rFonts w:ascii="Liberation Sans" w:hAnsi="Liberation Sans"/>
                <w:b/>
                <w:bCs/>
                <w:sz w:val="21"/>
              </w:rPr>
              <w:t xml:space="preserve">ADI</w:t>
            </w:r>
          </w:p>
        </w:tc>
        <w:tc>
          <w:tcPr>
            <w:tcW w:type="dxa" w:w="7880"/>
          </w:tcPr>
          <w:p>
            <w:pPr>
              <w:pStyle w:val="Compact"/>
              <w:keepNext/>
              <w:spacing w:before="40" w:after="40" w:line="264" w:lineRule="auto"/>
              <w:jc w:val="left"/>
            </w:pPr>
            <w:r>
              <w:rPr>
                <w:rFonts w:ascii="Noto Serif" w:hAnsi="Noto Serif"/>
                <w:b w:val="0"/>
                <w:sz w:val="21"/>
              </w:rPr>
              <w:t xml:space="preserve">Ação direta de inconstitucionalidade</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ADPF</w:t>
            </w:r>
          </w:p>
        </w:tc>
        <w:tc>
          <w:tcPr>
            <w:tcW w:type="dxa" w:w="7880"/>
          </w:tcPr>
          <w:p>
            <w:pPr>
              <w:pStyle w:val="Compact"/>
              <w:spacing w:before="40" w:after="40" w:line="264" w:lineRule="auto"/>
              <w:jc w:val="left"/>
            </w:pPr>
            <w:r>
              <w:rPr>
                <w:rFonts w:ascii="Noto Serif" w:hAnsi="Noto Serif"/>
                <w:b w:val="0"/>
                <w:sz w:val="21"/>
              </w:rPr>
              <w:t xml:space="preserve">Arguição de descumprimento de preceito fundamental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AgInt</w:t>
            </w:r>
          </w:p>
        </w:tc>
        <w:tc>
          <w:tcPr>
            <w:tcW w:type="dxa" w:w="7880"/>
          </w:tcPr>
          <w:p>
            <w:pPr>
              <w:pStyle w:val="Compact"/>
              <w:spacing w:before="40" w:after="40" w:line="264" w:lineRule="auto"/>
              <w:jc w:val="left"/>
            </w:pPr>
            <w:r>
              <w:rPr>
                <w:rFonts w:ascii="Noto Serif" w:hAnsi="Noto Serif"/>
                <w:b w:val="0"/>
                <w:sz w:val="21"/>
              </w:rPr>
              <w:t xml:space="preserve">Agravo interno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AgRg</w:t>
            </w:r>
          </w:p>
        </w:tc>
        <w:tc>
          <w:tcPr>
            <w:tcW w:type="dxa" w:w="7880"/>
          </w:tcPr>
          <w:p>
            <w:pPr>
              <w:pStyle w:val="Compact"/>
              <w:spacing w:before="40" w:after="40" w:line="264" w:lineRule="auto"/>
              <w:jc w:val="left"/>
            </w:pPr>
            <w:r>
              <w:rPr>
                <w:rFonts w:ascii="Noto Serif" w:hAnsi="Noto Serif"/>
                <w:b w:val="0"/>
                <w:sz w:val="21"/>
              </w:rPr>
              <w:t xml:space="preserve">Agravo regimental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AO</w:t>
            </w:r>
          </w:p>
        </w:tc>
        <w:tc>
          <w:tcPr>
            <w:tcW w:type="dxa" w:w="7880"/>
          </w:tcPr>
          <w:p>
            <w:pPr>
              <w:pStyle w:val="Compact"/>
              <w:spacing w:before="40" w:after="40" w:line="264" w:lineRule="auto"/>
              <w:jc w:val="left"/>
            </w:pPr>
            <w:r>
              <w:rPr>
                <w:rFonts w:ascii="Noto Serif" w:hAnsi="Noto Serif"/>
                <w:b w:val="0"/>
                <w:sz w:val="21"/>
              </w:rPr>
              <w:t xml:space="preserve">Ação originária</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AREsp</w:t>
            </w:r>
          </w:p>
        </w:tc>
        <w:tc>
          <w:tcPr>
            <w:tcW w:type="dxa" w:w="7880"/>
          </w:tcPr>
          <w:p>
            <w:pPr>
              <w:pStyle w:val="Compact"/>
              <w:spacing w:before="40" w:after="40" w:line="264" w:lineRule="auto"/>
              <w:jc w:val="left"/>
            </w:pPr>
            <w:r>
              <w:rPr>
                <w:rFonts w:ascii="Noto Serif" w:hAnsi="Noto Serif"/>
                <w:b w:val="0"/>
                <w:sz w:val="21"/>
              </w:rPr>
              <w:t xml:space="preserve">Agravo em recurso especial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CPC</w:t>
            </w:r>
          </w:p>
        </w:tc>
        <w:tc>
          <w:tcPr>
            <w:tcW w:type="dxa" w:w="7880"/>
          </w:tcPr>
          <w:p>
            <w:pPr>
              <w:pStyle w:val="Compact"/>
              <w:spacing w:before="40" w:after="40" w:line="264" w:lineRule="auto"/>
              <w:jc w:val="left"/>
            </w:pPr>
            <w:r>
              <w:rPr>
                <w:rFonts w:ascii="Noto Serif" w:hAnsi="Noto Serif"/>
                <w:b w:val="0"/>
                <w:sz w:val="21"/>
              </w:rPr>
              <w:t xml:space="preserve">Código de Processo Civil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DJe</w:t>
            </w:r>
          </w:p>
        </w:tc>
        <w:tc>
          <w:tcPr>
            <w:tcW w:type="dxa" w:w="7880"/>
          </w:tcPr>
          <w:p>
            <w:pPr>
              <w:pStyle w:val="Compact"/>
              <w:spacing w:before="40" w:after="40" w:line="264" w:lineRule="auto"/>
              <w:jc w:val="left"/>
            </w:pPr>
            <w:r>
              <w:rPr>
                <w:rFonts w:ascii="Noto Serif" w:hAnsi="Noto Serif"/>
                <w:b w:val="0"/>
                <w:sz w:val="21"/>
              </w:rPr>
              <w:t xml:space="preserve">Diário da Justiça eletrônico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DJEN</w:t>
            </w:r>
          </w:p>
        </w:tc>
        <w:tc>
          <w:tcPr>
            <w:tcW w:type="dxa" w:w="7880"/>
          </w:tcPr>
          <w:p>
            <w:pPr>
              <w:pStyle w:val="Compact"/>
              <w:spacing w:before="40" w:after="40" w:line="264" w:lineRule="auto"/>
              <w:jc w:val="left"/>
            </w:pPr>
            <w:r>
              <w:rPr>
                <w:rFonts w:ascii="Noto Serif" w:hAnsi="Noto Serif"/>
                <w:b w:val="0"/>
                <w:sz w:val="21"/>
              </w:rPr>
              <w:t xml:space="preserve">Diário de Justiça Eletrônico Nacional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EAREsp</w:t>
            </w:r>
          </w:p>
        </w:tc>
        <w:tc>
          <w:tcPr>
            <w:tcW w:type="dxa" w:w="7880"/>
          </w:tcPr>
          <w:p>
            <w:pPr>
              <w:pStyle w:val="Compact"/>
              <w:spacing w:before="40" w:after="40" w:line="264" w:lineRule="auto"/>
              <w:jc w:val="left"/>
            </w:pPr>
            <w:r>
              <w:rPr>
                <w:rFonts w:ascii="Noto Serif" w:hAnsi="Noto Serif"/>
                <w:b w:val="0"/>
                <w:sz w:val="21"/>
              </w:rPr>
              <w:t xml:space="preserve">Embargos de divergência em agravo em recurso especial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EDcl</w:t>
            </w:r>
          </w:p>
        </w:tc>
        <w:tc>
          <w:tcPr>
            <w:tcW w:type="dxa" w:w="7880"/>
          </w:tcPr>
          <w:p>
            <w:pPr>
              <w:pStyle w:val="Compact"/>
              <w:spacing w:before="40" w:after="40" w:line="264" w:lineRule="auto"/>
              <w:jc w:val="left"/>
            </w:pPr>
            <w:r>
              <w:rPr>
                <w:rFonts w:ascii="Noto Serif" w:hAnsi="Noto Serif"/>
                <w:b w:val="0"/>
                <w:sz w:val="21"/>
              </w:rPr>
              <w:t xml:space="preserve">Embargos de declaração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EREsp</w:t>
            </w:r>
          </w:p>
        </w:tc>
        <w:tc>
          <w:tcPr>
            <w:tcW w:type="dxa" w:w="7880"/>
          </w:tcPr>
          <w:p>
            <w:pPr>
              <w:pStyle w:val="Compact"/>
              <w:spacing w:before="40" w:after="40" w:line="264" w:lineRule="auto"/>
              <w:jc w:val="left"/>
            </w:pPr>
            <w:r>
              <w:rPr>
                <w:rFonts w:ascii="Noto Serif" w:hAnsi="Noto Serif"/>
                <w:b w:val="0"/>
                <w:sz w:val="21"/>
              </w:rPr>
              <w:t xml:space="preserve">Embargos de divergência em recurso especial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HC</w:t>
            </w:r>
          </w:p>
        </w:tc>
        <w:tc>
          <w:tcPr>
            <w:tcW w:type="dxa" w:w="7880"/>
          </w:tcPr>
          <w:p>
            <w:pPr>
              <w:pStyle w:val="Compact"/>
              <w:spacing w:before="40" w:after="40" w:line="264" w:lineRule="auto"/>
              <w:jc w:val="left"/>
            </w:pPr>
            <w:r>
              <w:rPr>
                <w:rFonts w:ascii="Noto Serif" w:hAnsi="Noto Serif"/>
                <w:b w:val="0"/>
                <w:i/>
                <w:iCs/>
                <w:sz w:val="21"/>
              </w:rPr>
              <w:t xml:space="preserve">Habeas corpus</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IA</w:t>
            </w:r>
          </w:p>
        </w:tc>
        <w:tc>
          <w:tcPr>
            <w:tcW w:type="dxa" w:w="7880"/>
          </w:tcPr>
          <w:p>
            <w:pPr>
              <w:pStyle w:val="Compact"/>
              <w:spacing w:before="40" w:after="40" w:line="264" w:lineRule="auto"/>
              <w:jc w:val="left"/>
            </w:pPr>
            <w:r>
              <w:rPr>
                <w:rFonts w:ascii="Noto Serif" w:hAnsi="Noto Serif"/>
                <w:b w:val="0"/>
                <w:sz w:val="21"/>
              </w:rPr>
              <w:t xml:space="preserve">Inteligência artificial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IAC</w:t>
            </w:r>
          </w:p>
        </w:tc>
        <w:tc>
          <w:tcPr>
            <w:tcW w:type="dxa" w:w="7880"/>
          </w:tcPr>
          <w:p>
            <w:pPr>
              <w:pStyle w:val="Compact"/>
              <w:spacing w:before="40" w:after="40" w:line="264" w:lineRule="auto"/>
              <w:jc w:val="left"/>
            </w:pPr>
            <w:r>
              <w:rPr>
                <w:rFonts w:ascii="Noto Serif" w:hAnsi="Noto Serif"/>
                <w:b w:val="0"/>
                <w:sz w:val="21"/>
              </w:rPr>
              <w:t xml:space="preserve">Incidente de assunção de competência</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RE</w:t>
            </w:r>
          </w:p>
        </w:tc>
        <w:tc>
          <w:tcPr>
            <w:tcW w:type="dxa" w:w="7880"/>
          </w:tcPr>
          <w:p>
            <w:pPr>
              <w:pStyle w:val="Compact"/>
              <w:spacing w:before="40" w:after="40" w:line="264" w:lineRule="auto"/>
              <w:jc w:val="left"/>
            </w:pPr>
            <w:r>
              <w:rPr>
                <w:rFonts w:ascii="Noto Serif" w:hAnsi="Noto Serif"/>
                <w:b w:val="0"/>
                <w:sz w:val="21"/>
              </w:rPr>
              <w:t xml:space="preserve">Recurso extraordinário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REsp</w:t>
            </w:r>
          </w:p>
        </w:tc>
        <w:tc>
          <w:tcPr>
            <w:tcW w:type="dxa" w:w="7880"/>
          </w:tcPr>
          <w:p>
            <w:pPr>
              <w:pStyle w:val="Compact"/>
              <w:spacing w:before="40" w:after="40" w:line="264" w:lineRule="auto"/>
              <w:jc w:val="left"/>
            </w:pPr>
            <w:r>
              <w:rPr>
                <w:rFonts w:ascii="Noto Serif" w:hAnsi="Noto Serif"/>
                <w:b w:val="0"/>
                <w:sz w:val="21"/>
              </w:rPr>
              <w:t xml:space="preserve">Recurso especial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RHC</w:t>
            </w:r>
          </w:p>
        </w:tc>
        <w:tc>
          <w:tcPr>
            <w:tcW w:type="dxa" w:w="7880"/>
          </w:tcPr>
          <w:p>
            <w:pPr>
              <w:pStyle w:val="Compact"/>
              <w:spacing w:before="40" w:after="40" w:line="264" w:lineRule="auto"/>
              <w:jc w:val="left"/>
            </w:pPr>
            <w:r>
              <w:rPr>
                <w:rFonts w:ascii="Noto Serif" w:hAnsi="Noto Serif"/>
                <w:b w:val="0"/>
                <w:sz w:val="21"/>
              </w:rPr>
              <w:t xml:space="preserve">Recurso em</w:t>
            </w:r>
            <w:r>
              <w:rPr>
                <w:rFonts w:ascii="Noto Serif" w:hAnsi="Noto Serif"/>
                <w:b w:val="0"/>
                <w:sz w:val="21"/>
              </w:rPr>
              <w:t xml:space="preserve"> </w:t>
            </w:r>
            <w:r>
              <w:rPr>
                <w:rFonts w:ascii="Noto Serif" w:hAnsi="Noto Serif"/>
                <w:b w:val="0"/>
                <w:i/>
                <w:iCs/>
                <w:sz w:val="21"/>
              </w:rPr>
              <w:t xml:space="preserve">habeas corpus</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STF</w:t>
            </w:r>
          </w:p>
        </w:tc>
        <w:tc>
          <w:tcPr>
            <w:tcW w:type="dxa" w:w="7880"/>
          </w:tcPr>
          <w:p>
            <w:pPr>
              <w:pStyle w:val="Compact"/>
              <w:spacing w:before="40" w:after="40" w:line="264" w:lineRule="auto"/>
              <w:jc w:val="left"/>
            </w:pPr>
            <w:r>
              <w:rPr>
                <w:rFonts w:ascii="Noto Serif" w:hAnsi="Noto Serif"/>
                <w:b w:val="0"/>
                <w:sz w:val="21"/>
              </w:rPr>
              <w:t xml:space="preserve">Supremo Tribunal Federal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STJ</w:t>
            </w:r>
          </w:p>
        </w:tc>
        <w:tc>
          <w:tcPr>
            <w:tcW w:type="dxa" w:w="7880"/>
          </w:tcPr>
          <w:p>
            <w:pPr>
              <w:pStyle w:val="Compact"/>
              <w:spacing w:before="40" w:after="40" w:line="264" w:lineRule="auto"/>
              <w:jc w:val="left"/>
            </w:pPr>
            <w:r>
              <w:rPr>
                <w:rFonts w:ascii="Noto Serif" w:hAnsi="Noto Serif"/>
                <w:b w:val="0"/>
                <w:sz w:val="21"/>
              </w:rPr>
              <w:t xml:space="preserve">Superior Tribunal de Justiça</w:t>
            </w:r>
          </w:p>
        </w:tc>
      </w:tr>
    </w:tbl>
    <w:bookmarkEnd w:id="9"/>
    <w:bookmarkStart w:id="10" w:name="observações-iniciais"/>
    <w:p>
      <w:pPr>
        <w:pStyle w:val="Heading1"/>
        <w:keepNext/>
        <w:pageBreakBefore/>
        <w:pBdr>
          <w:left w:val="single" w:sz="48" w:space="8" w:color="1F3A5F"/>
        </w:pBdr>
        <w:shd w:val="clear" w:color="auto" w:fill="DCE6F2"/>
        <w:spacing w:before="200" w:after="100"/>
        <w:ind w:left="142"/>
      </w:pPr>
      <w:r>
        <w:t xml:space="preserve">Observações iniciais</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3EEF9"/>
            <w:tcBorders>
              <w:left w:val="single" w:sz="36" w:space="0" w:color="2E75B6"/>
            </w:tcBorders>
            <w:vAlign w:val="center"/>
          </w:tcPr>
          <w:p>
            <w:pPr>
              <w:spacing w:before="80" w:after="80"/>
              <w:jc w:val="center"/>
            </w:pPr>
            <w:r>
              <w:rPr>
                <w:rFonts w:ascii="DejaVu Sans" w:hAnsi="DejaVu Sans" w:cs="DejaVu Sans" w:eastAsia="DejaVu Sans"/>
                <w:b/>
                <w:color w:val="2E75B6"/>
                <w:sz w:val="52"/>
              </w:rPr>
              <w:t>ⓘ</w:t>
            </w:r>
          </w:p>
        </w:tc>
        <w:tc>
          <w:tcPr>
            <w:tcW w:type="dxa" w:w="8220"/>
            <w:shd w:val="clear" w:color="auto" w:fill="E3EEF9"/>
          </w:tcPr>
          <w:p>
            <w:pPr>
              <w:pStyle w:val="BodyText"/>
              <w:spacing w:before="100" w:after="100" w:line="276" w:lineRule="auto"/>
              <w:ind w:left="113" w:right="113"/>
              <w:jc w:val="both"/>
            </w:pPr>
            <w:r>
              <w:rPr>
                <w:sz w:val="22"/>
              </w:rPr>
              <w:t xml:space="preserve">Os dados de legislação e de jurisprudência desta pesquisa são de curadoria interna e foram extraídos dos textos das fontes oficiais.</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3EEF9"/>
            <w:tcBorders>
              <w:left w:val="single" w:sz="36" w:space="0" w:color="2E75B6"/>
            </w:tcBorders>
            <w:vAlign w:val="center"/>
          </w:tcPr>
          <w:p>
            <w:pPr>
              <w:spacing w:before="80" w:after="80"/>
              <w:jc w:val="center"/>
            </w:pPr>
            <w:r>
              <w:rPr>
                <w:rFonts w:ascii="DejaVu Sans" w:hAnsi="DejaVu Sans" w:cs="DejaVu Sans" w:eastAsia="DejaVu Sans"/>
                <w:b/>
                <w:color w:val="2E75B6"/>
                <w:sz w:val="52"/>
              </w:rPr>
              <w:t>ⓘ</w:t>
            </w:r>
          </w:p>
        </w:tc>
        <w:tc>
          <w:tcPr>
            <w:tcW w:type="dxa" w:w="8220"/>
            <w:shd w:val="clear" w:color="auto" w:fill="E3EEF9"/>
          </w:tcPr>
          <w:p>
            <w:pPr>
              <w:pStyle w:val="BodyText"/>
              <w:spacing w:before="100" w:after="100" w:line="276" w:lineRule="auto"/>
              <w:ind w:left="113" w:right="113"/>
              <w:jc w:val="both"/>
            </w:pPr>
            <w:r>
              <w:rPr>
                <w:sz w:val="22"/>
              </w:rPr>
              <w:t xml:space="preserve">Os acórdãos marcados com</w:t>
            </w:r>
            <w:r>
              <w:rPr>
                <w:sz w:val="22"/>
              </w:rPr>
              <w:t xml:space="preserve"> </w:t>
            </w:r>
            <w:r>
              <w:rPr>
                <w:b/>
                <w:bCs/>
                <w:sz w:val="22"/>
              </w:rPr>
              <w:t xml:space="preserve">[Repositório externo]</w:t>
            </w:r>
            <w:r>
              <w:rPr>
                <w:sz w:val="22"/>
              </w:rPr>
              <w:t xml:space="preserve"> </w:t>
            </w:r>
            <w:r>
              <w:rPr>
                <w:sz w:val="22"/>
              </w:rPr>
              <w:t xml:space="preserve">provêm de repositório de terceiros, sem curadoria do autor. Para esses, recomenda-se cuidado redobrado, além do já indicado para os dados de curadoria interna, na conferência dos dados do acórdão (Tribunal, relator, data e número) e do seu texto, preferencialmente no sítio oficial do tribunal.</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Aviso.</w:t>
            </w:r>
            <w:r>
              <w:rPr>
                <w:sz w:val="22"/>
              </w:rPr>
              <w:t xml:space="preserve"> </w:t>
            </w:r>
            <w:r>
              <w:rPr>
                <w:sz w:val="22"/>
              </w:rPr>
              <w:t xml:space="preserve">Os dados desta pesquisa foram conferidos por meio de inteligência artificial (IA) e de scripts específicos. Contudo, cabe sempre ao leitor a responsabilidade de conferir as fontes na hipótese de uso.</w:t>
            </w:r>
          </w:p>
        </w:tc>
      </w:tr>
    </w:tbl>
    <w:p>
      <w:pPr>
        <w:spacing w:after="40"/>
      </w:pPr>
    </w:p>
    <w:bookmarkEnd w:id="10"/>
    <w:bookmarkStart w:id="11" w:name="identificação-da-pesquisa"/>
    <w:p>
      <w:pPr>
        <w:pStyle w:val="Heading1"/>
        <w:pBdr>
          <w:left w:val="single" w:sz="48" w:space="8" w:color="1F3A5F"/>
        </w:pBdr>
        <w:shd w:val="clear" w:color="auto" w:fill="DCE6F2"/>
        <w:spacing w:before="200" w:after="100"/>
        <w:ind w:left="142"/>
      </w:pPr>
      <w:r>
        <w:t xml:space="preserve">1 Identificação da pesquisa</w:t>
      </w:r>
    </w:p>
    <w:p>
      <w:pPr>
        <w:pStyle w:val="Compact"/>
        <w:numPr>
          <w:ilvl w:val="0"/>
          <w:numId w:val="1001"/>
        </w:numPr>
        <w:spacing w:after="80"/>
        <w:jc w:val="both"/>
      </w:pPr>
      <w:r>
        <w:rPr>
          <w:b/>
          <w:bCs/>
        </w:rPr>
        <w:t xml:space="preserve">Tema:</w:t>
      </w:r>
      <w:r>
        <w:t xml:space="preserve"> </w:t>
      </w:r>
      <w:r>
        <w:t xml:space="preserve">Código de Processo Civil (CPC) anotado com a jurisprudência do Supremo Tribunal Federal (STF) e do Superior Tribunal de Justiça (STJ) de 1º/01/2016 até a data da pesquisa: Parte Especial (do processo de conhecimento e do cumprimento de sentença), arts. 318 a 1.072.</w:t>
      </w:r>
    </w:p>
    <w:p>
      <w:pPr>
        <w:pStyle w:val="Compact"/>
        <w:numPr>
          <w:ilvl w:val="0"/>
          <w:numId w:val="1001"/>
        </w:numPr>
        <w:spacing w:after="80"/>
        <w:jc w:val="both"/>
      </w:pPr>
      <w:r>
        <w:rPr>
          <w:b/>
          <w:bCs/>
        </w:rPr>
        <w:t xml:space="preserve">Pesquisa realizada por:</w:t>
      </w:r>
      <w:r>
        <w:t xml:space="preserve"> </w:t>
      </w:r>
      <w:r>
        <w:t xml:space="preserve">Domingos José de Souza Lima Júnior</w:t>
      </w:r>
    </w:p>
    <w:p>
      <w:pPr>
        <w:pStyle w:val="Compact"/>
        <w:numPr>
          <w:ilvl w:val="0"/>
          <w:numId w:val="1001"/>
        </w:numPr>
        <w:spacing w:after="80"/>
        <w:jc w:val="both"/>
      </w:pPr>
      <w:r>
        <w:rPr>
          <w:b/>
          <w:bCs/>
        </w:rPr>
        <w:t xml:space="preserve">Data da pesquisa:</w:t>
      </w:r>
      <w:r>
        <w:t xml:space="preserve"> </w:t>
      </w:r>
      <w:r>
        <w:t xml:space="preserve">25/10/2026</w:t>
      </w:r>
    </w:p>
    <w:p>
      <w:pPr>
        <w:pStyle w:val="Compact"/>
        <w:numPr>
          <w:ilvl w:val="0"/>
          <w:numId w:val="1001"/>
        </w:numPr>
        <w:spacing w:after="80"/>
        <w:jc w:val="both"/>
      </w:pPr>
      <w:r>
        <w:rPr>
          <w:b/>
          <w:bCs/>
        </w:rPr>
        <w:t xml:space="preserve">Bases consultadas:</w:t>
      </w:r>
      <w:r>
        <w:t xml:space="preserve"> </w:t>
      </w:r>
      <w:r>
        <w:t xml:space="preserve">legislação e jurisprudência do STF e do STJ (curadoria interna); e repositório externo, com os acórdãos assinalados como</w:t>
      </w:r>
      <w:r>
        <w:t xml:space="preserve"> </w:t>
      </w:r>
      <w:r>
        <w:rPr>
          <w:b/>
          <w:bCs/>
        </w:rPr>
        <w:t xml:space="preserve">[Repositório externo]</w:t>
      </w:r>
    </w:p>
    <w:p>
      <w:pPr>
        <w:pStyle w:val="Compact"/>
        <w:numPr>
          <w:ilvl w:val="0"/>
          <w:numId w:val="1001"/>
        </w:numPr>
        <w:spacing w:after="80"/>
        <w:jc w:val="both"/>
      </w:pPr>
      <w:r>
        <w:rPr>
          <w:b/>
          <w:bCs/>
        </w:rPr>
        <w:t xml:space="preserve">Recorte:</w:t>
      </w:r>
      <w:r>
        <w:t xml:space="preserve"> </w:t>
      </w:r>
      <w:r>
        <w:t xml:space="preserve">julgados e entendimentos de 1º/01/2016 a 25/10/2026. Entendimento anterior só aparece quando ainda é o marco vigente do artigo, com a data de origem declarada. Só os artigos com julgado relevante são anotados (345 dos 752); os demais trazem apenas o texto legal.</w:t>
      </w:r>
    </w:p>
    <w:p>
      <w:pPr>
        <w:pStyle w:val="Compact"/>
        <w:numPr>
          <w:ilvl w:val="0"/>
          <w:numId w:val="1001"/>
        </w:numPr>
        <w:spacing w:after="80"/>
        <w:jc w:val="both"/>
      </w:pPr>
      <w:r>
        <w:rPr>
          <w:b/>
          <w:bCs/>
        </w:rPr>
        <w:t xml:space="preserve">Datas dos julgados:</w:t>
      </w:r>
      <w:r>
        <w:t xml:space="preserve"> </w:t>
      </w:r>
      <w:r>
        <w:t xml:space="preserve">a data indicada é a do julgamento e, quando a fonte traz apenas a da publicação, a do Diário da Justiça eletrônico (DJe).</w:t>
      </w:r>
    </w:p>
    <w:p>
      <w:pPr>
        <w:pStyle w:val="Compact"/>
        <w:numPr>
          <w:ilvl w:val="0"/>
          <w:numId w:val="1001"/>
        </w:numPr>
        <w:spacing w:after="80"/>
        <w:jc w:val="both"/>
      </w:pPr>
      <w:r>
        <w:rPr>
          <w:b/>
          <w:bCs/>
        </w:rPr>
        <w:t xml:space="preserve">Uso de IA:</w:t>
      </w:r>
      <w:r>
        <w:t xml:space="preserve"> </w:t>
      </w:r>
      <w:r>
        <w:t xml:space="preserve">consulta às fontes e redação assistidas por IA generativa (Claude Code). A conferência dos julgados na fonte primária cabe ao leitor (ver seção 7).</w:t>
      </w:r>
    </w:p>
    <w:p>
      <w:pPr>
        <w:pStyle w:val="Compact"/>
        <w:numPr>
          <w:ilvl w:val="0"/>
          <w:numId w:val="1001"/>
        </w:numPr>
        <w:spacing w:after="80"/>
        <w:jc w:val="both"/>
      </w:pPr>
      <w:r>
        <w:rPr>
          <w:b/>
          <w:bCs/>
        </w:rPr>
        <w:t xml:space="preserve">Estrutura:</w:t>
      </w:r>
      <w:r>
        <w:t xml:space="preserve"> </w:t>
      </w:r>
      <w:r>
        <w:t xml:space="preserve">a seção 5 reproduz o texto legal artigo por artigo, na ordem do Código, com as anotações nos artigos que as têm; o Livro I abre com página própria, seguido dos Títulos, Capítulos e Seções do Código, com a faixa de artigos de cada um. O índice de artigos, ao final, remete cada artigo à sua página.</w:t>
      </w:r>
    </w:p>
    <w:bookmarkEnd w:id="11"/>
    <w:bookmarkStart w:id="12" w:name="síntese-executiva"/>
    <w:p>
      <w:pPr>
        <w:pStyle w:val="Heading1"/>
        <w:pBdr>
          <w:left w:val="single" w:sz="48" w:space="8" w:color="1F3A5F"/>
        </w:pBdr>
        <w:shd w:val="clear" w:color="auto" w:fill="DCE6F2"/>
        <w:spacing w:before="200" w:after="100"/>
        <w:ind w:left="142"/>
      </w:pPr>
      <w:r>
        <w:t xml:space="preserve">2 Síntese executiva</w:t>
      </w:r>
    </w:p>
    <w:p>
      <w:pPr>
        <w:pStyle w:val="FirstParagraph"/>
        <w:keepNext/>
        <w:spacing w:after="80"/>
        <w:jc w:val="both"/>
      </w:pPr>
      <w:r>
        <w:rPr>
          <w:b/>
          <w:bCs/>
        </w:rPr>
        <w:t xml:space="preserve">Título I: do procedimento comum (arts. 318 a 512).</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Superior Tribunal de Justiça (STJ), cinco recursos repetitivos alcançam o Título I. Na Corte Especial: Tema 1198 (litigância abusiva e emenda da petição inicial, arts. 320 e 321); Tema 1306 (fundamentação por referência, art. 489, § 1º); e Tema 1081 (dispensa de remessa necessária em demanda previdenciária de valor aferível por cálculo, art. 496, § 3º, I). Na Primeira Seção: Tema 1169 (execução individual de título coletivo sem prévia liquidação, art. 509). Na Segunda Seção: Tema 1000 (multa na exibição de documento, art. 400, parágrafo único).</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Supremo Tribunal Federal (STF), a ação direta de inconstitucionalidade (ADI) 5941 (Plenário, 09/02/2023) julgou improcedente o pedido de declaração de inconstitucionalidade dos parágrafos únicos dos arts. 380, 400 e 403, entre outros dispositivos: as medidas atípicas para fazer valer ordens judiciais não são inconstitucionais a priori, e sua proporcionalidade se afere no caso concreto.</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Ainda no STF, os Temas 881 e 885 de repercussão geral (Plenário, 08/02/2023,</w:t>
            </w:r>
            <w:r>
              <w:rPr>
                <w:sz w:val="22"/>
              </w:rPr>
              <w:t xml:space="preserve"> </w:t>
            </w:r>
            <w:r>
              <w:rPr>
                <w:b/>
                <w:bCs/>
                <w:sz w:val="22"/>
              </w:rPr>
              <w:t xml:space="preserve">[Repositório externo]</w:t>
            </w:r>
            <w:r>
              <w:rPr>
                <w:sz w:val="22"/>
              </w:rPr>
              <w:t xml:space="preserve">) fixaram que decisões em controle incidental anteriores ao regime de repercussão geral não alteram automaticamente a coisa julgada tributária de trato sucessivo, e que as proferidas em ação direta ou em repercussão geral interrompem automaticamente os efeitos temporais das decisões transitadas em julgado nessas relações (art. 505, I).</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No STF, em processos de sua competência originária e em reclamações: o descumprimento da ordem de emenda implica o indeferimento da inicial (Rcl 75.525, 2025, e Rcl 74.610, 2025; arts. 320 e 321), o julgamento antecipado do mérito não é, por si só, cerceamento de defesa (ação originária (AO) 2.511, 2021; art. 355) e o art. 356, II, autoriza o julgamento antecipado parcial do mérito (ACO 3.568, 2023). Todos</w:t>
            </w:r>
            <w:r>
              <w:rPr>
                <w:sz w:val="22"/>
              </w:rPr>
              <w:t xml:space="preserve"> </w:t>
            </w:r>
            <w:r>
              <w:rPr>
                <w:b/>
                <w:bCs/>
                <w:sz w:val="22"/>
              </w:rPr>
              <w:t xml:space="preserve">[Repositório externo]</w:t>
            </w:r>
            <w:r>
              <w:rPr>
                <w:sz w:val="22"/>
              </w:rPr>
              <w:t xml:space="preserve">.</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Nas Turmas do STJ, sobre a fase postulatória: a petição inicial compreensível não é inepta (agravo em recurso especial (AREsp) 3.068.085, 2026); depois da citação, o autor não pode alterar pedido ou causa de pedir sem o consentimento do réu (AREsp 3.027.064, 2025); na cumulação sucessiva, decide-se primeiro o pedido principal (AREsp 3.096.424, 2026); indeferida a inicial sem citação, não há honorários sucumbenciais (recurso especial (REsp) 1.801.586, 2019); a reconvenção é autônoma e exige conexão mais ampla que a do art. 55 (REsp 2.076.127, 2023); a revelia gera presunção relativa (REsp 1.971.966, 2024), e o prazo contra o revel sem advogado flui da publicação no órgão oficial (REsp 2.106.717, 2024).</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Sobre o saneamento e as provas: a decisão interlocutória de mérito (art. 356) não se confunde com a simples decisão saneadora (agravo interno (AgInt) no AREsp 1.410.278, 2024); a ação autônoma de exibição de documento ou coisa segue o procedimento comum (REsp 1.803.251, 2019); contra a decisão sobre distribuição dinâmica ou inversão do ônus da prova cabe agravo de instrumento, quer a modifique, quer a negue (REsp 1.729.110 e REsp 1.802.025, 2019; AREsp 2.249.352, 2025); os filhos comuns do casal podem depor como testemunha no divórcio dos pais (REsp 1.947.751, 2023); a perícia consensual exige acordo sobre o perito (REsp 1.924.452, 2022); a nova perícia pressupõe a insuficiência da primeira (REsp 1.782.516, 2024); e a juntada de documentos antigos fora de momento oportuno é excepcional (REsp 1.721.248, 2018). Sobre a produção antecipada de prova há divergência entre Turmas (ver seção 6).</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Sobre a prova testemunhal (arts. 442 a 463): o indeferimento fundamentado da prova testemunhal não configura cerceamento de defesa quando os autos já trazem prova bastante (AREsp 2.729.744, 2025) ou prova técnica suficiente (AREsp 2.953.224, 2026), e o exame da necessidade da prova esbarra na Súmula 7/STJ (AREsp 2.547.573, 2025; AgInt no REsp 2.195.778, 2025); o rol de testemunhas observa o prazo máximo de quinze dias do art. 357, § 4º, com preclusão pela inércia (AgInt no AREsp 3.097.599, 2026; REsp 2.251.512, 2026), salvo quando as testemunhas já constavam do rol apresentado com a inicial (REsp 2.272.635, 2026); acolhida a contradita, é lícita a oitiva como informante (AgInt no AREsp 2.940.126, 2026); sem início de prova escrita, a quitação não se prova apenas por prova oral (AgInt no AREsp 3.075.878, 2026); os filhos comuns do casal podem depor como testemunha no divórcio dos pais (REsp 1.947.751, 2023); e a prática de ato por videoconferência na carta precatória é faculdade do juízo deprecante (CC 196.664, 2023; CC 211.882, 2025).</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Sobre a prova pericial (arts. 464 a 480): a especialidade médica não é requisito de validade do laudo, e a impugnação à qualificação do perito apresentada só depois do laudo está precluída (AREsp 3.078.178, 2026; REsp 2.200.621, 2026); a perícia consensual exige consenso sobre o perito (REsp 1.924.452, 2022); a substituição do perito e a nova perícia pressupõem incapacidade técnica, comprometimento da imparcialidade ou insuficiência do laudo (REsp 2.150.255, 2026; REsp 1.782.516, 2024), e a revisão desse juízo esbarra na Súmula 7/STJ (AREsp 3.160.766, 2026); o juiz pode indeferir quesitos suplementares quando o laudo é suficiente (REsp 1.976.506, 2026; AgInt no AREsp 2.180.053, 2023); não está adstrito ao laudo, desde que motive a divergência com outros elementos dos autos (AgInt no REsp 2.102.610, 2024; AgInt no AREsp 2.336.619, 2024; AREsp 3.137.546, 2026; AgInt no AREsp 2.951.852, 2026); a decisão que fixa honorários periciais é impugnável por agravo de instrumento (AgInt no AREsp 1.636.832, 2021, aplicando o Tema 988), e a perícia determinada de ofício na segunda fase da ação de exigir contas tem a remuneração rateada entre as partes (AgInt no REsp 1.776.415, 2026).</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A inspeção judicial (arts. 481 a 484) exige prévia intimação das partes quanto ao dia, hora e local e a lavratura de auto circunstanciado, sob pena de cerceamento de defesa, e, havendo controvérsia técnica sobre a área litigiada, não dispensa perito especialista (AgInt no AREsp 2.038.411, 2024); a inspeção realizada pode, por outro lado, ser suficiente para dispensar a perícia (AgInt no REsp 2.158.677, 2026).</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Sobre a sentença e a coisa julgada: o abandono da causa exige intimação pessoal da parte (REsp 2.194.521, 2025, e REsp 2.089.756, 2024); a rejeição da decadência ou da prescrição desafia agravo de instrumento (REsp 2.246.924, 2026); a decisão que fixa alimentos em parâmetros alternativos é certa, e não condicional (REsp 2.219.394, 2026); o rol do art. 494 é exemplificativo (REsp 2.124.830, 2024); a coisa julgada alcança só o dispositivo (REsp 2.173.008, 2026); a sentença em relação de trato sucessivo pode ser revista quando muda o estado de fato ou de direito (REsp 2.201.672, 2025); e não há preclusão consumativa se o agravo de instrumento foi julgado prejudicado (REsp 2.220.835, 2026).</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Cautela.</w:t>
            </w:r>
            <w:r>
              <w:rPr>
                <w:sz w:val="22"/>
              </w:rPr>
              <w:t xml:space="preserve"> </w:t>
            </w:r>
            <w:r>
              <w:rPr>
                <w:sz w:val="22"/>
              </w:rPr>
              <w:t xml:space="preserve">A maior parte dos artigos do Título I não tem, nos acervos consultados, acórdão com tese própria além dos citados. Ver as pendências.</w:t>
            </w:r>
          </w:p>
        </w:tc>
      </w:tr>
    </w:tbl>
    <w:p>
      <w:pPr>
        <w:spacing w:after="40"/>
      </w:pPr>
    </w:p>
    <w:p>
      <w:pPr>
        <w:pStyle w:val="FirstParagraph"/>
        <w:keepNext/>
        <w:spacing w:after="80"/>
        <w:jc w:val="both"/>
      </w:pPr>
      <w:r>
        <w:rPr>
          <w:b/>
          <w:bCs/>
        </w:rPr>
        <w:t xml:space="preserve">Título II: do cumprimento da sentença (arts. 513 a 538).</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Supremo Tribunal Federal (STF), a ADI 5534 (Plenário, 19/12/2020) declarou constitucional o art. 535, § 3º, II (competência da União para fixar o prazo de pagamento da requisição de pequeno valor) e deu interpretação conforme ao § 4º: o regime de pagamento do valor incontroverso observa o valor total da condenação. A ADI 5492 (Plenário, 24/04/2023) declarou inconstitucional a expressão</w:t>
            </w:r>
            <w:r>
              <w:rPr>
                <w:sz w:val="22"/>
              </w:rPr>
              <w:t xml:space="preserve"> </w:t>
            </w:r>
            <w:r>
              <w:rPr>
                <w:sz w:val="22"/>
              </w:rPr>
              <w:t xml:space="preserve">“de banco oficial”</w:t>
            </w:r>
            <w:r>
              <w:rPr>
                <w:sz w:val="22"/>
              </w:rPr>
              <w:t xml:space="preserve"> </w:t>
            </w:r>
            <w:r>
              <w:rPr>
                <w:sz w:val="22"/>
              </w:rPr>
              <w:t xml:space="preserve">do art. 535, § 3º, II. A AR 2876, a que remetem os arts. 525, §§ 14 e 15, e 535, §§ 7º e 8º, não foi localizada.</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Superior Tribunal de Justiça (STJ), seis recursos repetitivos alcançam o cumprimento de sentença. Na Corte Especial: Tema 889 (a sentença, de procedência ou improcedência, é título executivo judicial, art. 515, I); Tema 1235 (a impenhorabilidade de quantia até 40 salários mínimos não é matéria de ordem pública e se alega na impugnação, art. 525); Tema 677 (o depósito em garantia não isenta os consectários da mora, art. 526); e Tema 1296 (a multa coercitiva exige prévia intimação pessoal do devedor, art. 537). Na Primeira Seção: Tema 1232 (sem honorários no cumprimento de sentença em mandado de segurança); Tema 1190 (sem honorários contra a Fazenda Pública que não impugna); Tema 1311 (a prescrição não se suspende durante a obrigação de implantar em folha); Tema 1029 (execução de título de ação coletiva fora dos Juizados da Fazenda); Tema 1419 (honorários na rescisória com modulação do Tema 69 do STF); e Tema 98 (astreintes contra ente público para fornecer medicamento). A Corte Especial também decidiu, no embargos de divergência em agravo em recurso especial (EAREsp) 1.479.019 (2025), que só a multa vincenda pode ser revista (art. 537, § 1º).</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Nas Turmas do STJ: a intimação pessoal do executado é necessária quando o cumprimento vem após mais de um ano do trânsito em julgado (AREsp 2.407.683, 2025) e quando o cumprimento provisório se converte em definitivo (REsp 1.997.512, 2026); o prazo de 15 dias para pagar é processual, contado em dias úteis (REsp 1.708.348, 2019), e em dobro para litisconsortes com advogados distintos em autos físicos (REsp 1.693.784, 2017); o cumprimento definitivo dispensa caução para levantar valores incontroversos (REsp 2.100.037, 2025); a multa do art. 523 não incide se há depósito integral no prazo sem impugnação (REsp 1.834.337, 2019); a garantia do juízo não é requisito da impugnação, que em regra não suspende a execução do valor incontroverso (REsp 1.761.068, 2020, e REsp 2.077.121, 2023); e a competência para o cumprimento é do juízo que decidiu a causa em primeiro grau (CC 198.794, 2023, e CC 191.185, 2024).</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Nos alimentos, escolhido o rito da prisão civil, o juiz não pode convertê-lo de ofício para o da expropriação (REsp 1.773.359, 2019, e REsp 2.236.955, 2026), e o cumprimento dos alimentos pretéritos e atuais pode correr no mesmo processo (REsp 2.004.516, 2022). Na multa cominatória, ela só é exigível a partir de decisão que reconhece o inadimplemento (REsp 1.963.548, 2026) e pode ser executada provisoriamente (AREsp 2.079.649, 2023).</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Cautela.</w:t>
            </w:r>
            <w:r>
              <w:rPr>
                <w:sz w:val="22"/>
              </w:rPr>
              <w:t xml:space="preserve"> </w:t>
            </w:r>
            <w:r>
              <w:rPr>
                <w:sz w:val="22"/>
              </w:rPr>
              <w:t xml:space="preserve">Os arts. 513 a 538 sem anotação não têm, nos acervos consultados, acórdão com tese própria além dos citados. Ver as pendências.</w:t>
            </w:r>
          </w:p>
        </w:tc>
      </w:tr>
    </w:tbl>
    <w:p>
      <w:pPr>
        <w:spacing w:after="40"/>
      </w:pPr>
    </w:p>
    <w:p>
      <w:pPr>
        <w:pStyle w:val="FirstParagraph"/>
        <w:keepNext/>
        <w:spacing w:after="80"/>
        <w:jc w:val="both"/>
      </w:pPr>
      <w:r>
        <w:rPr>
          <w:b/>
          <w:bCs/>
        </w:rPr>
        <w:t xml:space="preserve">Título III: dos procedimentos especiais (arts. 539 a 770).</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Supremo Tribunal Federal (STF), a arguição de descumprimento de preceito fundamental (ADPF) 828 (Plenário, 02/11/2022) fixou o regime de transição para a retomada das desocupações coletivas suspensas na pandemia: Comissões de Conflitos Fundiários nos tribunais, com visitas técnicas e audiências de mediação, retomada gradual e escalonada e garantias nas remoções administrativas (arts. 554 e 565). As Súmulas 265 (apuração de haveres: não prevalece o balanço não aprovado pelo sócio falecido, excluído ou retirante) e 621 (promessa de compra e venda não inscrita não enseja embargos de terceiro) também alcançam o Título III.</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Superior Tribunal de Justiça (STJ), três recursos repetitivos: Tema 967 (Segunda Seção: na consignação em pagamento, a insuficiência do depósito leva à improcedência, art. 545); Tema 1074 (Primeira Seção: no arrolamento sumário, a partilha e os títulos independem do prévio recolhimento do imposto de transmissão causa mortis, art. 659, § 2º); e Tema 243 (Corte Especial, julgado em 20/08/2014, ainda vigente: a fraude à execução depende do registro da penhora ou da prova de má-fé do adquirente). As Súmulas 259 (prestação de contas pelo titular de conta-corrente), 292 (reconvenção na monitória), 299 (monitória com cheque prescrito), 339 (monitória contra a Fazenda Pública), 84, 134, 303 e 375 (embargos de terceiro e fraude à execução) orientam os capítulos correspondentes.</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Nas Turmas do STJ: a ação de exigir contas segue em duas fases, o prazo de 15 dias corre da intimação da decisão da primeira fase e a pretensão de dar contas segue o procedimento comum (REsp 1.707.014, 2021, e REsp 2.176.491, 2026); na pendência de ação possessória é vedada a ação de domínio (REsp 1.909.196, 2021, REsp 2.199.860, 2025, e REsp 2.159.015, 2026); na dissolução parcial, a sociedade tem legitimidade ativa (REsp 2.142.834, 2024), a data da resolução e os juros seguem a retirada ou o óbito (REsp 1.735.360, 2019, REsp 1.372.139, 2023, e AREsp 2.882.565, 2025) e a apuração de haveres usa o balanço de determinação, sem fluxo de caixa descontado (REsp 1.877.331, 2021, e REsp 1.892.139, 2024).</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No inventário: o credor do autor da herança pode pedir o inventário e os herdeiros não respondem individualmente antes da partilha (REsp 2.191.565, 2025, e REsp 2.219.305, 2026); a habilitação de crédito é só do credor do espólio, impugnada vai às vias ordinárias e exige concordância expressa dos herdeiros (REsp 1.985.045, 2023, REsp 2.045.640, 2023, e REsp 2.176.470, 2025); a meação é direito próprio do cônjuge sobrevivente (REsp 2.261.913, 2026); e é possível o inventário extrajudicial havendo testamento, se registrado ou autorizado pelo juízo (REsp 1.808.767, 2019). Nos embargos de terceiro, a má-fé do adquirente não se presume sem registro da penhora (REsp 1.959.861, 2025, e REsp 2.183.157, 2026). Na monitória, sem embargos o título se constitui de pleno direito, e opostos os embargos não se extingue o feito por inaptidão da prova escrita (AREsp 2.764.416, 2026, e AREsp 3.054.913, 2026).</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 jurisdição voluntária: o testamento particular admite flexibilizar vícios puramente formais, não os formais-materiais que ponham em dúvida a vontade do testador (REsp 2.080.530, 2023, REsp 2.033.581, 2024, REsp 2.005.877, 2022, REsp 2.000.938, 2023, e REsp 1.618.754, 2017); o rol de legitimados para a interdição é taxativo, sem ordem preferencial (REsp 2.156.970, 2026); e é inviável o arrependimento unilateral do acordo de divórcio consensual antes da homologação (REsp 2.162.164, 2026).</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No inventário e na partilha: o inventário é de interesse público, e a inércia do inventariante conduz à remoção ou ao arquivamento, não à extinção sem resolução do mérito (REsp 1.537.879, 2016); o juízo do inventário examina questões de direito e fatos amparados em prova documental, e a controvérsia que exige dilação probatória complexa é questão de alta indagação, remetida às vias ordinárias (AREsp 2.751.613, 2026); a ordem de nomeação do art. 617 é, a rigor, obrigatória, mas cede diante de intensa animosidade, com nomeação de inventariante dativo (REsp 2.203.769, 2025), e o inventariante é removido quando não apresenta as primeiras declarações no prazo legal (AgInt no AREsp 1.414.100, 2023); o incidente de remoção em autos apartados é, em regra, necessário, mas sua ausência não gera nulidade quando o herdeiro não exerceu a função e não se demonstrou prejuízo (REsp 2.059.870, 2023).</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 ação de exigir contas, a intempestividade na prestação de contas pelo réu acarreta a preclusão do art. 550, § 5º, e não há obrigatoriedade abstrata de perícia contábil na segunda fase, bastando o exame documental (AREsp 3.192.632, 2026); o inventariante tem legitimidade e interesse de agir para ajuizar ação autônoma de prestação de contas quando o inventário termina sem o acertamento das despesas (REsp 1.707.014, 2021).</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 dissolução parcial de sociedade, a ação compreende duas fases — a resolução do vínculo e a apuração de haveres —, e a decisão que homologa a transação é sentença, impugnável por apelação (REsp 1.954.643, 2022); na dissolução parcial nomeia-se perito para a perícia contábil, e não liquidante, cuja figura só cabe na dissolução total (REsp 1.557.989, 2016); a legitimidade passiva é da sociedade e dos sócios remanescentes, em litisconsórcio necessário e com responsabilidade solidária (AgInt no REsp 2.125.898, 2025).</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Nos embargos de terceiro, o prazo de cinco dias conta-se da adjudicação, da alienação por iniciativa particular ou da arrematação, antes da assinatura da carta, ainda que o embargante conheça a penhora, e só excepcionalmente, em seu benefício, conta-se da turbação ou do esbulho (AgInt no AREsp 1.906.915, 2026; AgInt no REsp 1.893.259, 2025); o promitente comprador pode opor embargos com base na Súmula 84, inclusive em imóvel em construção (REsp 2.082.580, 2026). No julgamento simultâneo da ação e da oposição, os recursos são autônomos e o interposto em uma causa não interrompe o prazo da outra (AgInt no REsp 1.725.179, 2022).</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 possessória, a determinação de ofício da audiência de justificação prévia não é julgamento extra petita e não afasta o ônus dos autores de provar a posse e o esbulho (AREsp 2.640.027, 2026).</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Nos procedimentos de jurisdição voluntária: a existência de litigiosidade excepciona a regra de não cabimento de honorários advocatícios (AgInt no AREsp 1.562.651, 2021); na extinção de condomínio com alienação judicial, não havendo acordo entre todos os condôminos, o juiz designa leilão e prossegue nos próprios autos, sem cumprimentos de sentença individualizados (REsp 2.175.109, 2026); o ato que homologa (art. 714, § 1º) ou julga (art. 716) a restauração de autos é sentença, impugnável por apelação, e a dúvida objetiva sobre essa natureza autoriza a fungibilidade do agravo (REsp 2.207.935, 2025).</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 interdição, o laudo médico do art. 750 é documento necessário à propositura, mas a exigência cede quando o interditando recusa o exame, hipótese em que a audiência de justificação é providência substitutiva, sob pena de extinção do processo por excesso de rigor (REsp 1.933.597, 2021).</w:t>
            </w:r>
          </w:p>
        </w:tc>
      </w:tr>
    </w:tbl>
    <w:p>
      <w:pPr>
        <w:keepNext/>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Cautela.</w:t>
            </w:r>
            <w:r>
              <w:rPr>
                <w:sz w:val="22"/>
              </w:rPr>
              <w:t xml:space="preserve"> </w:t>
            </w:r>
            <w:r>
              <w:rPr>
                <w:sz w:val="22"/>
              </w:rPr>
              <w:t xml:space="preserve">Os capítulos sobre divisão e demarcação, habilitação, ações de família, penhor legal, avaria grossa e herança jacente e ausentes, bem como os demais procedimentos de jurisdição voluntária (notificação, divórcio consensual, testamentos, fundações e protestos marítimos), não têm, nos acervos consultados, acórdão com tese própria. Ver as pendências.</w:t>
            </w:r>
          </w:p>
        </w:tc>
      </w:tr>
    </w:tbl>
    <w:p>
      <w:pPr>
        <w:spacing w:after="40"/>
      </w:pPr>
    </w:p>
    <w:p>
      <w:pPr>
        <w:pStyle w:val="FirstParagraph"/>
        <w:keepNext/>
        <w:spacing w:after="80"/>
        <w:jc w:val="both"/>
      </w:pPr>
      <w:r>
        <w:rPr>
          <w:b/>
          <w:bCs/>
        </w:rPr>
        <w:t xml:space="preserve">Livro II: do processo de execução (arts. 771 a 925).</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Superior Tribunal de Justiça (STJ), o Tema Repetitivo 1385 (Primeira Seção, rel. Min. Maria Thereza de Assis Moura, julgado em 23/9/2025, trânsito em julgado) fixou que, na execução fiscal, a fiança bancária ou o seguro-garantia não é recusável por inobservância à ordem legal da penhora. No mesmo sentido, a Quarta Turma afirma que o seguro-garantia e a fiança são equiparados a dinheiro (art. 835, § 2º) e que a recusa não pode fundar-se em argumento abstrato, cabendo examinar a suficiência, a regularidade e a idoneidade da apólice (REsp 2.178.147, 2026).</w:t>
            </w:r>
          </w:p>
        </w:tc>
      </w:tr>
    </w:tbl>
    <w:p>
      <w:pPr>
        <w:spacing w:after="40"/>
      </w:pPr>
    </w:p>
    <w:p>
      <w:pPr>
        <w:pStyle w:val="FirstParagraph"/>
        <w:spacing w:after="80"/>
        <w:jc w:val="both"/>
      </w:pPr>
      <w:r>
        <w:rPr>
          <w:b/>
          <w:bCs/>
        </w:rPr>
        <w:t xml:space="preserve">Título e liquidez.</w:t>
      </w:r>
      <w:r>
        <w:t xml:space="preserve"> </w:t>
      </w:r>
      <w:r>
        <w:t xml:space="preserve">A execução exige obrigação certa, líquida e exigível (art. 783): a escritura de abertura de linha de crédito sem valor nem vencimento carece de liquidez (REsp 2.225.590, 2026), enquanto a cédula de crédito bancário a tem ainda que o saldo venha de contrato de conta corrente (AgInt no AREsp 1.746.039, 2021). O contrato de seguro saúde tem força executiva pelo art. 784, XII, e pelo art. 27 do Decreto-Lei n. 73/1966 (AgInt no AREsp 2.720.239, 2025).</w:t>
      </w:r>
    </w:p>
    <w:p>
      <w:pPr>
        <w:pStyle w:val="BodyText"/>
        <w:spacing w:after="80"/>
        <w:jc w:val="both"/>
      </w:pPr>
      <w:r>
        <w:rPr>
          <w:b/>
          <w:bCs/>
        </w:rPr>
        <w:t xml:space="preserve">Legitimidade e responsabilidade.</w:t>
      </w:r>
      <w:r>
        <w:t xml:space="preserve"> </w:t>
      </w:r>
      <w:r>
        <w:t xml:space="preserve">A sucessão do exequente pelo cessionário independe do consentimento do executado (AgInt no AREsp 3.004.092, 2026); sem renúncia expressa ao benefício de ordem e sem solidariedade convencional, o fiador é parte ilegítima na execução proposta só contra ele (AgInt no AREsp 2.716.112, 2026). A responsabilidade do exequente pelos danos da execução indevida é objetiva, e a liquidação corre nos próprios autos (AREsp 2.096.621, 2026). A desistência motivada pela ausência de bens não gera honorários (REsp 1.675.741, 2019).</w:t>
      </w:r>
    </w:p>
    <w:p>
      <w:pPr>
        <w:pStyle w:val="BodyText"/>
        <w:spacing w:after="80"/>
        <w:jc w:val="both"/>
      </w:pPr>
      <w:r>
        <w:rPr>
          <w:b/>
          <w:bCs/>
        </w:rPr>
        <w:t xml:space="preserve">Penhora e expropriação.</w:t>
      </w:r>
      <w:r>
        <w:t xml:space="preserve"> </w:t>
      </w:r>
      <w:r>
        <w:t xml:space="preserve">A competência territorial é relativa e não admite declínio de ofício quando há foro de eleição (CC 216.850, 2025). É cabível a consulta ao CCS-Bacen para localizar relacionamentos financeiros (REsp 2.197.058, 2026), e os valores até 40 salários-mínimos são impenhoráveis qualquer que seja a aplicação (AgInt no REsp 2.018.134, 2023). No SISBAJUD, o contraditório é diferido (AREsp 2.726.728, 2026); na penhora de crédito, o pagamento ao executado depois da intimação do terceiro devedor é ineficaz (REsp 1.964.457, 2022). A averbação premonitória presume a fraude (AREsp 2.621.183, 2026), mas, sem ela, a má-fé do terceiro não se presume (AgInt no embargos de divergência em recurso especial (EREsp) 1.896.456, 2021). O art. 876 não se aplica à arrematação em segunda hasta (AgInt no AREsp 2.254.162, 2023).</w:t>
      </w:r>
      <w:r>
        <w:t xml:space="preserve"> </w:t>
      </w:r>
      <w:r>
        <w:rPr>
          <w:b/>
          <w:bCs/>
        </w:rPr>
        <w:t xml:space="preserve">Alienação, arrematação e embargos.</w:t>
      </w:r>
      <w:r>
        <w:t xml:space="preserve"> </w:t>
      </w:r>
      <w:r>
        <w:t xml:space="preserve">A alienação por iniciativa particular segue as condições do art. 880, § 1º, e suas invalidades dependem de prejuízo demonstrado (REsp 2.202.208, 2026); o leilão eletrônico prevalece sobre o presencial (CC 210.807, 2025). A arrematação perfeita e acabada pode ser impugnada por ação autônoma, inclusive por preço vil (AgInt no AREsp 2.331.515, 2025). No concurso de credores, a dação em pagamento não prevalece sobre a anterioridade da penhora (AgInt no REsp 2.251.445, 2026). A gratuidade não supre os requisitos do efeito suspensivo dos embargos (AREsp 3.133.045, 2026), e o regime da prescrição intercorrente da Lei 14.195/2021 não retroage (AREsp 2.983.239, 2026). Na execução de alimentos, o rito é escolha do credor e o pagamento parcial não afasta a prisão (REsp 1.773.359, 2019); na execução contra a Fazenda Pública, os honorários iniciais seguem o art. 827 (AgInt no REsp 1.877.544, 2023).</w:t>
      </w:r>
    </w:p>
    <w:p>
      <w:pPr>
        <w:pStyle w:val="BodyText"/>
        <w:keepNext/>
        <w:spacing w:after="80"/>
        <w:jc w:val="both"/>
      </w:pPr>
      <w:r>
        <w:rPr>
          <w:b/>
          <w:bCs/>
        </w:rPr>
        <w:t xml:space="preserve">Livro III: dos processos nos tribunais e dos meios de impugnação das decisões judiciais (arts. 926 a 1.044).</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O bloco dos recursos e dos processos nos tribunais é, no acervo consultado, mais pobre em teses do que a execução. As anotações confirmadas tratam de: efeito suspensivo automático do recurso extraordinário (RE) e do especial interposto do acórdão do incidente de resolução de demandas repetitivas (REsp 1.869.867, 2021); nulidade do julgamento virtual sem publicação prévia da pauta (AREsp 3.184.455, 2026); nulidade pela inobservância da técnica de ampliação do colegiado no julgamento não unânime (REsp 1.922.044, 2021); descabimento da reclamação para preservar ordem de sobrestamento de decisão de afetação (AgInt no Rcl 40.663, 2021); desistência do recurso (embargos de declaração (EDcl) no MS 25.453, 2022) e renúncia que gera preclusão lógica (AgInt no AREsp 2.146.524, 2023); irrecorribilidade do despacho sem carga decisória (AgInt no AREsp 1.854.995, 2021); e erro grosseiro na interposição de agravo de instrumento contra decisão de admissibilidade do recurso especial (AgInt no AREsp 1.775.856, 2021).</w:t>
            </w:r>
          </w:p>
        </w:tc>
      </w:tr>
    </w:tbl>
    <w:p>
      <w:pPr>
        <w:spacing w:after="40"/>
      </w:pPr>
    </w:p>
    <w:p>
      <w:pPr>
        <w:pStyle w:val="FirstParagraph"/>
        <w:spacing w:after="80"/>
        <w:jc w:val="both"/>
      </w:pPr>
      <w:r>
        <w:rPr>
          <w:b/>
          <w:bCs/>
        </w:rPr>
        <w:t xml:space="preserve">Livro Complementar: disposições finais e transitórias (arts. 1.045 a 1.072).</w:t>
      </w:r>
    </w:p>
    <w:p>
      <w:pPr>
        <w:pStyle w:val="BodyText"/>
        <w:spacing w:after="80"/>
        <w:jc w:val="both"/>
      </w:pPr>
      <w:r>
        <w:rPr>
          <w:b/>
          <w:bCs/>
        </w:rPr>
        <w:t xml:space="preserve">Sem tese própria.</w:t>
      </w:r>
      <w:r>
        <w:t xml:space="preserve"> </w:t>
      </w:r>
      <w:r>
        <w:t xml:space="preserve">O Livro Complementar reúne as disposições finais e transitórias (arts. 1.045 a 1.072). A busca por artigo não localizou, nos acervos consultados, acórdão que enfrente esses dispositivos como razão de decidir: o que aparece são decisões que apenas aplicam o direito intertemporal do Código, sem tese sobre a norma de transição. O bloco fica com o texto legal e as pendências declaradas.</w:t>
      </w:r>
    </w:p>
    <w:bookmarkEnd w:id="12"/>
    <w:bookmarkStart w:id="13" w:name="X37444aeb7e8d3408be9a3008290cc19211b97dc"/>
    <w:p>
      <w:pPr>
        <w:pStyle w:val="Heading1"/>
        <w:pBdr>
          <w:left w:val="single" w:sz="48" w:space="8" w:color="1F3A5F"/>
        </w:pBdr>
        <w:shd w:val="clear" w:color="auto" w:fill="DCE6F2"/>
        <w:spacing w:before="200" w:after="100"/>
        <w:ind w:left="142"/>
      </w:pPr>
      <w:r>
        <w:t xml:space="preserve">3 Quadro de entendimentos vinculantes e de observância obrigatória</w:t>
      </w:r>
    </w:p>
    <w:p>
      <w:pPr>
        <w:pStyle w:val="FirstParagraph"/>
        <w:keepNext/>
        <w:spacing w:after="80"/>
        <w:jc w:val="both"/>
      </w:pPr>
      <w:r>
        <w:t xml:space="preserve">Reúne os entendimentos de eficácia vinculante ou de observância obrigatória localizados, na ordem dos Títulos. O mesmo julgado aparece em mais de um Título quando alcança dispositivos de Títulos diferentes.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1020"/>
        <w:gridCol w:w="1780"/>
        <w:gridCol w:w="2404"/>
        <w:gridCol w:w="1780"/>
        <w:gridCol w:w="1780"/>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8"/>
              </w:rPr>
              <w:t xml:space="preserve">Instrumento</w:t>
            </w:r>
          </w:p>
        </w:tc>
        <w:tc>
          <w:tcPr>
            <w:tcW w:type="dxa" w:w="1020"/>
            <w:shd w:val="clear" w:color="auto" w:fill="DCE6F2"/>
          </w:tcPr>
          <w:p>
            <w:pPr>
              <w:pStyle w:val="Compact"/>
              <w:keepNext/>
              <w:spacing w:line="276" w:lineRule="auto" w:before="40" w:after="40"/>
            </w:pPr>
            <w:r>
              <w:rPr>
                <w:rFonts w:ascii="Liberation Sans Narrow" w:hAnsi="Liberation Sans Narrow"/>
                <w:b/>
                <w:sz w:val="18"/>
              </w:rPr>
              <w:t xml:space="preserve">Nº</w:t>
            </w:r>
          </w:p>
        </w:tc>
        <w:tc>
          <w:tcPr>
            <w:tcW w:type="dxa" w:w="1780"/>
            <w:shd w:val="clear" w:color="auto" w:fill="DCE6F2"/>
          </w:tcPr>
          <w:p>
            <w:pPr>
              <w:pStyle w:val="Compact"/>
              <w:keepNext/>
              <w:spacing w:line="276" w:lineRule="auto" w:before="40" w:after="40"/>
            </w:pPr>
            <w:r>
              <w:rPr>
                <w:rFonts w:ascii="Liberation Sans Narrow" w:hAnsi="Liberation Sans Narrow"/>
                <w:b/>
                <w:sz w:val="18"/>
              </w:rPr>
              <w:t xml:space="preserve">Órgão</w:t>
            </w:r>
          </w:p>
        </w:tc>
        <w:tc>
          <w:tcPr>
            <w:tcW w:type="dxa" w:w="2404"/>
            <w:shd w:val="clear" w:color="auto" w:fill="DCE6F2"/>
          </w:tcPr>
          <w:p>
            <w:pPr>
              <w:pStyle w:val="Compact"/>
              <w:keepNext/>
              <w:spacing w:line="276" w:lineRule="auto" w:before="40" w:after="40"/>
            </w:pPr>
            <w:r>
              <w:rPr>
                <w:rFonts w:ascii="Liberation Sans Narrow" w:hAnsi="Liberation Sans Narrow"/>
                <w:b/>
                <w:sz w:val="18"/>
              </w:rPr>
              <w:t xml:space="preserve">Tese / enunciado</w:t>
            </w:r>
          </w:p>
        </w:tc>
        <w:tc>
          <w:tcPr>
            <w:tcW w:type="dxa" w:w="1780"/>
            <w:shd w:val="clear" w:color="auto" w:fill="DCE6F2"/>
          </w:tcPr>
          <w:p>
            <w:pPr>
              <w:pStyle w:val="Compact"/>
              <w:keepNext/>
              <w:spacing w:line="276" w:lineRule="auto" w:before="40" w:after="40"/>
            </w:pPr>
            <w:r>
              <w:rPr>
                <w:rFonts w:ascii="Liberation Sans Narrow" w:hAnsi="Liberation Sans Narrow"/>
                <w:b/>
                <w:sz w:val="18"/>
              </w:rPr>
              <w:t xml:space="preserve">Artigos do CPC</w:t>
            </w:r>
          </w:p>
        </w:tc>
        <w:tc>
          <w:tcPr>
            <w:tcW w:type="dxa" w:w="1780"/>
            <w:shd w:val="clear" w:color="auto" w:fill="DCE6F2"/>
          </w:tcPr>
          <w:p>
            <w:pPr>
              <w:pStyle w:val="Compact"/>
              <w:keepNext/>
              <w:spacing w:line="276" w:lineRule="auto" w:before="40" w:after="40"/>
            </w:pPr>
            <w:r>
              <w:rPr>
                <w:rFonts w:ascii="Liberation Sans Narrow" w:hAnsi="Liberation Sans Narrow"/>
                <w:b/>
                <w:sz w:val="18"/>
              </w:rPr>
              <w:t xml:space="preserve">Situação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1198</w:t>
            </w:r>
          </w:p>
        </w:tc>
        <w:tc>
          <w:tcPr>
            <w:tcW w:type="dxa" w:w="1780"/>
          </w:tcPr>
          <w:p>
            <w:pPr>
              <w:pStyle w:val="Compact"/>
              <w:spacing w:line="276" w:lineRule="auto" w:before="40" w:after="40"/>
            </w:pPr>
            <w:r>
              <w:rPr>
                <w:rFonts w:ascii="Liberation Sans Narrow" w:hAnsi="Liberation Sans Narrow"/>
                <w:sz w:val="18"/>
              </w:rPr>
              <w:t xml:space="preserve">STJ, Corte Especial</w:t>
            </w:r>
          </w:p>
        </w:tc>
        <w:tc>
          <w:tcPr>
            <w:tcW w:type="dxa" w:w="2404"/>
          </w:tcPr>
          <w:p>
            <w:pPr>
              <w:pStyle w:val="Compact"/>
              <w:spacing w:line="276" w:lineRule="auto" w:before="40" w:after="40"/>
            </w:pPr>
            <w:r>
              <w:rPr>
                <w:rFonts w:ascii="Liberation Sans Narrow" w:hAnsi="Liberation Sans Narrow"/>
                <w:sz w:val="18"/>
              </w:rPr>
              <w:t xml:space="preserve">Constatados indícios de litigância abusiva, o juiz pode exigir, de modo fundamentado e com observância à razoabilidade do caso concreto, a emenda da petição inicial a fim de demonstrar o interesse de agir e a autenticidade da post…</w:t>
            </w:r>
          </w:p>
        </w:tc>
        <w:tc>
          <w:tcPr>
            <w:tcW w:type="dxa" w:w="1780"/>
          </w:tcPr>
          <w:p>
            <w:pPr>
              <w:pStyle w:val="Compact"/>
              <w:spacing w:line="276" w:lineRule="auto" w:before="40" w:after="40"/>
            </w:pPr>
            <w:r>
              <w:rPr>
                <w:rFonts w:ascii="Liberation Sans Narrow" w:hAnsi="Liberation Sans Narrow"/>
                <w:sz w:val="18"/>
              </w:rPr>
              <w:t xml:space="preserve">CPC, arts. 319 a 321</w:t>
            </w:r>
          </w:p>
        </w:tc>
        <w:tc>
          <w:tcPr>
            <w:tcW w:type="dxa" w:w="1780"/>
          </w:tcPr>
          <w:p>
            <w:pPr>
              <w:pStyle w:val="Compact"/>
              <w:spacing w:line="276" w:lineRule="auto" w:before="40" w:after="40"/>
            </w:pPr>
            <w:r>
              <w:rPr>
                <w:rFonts w:ascii="Liberation Sans Narrow" w:hAnsi="Liberation Sans Narrow"/>
                <w:sz w:val="18"/>
              </w:rPr>
              <w:t xml:space="preserve">Acórdão Publicado - RE Pendente</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1000</w:t>
            </w:r>
          </w:p>
        </w:tc>
        <w:tc>
          <w:tcPr>
            <w:tcW w:type="dxa" w:w="1780"/>
          </w:tcPr>
          <w:p>
            <w:pPr>
              <w:pStyle w:val="Compact"/>
              <w:spacing w:line="276" w:lineRule="auto" w:before="40" w:after="40"/>
            </w:pPr>
            <w:r>
              <w:rPr>
                <w:rFonts w:ascii="Liberation Sans Narrow" w:hAnsi="Liberation Sans Narrow"/>
                <w:sz w:val="18"/>
              </w:rPr>
              <w:t xml:space="preserve">STJ, Segunda Seção</w:t>
            </w:r>
          </w:p>
        </w:tc>
        <w:tc>
          <w:tcPr>
            <w:tcW w:type="dxa" w:w="2404"/>
          </w:tcPr>
          <w:p>
            <w:pPr>
              <w:pStyle w:val="Compact"/>
              <w:spacing w:line="276" w:lineRule="auto" w:before="40" w:after="40"/>
            </w:pPr>
            <w:r>
              <w:rPr>
                <w:rFonts w:ascii="Liberation Sans Narrow" w:hAnsi="Liberation Sans Narrow"/>
                <w:sz w:val="18"/>
              </w:rPr>
              <w:t xml:space="preserve">Desde que prováveis a existência da relação jurídica entre as partes e de documento ou coisa que se pretende seja exibido, apurada em contraditório prévio, poderá o juiz, após tentativa de busca e apreensão ou outra medida coercit…</w:t>
            </w:r>
          </w:p>
        </w:tc>
        <w:tc>
          <w:tcPr>
            <w:tcW w:type="dxa" w:w="1780"/>
          </w:tcPr>
          <w:p>
            <w:pPr>
              <w:pStyle w:val="Compact"/>
              <w:spacing w:line="276" w:lineRule="auto" w:before="40" w:after="40"/>
            </w:pPr>
            <w:r>
              <w:rPr>
                <w:rFonts w:ascii="Liberation Sans Narrow" w:hAnsi="Liberation Sans Narrow"/>
                <w:sz w:val="18"/>
              </w:rPr>
              <w:t xml:space="preserve">CPC, art. 400, parágrafo único</w:t>
            </w:r>
          </w:p>
        </w:tc>
        <w:tc>
          <w:tcPr>
            <w:tcW w:type="dxa" w:w="178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1306</w:t>
            </w:r>
          </w:p>
        </w:tc>
        <w:tc>
          <w:tcPr>
            <w:tcW w:type="dxa" w:w="1780"/>
          </w:tcPr>
          <w:p>
            <w:pPr>
              <w:pStyle w:val="Compact"/>
              <w:spacing w:line="276" w:lineRule="auto" w:before="40" w:after="40"/>
            </w:pPr>
            <w:r>
              <w:rPr>
                <w:rFonts w:ascii="Liberation Sans Narrow" w:hAnsi="Liberation Sans Narrow"/>
                <w:sz w:val="18"/>
              </w:rPr>
              <w:t xml:space="preserve">STJ, Corte Especial</w:t>
            </w:r>
          </w:p>
        </w:tc>
        <w:tc>
          <w:tcPr>
            <w:tcW w:type="dxa" w:w="2404"/>
          </w:tcPr>
          <w:p>
            <w:pPr>
              <w:pStyle w:val="Compact"/>
              <w:spacing w:line="276" w:lineRule="auto" w:before="40" w:after="40"/>
            </w:pPr>
            <w:r>
              <w:rPr>
                <w:rFonts w:ascii="Liberation Sans Narrow" w:hAnsi="Liberation Sans Narrow"/>
                <w:sz w:val="18"/>
              </w:rPr>
              <w:t xml:space="preserve">1. A técnica da fundamentação por referência (per relationem) é permitida desde que o julgador, ao reproduzir trechos de decisão anterior (documentos e/ou pareceres) como razões de decidir, enfrente, ainda que de forma sucinta, as…</w:t>
            </w:r>
          </w:p>
        </w:tc>
        <w:tc>
          <w:tcPr>
            <w:tcW w:type="dxa" w:w="1780"/>
          </w:tcPr>
          <w:p>
            <w:pPr>
              <w:pStyle w:val="Compact"/>
              <w:spacing w:line="276" w:lineRule="auto" w:before="40" w:after="40"/>
            </w:pPr>
            <w:r>
              <w:rPr>
                <w:rFonts w:ascii="Liberation Sans Narrow" w:hAnsi="Liberation Sans Narrow"/>
                <w:sz w:val="18"/>
              </w:rPr>
              <w:t xml:space="preserve">CPC, art. 489, § 1º</w:t>
            </w:r>
          </w:p>
        </w:tc>
        <w:tc>
          <w:tcPr>
            <w:tcW w:type="dxa" w:w="178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1081</w:t>
            </w:r>
          </w:p>
        </w:tc>
        <w:tc>
          <w:tcPr>
            <w:tcW w:type="dxa" w:w="1780"/>
          </w:tcPr>
          <w:p>
            <w:pPr>
              <w:pStyle w:val="Compact"/>
              <w:spacing w:line="276" w:lineRule="auto" w:before="40" w:after="40"/>
            </w:pPr>
            <w:r>
              <w:rPr>
                <w:rFonts w:ascii="Liberation Sans Narrow" w:hAnsi="Liberation Sans Narrow"/>
                <w:sz w:val="18"/>
              </w:rPr>
              <w:t xml:space="preserve">STJ, Corte Especial</w:t>
            </w:r>
          </w:p>
        </w:tc>
        <w:tc>
          <w:tcPr>
            <w:tcW w:type="dxa" w:w="2404"/>
          </w:tcPr>
          <w:p>
            <w:pPr>
              <w:pStyle w:val="Compact"/>
              <w:spacing w:line="276" w:lineRule="auto" w:before="40" w:after="40"/>
            </w:pPr>
            <w:r>
              <w:rPr>
                <w:rFonts w:ascii="Liberation Sans Narrow" w:hAnsi="Liberation Sans Narrow"/>
                <w:sz w:val="18"/>
              </w:rPr>
              <w:t xml:space="preserve">A demanda previdenciária cujo valor da condenação seja aferível por simples cálculos aritméticos, com base nos parâmetros fixados na sentença, deve ser dispensada da remessa necessária quando for possível estimar que não excederá…</w:t>
            </w:r>
          </w:p>
        </w:tc>
        <w:tc>
          <w:tcPr>
            <w:tcW w:type="dxa" w:w="1780"/>
          </w:tcPr>
          <w:p>
            <w:pPr>
              <w:pStyle w:val="Compact"/>
              <w:spacing w:line="276" w:lineRule="auto" w:before="40" w:after="40"/>
            </w:pPr>
            <w:r>
              <w:rPr>
                <w:rFonts w:ascii="Liberation Sans Narrow" w:hAnsi="Liberation Sans Narrow"/>
                <w:sz w:val="18"/>
              </w:rPr>
              <w:t xml:space="preserve">CPC, art. 496, § 3º, I</w:t>
            </w:r>
          </w:p>
        </w:tc>
        <w:tc>
          <w:tcPr>
            <w:tcW w:type="dxa" w:w="178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1169</w:t>
            </w:r>
          </w:p>
        </w:tc>
        <w:tc>
          <w:tcPr>
            <w:tcW w:type="dxa" w:w="1780"/>
          </w:tcPr>
          <w:p>
            <w:pPr>
              <w:pStyle w:val="Compact"/>
              <w:spacing w:line="276" w:lineRule="auto" w:before="40" w:after="40"/>
            </w:pPr>
            <w:r>
              <w:rPr>
                <w:rFonts w:ascii="Liberation Sans Narrow" w:hAnsi="Liberation Sans Narrow"/>
                <w:sz w:val="18"/>
              </w:rPr>
              <w:t xml:space="preserve">STJ, Primeira Seção</w:t>
            </w:r>
          </w:p>
        </w:tc>
        <w:tc>
          <w:tcPr>
            <w:tcW w:type="dxa" w:w="2404"/>
          </w:tcPr>
          <w:p>
            <w:pPr>
              <w:pStyle w:val="Compact"/>
              <w:spacing w:line="276" w:lineRule="auto" w:before="40" w:after="40"/>
            </w:pPr>
            <w:r>
              <w:rPr>
                <w:rFonts w:ascii="Liberation Sans Narrow" w:hAnsi="Liberation Sans Narrow"/>
                <w:sz w:val="18"/>
              </w:rPr>
              <w:t xml:space="preserve">(i) na execução individual do título formado em processo coletivo em favor de servidores públicos, sempre que demonstrado documentalmente que o exequente legitimado se encontre na situação estabelecida de forma genérica na sentenç…</w:t>
            </w:r>
          </w:p>
        </w:tc>
        <w:tc>
          <w:tcPr>
            <w:tcW w:type="dxa" w:w="1780"/>
          </w:tcPr>
          <w:p>
            <w:pPr>
              <w:pStyle w:val="Compact"/>
              <w:spacing w:line="276" w:lineRule="auto" w:before="40" w:after="40"/>
            </w:pPr>
            <w:r>
              <w:rPr>
                <w:rFonts w:ascii="Liberation Sans Narrow" w:hAnsi="Liberation Sans Narrow"/>
                <w:sz w:val="18"/>
              </w:rPr>
              <w:t xml:space="preserve">CPC, art. 509</w:t>
            </w:r>
          </w:p>
        </w:tc>
        <w:tc>
          <w:tcPr>
            <w:tcW w:type="dxa" w:w="178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Repercussão geral (Tema)</w:t>
            </w:r>
          </w:p>
        </w:tc>
        <w:tc>
          <w:tcPr>
            <w:tcW w:type="dxa" w:w="1020"/>
          </w:tcPr>
          <w:p>
            <w:pPr>
              <w:pStyle w:val="Compact"/>
              <w:spacing w:line="276" w:lineRule="auto" w:before="40" w:after="40"/>
            </w:pPr>
            <w:r>
              <w:rPr>
                <w:rFonts w:ascii="Liberation Sans Narrow" w:hAnsi="Liberation Sans Narrow"/>
                <w:sz w:val="18"/>
              </w:rPr>
              <w:t xml:space="preserve">881</w:t>
            </w:r>
          </w:p>
        </w:tc>
        <w:tc>
          <w:tcPr>
            <w:tcW w:type="dxa" w:w="1780"/>
          </w:tcPr>
          <w:p>
            <w:pPr>
              <w:pStyle w:val="Compact"/>
              <w:spacing w:line="276" w:lineRule="auto" w:before="40" w:after="40"/>
            </w:pPr>
            <w:r>
              <w:rPr>
                <w:rFonts w:ascii="Liberation Sans Narrow" w:hAnsi="Liberation Sans Narrow"/>
                <w:sz w:val="18"/>
              </w:rPr>
              <w:t xml:space="preserve">STF, Tribunal Pleno</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2404"/>
          </w:tcPr>
          <w:p>
            <w:pPr>
              <w:pStyle w:val="Compact"/>
              <w:spacing w:line="276" w:lineRule="auto" w:before="40" w:after="40"/>
            </w:pPr>
            <w:r>
              <w:rPr>
                <w:rFonts w:ascii="Liberation Sans Narrow" w:hAnsi="Liberation Sans Narrow"/>
                <w:sz w:val="18"/>
              </w:rPr>
              <w:t xml:space="preserve">Decisões do STF em controle incidental, anteriores ao regime de repercussão geral, não alteram automaticamente a coisa julgada formada, mesmo nas relações tributárias de trato sucessivo; já as proferidas em ação direta ou em reper…</w:t>
            </w:r>
          </w:p>
        </w:tc>
        <w:tc>
          <w:tcPr>
            <w:tcW w:type="dxa" w:w="1780"/>
          </w:tcPr>
          <w:p>
            <w:pPr>
              <w:pStyle w:val="Compact"/>
              <w:spacing w:line="276" w:lineRule="auto" w:before="40" w:after="40"/>
            </w:pPr>
            <w:r>
              <w:rPr>
                <w:rFonts w:ascii="Liberation Sans Narrow" w:hAnsi="Liberation Sans Narrow"/>
                <w:sz w:val="18"/>
              </w:rPr>
              <w:t xml:space="preserve">CPC, arts. 502 a 508 (art. 505, I)</w:t>
            </w:r>
          </w:p>
        </w:tc>
        <w:tc>
          <w:tcPr>
            <w:tcW w:type="dxa" w:w="1780"/>
          </w:tcPr>
          <w:p>
            <w:pPr>
              <w:pStyle w:val="Compact"/>
              <w:spacing w:line="276" w:lineRule="auto" w:before="40" w:after="40"/>
            </w:pPr>
            <w:r>
              <w:rPr>
                <w:rFonts w:ascii="Liberation Sans Narrow" w:hAnsi="Liberation Sans Narrow"/>
                <w:sz w:val="18"/>
              </w:rPr>
              <w:t xml:space="preserve">Leading case transitado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Repercussão geral (Tema)</w:t>
            </w:r>
          </w:p>
        </w:tc>
        <w:tc>
          <w:tcPr>
            <w:tcW w:type="dxa" w:w="1020"/>
          </w:tcPr>
          <w:p>
            <w:pPr>
              <w:pStyle w:val="Compact"/>
              <w:spacing w:line="276" w:lineRule="auto" w:before="40" w:after="40"/>
            </w:pPr>
            <w:r>
              <w:rPr>
                <w:rFonts w:ascii="Liberation Sans Narrow" w:hAnsi="Liberation Sans Narrow"/>
                <w:sz w:val="18"/>
              </w:rPr>
              <w:t xml:space="preserve">885</w:t>
            </w:r>
          </w:p>
        </w:tc>
        <w:tc>
          <w:tcPr>
            <w:tcW w:type="dxa" w:w="1780"/>
          </w:tcPr>
          <w:p>
            <w:pPr>
              <w:pStyle w:val="Compact"/>
              <w:spacing w:line="276" w:lineRule="auto" w:before="40" w:after="40"/>
            </w:pPr>
            <w:r>
              <w:rPr>
                <w:rFonts w:ascii="Liberation Sans Narrow" w:hAnsi="Liberation Sans Narrow"/>
                <w:sz w:val="18"/>
              </w:rPr>
              <w:t xml:space="preserve">STF, Tribunal Pleno</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2404"/>
          </w:tcPr>
          <w:p>
            <w:pPr>
              <w:pStyle w:val="Compact"/>
              <w:spacing w:line="276" w:lineRule="auto" w:before="40" w:after="40"/>
            </w:pPr>
            <w:r>
              <w:rPr>
                <w:rFonts w:ascii="Liberation Sans Narrow" w:hAnsi="Liberation Sans Narrow"/>
                <w:sz w:val="18"/>
              </w:rPr>
              <w:t xml:space="preserve">Decisões do STF em controle incidental, anteriores ao regime de repercussão geral, não alteram automaticamente a coisa julgada formada, mesmo nas relações tributárias de trato sucessivo; já as proferidas em ação direta ou em reper…</w:t>
            </w:r>
          </w:p>
        </w:tc>
        <w:tc>
          <w:tcPr>
            <w:tcW w:type="dxa" w:w="1780"/>
          </w:tcPr>
          <w:p>
            <w:pPr>
              <w:pStyle w:val="Compact"/>
              <w:spacing w:line="276" w:lineRule="auto" w:before="40" w:after="40"/>
            </w:pPr>
            <w:r>
              <w:rPr>
                <w:rFonts w:ascii="Liberation Sans Narrow" w:hAnsi="Liberation Sans Narrow"/>
                <w:sz w:val="18"/>
              </w:rPr>
              <w:t xml:space="preserve">CPC, arts. 502 a 508 (art. 505, I)</w:t>
            </w:r>
          </w:p>
        </w:tc>
        <w:tc>
          <w:tcPr>
            <w:tcW w:type="dxa" w:w="1780"/>
          </w:tcPr>
          <w:p>
            <w:pPr>
              <w:pStyle w:val="Compact"/>
              <w:spacing w:line="276" w:lineRule="auto" w:before="40" w:after="40"/>
            </w:pPr>
            <w:r>
              <w:rPr>
                <w:rFonts w:ascii="Liberation Sans Narrow" w:hAnsi="Liberation Sans Narrow"/>
                <w:sz w:val="18"/>
              </w:rPr>
              <w:t xml:space="preserve">Leading case transitado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995</w:t>
            </w:r>
          </w:p>
        </w:tc>
        <w:tc>
          <w:tcPr>
            <w:tcW w:type="dxa" w:w="1780"/>
          </w:tcPr>
          <w:p>
            <w:pPr>
              <w:pStyle w:val="Compact"/>
              <w:spacing w:line="276" w:lineRule="auto" w:before="40" w:after="40"/>
            </w:pPr>
            <w:r>
              <w:rPr>
                <w:rFonts w:ascii="Liberation Sans Narrow" w:hAnsi="Liberation Sans Narrow"/>
                <w:sz w:val="18"/>
              </w:rPr>
              <w:t xml:space="preserve">STJ, Primeira Seção</w:t>
            </w:r>
          </w:p>
        </w:tc>
        <w:tc>
          <w:tcPr>
            <w:tcW w:type="dxa" w:w="2404"/>
          </w:tcPr>
          <w:p>
            <w:pPr>
              <w:pStyle w:val="Compact"/>
              <w:spacing w:line="276" w:lineRule="auto" w:before="40" w:after="40"/>
            </w:pPr>
            <w:r>
              <w:rPr>
                <w:rFonts w:ascii="Liberation Sans Narrow" w:hAnsi="Liberation Sans Narrow"/>
                <w:sz w:val="18"/>
              </w:rPr>
              <w:t xml:space="preserve">É possível a reafirmação da DER (Data de Entrada do Requerimento) para o momento em que implementados os requisitos para a concessão do benefício, mesmo que isso se dê no interstício entre o ajuizamento da ação e a entrega da pres…</w:t>
            </w:r>
          </w:p>
        </w:tc>
        <w:tc>
          <w:tcPr>
            <w:tcW w:type="dxa" w:w="1780"/>
          </w:tcPr>
          <w:p>
            <w:pPr>
              <w:pStyle w:val="Compact"/>
              <w:spacing w:line="276" w:lineRule="auto" w:before="40" w:after="40"/>
            </w:pPr>
            <w:r>
              <w:rPr>
                <w:rFonts w:ascii="Liberation Sans Narrow" w:hAnsi="Liberation Sans Narrow"/>
                <w:sz w:val="18"/>
              </w:rPr>
              <w:t xml:space="preserve">493</w:t>
            </w:r>
          </w:p>
        </w:tc>
        <w:tc>
          <w:tcPr>
            <w:tcW w:type="dxa" w:w="178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Controle concentrado (ADI)</w:t>
            </w:r>
          </w:p>
        </w:tc>
        <w:tc>
          <w:tcPr>
            <w:tcW w:type="dxa" w:w="1020"/>
          </w:tcPr>
          <w:p>
            <w:pPr>
              <w:pStyle w:val="Compact"/>
              <w:spacing w:line="276" w:lineRule="auto" w:before="40" w:after="40"/>
            </w:pPr>
            <w:r>
              <w:rPr>
                <w:rFonts w:ascii="Liberation Sans Narrow" w:hAnsi="Liberation Sans Narrow"/>
                <w:sz w:val="18"/>
              </w:rPr>
              <w:t xml:space="preserve">5534</w:t>
            </w:r>
          </w:p>
        </w:tc>
        <w:tc>
          <w:tcPr>
            <w:tcW w:type="dxa" w:w="1780"/>
          </w:tcPr>
          <w:p>
            <w:pPr>
              <w:pStyle w:val="Compact"/>
              <w:spacing w:line="276" w:lineRule="auto" w:before="40" w:after="40"/>
            </w:pPr>
            <w:r>
              <w:rPr>
                <w:rFonts w:ascii="Liberation Sans Narrow" w:hAnsi="Liberation Sans Narrow"/>
                <w:sz w:val="18"/>
              </w:rPr>
              <w:t xml:space="preserve">STF, Tribunal Pleno</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2404"/>
          </w:tcPr>
          <w:p>
            <w:pPr>
              <w:pStyle w:val="Compact"/>
              <w:spacing w:line="276" w:lineRule="auto" w:before="40" w:after="40"/>
            </w:pPr>
            <w:r>
              <w:rPr>
                <w:rFonts w:ascii="Liberation Sans Narrow" w:hAnsi="Liberation Sans Narrow"/>
                <w:sz w:val="18"/>
              </w:rPr>
              <w:t xml:space="preserve">Art. 535, § 3º, II, constitucional (competência da União para fixar o prazo de pagamento da RPV); art. 535, § 4º, com interpretação conforme: para o regime de pagamento do valor incontroverso, observa-se o valor total da condenação.</w:t>
            </w:r>
          </w:p>
        </w:tc>
        <w:tc>
          <w:tcPr>
            <w:tcW w:type="dxa" w:w="1780"/>
          </w:tcPr>
          <w:p>
            <w:pPr>
              <w:pStyle w:val="Compact"/>
              <w:spacing w:line="276" w:lineRule="auto" w:before="40" w:after="40"/>
            </w:pPr>
            <w:r>
              <w:rPr>
                <w:rFonts w:ascii="Liberation Sans Narrow" w:hAnsi="Liberation Sans Narrow"/>
                <w:sz w:val="18"/>
              </w:rPr>
              <w:t xml:space="preserve">CPC, art. 535, §§ 3º, II, e 4º</w:t>
            </w:r>
          </w:p>
        </w:tc>
        <w:tc>
          <w:tcPr>
            <w:tcW w:type="dxa" w:w="1780"/>
          </w:tcPr>
          <w:p>
            <w:pPr>
              <w:pStyle w:val="Compact"/>
              <w:spacing w:line="276" w:lineRule="auto" w:before="40" w:after="40"/>
            </w:pPr>
            <w:r>
              <w:rPr>
                <w:rFonts w:ascii="Liberation Sans Narrow" w:hAnsi="Liberation Sans Narrow"/>
                <w:sz w:val="18"/>
              </w:rPr>
              <w:t xml:space="preserve">Julgada parcialmente procedente</w:t>
            </w:r>
          </w:p>
        </w:tc>
      </w:tr>
      <w:tr>
        <w:trPr>
          <w:cantSplit/>
        </w:trPr>
        <w:tc>
          <w:tcPr>
            <w:tcW w:type="dxa" w:w="1655"/>
          </w:tcPr>
          <w:p>
            <w:pPr>
              <w:pStyle w:val="Compact"/>
              <w:spacing w:line="276" w:lineRule="auto" w:before="40" w:after="40"/>
            </w:pPr>
            <w:r>
              <w:rPr>
                <w:rFonts w:ascii="Liberation Sans Narrow" w:hAnsi="Liberation Sans Narrow"/>
                <w:sz w:val="18"/>
              </w:rPr>
              <w:t xml:space="preserve">Controle concentrado (ADI)</w:t>
            </w:r>
          </w:p>
        </w:tc>
        <w:tc>
          <w:tcPr>
            <w:tcW w:type="dxa" w:w="1020"/>
          </w:tcPr>
          <w:p>
            <w:pPr>
              <w:pStyle w:val="Compact"/>
              <w:spacing w:line="276" w:lineRule="auto" w:before="40" w:after="40"/>
            </w:pPr>
            <w:r>
              <w:rPr>
                <w:rFonts w:ascii="Liberation Sans Narrow" w:hAnsi="Liberation Sans Narrow"/>
                <w:sz w:val="18"/>
              </w:rPr>
              <w:t xml:space="preserve">5492</w:t>
            </w:r>
          </w:p>
        </w:tc>
        <w:tc>
          <w:tcPr>
            <w:tcW w:type="dxa" w:w="1780"/>
          </w:tcPr>
          <w:p>
            <w:pPr>
              <w:pStyle w:val="Compact"/>
              <w:spacing w:line="276" w:lineRule="auto" w:before="40" w:after="40"/>
            </w:pPr>
            <w:r>
              <w:rPr>
                <w:rFonts w:ascii="Liberation Sans Narrow" w:hAnsi="Liberation Sans Narrow"/>
                <w:sz w:val="18"/>
              </w:rPr>
              <w:t xml:space="preserve">STF, Tribunal Pleno</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2404"/>
          </w:tcPr>
          <w:p>
            <w:pPr>
              <w:pStyle w:val="Compact"/>
              <w:spacing w:line="276" w:lineRule="auto" w:before="40" w:after="40"/>
            </w:pPr>
            <w:r>
              <w:rPr>
                <w:rFonts w:ascii="Liberation Sans Narrow" w:hAnsi="Liberation Sans Narrow"/>
                <w:sz w:val="18"/>
              </w:rPr>
              <w:t xml:space="preserve">Inconstitucional a expressão</w:t>
            </w:r>
            <w:r>
              <w:rPr>
                <w:rFonts w:ascii="Liberation Sans Narrow" w:hAnsi="Liberation Sans Narrow"/>
                <w:sz w:val="18"/>
              </w:rPr>
              <w:t xml:space="preserve"> </w:t>
            </w:r>
            <w:r>
              <w:rPr>
                <w:rFonts w:ascii="Liberation Sans Narrow" w:hAnsi="Liberation Sans Narrow"/>
                <w:sz w:val="18"/>
              </w:rPr>
              <w:t xml:space="preserve">“de banco oficial”</w:t>
            </w:r>
            <w:r>
              <w:rPr>
                <w:rFonts w:ascii="Liberation Sans Narrow" w:hAnsi="Liberation Sans Narrow"/>
                <w:sz w:val="18"/>
              </w:rPr>
              <w:t xml:space="preserve"> </w:t>
            </w:r>
            <w:r>
              <w:rPr>
                <w:rFonts w:ascii="Liberation Sans Narrow" w:hAnsi="Liberation Sans Narrow"/>
                <w:sz w:val="18"/>
              </w:rPr>
              <w:t xml:space="preserve">do art. 535, § 3º, II; a</w:t>
            </w:r>
            <w:r>
              <w:rPr>
                <w:rFonts w:ascii="Liberation Sans Narrow" w:hAnsi="Liberation Sans Narrow"/>
                <w:sz w:val="18"/>
              </w:rPr>
              <w:t xml:space="preserve"> </w:t>
            </w:r>
            <w:r>
              <w:rPr>
                <w:rFonts w:ascii="Liberation Sans Narrow" w:hAnsi="Liberation Sans Narrow"/>
                <w:sz w:val="18"/>
              </w:rPr>
              <w:t xml:space="preserve">“agência”</w:t>
            </w:r>
            <w:r>
              <w:rPr>
                <w:rFonts w:ascii="Liberation Sans Narrow" w:hAnsi="Liberation Sans Narrow"/>
                <w:sz w:val="18"/>
              </w:rPr>
              <w:t xml:space="preserve"> </w:t>
            </w:r>
            <w:r>
              <w:rPr>
                <w:rFonts w:ascii="Liberation Sans Narrow" w:hAnsi="Liberation Sans Narrow"/>
                <w:sz w:val="18"/>
              </w:rPr>
              <w:t xml:space="preserve">pode ser de instituição financeira pública ou privada.</w:t>
            </w:r>
          </w:p>
        </w:tc>
        <w:tc>
          <w:tcPr>
            <w:tcW w:type="dxa" w:w="1780"/>
          </w:tcPr>
          <w:p>
            <w:pPr>
              <w:pStyle w:val="Compact"/>
              <w:spacing w:line="276" w:lineRule="auto" w:before="40" w:after="40"/>
            </w:pPr>
            <w:r>
              <w:rPr>
                <w:rFonts w:ascii="Liberation Sans Narrow" w:hAnsi="Liberation Sans Narrow"/>
                <w:sz w:val="18"/>
              </w:rPr>
              <w:t xml:space="preserve">CPC, art. 535, § 3º, II (e arts. 46, § 5º, 52, p.ú., e 840, I)</w:t>
            </w:r>
          </w:p>
        </w:tc>
        <w:tc>
          <w:tcPr>
            <w:tcW w:type="dxa" w:w="1780"/>
          </w:tcPr>
          <w:p>
            <w:pPr>
              <w:pStyle w:val="Compact"/>
              <w:spacing w:line="276" w:lineRule="auto" w:before="40" w:after="40"/>
            </w:pPr>
            <w:r>
              <w:rPr>
                <w:rFonts w:ascii="Liberation Sans Narrow" w:hAnsi="Liberation Sans Narrow"/>
                <w:sz w:val="18"/>
              </w:rPr>
              <w:t xml:space="preserve">Julgada parcialmente procedente</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889</w:t>
            </w:r>
          </w:p>
        </w:tc>
        <w:tc>
          <w:tcPr>
            <w:tcW w:type="dxa" w:w="1780"/>
          </w:tcPr>
          <w:p>
            <w:pPr>
              <w:pStyle w:val="Compact"/>
              <w:spacing w:line="276" w:lineRule="auto" w:before="40" w:after="40"/>
            </w:pPr>
            <w:r>
              <w:rPr>
                <w:rFonts w:ascii="Liberation Sans Narrow" w:hAnsi="Liberation Sans Narrow"/>
                <w:sz w:val="18"/>
              </w:rPr>
              <w:t xml:space="preserve">STJ, Corte Especial</w:t>
            </w:r>
          </w:p>
        </w:tc>
        <w:tc>
          <w:tcPr>
            <w:tcW w:type="dxa" w:w="2404"/>
          </w:tcPr>
          <w:p>
            <w:pPr>
              <w:pStyle w:val="Compact"/>
              <w:spacing w:line="276" w:lineRule="auto" w:before="40" w:after="40"/>
            </w:pPr>
            <w:r>
              <w:rPr>
                <w:rFonts w:ascii="Liberation Sans Narrow" w:hAnsi="Liberation Sans Narrow"/>
                <w:sz w:val="18"/>
              </w:rPr>
              <w:t xml:space="preserve">A sentença, qualquer que seja sua natureza, de procedência ou improcedência do pedido, constitui título executivo judicial, desde que estabeleça obrigação de pagar quantia, de fazer, não fazer ou entregar coisa, admitida sua prévi…</w:t>
            </w:r>
          </w:p>
        </w:tc>
        <w:tc>
          <w:tcPr>
            <w:tcW w:type="dxa" w:w="1780"/>
          </w:tcPr>
          <w:p>
            <w:pPr>
              <w:pStyle w:val="Compact"/>
              <w:spacing w:line="276" w:lineRule="auto" w:before="40" w:after="40"/>
            </w:pPr>
            <w:r>
              <w:rPr>
                <w:rFonts w:ascii="Liberation Sans Narrow" w:hAnsi="Liberation Sans Narrow"/>
                <w:sz w:val="18"/>
              </w:rPr>
              <w:t xml:space="preserve">CPC, art. 515, I</w:t>
            </w:r>
          </w:p>
        </w:tc>
        <w:tc>
          <w:tcPr>
            <w:tcW w:type="dxa" w:w="178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1232</w:t>
            </w:r>
          </w:p>
        </w:tc>
        <w:tc>
          <w:tcPr>
            <w:tcW w:type="dxa" w:w="1780"/>
          </w:tcPr>
          <w:p>
            <w:pPr>
              <w:pStyle w:val="Compact"/>
              <w:spacing w:line="276" w:lineRule="auto" w:before="40" w:after="40"/>
            </w:pPr>
            <w:r>
              <w:rPr>
                <w:rFonts w:ascii="Liberation Sans Narrow" w:hAnsi="Liberation Sans Narrow"/>
                <w:sz w:val="18"/>
              </w:rPr>
              <w:t xml:space="preserve">STJ, Primeira Seção</w:t>
            </w:r>
          </w:p>
        </w:tc>
        <w:tc>
          <w:tcPr>
            <w:tcW w:type="dxa" w:w="2404"/>
          </w:tcPr>
          <w:p>
            <w:pPr>
              <w:pStyle w:val="Compact"/>
              <w:spacing w:line="276" w:lineRule="auto" w:before="40" w:after="40"/>
            </w:pPr>
            <w:r>
              <w:rPr>
                <w:rFonts w:ascii="Liberation Sans Narrow" w:hAnsi="Liberation Sans Narrow"/>
                <w:sz w:val="18"/>
              </w:rPr>
              <w:t xml:space="preserve">Nos termos do art. 25 da Lei n. 12.016/2009, não se revela cabível a fixação de honorários de sucumbência em cumprimento de sentença proferida em mandado de segurança individual, ainda que dela resultem efeitos patrimoniais a sere…</w:t>
            </w:r>
          </w:p>
        </w:tc>
        <w:tc>
          <w:tcPr>
            <w:tcW w:type="dxa" w:w="1780"/>
          </w:tcPr>
          <w:p>
            <w:pPr>
              <w:pStyle w:val="Compact"/>
              <w:spacing w:line="276" w:lineRule="auto" w:before="40" w:after="40"/>
            </w:pPr>
            <w:r>
              <w:rPr>
                <w:rFonts w:ascii="Liberation Sans Narrow" w:hAnsi="Liberation Sans Narrow"/>
                <w:sz w:val="18"/>
              </w:rPr>
              <w:t xml:space="preserve">CPC, art. 523; Lei 12.016/2009, art. 25</w:t>
            </w:r>
          </w:p>
        </w:tc>
        <w:tc>
          <w:tcPr>
            <w:tcW w:type="dxa" w:w="178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1235</w:t>
            </w:r>
          </w:p>
        </w:tc>
        <w:tc>
          <w:tcPr>
            <w:tcW w:type="dxa" w:w="1780"/>
          </w:tcPr>
          <w:p>
            <w:pPr>
              <w:pStyle w:val="Compact"/>
              <w:spacing w:line="276" w:lineRule="auto" w:before="40" w:after="40"/>
            </w:pPr>
            <w:r>
              <w:rPr>
                <w:rFonts w:ascii="Liberation Sans Narrow" w:hAnsi="Liberation Sans Narrow"/>
                <w:sz w:val="18"/>
              </w:rPr>
              <w:t xml:space="preserve">STJ, Corte Especial</w:t>
            </w:r>
          </w:p>
        </w:tc>
        <w:tc>
          <w:tcPr>
            <w:tcW w:type="dxa" w:w="2404"/>
          </w:tcPr>
          <w:p>
            <w:pPr>
              <w:pStyle w:val="Compact"/>
              <w:spacing w:line="276" w:lineRule="auto" w:before="40" w:after="40"/>
            </w:pPr>
            <w:r>
              <w:rPr>
                <w:rFonts w:ascii="Liberation Sans Narrow" w:hAnsi="Liberation Sans Narrow"/>
                <w:sz w:val="18"/>
              </w:rPr>
              <w:t xml:space="preserve">A impenhorabilidade de quantia inferior a 40 salários mínimos (art. 833, X, do CPC) não é matéria de ordem pública e não pode ser reconhecida de ofício pelo juiz, devendo ser arguida pelo executado no primeiro momento em que lhe c…</w:t>
            </w:r>
          </w:p>
        </w:tc>
        <w:tc>
          <w:tcPr>
            <w:tcW w:type="dxa" w:w="1780"/>
          </w:tcPr>
          <w:p>
            <w:pPr>
              <w:pStyle w:val="Compact"/>
              <w:spacing w:line="276" w:lineRule="auto" w:before="40" w:after="40"/>
            </w:pPr>
            <w:r>
              <w:rPr>
                <w:rFonts w:ascii="Liberation Sans Narrow" w:hAnsi="Liberation Sans Narrow"/>
                <w:sz w:val="18"/>
              </w:rPr>
              <w:t xml:space="preserve">CPC, arts. 525 e 833, X</w:t>
            </w:r>
          </w:p>
        </w:tc>
        <w:tc>
          <w:tcPr>
            <w:tcW w:type="dxa" w:w="178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677</w:t>
            </w:r>
          </w:p>
        </w:tc>
        <w:tc>
          <w:tcPr>
            <w:tcW w:type="dxa" w:w="1780"/>
          </w:tcPr>
          <w:p>
            <w:pPr>
              <w:pStyle w:val="Compact"/>
              <w:spacing w:line="276" w:lineRule="auto" w:before="40" w:after="40"/>
            </w:pPr>
            <w:r>
              <w:rPr>
                <w:rFonts w:ascii="Liberation Sans Narrow" w:hAnsi="Liberation Sans Narrow"/>
                <w:sz w:val="18"/>
              </w:rPr>
              <w:t xml:space="preserve">STJ, Corte Especial</w:t>
            </w:r>
          </w:p>
        </w:tc>
        <w:tc>
          <w:tcPr>
            <w:tcW w:type="dxa" w:w="2404"/>
          </w:tcPr>
          <w:p>
            <w:pPr>
              <w:pStyle w:val="Compact"/>
              <w:spacing w:line="276" w:lineRule="auto" w:before="40" w:after="40"/>
            </w:pPr>
            <w:r>
              <w:rPr>
                <w:rFonts w:ascii="Liberation Sans Narrow" w:hAnsi="Liberation Sans Narrow"/>
                <w:sz w:val="18"/>
              </w:rPr>
              <w:t xml:space="preserve">Na execução, o depósito efetuado a título de garantia do juízo ou decorrente da penhora de ativos financeiros não isenta o devedor do pagamento dos consectários de sua mora, conforme previstos no título executivo, devendo-se, quan…</w:t>
            </w:r>
          </w:p>
        </w:tc>
        <w:tc>
          <w:tcPr>
            <w:tcW w:type="dxa" w:w="1780"/>
          </w:tcPr>
          <w:p>
            <w:pPr>
              <w:pStyle w:val="Compact"/>
              <w:spacing w:line="276" w:lineRule="auto" w:before="40" w:after="40"/>
            </w:pPr>
            <w:r>
              <w:rPr>
                <w:rFonts w:ascii="Liberation Sans Narrow" w:hAnsi="Liberation Sans Narrow"/>
                <w:sz w:val="18"/>
              </w:rPr>
              <w:t xml:space="preserve">CPC, arts. 523 e 526</w:t>
            </w:r>
          </w:p>
        </w:tc>
        <w:tc>
          <w:tcPr>
            <w:tcW w:type="dxa" w:w="178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1029</w:t>
            </w:r>
          </w:p>
        </w:tc>
        <w:tc>
          <w:tcPr>
            <w:tcW w:type="dxa" w:w="1780"/>
          </w:tcPr>
          <w:p>
            <w:pPr>
              <w:pStyle w:val="Compact"/>
              <w:spacing w:line="276" w:lineRule="auto" w:before="40" w:after="40"/>
            </w:pPr>
            <w:r>
              <w:rPr>
                <w:rFonts w:ascii="Liberation Sans Narrow" w:hAnsi="Liberation Sans Narrow"/>
                <w:sz w:val="18"/>
              </w:rPr>
              <w:t xml:space="preserve">STJ, Primeira Seção</w:t>
            </w:r>
          </w:p>
        </w:tc>
        <w:tc>
          <w:tcPr>
            <w:tcW w:type="dxa" w:w="2404"/>
          </w:tcPr>
          <w:p>
            <w:pPr>
              <w:pStyle w:val="Compact"/>
              <w:spacing w:line="276" w:lineRule="auto" w:before="40" w:after="40"/>
            </w:pPr>
            <w:r>
              <w:rPr>
                <w:rFonts w:ascii="Liberation Sans Narrow" w:hAnsi="Liberation Sans Narrow"/>
                <w:sz w:val="18"/>
              </w:rPr>
              <w:t xml:space="preserve">Não é possível propor nos Juizados Especiais da Fazenda Pública a execução de título executivo formado em Ação Coletiva que tramitou sob o rito ordinário, assim como impor o rito sumaríssimo da Lei 12.153/2009 ao juízo comum da ex…</w:t>
            </w:r>
          </w:p>
        </w:tc>
        <w:tc>
          <w:tcPr>
            <w:tcW w:type="dxa" w:w="1780"/>
          </w:tcPr>
          <w:p>
            <w:pPr>
              <w:pStyle w:val="Compact"/>
              <w:spacing w:line="276" w:lineRule="auto" w:before="40" w:after="40"/>
            </w:pPr>
            <w:r>
              <w:rPr>
                <w:rFonts w:ascii="Liberation Sans Narrow" w:hAnsi="Liberation Sans Narrow"/>
                <w:sz w:val="18"/>
              </w:rPr>
              <w:t xml:space="preserve">CPC, arts. 516, 534 e 535</w:t>
            </w:r>
          </w:p>
        </w:tc>
        <w:tc>
          <w:tcPr>
            <w:tcW w:type="dxa" w:w="178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1190</w:t>
            </w:r>
          </w:p>
        </w:tc>
        <w:tc>
          <w:tcPr>
            <w:tcW w:type="dxa" w:w="1780"/>
          </w:tcPr>
          <w:p>
            <w:pPr>
              <w:pStyle w:val="Compact"/>
              <w:spacing w:line="276" w:lineRule="auto" w:before="40" w:after="40"/>
            </w:pPr>
            <w:r>
              <w:rPr>
                <w:rFonts w:ascii="Liberation Sans Narrow" w:hAnsi="Liberation Sans Narrow"/>
                <w:sz w:val="18"/>
              </w:rPr>
              <w:t xml:space="preserve">STJ, Primeira Seção</w:t>
            </w:r>
          </w:p>
        </w:tc>
        <w:tc>
          <w:tcPr>
            <w:tcW w:type="dxa" w:w="2404"/>
          </w:tcPr>
          <w:p>
            <w:pPr>
              <w:pStyle w:val="Compact"/>
              <w:spacing w:line="276" w:lineRule="auto" w:before="40" w:after="40"/>
            </w:pPr>
            <w:r>
              <w:rPr>
                <w:rFonts w:ascii="Liberation Sans Narrow" w:hAnsi="Liberation Sans Narrow"/>
                <w:sz w:val="18"/>
              </w:rPr>
              <w:t xml:space="preserve">Na ausência de impugnação à pretensão executória, não são devidos honorários advocatícios sucumbenciais em cumprimento de sentença contra a Fazenda Pública, ainda que o crédito esteja submetido a pagamento por meio de Requisição d…</w:t>
            </w:r>
          </w:p>
        </w:tc>
        <w:tc>
          <w:tcPr>
            <w:tcW w:type="dxa" w:w="1780"/>
          </w:tcPr>
          <w:p>
            <w:pPr>
              <w:pStyle w:val="Compact"/>
              <w:spacing w:line="276" w:lineRule="auto" w:before="40" w:after="40"/>
            </w:pPr>
            <w:r>
              <w:rPr>
                <w:rFonts w:ascii="Liberation Sans Narrow" w:hAnsi="Liberation Sans Narrow"/>
                <w:sz w:val="18"/>
              </w:rPr>
              <w:t xml:space="preserve">CPC, arts. 534 e 535</w:t>
            </w:r>
          </w:p>
        </w:tc>
        <w:tc>
          <w:tcPr>
            <w:tcW w:type="dxa" w:w="1780"/>
          </w:tcPr>
          <w:p>
            <w:pPr>
              <w:pStyle w:val="Compact"/>
              <w:spacing w:line="276" w:lineRule="auto" w:before="40" w:after="40"/>
            </w:pPr>
            <w:r>
              <w:rPr>
                <w:rFonts w:ascii="Liberation Sans Narrow" w:hAnsi="Liberation Sans Narrow"/>
                <w:sz w:val="18"/>
              </w:rPr>
              <w:t xml:space="preserve">Acórdão Publicado - RE Pendente</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1311</w:t>
            </w:r>
          </w:p>
        </w:tc>
        <w:tc>
          <w:tcPr>
            <w:tcW w:type="dxa" w:w="1780"/>
          </w:tcPr>
          <w:p>
            <w:pPr>
              <w:pStyle w:val="Compact"/>
              <w:spacing w:line="276" w:lineRule="auto" w:before="40" w:after="40"/>
            </w:pPr>
            <w:r>
              <w:rPr>
                <w:rFonts w:ascii="Liberation Sans Narrow" w:hAnsi="Liberation Sans Narrow"/>
                <w:sz w:val="18"/>
              </w:rPr>
              <w:t xml:space="preserve">STJ, Primeira Seção</w:t>
            </w:r>
          </w:p>
        </w:tc>
        <w:tc>
          <w:tcPr>
            <w:tcW w:type="dxa" w:w="2404"/>
          </w:tcPr>
          <w:p>
            <w:pPr>
              <w:pStyle w:val="Compact"/>
              <w:spacing w:line="276" w:lineRule="auto" w:before="40" w:after="40"/>
            </w:pPr>
            <w:r>
              <w:rPr>
                <w:rFonts w:ascii="Liberation Sans Narrow" w:hAnsi="Liberation Sans Narrow"/>
                <w:sz w:val="18"/>
              </w:rPr>
              <w:t xml:space="preserve">O curso do prazo prescricional da obrigação de pagar quantia certa pela fazenda pública não é suspenso durante o cumprimento da obrigação de implantar em folha de pagamento imposta na mesma sentença.</w:t>
            </w:r>
          </w:p>
        </w:tc>
        <w:tc>
          <w:tcPr>
            <w:tcW w:type="dxa" w:w="1780"/>
          </w:tcPr>
          <w:p>
            <w:pPr>
              <w:pStyle w:val="Compact"/>
              <w:spacing w:line="276" w:lineRule="auto" w:before="40" w:after="40"/>
            </w:pPr>
            <w:r>
              <w:rPr>
                <w:rFonts w:ascii="Liberation Sans Narrow" w:hAnsi="Liberation Sans Narrow"/>
                <w:sz w:val="18"/>
              </w:rPr>
              <w:t xml:space="preserve">CPC, arts. 534 e 535</w:t>
            </w:r>
          </w:p>
        </w:tc>
        <w:tc>
          <w:tcPr>
            <w:tcW w:type="dxa" w:w="1780"/>
          </w:tcPr>
          <w:p>
            <w:pPr>
              <w:pStyle w:val="Compact"/>
              <w:spacing w:line="276" w:lineRule="auto" w:before="40" w:after="40"/>
            </w:pPr>
            <w:r>
              <w:rPr>
                <w:rFonts w:ascii="Liberation Sans Narrow" w:hAnsi="Liberation Sans Narrow"/>
                <w:sz w:val="18"/>
              </w:rPr>
              <w:t xml:space="preserve">Acórdão Publicado - RE Pendente</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1419</w:t>
            </w:r>
          </w:p>
        </w:tc>
        <w:tc>
          <w:tcPr>
            <w:tcW w:type="dxa" w:w="1780"/>
          </w:tcPr>
          <w:p>
            <w:pPr>
              <w:pStyle w:val="Compact"/>
              <w:spacing w:line="276" w:lineRule="auto" w:before="40" w:after="40"/>
            </w:pPr>
            <w:r>
              <w:rPr>
                <w:rFonts w:ascii="Liberation Sans Narrow" w:hAnsi="Liberation Sans Narrow"/>
                <w:sz w:val="18"/>
              </w:rPr>
              <w:t xml:space="preserve">STJ, Primeira Seção</w:t>
            </w:r>
          </w:p>
        </w:tc>
        <w:tc>
          <w:tcPr>
            <w:tcW w:type="dxa" w:w="2404"/>
          </w:tcPr>
          <w:p>
            <w:pPr>
              <w:pStyle w:val="Compact"/>
              <w:spacing w:line="276" w:lineRule="auto" w:before="40" w:after="40"/>
            </w:pPr>
            <w:r>
              <w:rPr>
                <w:rFonts w:ascii="Liberation Sans Narrow" w:hAnsi="Liberation Sans Narrow"/>
                <w:sz w:val="18"/>
              </w:rPr>
              <w:t xml:space="preserve">A decisão que, para aplicar a modulação de efeitos realizada pelo STF no Tema 69 da repercussão geral, julga procedente ação rescisória contestada até 11/9/2024 não deve condenar ao pagamento de honorários advocatícios de sucumbên…</w:t>
            </w:r>
          </w:p>
        </w:tc>
        <w:tc>
          <w:tcPr>
            <w:tcW w:type="dxa" w:w="1780"/>
          </w:tcPr>
          <w:p>
            <w:pPr>
              <w:pStyle w:val="Compact"/>
              <w:spacing w:line="276" w:lineRule="auto" w:before="40" w:after="40"/>
            </w:pPr>
            <w:r>
              <w:rPr>
                <w:rFonts w:ascii="Liberation Sans Narrow" w:hAnsi="Liberation Sans Narrow"/>
                <w:sz w:val="18"/>
              </w:rPr>
              <w:t xml:space="preserve">CPC, art. 535, §§ 5º a 8º</w:t>
            </w:r>
          </w:p>
        </w:tc>
        <w:tc>
          <w:tcPr>
            <w:tcW w:type="dxa" w:w="1780"/>
          </w:tcPr>
          <w:p>
            <w:pPr>
              <w:pStyle w:val="Compact"/>
              <w:spacing w:line="276" w:lineRule="auto" w:before="40" w:after="40"/>
            </w:pPr>
            <w:r>
              <w:rPr>
                <w:rFonts w:ascii="Liberation Sans Narrow" w:hAnsi="Liberation Sans Narrow"/>
                <w:sz w:val="18"/>
              </w:rPr>
              <w:t xml:space="preserve">Acórdão Publicado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98</w:t>
            </w:r>
          </w:p>
        </w:tc>
        <w:tc>
          <w:tcPr>
            <w:tcW w:type="dxa" w:w="1780"/>
          </w:tcPr>
          <w:p>
            <w:pPr>
              <w:pStyle w:val="Compact"/>
              <w:spacing w:line="276" w:lineRule="auto" w:before="40" w:after="40"/>
            </w:pPr>
            <w:r>
              <w:rPr>
                <w:rFonts w:ascii="Liberation Sans Narrow" w:hAnsi="Liberation Sans Narrow"/>
                <w:sz w:val="18"/>
              </w:rPr>
              <w:t xml:space="preserve">STJ, Primeira Seção</w:t>
            </w:r>
          </w:p>
        </w:tc>
        <w:tc>
          <w:tcPr>
            <w:tcW w:type="dxa" w:w="2404"/>
          </w:tcPr>
          <w:p>
            <w:pPr>
              <w:pStyle w:val="Compact"/>
              <w:spacing w:line="276" w:lineRule="auto" w:before="40" w:after="40"/>
            </w:pPr>
            <w:r>
              <w:rPr>
                <w:rFonts w:ascii="Liberation Sans Narrow" w:hAnsi="Liberation Sans Narrow"/>
                <w:sz w:val="18"/>
              </w:rPr>
              <w:t xml:space="preserve">Possibilidade de imposição de multa diária (astreintes) a ente público, para compeli-lo a fornecer medicamento à pessoa desprovida de recursos financeiros.</w:t>
            </w:r>
          </w:p>
        </w:tc>
        <w:tc>
          <w:tcPr>
            <w:tcW w:type="dxa" w:w="1780"/>
          </w:tcPr>
          <w:p>
            <w:pPr>
              <w:pStyle w:val="Compact"/>
              <w:spacing w:line="276" w:lineRule="auto" w:before="40" w:after="40"/>
            </w:pPr>
            <w:r>
              <w:rPr>
                <w:rFonts w:ascii="Liberation Sans Narrow" w:hAnsi="Liberation Sans Narrow"/>
                <w:sz w:val="18"/>
              </w:rPr>
              <w:t xml:space="preserve">CPC, arts. 536 e 537</w:t>
            </w:r>
          </w:p>
        </w:tc>
        <w:tc>
          <w:tcPr>
            <w:tcW w:type="dxa" w:w="178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1296</w:t>
            </w:r>
          </w:p>
        </w:tc>
        <w:tc>
          <w:tcPr>
            <w:tcW w:type="dxa" w:w="1780"/>
          </w:tcPr>
          <w:p>
            <w:pPr>
              <w:pStyle w:val="Compact"/>
              <w:spacing w:line="276" w:lineRule="auto" w:before="40" w:after="40"/>
            </w:pPr>
            <w:r>
              <w:rPr>
                <w:rFonts w:ascii="Liberation Sans Narrow" w:hAnsi="Liberation Sans Narrow"/>
                <w:sz w:val="18"/>
              </w:rPr>
              <w:t xml:space="preserve">STJ, Corte Especial</w:t>
            </w:r>
          </w:p>
        </w:tc>
        <w:tc>
          <w:tcPr>
            <w:tcW w:type="dxa" w:w="2404"/>
          </w:tcPr>
          <w:p>
            <w:pPr>
              <w:pStyle w:val="Compact"/>
              <w:spacing w:line="276" w:lineRule="auto" w:before="40" w:after="40"/>
            </w:pPr>
            <w:r>
              <w:rPr>
                <w:rFonts w:ascii="Liberation Sans Narrow" w:hAnsi="Liberation Sans Narrow"/>
                <w:sz w:val="18"/>
              </w:rPr>
              <w:t xml:space="preserve">A prévia intimação pessoal do devedor para o cumprimento de obrigação de fazer ou de não fazer especificada na decisão judicial é pressuposto para a incidência da multa coercitiva, nos termos da Súmula n. 410/STJ, cujo teor perman…</w:t>
            </w:r>
          </w:p>
        </w:tc>
        <w:tc>
          <w:tcPr>
            <w:tcW w:type="dxa" w:w="1780"/>
          </w:tcPr>
          <w:p>
            <w:pPr>
              <w:pStyle w:val="Compact"/>
              <w:spacing w:line="276" w:lineRule="auto" w:before="40" w:after="40"/>
            </w:pPr>
            <w:r>
              <w:rPr>
                <w:rFonts w:ascii="Liberation Sans Narrow" w:hAnsi="Liberation Sans Narrow"/>
                <w:sz w:val="18"/>
              </w:rPr>
              <w:t xml:space="preserve">CPC, arts. 513, 536 e 537</w:t>
            </w:r>
          </w:p>
        </w:tc>
        <w:tc>
          <w:tcPr>
            <w:tcW w:type="dxa" w:w="178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967</w:t>
            </w:r>
          </w:p>
        </w:tc>
        <w:tc>
          <w:tcPr>
            <w:tcW w:type="dxa" w:w="1780"/>
          </w:tcPr>
          <w:p>
            <w:pPr>
              <w:pStyle w:val="Compact"/>
              <w:spacing w:line="276" w:lineRule="auto" w:before="40" w:after="40"/>
            </w:pPr>
            <w:r>
              <w:rPr>
                <w:rFonts w:ascii="Liberation Sans Narrow" w:hAnsi="Liberation Sans Narrow"/>
                <w:sz w:val="18"/>
              </w:rPr>
              <w:t xml:space="preserve">STJ, Segunda Seção</w:t>
            </w:r>
          </w:p>
        </w:tc>
        <w:tc>
          <w:tcPr>
            <w:tcW w:type="dxa" w:w="2404"/>
          </w:tcPr>
          <w:p>
            <w:pPr>
              <w:pStyle w:val="Compact"/>
              <w:spacing w:line="276" w:lineRule="auto" w:before="40" w:after="40"/>
            </w:pPr>
            <w:r>
              <w:rPr>
                <w:rFonts w:ascii="Liberation Sans Narrow" w:hAnsi="Liberation Sans Narrow"/>
                <w:sz w:val="18"/>
              </w:rPr>
              <w:t xml:space="preserve">Em ação consignatória, a insuficiência do depósito realizado pelo devedor conduz ao julgamento de improcedência do pedido, pois o pagamento parcial da dívida não extingue o vínculo obrigacional.</w:t>
            </w:r>
          </w:p>
        </w:tc>
        <w:tc>
          <w:tcPr>
            <w:tcW w:type="dxa" w:w="1780"/>
          </w:tcPr>
          <w:p>
            <w:pPr>
              <w:pStyle w:val="Compact"/>
              <w:spacing w:line="276" w:lineRule="auto" w:before="40" w:after="40"/>
            </w:pPr>
            <w:r>
              <w:rPr>
                <w:rFonts w:ascii="Liberation Sans Narrow" w:hAnsi="Liberation Sans Narrow"/>
                <w:sz w:val="18"/>
              </w:rPr>
              <w:t xml:space="preserve">CPC, arts. 539 a 549</w:t>
            </w:r>
          </w:p>
        </w:tc>
        <w:tc>
          <w:tcPr>
            <w:tcW w:type="dxa" w:w="178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259</w:t>
            </w:r>
          </w:p>
        </w:tc>
        <w:tc>
          <w:tcPr>
            <w:tcW w:type="dxa" w:w="1780"/>
          </w:tcPr>
          <w:p>
            <w:pPr>
              <w:pStyle w:val="Compact"/>
              <w:spacing w:line="276" w:lineRule="auto" w:before="40" w:after="40"/>
            </w:pPr>
            <w:r>
              <w:rPr>
                <w:rFonts w:ascii="Liberation Sans Narrow" w:hAnsi="Liberation Sans Narrow"/>
                <w:sz w:val="18"/>
              </w:rPr>
              <w:t xml:space="preserve">STJ, Segunda Seção</w:t>
            </w:r>
          </w:p>
        </w:tc>
        <w:tc>
          <w:tcPr>
            <w:tcW w:type="dxa" w:w="2404"/>
          </w:tcPr>
          <w:p>
            <w:pPr>
              <w:pStyle w:val="Compact"/>
              <w:spacing w:line="276" w:lineRule="auto" w:before="40" w:after="40"/>
            </w:pPr>
            <w:r>
              <w:rPr>
                <w:rFonts w:ascii="Liberation Sans Narrow" w:hAnsi="Liberation Sans Narrow"/>
                <w:sz w:val="18"/>
              </w:rPr>
              <w:t xml:space="preserve">A ação de prestação de contas pode ser proposta pelo titular de conta-corrente bancária.</w:t>
            </w:r>
          </w:p>
        </w:tc>
        <w:tc>
          <w:tcPr>
            <w:tcW w:type="dxa" w:w="1780"/>
          </w:tcPr>
          <w:p>
            <w:pPr>
              <w:pStyle w:val="Compact"/>
              <w:spacing w:line="276" w:lineRule="auto" w:before="40" w:after="40"/>
            </w:pPr>
            <w:r>
              <w:rPr>
                <w:rFonts w:ascii="Liberation Sans Narrow" w:hAnsi="Liberation Sans Narrow"/>
                <w:sz w:val="18"/>
              </w:rPr>
              <w:t xml:space="preserve">CPC, art. 550</w:t>
            </w:r>
          </w:p>
        </w:tc>
        <w:tc>
          <w:tcPr>
            <w:tcW w:type="dxa" w:w="1780"/>
          </w:tcPr>
          <w:p>
            <w:pPr>
              <w:pStyle w:val="Compact"/>
              <w:spacing w:line="276" w:lineRule="auto" w:before="40" w:after="40"/>
            </w:pPr>
            <w:r>
              <w:rPr>
                <w:rFonts w:ascii="Liberation Sans Narrow" w:hAnsi="Liberation Sans Narrow"/>
                <w:sz w:val="18"/>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8"/>
              </w:rPr>
              <w:t xml:space="preserve">Controle concentrado (ADPF)</w:t>
            </w:r>
          </w:p>
        </w:tc>
        <w:tc>
          <w:tcPr>
            <w:tcW w:type="dxa" w:w="1020"/>
          </w:tcPr>
          <w:p>
            <w:pPr>
              <w:pStyle w:val="Compact"/>
              <w:spacing w:line="276" w:lineRule="auto" w:before="40" w:after="40"/>
            </w:pPr>
            <w:r>
              <w:rPr>
                <w:rFonts w:ascii="Liberation Sans Narrow" w:hAnsi="Liberation Sans Narrow"/>
                <w:sz w:val="18"/>
              </w:rPr>
              <w:t xml:space="preserve">828</w:t>
            </w:r>
          </w:p>
        </w:tc>
        <w:tc>
          <w:tcPr>
            <w:tcW w:type="dxa" w:w="1780"/>
          </w:tcPr>
          <w:p>
            <w:pPr>
              <w:pStyle w:val="Compact"/>
              <w:spacing w:line="276" w:lineRule="auto" w:before="40" w:after="40"/>
            </w:pPr>
            <w:r>
              <w:rPr>
                <w:rFonts w:ascii="Liberation Sans Narrow" w:hAnsi="Liberation Sans Narrow"/>
                <w:sz w:val="18"/>
              </w:rPr>
              <w:t xml:space="preserve">STF, Tribunal Pleno</w:t>
            </w:r>
          </w:p>
        </w:tc>
        <w:tc>
          <w:tcPr>
            <w:tcW w:type="dxa" w:w="2404"/>
          </w:tcPr>
          <w:p>
            <w:pPr>
              <w:pStyle w:val="Compact"/>
              <w:spacing w:line="276" w:lineRule="auto" w:before="40" w:after="40"/>
            </w:pPr>
            <w:r>
              <w:rPr>
                <w:rFonts w:ascii="Liberation Sans Narrow" w:hAnsi="Liberation Sans Narrow"/>
                <w:sz w:val="18"/>
              </w:rPr>
              <w:t xml:space="preserve">Regime de transição para a retomada de desocupações coletivas: Comissões de Conflitos Fundiários, mediação e retomada escalonada; garantias nas remoções administrativas coletivas.</w:t>
            </w:r>
          </w:p>
        </w:tc>
        <w:tc>
          <w:tcPr>
            <w:tcW w:type="dxa" w:w="1780"/>
          </w:tcPr>
          <w:p>
            <w:pPr>
              <w:pStyle w:val="Compact"/>
              <w:spacing w:line="276" w:lineRule="auto" w:before="40" w:after="40"/>
            </w:pPr>
            <w:r>
              <w:rPr>
                <w:rFonts w:ascii="Liberation Sans Narrow" w:hAnsi="Liberation Sans Narrow"/>
                <w:sz w:val="18"/>
              </w:rPr>
              <w:t xml:space="preserve">CPC, arts. 554, §§ 1º a 4º, e 565</w:t>
            </w:r>
          </w:p>
        </w:tc>
        <w:tc>
          <w:tcPr>
            <w:tcW w:type="dxa" w:w="1780"/>
          </w:tcPr>
          <w:p>
            <w:pPr>
              <w:pStyle w:val="Compact"/>
              <w:spacing w:line="276" w:lineRule="auto" w:before="40" w:after="40"/>
            </w:pPr>
            <w:r>
              <w:rPr>
                <w:rFonts w:ascii="Liberation Sans Narrow" w:hAnsi="Liberation Sans Narrow"/>
                <w:sz w:val="18"/>
              </w:rPr>
              <w:t xml:space="preserve">Referendo da tutela provisória incidental (02/11/2022)</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1074</w:t>
            </w:r>
          </w:p>
        </w:tc>
        <w:tc>
          <w:tcPr>
            <w:tcW w:type="dxa" w:w="1780"/>
          </w:tcPr>
          <w:p>
            <w:pPr>
              <w:pStyle w:val="Compact"/>
              <w:spacing w:line="276" w:lineRule="auto" w:before="40" w:after="40"/>
            </w:pPr>
            <w:r>
              <w:rPr>
                <w:rFonts w:ascii="Liberation Sans Narrow" w:hAnsi="Liberation Sans Narrow"/>
                <w:sz w:val="18"/>
              </w:rPr>
              <w:t xml:space="preserve">STJ, Primeira Seção</w:t>
            </w:r>
          </w:p>
        </w:tc>
        <w:tc>
          <w:tcPr>
            <w:tcW w:type="dxa" w:w="2404"/>
          </w:tcPr>
          <w:p>
            <w:pPr>
              <w:pStyle w:val="Compact"/>
              <w:spacing w:line="276" w:lineRule="auto" w:before="40" w:after="40"/>
            </w:pPr>
            <w:r>
              <w:rPr>
                <w:rFonts w:ascii="Liberation Sans Narrow" w:hAnsi="Liberation Sans Narrow"/>
                <w:sz w:val="18"/>
              </w:rPr>
              <w:t xml:space="preserve">No arrolamento sumário, a homologação da partilha ou da adjudicação, bem como a expedição do formal de partilha e da carta de adjudicação, não se condicionam ao prévio recolhimento do imposto de transmissão causa mortis, devendo s…</w:t>
            </w:r>
          </w:p>
        </w:tc>
        <w:tc>
          <w:tcPr>
            <w:tcW w:type="dxa" w:w="1780"/>
          </w:tcPr>
          <w:p>
            <w:pPr>
              <w:pStyle w:val="Compact"/>
              <w:spacing w:line="276" w:lineRule="auto" w:before="40" w:after="40"/>
            </w:pPr>
            <w:r>
              <w:rPr>
                <w:rFonts w:ascii="Liberation Sans Narrow" w:hAnsi="Liberation Sans Narrow"/>
                <w:sz w:val="18"/>
              </w:rPr>
              <w:t xml:space="preserve">CPC, arts. 659, § 2º, e 662</w:t>
            </w:r>
          </w:p>
        </w:tc>
        <w:tc>
          <w:tcPr>
            <w:tcW w:type="dxa" w:w="178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84</w:t>
            </w:r>
          </w:p>
        </w:tc>
        <w:tc>
          <w:tcPr>
            <w:tcW w:type="dxa" w:w="1780"/>
          </w:tcPr>
          <w:p>
            <w:pPr>
              <w:pStyle w:val="Compact"/>
              <w:spacing w:line="276" w:lineRule="auto" w:before="40" w:after="40"/>
            </w:pPr>
            <w:r>
              <w:rPr>
                <w:rFonts w:ascii="Liberation Sans Narrow" w:hAnsi="Liberation Sans Narrow"/>
                <w:sz w:val="18"/>
              </w:rPr>
              <w:t xml:space="preserve">STJ, Corte Especial</w:t>
            </w:r>
          </w:p>
        </w:tc>
        <w:tc>
          <w:tcPr>
            <w:tcW w:type="dxa" w:w="2404"/>
          </w:tcPr>
          <w:p>
            <w:pPr>
              <w:pStyle w:val="Compact"/>
              <w:spacing w:line="276" w:lineRule="auto" w:before="40" w:after="40"/>
            </w:pPr>
            <w:r>
              <w:rPr>
                <w:rFonts w:ascii="Liberation Sans Narrow" w:hAnsi="Liberation Sans Narrow"/>
                <w:sz w:val="18"/>
              </w:rPr>
              <w:t xml:space="preserve">É admissível a oposição de embargos de terceiro fundados em alegação de posse advinda do compromisso de compra e venda de imóvel, ainda que desprovido do registro.</w:t>
            </w:r>
          </w:p>
        </w:tc>
        <w:tc>
          <w:tcPr>
            <w:tcW w:type="dxa" w:w="1780"/>
          </w:tcPr>
          <w:p>
            <w:pPr>
              <w:pStyle w:val="Compact"/>
              <w:spacing w:line="276" w:lineRule="auto" w:before="40" w:after="40"/>
            </w:pPr>
            <w:r>
              <w:rPr>
                <w:rFonts w:ascii="Liberation Sans Narrow" w:hAnsi="Liberation Sans Narrow"/>
                <w:sz w:val="18"/>
              </w:rPr>
              <w:t xml:space="preserve">CPC, art. 674</w:t>
            </w:r>
          </w:p>
        </w:tc>
        <w:tc>
          <w:tcPr>
            <w:tcW w:type="dxa" w:w="1780"/>
          </w:tcPr>
          <w:p>
            <w:pPr>
              <w:pStyle w:val="Compact"/>
              <w:spacing w:line="276" w:lineRule="auto" w:before="40" w:after="40"/>
            </w:pPr>
            <w:r>
              <w:rPr>
                <w:rFonts w:ascii="Liberation Sans Narrow" w:hAnsi="Liberation Sans Narrow"/>
                <w:sz w:val="18"/>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375</w:t>
            </w:r>
          </w:p>
        </w:tc>
        <w:tc>
          <w:tcPr>
            <w:tcW w:type="dxa" w:w="1780"/>
          </w:tcPr>
          <w:p>
            <w:pPr>
              <w:pStyle w:val="Compact"/>
              <w:spacing w:line="276" w:lineRule="auto" w:before="40" w:after="40"/>
            </w:pPr>
            <w:r>
              <w:rPr>
                <w:rFonts w:ascii="Liberation Sans Narrow" w:hAnsi="Liberation Sans Narrow"/>
                <w:sz w:val="18"/>
              </w:rPr>
              <w:t xml:space="preserve">STJ, Corte Especial</w:t>
            </w:r>
          </w:p>
        </w:tc>
        <w:tc>
          <w:tcPr>
            <w:tcW w:type="dxa" w:w="2404"/>
          </w:tcPr>
          <w:p>
            <w:pPr>
              <w:pStyle w:val="Compact"/>
              <w:spacing w:line="276" w:lineRule="auto" w:before="40" w:after="40"/>
            </w:pPr>
            <w:r>
              <w:rPr>
                <w:rFonts w:ascii="Liberation Sans Narrow" w:hAnsi="Liberation Sans Narrow"/>
                <w:sz w:val="18"/>
              </w:rPr>
              <w:t xml:space="preserve">O reconhecimento da fraude à execução depende do registro da penhora do bem alienado ou da prova de má-fé do terceiro adquirente.</w:t>
            </w:r>
          </w:p>
        </w:tc>
        <w:tc>
          <w:tcPr>
            <w:tcW w:type="dxa" w:w="1780"/>
          </w:tcPr>
          <w:p>
            <w:pPr>
              <w:pStyle w:val="Compact"/>
              <w:spacing w:line="276" w:lineRule="auto" w:before="40" w:after="40"/>
            </w:pPr>
            <w:r>
              <w:rPr>
                <w:rFonts w:ascii="Liberation Sans Narrow" w:hAnsi="Liberation Sans Narrow"/>
                <w:sz w:val="18"/>
              </w:rPr>
              <w:t xml:space="preserve">CPC, art. 674</w:t>
            </w:r>
          </w:p>
        </w:tc>
        <w:tc>
          <w:tcPr>
            <w:tcW w:type="dxa" w:w="1780"/>
          </w:tcPr>
          <w:p>
            <w:pPr>
              <w:pStyle w:val="Compact"/>
              <w:spacing w:line="276" w:lineRule="auto" w:before="40" w:after="40"/>
            </w:pPr>
            <w:r>
              <w:rPr>
                <w:rFonts w:ascii="Liberation Sans Narrow" w:hAnsi="Liberation Sans Narrow"/>
                <w:sz w:val="18"/>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243</w:t>
            </w:r>
          </w:p>
        </w:tc>
        <w:tc>
          <w:tcPr>
            <w:tcW w:type="dxa" w:w="1780"/>
          </w:tcPr>
          <w:p>
            <w:pPr>
              <w:pStyle w:val="Compact"/>
              <w:spacing w:line="276" w:lineRule="auto" w:before="40" w:after="40"/>
            </w:pPr>
            <w:r>
              <w:rPr>
                <w:rFonts w:ascii="Liberation Sans Narrow" w:hAnsi="Liberation Sans Narrow"/>
                <w:sz w:val="18"/>
              </w:rPr>
              <w:t xml:space="preserve">STJ, Corte Especial</w:t>
            </w:r>
          </w:p>
        </w:tc>
        <w:tc>
          <w:tcPr>
            <w:tcW w:type="dxa" w:w="2404"/>
          </w:tcPr>
          <w:p>
            <w:pPr>
              <w:pStyle w:val="Compact"/>
              <w:spacing w:line="276" w:lineRule="auto" w:before="40" w:after="40"/>
            </w:pPr>
            <w:r>
              <w:rPr>
                <w:rFonts w:ascii="Liberation Sans Narrow" w:hAnsi="Liberation Sans Narrow"/>
                <w:sz w:val="18"/>
              </w:rPr>
              <w:t xml:space="preserve">Para fins do art. 543-c do CPC, firma-se a seguinte orientação: 1.1. É indispensável citação válida para configuração da fraude de execução, ressalvada a hipótese prevista no § 3º do art. 615-A do CPC. 1.2. O reconhecimento da fra…</w:t>
            </w:r>
          </w:p>
        </w:tc>
        <w:tc>
          <w:tcPr>
            <w:tcW w:type="dxa" w:w="1780"/>
          </w:tcPr>
          <w:p>
            <w:pPr>
              <w:pStyle w:val="Compact"/>
              <w:spacing w:line="276" w:lineRule="auto" w:before="40" w:after="40"/>
            </w:pPr>
            <w:r>
              <w:rPr>
                <w:rFonts w:ascii="Liberation Sans Narrow" w:hAnsi="Liberation Sans Narrow"/>
                <w:sz w:val="18"/>
              </w:rPr>
              <w:t xml:space="preserve">CPC, arts. 674 e 792</w:t>
            </w:r>
          </w:p>
        </w:tc>
        <w:tc>
          <w:tcPr>
            <w:tcW w:type="dxa" w:w="178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339</w:t>
            </w:r>
          </w:p>
        </w:tc>
        <w:tc>
          <w:tcPr>
            <w:tcW w:type="dxa" w:w="1780"/>
          </w:tcPr>
          <w:p>
            <w:pPr>
              <w:pStyle w:val="Compact"/>
              <w:spacing w:line="276" w:lineRule="auto" w:before="40" w:after="40"/>
            </w:pPr>
            <w:r>
              <w:rPr>
                <w:rFonts w:ascii="Liberation Sans Narrow" w:hAnsi="Liberation Sans Narrow"/>
                <w:sz w:val="18"/>
              </w:rPr>
              <w:t xml:space="preserve">STJ, Corte Especial</w:t>
            </w:r>
          </w:p>
        </w:tc>
        <w:tc>
          <w:tcPr>
            <w:tcW w:type="dxa" w:w="2404"/>
          </w:tcPr>
          <w:p>
            <w:pPr>
              <w:pStyle w:val="Compact"/>
              <w:spacing w:line="276" w:lineRule="auto" w:before="40" w:after="40"/>
            </w:pPr>
            <w:r>
              <w:rPr>
                <w:rFonts w:ascii="Liberation Sans Narrow" w:hAnsi="Liberation Sans Narrow"/>
                <w:sz w:val="18"/>
              </w:rPr>
              <w:t xml:space="preserve">É cabível ação monitória contra a Fazenda Pública.</w:t>
            </w:r>
          </w:p>
        </w:tc>
        <w:tc>
          <w:tcPr>
            <w:tcW w:type="dxa" w:w="1780"/>
          </w:tcPr>
          <w:p>
            <w:pPr>
              <w:pStyle w:val="Compact"/>
              <w:spacing w:line="276" w:lineRule="auto" w:before="40" w:after="40"/>
            </w:pPr>
            <w:r>
              <w:rPr>
                <w:rFonts w:ascii="Liberation Sans Narrow" w:hAnsi="Liberation Sans Narrow"/>
                <w:sz w:val="18"/>
              </w:rPr>
              <w:t xml:space="preserve">CPC, art. 700</w:t>
            </w:r>
          </w:p>
        </w:tc>
        <w:tc>
          <w:tcPr>
            <w:tcW w:type="dxa" w:w="1780"/>
          </w:tcPr>
          <w:p>
            <w:pPr>
              <w:pStyle w:val="Compact"/>
              <w:spacing w:line="276" w:lineRule="auto" w:before="40" w:after="40"/>
            </w:pPr>
            <w:r>
              <w:rPr>
                <w:rFonts w:ascii="Liberation Sans Narrow" w:hAnsi="Liberation Sans Narrow"/>
                <w:sz w:val="18"/>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292</w:t>
            </w:r>
          </w:p>
        </w:tc>
        <w:tc>
          <w:tcPr>
            <w:tcW w:type="dxa" w:w="1780"/>
          </w:tcPr>
          <w:p>
            <w:pPr>
              <w:pStyle w:val="Compact"/>
              <w:spacing w:line="276" w:lineRule="auto" w:before="40" w:after="40"/>
            </w:pPr>
            <w:r>
              <w:rPr>
                <w:rFonts w:ascii="Liberation Sans Narrow" w:hAnsi="Liberation Sans Narrow"/>
                <w:sz w:val="18"/>
              </w:rPr>
              <w:t xml:space="preserve">STJ, Corte Especial</w:t>
            </w:r>
          </w:p>
        </w:tc>
        <w:tc>
          <w:tcPr>
            <w:tcW w:type="dxa" w:w="2404"/>
          </w:tcPr>
          <w:p>
            <w:pPr>
              <w:pStyle w:val="Compact"/>
              <w:spacing w:line="276" w:lineRule="auto" w:before="40" w:after="40"/>
            </w:pPr>
            <w:r>
              <w:rPr>
                <w:rFonts w:ascii="Liberation Sans Narrow" w:hAnsi="Liberation Sans Narrow"/>
                <w:sz w:val="18"/>
              </w:rPr>
              <w:t xml:space="preserve">A reconvenção é cabível na ação monitória, após a conversão do procedimento em ordinário.</w:t>
            </w:r>
          </w:p>
        </w:tc>
        <w:tc>
          <w:tcPr>
            <w:tcW w:type="dxa" w:w="1780"/>
          </w:tcPr>
          <w:p>
            <w:pPr>
              <w:pStyle w:val="Compact"/>
              <w:spacing w:line="276" w:lineRule="auto" w:before="40" w:after="40"/>
            </w:pPr>
            <w:r>
              <w:rPr>
                <w:rFonts w:ascii="Liberation Sans Narrow" w:hAnsi="Liberation Sans Narrow"/>
                <w:sz w:val="18"/>
              </w:rPr>
              <w:t xml:space="preserve">CPC, art. 702</w:t>
            </w:r>
          </w:p>
        </w:tc>
        <w:tc>
          <w:tcPr>
            <w:tcW w:type="dxa" w:w="1780"/>
          </w:tcPr>
          <w:p>
            <w:pPr>
              <w:pStyle w:val="Compact"/>
              <w:spacing w:line="276" w:lineRule="auto" w:before="40" w:after="40"/>
            </w:pPr>
            <w:r>
              <w:rPr>
                <w:rFonts w:ascii="Liberation Sans Narrow" w:hAnsi="Liberation Sans Narrow"/>
                <w:sz w:val="18"/>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299</w:t>
            </w:r>
          </w:p>
        </w:tc>
        <w:tc>
          <w:tcPr>
            <w:tcW w:type="dxa" w:w="1780"/>
          </w:tcPr>
          <w:p>
            <w:pPr>
              <w:pStyle w:val="Compact"/>
              <w:spacing w:line="276" w:lineRule="auto" w:before="40" w:after="40"/>
            </w:pPr>
            <w:r>
              <w:rPr>
                <w:rFonts w:ascii="Liberation Sans Narrow" w:hAnsi="Liberation Sans Narrow"/>
                <w:sz w:val="18"/>
              </w:rPr>
              <w:t xml:space="preserve">STJ, Segunda Seção</w:t>
            </w:r>
          </w:p>
        </w:tc>
        <w:tc>
          <w:tcPr>
            <w:tcW w:type="dxa" w:w="2404"/>
          </w:tcPr>
          <w:p>
            <w:pPr>
              <w:pStyle w:val="Compact"/>
              <w:spacing w:line="276" w:lineRule="auto" w:before="40" w:after="40"/>
            </w:pPr>
            <w:r>
              <w:rPr>
                <w:rFonts w:ascii="Liberation Sans Narrow" w:hAnsi="Liberation Sans Narrow"/>
                <w:sz w:val="18"/>
              </w:rPr>
              <w:t xml:space="preserve">É admissível a ação monitória fundada em cheque prescrito.</w:t>
            </w:r>
          </w:p>
        </w:tc>
        <w:tc>
          <w:tcPr>
            <w:tcW w:type="dxa" w:w="1780"/>
          </w:tcPr>
          <w:p>
            <w:pPr>
              <w:pStyle w:val="Compact"/>
              <w:spacing w:line="276" w:lineRule="auto" w:before="40" w:after="40"/>
            </w:pPr>
            <w:r>
              <w:rPr>
                <w:rFonts w:ascii="Liberation Sans Narrow" w:hAnsi="Liberation Sans Narrow"/>
                <w:sz w:val="18"/>
              </w:rPr>
              <w:t xml:space="preserve">CPC, art. 700</w:t>
            </w:r>
          </w:p>
        </w:tc>
        <w:tc>
          <w:tcPr>
            <w:tcW w:type="dxa" w:w="1780"/>
          </w:tcPr>
          <w:p>
            <w:pPr>
              <w:pStyle w:val="Compact"/>
              <w:spacing w:line="276" w:lineRule="auto" w:before="40" w:after="40"/>
            </w:pPr>
            <w:r>
              <w:rPr>
                <w:rFonts w:ascii="Liberation Sans Narrow" w:hAnsi="Liberation Sans Narrow"/>
                <w:sz w:val="18"/>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265</w:t>
            </w:r>
          </w:p>
        </w:tc>
        <w:tc>
          <w:tcPr>
            <w:tcW w:type="dxa" w:w="1780"/>
          </w:tcPr>
          <w:p>
            <w:pPr>
              <w:pStyle w:val="Compact"/>
              <w:spacing w:line="276" w:lineRule="auto" w:before="40" w:after="40"/>
            </w:pPr>
            <w:r>
              <w:rPr>
                <w:rFonts w:ascii="Liberation Sans Narrow" w:hAnsi="Liberation Sans Narrow"/>
                <w:sz w:val="18"/>
              </w:rPr>
              <w:t xml:space="preserve">STF</w:t>
            </w:r>
          </w:p>
        </w:tc>
        <w:tc>
          <w:tcPr>
            <w:tcW w:type="dxa" w:w="2404"/>
          </w:tcPr>
          <w:p>
            <w:pPr>
              <w:pStyle w:val="Compact"/>
              <w:spacing w:line="276" w:lineRule="auto" w:before="40" w:after="40"/>
            </w:pPr>
            <w:r>
              <w:rPr>
                <w:rFonts w:ascii="Liberation Sans Narrow" w:hAnsi="Liberation Sans Narrow"/>
                <w:sz w:val="18"/>
              </w:rPr>
              <w:t xml:space="preserve">Na apuração de haveres não prevalece o balanço não aprovado pelo sócio falecido, excluído ou que se retirou.</w:t>
            </w:r>
          </w:p>
        </w:tc>
        <w:tc>
          <w:tcPr>
            <w:tcW w:type="dxa" w:w="1780"/>
          </w:tcPr>
          <w:p>
            <w:pPr>
              <w:pStyle w:val="Compact"/>
              <w:spacing w:line="276" w:lineRule="auto" w:before="40" w:after="40"/>
            </w:pPr>
            <w:r>
              <w:rPr>
                <w:rFonts w:ascii="Liberation Sans Narrow" w:hAnsi="Liberation Sans Narrow"/>
                <w:sz w:val="18"/>
              </w:rPr>
              <w:t xml:space="preserve">CPC, art. 606</w:t>
            </w:r>
          </w:p>
        </w:tc>
        <w:tc>
          <w:tcPr>
            <w:tcW w:type="dxa" w:w="1780"/>
          </w:tcPr>
          <w:p>
            <w:pPr>
              <w:pStyle w:val="Compact"/>
              <w:spacing w:line="276" w:lineRule="auto" w:before="40" w:after="40"/>
            </w:pPr>
            <w:r>
              <w:rPr>
                <w:rFonts w:ascii="Liberation Sans Narrow" w:hAnsi="Liberation Sans Narrow"/>
                <w:sz w:val="18"/>
              </w:rPr>
              <w:t xml:space="preserve">Aprovada</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621</w:t>
            </w:r>
          </w:p>
        </w:tc>
        <w:tc>
          <w:tcPr>
            <w:tcW w:type="dxa" w:w="1780"/>
          </w:tcPr>
          <w:p>
            <w:pPr>
              <w:pStyle w:val="Compact"/>
              <w:spacing w:line="276" w:lineRule="auto" w:before="40" w:after="40"/>
            </w:pPr>
            <w:r>
              <w:rPr>
                <w:rFonts w:ascii="Liberation Sans Narrow" w:hAnsi="Liberation Sans Narrow"/>
                <w:sz w:val="18"/>
              </w:rPr>
              <w:t xml:space="preserve">STF</w:t>
            </w:r>
          </w:p>
        </w:tc>
        <w:tc>
          <w:tcPr>
            <w:tcW w:type="dxa" w:w="2404"/>
          </w:tcPr>
          <w:p>
            <w:pPr>
              <w:pStyle w:val="Compact"/>
              <w:spacing w:line="276" w:lineRule="auto" w:before="40" w:after="40"/>
            </w:pPr>
            <w:r>
              <w:rPr>
                <w:rFonts w:ascii="Liberation Sans Narrow" w:hAnsi="Liberation Sans Narrow"/>
                <w:sz w:val="18"/>
              </w:rPr>
              <w:t xml:space="preserve">Não enseja embargos de terceiro à penhora a promessa de compra e venda não inscrita no registro de imóveis.</w:t>
            </w:r>
          </w:p>
        </w:tc>
        <w:tc>
          <w:tcPr>
            <w:tcW w:type="dxa" w:w="1780"/>
          </w:tcPr>
          <w:p>
            <w:pPr>
              <w:pStyle w:val="Compact"/>
              <w:spacing w:line="276" w:lineRule="auto" w:before="40" w:after="40"/>
            </w:pPr>
            <w:r>
              <w:rPr>
                <w:rFonts w:ascii="Liberation Sans Narrow" w:hAnsi="Liberation Sans Narrow"/>
                <w:sz w:val="18"/>
              </w:rPr>
              <w:t xml:space="preserve">CPC, art. 674</w:t>
            </w:r>
          </w:p>
        </w:tc>
        <w:tc>
          <w:tcPr>
            <w:tcW w:type="dxa" w:w="1780"/>
          </w:tcPr>
          <w:p>
            <w:pPr>
              <w:pStyle w:val="Compact"/>
              <w:spacing w:line="276" w:lineRule="auto" w:before="40" w:after="40"/>
            </w:pPr>
            <w:r>
              <w:rPr>
                <w:rFonts w:ascii="Liberation Sans Narrow" w:hAnsi="Liberation Sans Narrow"/>
                <w:sz w:val="18"/>
              </w:rPr>
              <w:t xml:space="preserve">Aprovada</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134</w:t>
            </w:r>
          </w:p>
        </w:tc>
        <w:tc>
          <w:tcPr>
            <w:tcW w:type="dxa" w:w="1780"/>
          </w:tcPr>
          <w:p>
            <w:pPr>
              <w:pStyle w:val="Compact"/>
              <w:spacing w:line="276" w:lineRule="auto" w:before="40" w:after="40"/>
            </w:pPr>
            <w:r>
              <w:rPr>
                <w:rFonts w:ascii="Liberation Sans Narrow" w:hAnsi="Liberation Sans Narrow"/>
                <w:sz w:val="18"/>
              </w:rPr>
              <w:t xml:space="preserve">STJ, Segunda Seção</w:t>
            </w:r>
          </w:p>
        </w:tc>
        <w:tc>
          <w:tcPr>
            <w:tcW w:type="dxa" w:w="2404"/>
          </w:tcPr>
          <w:p>
            <w:pPr>
              <w:pStyle w:val="Compact"/>
              <w:spacing w:line="276" w:lineRule="auto" w:before="40" w:after="40"/>
            </w:pPr>
            <w:r>
              <w:rPr>
                <w:rFonts w:ascii="Liberation Sans Narrow" w:hAnsi="Liberation Sans Narrow"/>
                <w:sz w:val="18"/>
              </w:rPr>
              <w:t xml:space="preserve">Embora intimado da penhora em imóvel do casal, o cônjuge do executado pode opor embargos de terceiro para defesa de sua meação.</w:t>
            </w:r>
          </w:p>
        </w:tc>
        <w:tc>
          <w:tcPr>
            <w:tcW w:type="dxa" w:w="1780"/>
          </w:tcPr>
          <w:p>
            <w:pPr>
              <w:pStyle w:val="Compact"/>
              <w:spacing w:line="276" w:lineRule="auto" w:before="40" w:after="40"/>
            </w:pPr>
            <w:r>
              <w:rPr>
                <w:rFonts w:ascii="Liberation Sans Narrow" w:hAnsi="Liberation Sans Narrow"/>
                <w:sz w:val="18"/>
              </w:rPr>
              <w:t xml:space="preserve">CPC, art. 674</w:t>
            </w:r>
          </w:p>
        </w:tc>
        <w:tc>
          <w:tcPr>
            <w:tcW w:type="dxa" w:w="1780"/>
          </w:tcPr>
          <w:p>
            <w:pPr>
              <w:pStyle w:val="Compact"/>
              <w:spacing w:line="276" w:lineRule="auto" w:before="40" w:after="40"/>
            </w:pPr>
            <w:r>
              <w:rPr>
                <w:rFonts w:ascii="Liberation Sans Narrow" w:hAnsi="Liberation Sans Narrow"/>
                <w:sz w:val="18"/>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303</w:t>
            </w:r>
          </w:p>
        </w:tc>
        <w:tc>
          <w:tcPr>
            <w:tcW w:type="dxa" w:w="1780"/>
          </w:tcPr>
          <w:p>
            <w:pPr>
              <w:pStyle w:val="Compact"/>
              <w:spacing w:line="276" w:lineRule="auto" w:before="40" w:after="40"/>
            </w:pPr>
            <w:r>
              <w:rPr>
                <w:rFonts w:ascii="Liberation Sans Narrow" w:hAnsi="Liberation Sans Narrow"/>
                <w:sz w:val="18"/>
              </w:rPr>
              <w:t xml:space="preserve">STJ, Corte Especial</w:t>
            </w:r>
          </w:p>
        </w:tc>
        <w:tc>
          <w:tcPr>
            <w:tcW w:type="dxa" w:w="2404"/>
          </w:tcPr>
          <w:p>
            <w:pPr>
              <w:pStyle w:val="Compact"/>
              <w:spacing w:line="276" w:lineRule="auto" w:before="40" w:after="40"/>
            </w:pPr>
            <w:r>
              <w:rPr>
                <w:rFonts w:ascii="Liberation Sans Narrow" w:hAnsi="Liberation Sans Narrow"/>
                <w:sz w:val="18"/>
              </w:rPr>
              <w:t xml:space="preserve">Em embargos de terceiro, quem deu causa à constrição indevida deve arcar com os honorários advocatícios.</w:t>
            </w:r>
          </w:p>
        </w:tc>
        <w:tc>
          <w:tcPr>
            <w:tcW w:type="dxa" w:w="1780"/>
          </w:tcPr>
          <w:p>
            <w:pPr>
              <w:pStyle w:val="Compact"/>
              <w:spacing w:line="276" w:lineRule="auto" w:before="40" w:after="40"/>
            </w:pPr>
            <w:r>
              <w:rPr>
                <w:rFonts w:ascii="Liberation Sans Narrow" w:hAnsi="Liberation Sans Narrow"/>
                <w:sz w:val="18"/>
              </w:rPr>
              <w:t xml:space="preserve">CPC, art. 674</w:t>
            </w:r>
          </w:p>
        </w:tc>
        <w:tc>
          <w:tcPr>
            <w:tcW w:type="dxa" w:w="1780"/>
          </w:tcPr>
          <w:p>
            <w:pPr>
              <w:pStyle w:val="Compact"/>
              <w:spacing w:line="276" w:lineRule="auto" w:before="40" w:after="40"/>
            </w:pPr>
            <w:r>
              <w:rPr>
                <w:rFonts w:ascii="Liberation Sans Narrow" w:hAnsi="Liberation Sans Narrow"/>
                <w:sz w:val="18"/>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1385</w:t>
            </w:r>
          </w:p>
        </w:tc>
        <w:tc>
          <w:tcPr>
            <w:tcW w:type="dxa" w:w="1780"/>
          </w:tcPr>
          <w:p>
            <w:pPr>
              <w:pStyle w:val="Compact"/>
              <w:spacing w:line="276" w:lineRule="auto" w:before="40" w:after="40"/>
            </w:pPr>
            <w:r>
              <w:rPr>
                <w:rFonts w:ascii="Liberation Sans Narrow" w:hAnsi="Liberation Sans Narrow"/>
                <w:sz w:val="18"/>
              </w:rPr>
              <w:t xml:space="preserve">STJ, Primeira Seção</w:t>
            </w:r>
          </w:p>
        </w:tc>
        <w:tc>
          <w:tcPr>
            <w:tcW w:type="dxa" w:w="2404"/>
          </w:tcPr>
          <w:p>
            <w:pPr>
              <w:pStyle w:val="Compact"/>
              <w:spacing w:line="276" w:lineRule="auto" w:before="40" w:after="40"/>
            </w:pPr>
            <w:r>
              <w:rPr>
                <w:rFonts w:ascii="Liberation Sans Narrow" w:hAnsi="Liberation Sans Narrow"/>
                <w:sz w:val="18"/>
              </w:rPr>
              <w:t xml:space="preserve">Na execução fiscal, a fiança bancária ou o seguro garantia oferecido em garantia de execução de crédito tributário não é recusável por inobservância à ordem legal da penhora.</w:t>
            </w:r>
          </w:p>
        </w:tc>
        <w:tc>
          <w:tcPr>
            <w:tcW w:type="dxa" w:w="1780"/>
          </w:tcPr>
          <w:p>
            <w:pPr>
              <w:pStyle w:val="Compact"/>
              <w:spacing w:line="276" w:lineRule="auto" w:before="40" w:after="40"/>
            </w:pPr>
            <w:r>
              <w:rPr>
                <w:rFonts w:ascii="Liberation Sans Narrow" w:hAnsi="Liberation Sans Narrow"/>
                <w:sz w:val="18"/>
              </w:rPr>
              <w:t xml:space="preserve">835</w:t>
            </w:r>
          </w:p>
        </w:tc>
        <w:tc>
          <w:tcPr>
            <w:tcW w:type="dxa" w:w="1780"/>
          </w:tcPr>
          <w:p>
            <w:pPr>
              <w:pStyle w:val="Compact"/>
              <w:spacing w:line="276" w:lineRule="auto" w:before="40" w:after="40"/>
            </w:pPr>
            <w:r>
              <w:rPr>
                <w:rFonts w:ascii="Liberation Sans Narrow" w:hAnsi="Liberation Sans Narrow"/>
                <w:sz w:val="18"/>
              </w:rPr>
              <w:t xml:space="preserve">Trânsito em Julgado</w:t>
            </w:r>
          </w:p>
        </w:tc>
      </w:tr>
    </w:tbl>
    <w:bookmarkEnd w:id="13"/>
    <w:bookmarkStart w:id="14" w:name="escopo-das-fontes-e-método"/>
    <w:p>
      <w:pPr>
        <w:pStyle w:val="Heading1"/>
        <w:pBdr>
          <w:left w:val="single" w:sz="48" w:space="8" w:color="1F3A5F"/>
        </w:pBdr>
        <w:shd w:val="clear" w:color="auto" w:fill="DCE6F2"/>
        <w:spacing w:before="200" w:after="100"/>
        <w:ind w:left="142"/>
      </w:pPr>
      <w:r>
        <w:t xml:space="preserve">4 Escopo das fontes e método</w:t>
      </w:r>
    </w:p>
    <w:p>
      <w:pPr>
        <w:pStyle w:val="FirstParagraph"/>
        <w:spacing w:after="80"/>
        <w:jc w:val="both"/>
      </w:pPr>
      <w:r>
        <w:t xml:space="preserve">As fontes desta pesquisa são exclusivamente a legislação e a jurisprudência, de curadoria interna, salvo os acórdãos marcados como</w:t>
      </w:r>
      <w:r>
        <w:t xml:space="preserve"> </w:t>
      </w:r>
      <w:r>
        <w:rPr>
          <w:b/>
          <w:bCs/>
        </w:rPr>
        <w:t xml:space="preserve">[Repositório externo]</w:t>
      </w:r>
      <w:r>
        <w:t xml:space="preserve"> </w:t>
      </w:r>
      <w:r>
        <w:t xml:space="preserve">(ver Observações iniciais).</w:t>
      </w:r>
    </w:p>
    <w:p>
      <w:pPr>
        <w:pStyle w:val="Compact"/>
        <w:numPr>
          <w:ilvl w:val="0"/>
          <w:numId w:val="1002"/>
        </w:numPr>
        <w:spacing w:after="80"/>
        <w:jc w:val="both"/>
      </w:pPr>
      <w:r>
        <w:rPr>
          <w:b/>
          <w:bCs/>
        </w:rPr>
        <w:t xml:space="preserve">Citação de julgados.</w:t>
      </w:r>
      <w:r>
        <w:t xml:space="preserve"> </w:t>
      </w:r>
      <w:r>
        <w:t xml:space="preserve">Cada julgado foi citado depois de confirmados, no texto retornado pela fonte, o Tribunal, o relator, a data e a tese. O que não foi confirmado fica nas pendências.</w:t>
      </w:r>
    </w:p>
    <w:p>
      <w:pPr>
        <w:pStyle w:val="Compact"/>
        <w:numPr>
          <w:ilvl w:val="0"/>
          <w:numId w:val="1002"/>
        </w:numPr>
        <w:spacing w:after="80"/>
        <w:jc w:val="both"/>
      </w:pPr>
      <w:r>
        <w:rPr>
          <w:b/>
          <w:bCs/>
        </w:rPr>
        <w:t xml:space="preserve">Texto legal.</w:t>
      </w:r>
      <w:r>
        <w:t xml:space="preserve"> </w:t>
      </w:r>
      <w:r>
        <w:t xml:space="preserve">Reproduz o texto vigente em 25/10/2026, com as marcas de alteração e as remissões a ações de controle concentrado que constam da fonte.</w:t>
      </w:r>
    </w:p>
    <w:p>
      <w:pPr>
        <w:pStyle w:val="Compact"/>
        <w:numPr>
          <w:ilvl w:val="0"/>
          <w:numId w:val="1002"/>
        </w:numPr>
        <w:spacing w:after="80"/>
        <w:jc w:val="both"/>
      </w:pPr>
      <w:r>
        <w:rPr>
          <w:b/>
          <w:bCs/>
        </w:rPr>
        <w:t xml:space="preserve">Siglas.</w:t>
      </w:r>
      <w:r>
        <w:t xml:space="preserve"> </w:t>
      </w:r>
      <w:r>
        <w:t xml:space="preserve">Seguem o padrão de apresentação do estudo: o extenso vem na primeira ocorrência, com a sigla entre parênteses, inclusive quando a expressão figura no texto legal reproduzido; a inserção não integra a redação da lei.</w:t>
      </w:r>
    </w:p>
    <w:p>
      <w:pPr>
        <w:pStyle w:val="Compact"/>
        <w:numPr>
          <w:ilvl w:val="0"/>
          <w:numId w:val="1002"/>
        </w:numPr>
        <w:spacing w:after="80"/>
        <w:jc w:val="both"/>
      </w:pPr>
      <w:r>
        <w:rPr>
          <w:b/>
          <w:bCs/>
        </w:rPr>
        <w:t xml:space="preserve">Busca.</w:t>
      </w:r>
      <w:r>
        <w:t xml:space="preserve"> </w:t>
      </w:r>
      <w:r>
        <w:t xml:space="preserve">Consultas curtas por instituto regulado em cada faixa de artigos, sem priorização por hierarquia, com variante restrita a CPC/2015 no Superior Tribunal de Justiça e, no repositório externo, a partir de 2016, com ementa integral; entendimentos vinculantes e súmulas colhidos em camada própria. Cada candidato foi lido pela ementa, sem filtrar por classe processual nem por menção ao número do artigo.</w:t>
      </w:r>
    </w:p>
    <w:p>
      <w:pPr>
        <w:pStyle w:val="Compact"/>
        <w:numPr>
          <w:ilvl w:val="0"/>
          <w:numId w:val="1002"/>
        </w:numPr>
        <w:spacing w:after="80"/>
        <w:jc w:val="both"/>
      </w:pPr>
      <w:r>
        <w:rPr>
          <w:b/>
          <w:bCs/>
        </w:rPr>
        <w:t xml:space="preserve">Critério de anotação.</w:t>
      </w:r>
      <w:r>
        <w:t xml:space="preserve"> </w:t>
      </w:r>
      <w:r>
        <w:t xml:space="preserve">Entram, nesta ordem, os entendimentos de eficácia vinculante (controle concentrado, repercussão geral, recursos repetitivos e incidentes de assunção de competência), as súmulas e, depois, os acórdãos de órgão fracionário que firmem tese sobre o dispositivo ou fixem orientação para a sua aplicação — enunciem, na ementa, como o dispositivo se aplica. Não é anotado o acórdão que apenas aplica óbice de admissibilidade, que decide exclusivamente o caso concreto sem enunciar regra ou que rejeita embargos de declaração.</w:t>
      </w:r>
    </w:p>
    <w:p>
      <w:pPr>
        <w:pStyle w:val="Compact"/>
        <w:numPr>
          <w:ilvl w:val="0"/>
          <w:numId w:val="1002"/>
        </w:numPr>
        <w:spacing w:after="80"/>
        <w:jc w:val="both"/>
      </w:pPr>
      <w:r>
        <w:rPr>
          <w:b/>
          <w:bCs/>
        </w:rPr>
        <w:t xml:space="preserve">Ordem de apresentação.</w:t>
      </w:r>
      <w:r>
        <w:t xml:space="preserve"> </w:t>
      </w:r>
      <w:r>
        <w:t xml:space="preserve">Em cada quadro, vêm primeiro os entendimentos vinculantes; depois, os acórdãos de Plenário, Corte Especial e Seção, que prevalecem sobre os de Turma, e as súmulas; por último, os de Turma. Em cada nível, o mais novo vem antes do mais antigo, e a possível superação do mais antigo é indicada na ratio ou na seção de divergências.</w:t>
      </w:r>
    </w:p>
    <w:p>
      <w:pPr>
        <w:pStyle w:val="Compact"/>
        <w:numPr>
          <w:ilvl w:val="0"/>
          <w:numId w:val="1002"/>
        </w:numPr>
        <w:spacing w:after="80"/>
        <w:jc w:val="both"/>
      </w:pPr>
      <w:r>
        <w:rPr>
          <w:b/>
          <w:bCs/>
        </w:rPr>
        <w:t xml:space="preserve">Natureza dos textos.</w:t>
      </w:r>
      <w:r>
        <w:t xml:space="preserve"> </w:t>
      </w:r>
      <w:r>
        <w:t xml:space="preserve">Os acórdãos do Superior Tribunal de Justiça foram lidos pela ementa; os do Supremo Tribunal Federal de curadoria interna, pelo texto do Informativo ou pela ementa do acervo, e os marcados como</w:t>
      </w:r>
      <w:r>
        <w:t xml:space="preserve"> </w:t>
      </w:r>
      <w:r>
        <w:rPr>
          <w:b/>
          <w:bCs/>
        </w:rPr>
        <w:t xml:space="preserve">[Repositório externo]</w:t>
      </w:r>
      <w:r>
        <w:t xml:space="preserve">, pela ementa.</w:t>
      </w:r>
    </w:p>
    <w:p>
      <w:pPr>
        <w:pStyle w:val="Compact"/>
        <w:numPr>
          <w:ilvl w:val="0"/>
          <w:numId w:val="1002"/>
        </w:numPr>
        <w:spacing w:after="80"/>
        <w:jc w:val="both"/>
      </w:pPr>
      <w:r>
        <w:rPr>
          <w:b/>
          <w:bCs/>
        </w:rPr>
        <w:t xml:space="preserve">Organização.</w:t>
      </w:r>
      <w:r>
        <w:t xml:space="preserve"> </w:t>
      </w:r>
      <w:r>
        <w:t xml:space="preserve">A obra ocupa a seção 5. Cada anotação vem imediatamente abaixo do dispositivo a que se refere — caput, parágrafo, inciso ou alínea —, e o tribunal é indicado no início de cada julgado. O sumário traz Livro, Títulos, Capítulos e Seções, com a faixa de artigos e a página; o índice de artigos, ao final, traz a página de cada artigo.</w:t>
      </w:r>
    </w:p>
    <w:bookmarkEnd w:id="14"/>
    <w:bookmarkStart w:id="918" w:name="anotações-aos-artigos"/>
    <w:p>
      <w:pPr>
        <w:spacing w:before="0" w:after="0" w:line="20" w:lineRule="exact"/>
        <w:sectPr>
          <w:headerReference w:type="default" r:id="rId9"/>
          <w:footerReference w:type="default" r:id="rId15"/>
          <w:footnotePr>
            <w:numRestart w:val="eachSect"/>
          </w:footnotePr>
          <w:pgSz w:w="11906" w:h="16838"/>
          <w:pgMar w:top="1417" w:left="1417" w:bottom="1134" w:right="1134"/>
          <w:cols w:num="1" w:space="340"/>
          <w:titlePg/>
        </w:sectPr>
      </w:pPr>
    </w:p>
    <w:p>
      <w:pPr>
        <w:pStyle w:val="Heading1"/>
        <w:pBdr>
          <w:left w:val="single" w:sz="48" w:space="8" w:color="1F3A5F"/>
        </w:pBdr>
        <w:shd w:val="clear" w:color="auto" w:fill="DCE6F2"/>
        <w:spacing w:before="200" w:after="100"/>
        <w:ind w:left="142"/>
      </w:pPr>
      <w:r>
        <w:t xml:space="preserve">5 Anotações aos artigos</w:t>
      </w:r>
    </w:p>
    <w:bookmarkStart w:id="562" w:name="X86e8a5022c59a41e6dd863f5f929a90df48b2ec"/>
    <w:p>
      <w:pPr>
        <w:pStyle w:val="Heading2"/>
        <w:shd w:val="clear" w:color="auto" w:fill="1F3A5F"/>
        <w:spacing w:before="0" w:after="100"/>
        <w:ind w:left="113"/>
      </w:pPr>
      <w:r>
        <w:rPr>
          <w:color w:val="FFFFFF"/>
          <w:sz w:val="28"/>
        </w:rPr>
        <w:t xml:space="preserve">Livro I: do processo de conhecimento e do cumprimento de sentença (arts. 318 a 770)</w:t>
      </w:r>
    </w:p>
    <w:bookmarkStart w:id="250" w:name="Xb2123b266d5b0aad522a2dc4fa826babdb29d38"/>
    <w:p>
      <w:pPr>
        <w:pStyle w:val="Heading3"/>
        <w:pBdr>
          <w:bottom w:val="single" w:sz="8" w:space="2" w:color="2E75B6"/>
        </w:pBdr>
        <w:spacing w:before="200" w:after="80"/>
      </w:pPr>
      <w:r>
        <w:rPr>
          <w:sz w:val="24"/>
        </w:rPr>
        <w:t xml:space="preserve">Título I: do procedimento comum (arts. 318 a 512)</w:t>
      </w:r>
    </w:p>
    <w:bookmarkStart w:id="16" w:name="capítulo-i-disposições-gerais-arts.-318"/>
    <w:p>
      <w:pPr>
        <w:pStyle w:val="Heading4"/>
        <w:spacing w:before="160" w:after="40"/>
      </w:pPr>
      <w:r>
        <w:rPr>
          <w:smallCaps/>
          <w:color w:val="2E75B6"/>
        </w:rPr>
        <w:t xml:space="preserve">Capítulo I: disposições gerais (arts. 318)</w:t>
      </w:r>
    </w:p>
    <w:bookmarkStart w:id="15" w:name="art.-318"/>
    <w:p>
      <w:pPr>
        <w:pStyle w:val="Heading6"/>
        <w:pBdr>
          <w:left w:val="single" w:sz="36" w:space="4" w:color="2E75B6"/>
        </w:pBdr>
        <w:shd w:val="clear" w:color="auto" w:fill="E3EEF9"/>
        <w:spacing w:before="200" w:after="80"/>
        <w:ind w:left="85"/>
      </w:pPr>
      <w:r>
        <w:rPr>
          <w:i w:val="0"/>
          <w:color w:val="1F3A5F"/>
          <w:sz w:val="23"/>
        </w:rPr>
        <w:t xml:space="preserve">Art. 318</w:t>
      </w:r>
    </w:p>
    <w:p>
      <w:pPr>
        <w:pStyle w:val="FirstParagraph"/>
        <w:keepNext/>
        <w:spacing w:after="80"/>
        <w:jc w:val="both"/>
      </w:pPr>
      <w:r>
        <w:rPr>
          <w:b/>
          <w:bCs/>
        </w:rPr>
        <w:t xml:space="preserve">Art. 318.</w:t>
      </w:r>
      <w:r>
        <w:t xml:space="preserve"> </w:t>
      </w:r>
      <w:r>
        <w:t xml:space="preserve">Aplica-se a todas as causas o procedimento comum, salvo disposição em contrário deste Código ou de lei.</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860"/>
        <w:gridCol w:w="3145"/>
        <w:gridCol w:w="4350"/>
      </w:tblGrid>
      <w:tr>
        <w:trPr>
          <w:tblHeader w:val="on"/>
          <w:cantSplit/>
          <w:tblHeader/>
        </w:trPr>
        <w:tc>
          <w:tcPr>
            <w:tcW w:type="dxa" w:w="186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14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35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860"/>
          </w:tcPr>
          <w:p>
            <w:pPr>
              <w:pStyle w:val="Compact"/>
              <w:spacing w:line="276" w:lineRule="auto" w:before="40" w:after="40"/>
            </w:pPr>
            <w:r>
              <w:rPr>
                <w:rFonts w:ascii="Liberation Sans Narrow" w:hAnsi="Liberation Sans Narrow"/>
                <w:sz w:val="18"/>
              </w:rPr>
              <w:t xml:space="preserve">Art. 318: ação autônoma de exibição de documentos pelo procedimento comum</w:t>
            </w:r>
          </w:p>
        </w:tc>
        <w:tc>
          <w:tcPr>
            <w:tcW w:type="dxa" w:w="3145"/>
          </w:tcPr>
          <w:p>
            <w:pPr>
              <w:pStyle w:val="Compact"/>
              <w:spacing w:line="276" w:lineRule="auto" w:before="40" w:after="40"/>
            </w:pPr>
            <w:r>
              <w:rPr>
                <w:rFonts w:ascii="Liberation Sans Narrow" w:hAnsi="Liberation Sans Narrow"/>
                <w:sz w:val="18"/>
              </w:rPr>
              <w:t xml:space="preserve">STJ, REsp 2.174.791, Quarta Turma, relator Min. João Otávio de Noronha, julgado em 04/05/2026, Diário de Justiça Eletrônico Nacional (DJEN) de 07/05/2026</w:t>
            </w:r>
          </w:p>
        </w:tc>
        <w:tc>
          <w:tcPr>
            <w:tcW w:type="dxa" w:w="4350"/>
          </w:tcPr>
          <w:p>
            <w:pPr>
              <w:pStyle w:val="Compact"/>
              <w:spacing w:line="276" w:lineRule="auto" w:before="40" w:after="40"/>
            </w:pPr>
            <w:r>
              <w:rPr>
                <w:rFonts w:ascii="Liberation Sans Narrow" w:hAnsi="Liberation Sans Narrow"/>
                <w:sz w:val="18"/>
              </w:rPr>
              <w:t xml:space="preserve">Admite-se a ação autônoma de exibição de documentos pelo procedimento comum (art. 318) ou pela via da produção antecipada de provas (arts. 381, III, e 396). A negativa de acesso a documentos necessários à verificação da viabilidade de demanda futura caracteriza negativa de jurisdição, impondo o retorno dos autos ao primeiro grau para prosseguimento.</w:t>
            </w:r>
          </w:p>
        </w:tc>
      </w:tr>
    </w:tbl>
    <w:p>
      <w:pPr>
        <w:pStyle w:val="BodyText"/>
        <w:spacing w:after="80"/>
        <w:jc w:val="both"/>
      </w:pPr>
      <w:r>
        <w:t xml:space="preserve">Parágrafo único. O procedimento comum aplica-se subsidiariamente aos demais procedimentos especiais e ao processo de execução.</w:t>
      </w:r>
    </w:p>
    <w:bookmarkEnd w:id="15"/>
    <w:bookmarkEnd w:id="16"/>
    <w:bookmarkStart w:id="33" w:name="X451badeb07c2ccf90a62217fd24a14988b2e419"/>
    <w:p>
      <w:pPr>
        <w:pStyle w:val="Heading4"/>
        <w:spacing w:before="160" w:after="40"/>
      </w:pPr>
      <w:r>
        <w:rPr>
          <w:smallCaps/>
          <w:color w:val="2E75B6"/>
        </w:rPr>
        <w:t xml:space="preserve">Capítulo II: da petição inicial (arts. 319 a 331)</w:t>
      </w:r>
    </w:p>
    <w:bookmarkStart w:id="20" w:name="X68d51f452bcb10073d4c534718b4d13a193ea7c"/>
    <w:p>
      <w:pPr>
        <w:pStyle w:val="Heading5"/>
        <w:spacing w:before="140" w:after="20"/>
      </w:pPr>
      <w:r>
        <w:rPr>
          <w:i/>
          <w:color w:val="595959"/>
        </w:rPr>
        <w:t xml:space="preserve">Seção I: dos requisitos da petição inicial (arts. 319 a 321)</w:t>
      </w:r>
    </w:p>
    <w:bookmarkStart w:id="17" w:name="art.-319"/>
    <w:p>
      <w:pPr>
        <w:pStyle w:val="Heading6"/>
        <w:pBdr>
          <w:left w:val="single" w:sz="36" w:space="4" w:color="2E75B6"/>
        </w:pBdr>
        <w:shd w:val="clear" w:color="auto" w:fill="E3EEF9"/>
        <w:spacing w:before="200" w:after="80"/>
        <w:ind w:left="85"/>
      </w:pPr>
      <w:r>
        <w:rPr>
          <w:i w:val="0"/>
          <w:color w:val="1F3A5F"/>
          <w:sz w:val="23"/>
        </w:rPr>
        <w:t xml:space="preserve">Art. 319</w:t>
      </w:r>
    </w:p>
    <w:p>
      <w:pPr>
        <w:pStyle w:val="FirstParagraph"/>
        <w:keepNext/>
        <w:spacing w:after="80"/>
        <w:jc w:val="both"/>
      </w:pPr>
      <w:r>
        <w:rPr>
          <w:b/>
          <w:bCs/>
        </w:rPr>
        <w:t xml:space="preserve">Art. 319.</w:t>
      </w:r>
      <w:r>
        <w:t xml:space="preserve"> </w:t>
      </w:r>
      <w:r>
        <w:t xml:space="preserve">A petição inicial indicará:</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91"/>
        <w:gridCol w:w="2835"/>
        <w:gridCol w:w="4829"/>
      </w:tblGrid>
      <w:tr>
        <w:trPr>
          <w:tblHeader w:val="on"/>
          <w:cantSplit/>
          <w:tblHeader/>
        </w:trPr>
        <w:tc>
          <w:tcPr>
            <w:tcW w:type="dxa" w:w="169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3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28"/>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91"/>
          </w:tcPr>
          <w:p>
            <w:pPr>
              <w:pStyle w:val="Compact"/>
              <w:spacing w:line="276" w:lineRule="auto" w:before="40" w:after="40"/>
            </w:pPr>
            <w:r>
              <w:rPr>
                <w:rFonts w:ascii="Liberation Sans Narrow" w:hAnsi="Liberation Sans Narrow"/>
                <w:sz w:val="18"/>
              </w:rPr>
              <w:t xml:space="preserve">Caput — requisitos da petição inicial</w:t>
            </w:r>
          </w:p>
        </w:tc>
        <w:tc>
          <w:tcPr>
            <w:tcW w:type="dxa" w:w="2835"/>
          </w:tcPr>
          <w:p>
            <w:pPr>
              <w:pStyle w:val="Compact"/>
              <w:spacing w:line="276" w:lineRule="auto" w:before="40" w:after="40"/>
            </w:pPr>
            <w:r>
              <w:rPr>
                <w:rFonts w:ascii="Liberation Sans Narrow" w:hAnsi="Liberation Sans Narrow"/>
                <w:sz w:val="18"/>
              </w:rPr>
              <w:t xml:space="preserve">STJ, AgInt no EREsp 2.041.210, Corte Especial, relator Min. Og Fernandes, DJe de 14/06/2024</w:t>
            </w:r>
          </w:p>
        </w:tc>
        <w:tc>
          <w:tcPr>
            <w:tcW w:type="dxa" w:w="4828"/>
          </w:tcPr>
          <w:p>
            <w:pPr>
              <w:pStyle w:val="Compact"/>
              <w:spacing w:line="276" w:lineRule="auto" w:before="40" w:after="40"/>
            </w:pPr>
            <w:r>
              <w:rPr>
                <w:rFonts w:ascii="Liberation Sans Narrow" w:hAnsi="Liberation Sans Narrow"/>
                <w:sz w:val="18"/>
              </w:rPr>
              <w:t xml:space="preserve">O indeferimento da petição inicial por não preenchimento dos requisitos dos arts. 319 e 320, ou por defeitos e irregularidades capazes de dificultar o julgamento de mérito, reclama a prévia concessão de oportunidade de emenda pelo autor, nos termos do art. 321.</w:t>
            </w:r>
          </w:p>
        </w:tc>
      </w:tr>
      <w:tr>
        <w:trPr>
          <w:cantSplit/>
        </w:trPr>
        <w:tc>
          <w:tcPr>
            <w:tcW w:type="dxa" w:w="1691"/>
          </w:tcPr>
          <w:p>
            <w:pPr>
              <w:pStyle w:val="Compact"/>
              <w:spacing w:line="276" w:lineRule="auto" w:before="40" w:after="40"/>
            </w:pPr>
            <w:r>
              <w:rPr>
                <w:rFonts w:ascii="Liberation Sans Narrow" w:hAnsi="Liberation Sans Narrow"/>
                <w:sz w:val="18"/>
              </w:rPr>
              <w:t xml:space="preserve">Caput — suficiência documental é matéria de mérito</w:t>
            </w:r>
          </w:p>
        </w:tc>
        <w:tc>
          <w:tcPr>
            <w:tcW w:type="dxa" w:w="2835"/>
          </w:tcPr>
          <w:p>
            <w:pPr>
              <w:pStyle w:val="Compact"/>
              <w:spacing w:line="276" w:lineRule="auto" w:before="40" w:after="40"/>
            </w:pPr>
            <w:r>
              <w:rPr>
                <w:rFonts w:ascii="Liberation Sans Narrow" w:hAnsi="Liberation Sans Narrow"/>
                <w:sz w:val="18"/>
              </w:rPr>
              <w:t xml:space="preserve">STJ, AREsp 3.018.178, Terceira Turma, relator Min. Moura Ribeiro, julgado em 18/05/2026</w:t>
            </w:r>
          </w:p>
        </w:tc>
        <w:tc>
          <w:tcPr>
            <w:tcW w:type="dxa" w:w="4828"/>
          </w:tcPr>
          <w:p>
            <w:pPr>
              <w:pStyle w:val="Compact"/>
              <w:spacing w:line="276" w:lineRule="auto" w:before="40" w:after="40"/>
            </w:pPr>
            <w:r>
              <w:rPr>
                <w:rFonts w:ascii="Liberation Sans Narrow" w:hAnsi="Liberation Sans Narrow"/>
                <w:sz w:val="18"/>
              </w:rPr>
              <w:t xml:space="preserve">A ausência do instrumento contratual não acarreta, por si só, o indeferimento da inicial em ação de cobrança quando outros elementos indiciam a relação jurídica entre as partes: a suficiência dos documentos é matéria de mérito, a ser apreciada após a instrução, nos termos dos arts. 319 e 320.</w:t>
            </w:r>
          </w:p>
        </w:tc>
      </w:tr>
    </w:tbl>
    <w:p>
      <w:pPr>
        <w:pStyle w:val="BodyText"/>
        <w:spacing w:after="80"/>
        <w:jc w:val="both"/>
      </w:pPr>
      <w:r>
        <w:t xml:space="preserve">I - o juízo a que é dirigida;</w:t>
      </w:r>
    </w:p>
    <w:p>
      <w:pPr>
        <w:pStyle w:val="BodyText"/>
        <w:spacing w:after="80"/>
        <w:jc w:val="both"/>
      </w:pPr>
      <w:r>
        <w:t xml:space="preserve">II - os nomes, os prenomes, o estado civil, a existência de união estável, a profissão, o número de inscrição no Cadastro de Pessoas Físicas ou no Cadastro Nacional da Pessoa Jurídica, o endereço eletrônico, o domicílio e a residência do autor e do réu;</w:t>
      </w:r>
    </w:p>
    <w:p>
      <w:pPr>
        <w:pStyle w:val="BodyText"/>
        <w:spacing w:after="80"/>
        <w:jc w:val="both"/>
      </w:pPr>
      <w:r>
        <w:t xml:space="preserve">III - o fato e os fundamentos jurídicos do pedido;</w:t>
      </w:r>
    </w:p>
    <w:p>
      <w:pPr>
        <w:pStyle w:val="BodyText"/>
        <w:spacing w:after="80"/>
        <w:jc w:val="both"/>
      </w:pPr>
      <w:r>
        <w:t xml:space="preserve">IV - o pedido com as suas especificações;</w:t>
      </w:r>
    </w:p>
    <w:p>
      <w:pPr>
        <w:pStyle w:val="BodyText"/>
        <w:spacing w:after="80"/>
        <w:jc w:val="both"/>
      </w:pPr>
      <w:r>
        <w:t xml:space="preserve">V - o valor da causa;</w:t>
      </w:r>
    </w:p>
    <w:p>
      <w:pPr>
        <w:pStyle w:val="BodyText"/>
        <w:spacing w:after="80"/>
        <w:jc w:val="both"/>
      </w:pPr>
      <w:r>
        <w:t xml:space="preserve">VI - as provas com que o autor pretende demonstrar a verdade dos fatos alegados;</w:t>
      </w:r>
    </w:p>
    <w:p>
      <w:pPr>
        <w:pStyle w:val="BodyText"/>
        <w:spacing w:after="80"/>
        <w:jc w:val="both"/>
      </w:pPr>
      <w:r>
        <w:t xml:space="preserve">VII - a opção do autor pela realização ou não de audiência de conciliação ou de mediação.</w:t>
      </w:r>
    </w:p>
    <w:p>
      <w:pPr>
        <w:pStyle w:val="BodyText"/>
        <w:spacing w:after="80"/>
        <w:jc w:val="both"/>
      </w:pPr>
      <w:r>
        <w:t xml:space="preserve">§ 1º Caso não disponha das informações previstas no inciso II, poderá o autor, na petição inicial, requerer ao juiz diligências necessárias a sua obtenção.</w:t>
      </w:r>
    </w:p>
    <w:p>
      <w:pPr>
        <w:pStyle w:val="BodyText"/>
        <w:spacing w:after="80"/>
        <w:jc w:val="both"/>
      </w:pPr>
      <w:r>
        <w:t xml:space="preserve">§ 2º A petição inicial não será indeferida se, a despeito da falta de informações a que se refere o inciso II, for possível a citação do réu.</w:t>
      </w:r>
    </w:p>
    <w:p>
      <w:pPr>
        <w:pStyle w:val="BodyText"/>
        <w:spacing w:after="80"/>
        <w:jc w:val="both"/>
      </w:pPr>
      <w:r>
        <w:t xml:space="preserve">§ 3º A petição inicial não será indeferida pelo não atendimento ao disposto no inciso II deste artigo se a obtenção de tais informações tornar impossível ou excessivamente oneroso o acesso à justiça.</w:t>
      </w:r>
    </w:p>
    <w:bookmarkEnd w:id="17"/>
    <w:bookmarkStart w:id="18" w:name="art.-320"/>
    <w:p>
      <w:pPr>
        <w:pStyle w:val="Heading6"/>
        <w:pBdr>
          <w:left w:val="single" w:sz="36" w:space="4" w:color="2E75B6"/>
        </w:pBdr>
        <w:shd w:val="clear" w:color="auto" w:fill="E3EEF9"/>
        <w:spacing w:before="200" w:after="80"/>
        <w:ind w:left="85"/>
      </w:pPr>
      <w:r>
        <w:rPr>
          <w:i w:val="0"/>
          <w:color w:val="1F3A5F"/>
          <w:sz w:val="23"/>
        </w:rPr>
        <w:t xml:space="preserve">Art. 320</w:t>
      </w:r>
    </w:p>
    <w:p>
      <w:pPr>
        <w:pStyle w:val="FirstParagraph"/>
        <w:keepNext/>
        <w:spacing w:after="80"/>
        <w:jc w:val="both"/>
      </w:pPr>
      <w:r>
        <w:rPr>
          <w:b/>
          <w:bCs/>
        </w:rPr>
        <w:t xml:space="preserve">Art. 320.</w:t>
      </w:r>
      <w:r>
        <w:t xml:space="preserve"> </w:t>
      </w:r>
      <w:r>
        <w:t xml:space="preserve">A petição inicial será instruída com os documentos indispensáveis à propositura da 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833"/>
        <w:gridCol w:w="2523"/>
        <w:gridCol w:w="3998"/>
      </w:tblGrid>
      <w:tr>
        <w:trPr>
          <w:tblHeader w:val="on"/>
          <w:cantSplit/>
          <w:tblHeader/>
        </w:trPr>
        <w:tc>
          <w:tcPr>
            <w:tcW w:type="dxa" w:w="2833"/>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2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3998"/>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833"/>
          </w:tcPr>
          <w:p>
            <w:pPr>
              <w:pStyle w:val="Compact"/>
              <w:spacing w:line="276" w:lineRule="auto" w:before="40" w:after="40"/>
            </w:pPr>
            <w:r>
              <w:rPr>
                <w:rFonts w:ascii="Liberation Sans Narrow" w:hAnsi="Liberation Sans Narrow"/>
                <w:sz w:val="18"/>
              </w:rPr>
              <w:t xml:space="preserve">Documentos indispensáveis à propositura da ação: exigência de documentos que demonstrem a autenticidade da pretensão em caso de litigância abusiva</w:t>
            </w:r>
          </w:p>
        </w:tc>
        <w:tc>
          <w:tcPr>
            <w:tcW w:type="dxa" w:w="2523"/>
          </w:tcPr>
          <w:p>
            <w:pPr>
              <w:pStyle w:val="Compact"/>
              <w:spacing w:line="276" w:lineRule="auto" w:before="40" w:after="40"/>
            </w:pPr>
            <w:r>
              <w:rPr>
                <w:rFonts w:ascii="Liberation Sans Narrow" w:hAnsi="Liberation Sans Narrow"/>
                <w:sz w:val="18"/>
              </w:rPr>
              <w:t xml:space="preserve">STJ, Tema Repetitivo 1198, REsp 2.021.665, Corte Especial, relator Min. Moura Ribeiro, julgado em 13/03/2025, DJEN de 11/06/2026</w:t>
            </w:r>
          </w:p>
        </w:tc>
        <w:tc>
          <w:tcPr>
            <w:tcW w:type="dxa" w:w="3998"/>
          </w:tcPr>
          <w:p>
            <w:pPr>
              <w:pStyle w:val="Compact"/>
              <w:spacing w:line="276" w:lineRule="auto" w:before="40" w:after="40"/>
            </w:pPr>
            <w:r>
              <w:rPr>
                <w:rFonts w:ascii="Liberation Sans Narrow" w:hAnsi="Liberation Sans Narrow"/>
                <w:sz w:val="18"/>
              </w:rPr>
              <w:t xml:space="preserve">Constatados indícios de litigância abusiva, o juiz pode exigir, de modo fundamentado e com observância à razoabilidade do caso concreto, a emenda da petição inicial a fim de demonstrar o interesse de agir e a autenticidade da postulação, respeitadas as regras de distribuição do ônus da prova.</w:t>
            </w:r>
          </w:p>
        </w:tc>
      </w:tr>
    </w:tbl>
    <w:bookmarkEnd w:id="18"/>
    <w:bookmarkStart w:id="19" w:name="art.-321"/>
    <w:p>
      <w:pPr>
        <w:pStyle w:val="Heading6"/>
        <w:pBdr>
          <w:left w:val="single" w:sz="36" w:space="4" w:color="2E75B6"/>
        </w:pBdr>
        <w:shd w:val="clear" w:color="auto" w:fill="E3EEF9"/>
        <w:spacing w:before="200" w:after="80"/>
        <w:ind w:left="85"/>
      </w:pPr>
      <w:r>
        <w:rPr>
          <w:i w:val="0"/>
          <w:color w:val="1F3A5F"/>
          <w:sz w:val="23"/>
        </w:rPr>
        <w:t xml:space="preserve">Art. 321</w:t>
      </w:r>
    </w:p>
    <w:p>
      <w:pPr>
        <w:pStyle w:val="FirstParagraph"/>
        <w:keepNext/>
        <w:spacing w:after="80"/>
        <w:jc w:val="both"/>
      </w:pPr>
      <w:r>
        <w:rPr>
          <w:b/>
          <w:bCs/>
        </w:rPr>
        <w:t xml:space="preserve">Art. 321.</w:t>
      </w:r>
      <w:r>
        <w:t xml:space="preserve"> </w:t>
      </w:r>
      <w:r>
        <w:t xml:space="preserve">O juiz, ao verificar que a petição inicial não preenche os requisitos dos arts. 319 e 320 ou que apresenta defeitos e irregularidades capazes de dificultar o julgamento de mérito, determinará que o autor, no prazo de 15 (quinze) dias, a emende ou a complete, indicando com precisão o que deve ser corrigido ou completado.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448"/>
        <w:gridCol w:w="2892"/>
        <w:gridCol w:w="4014"/>
      </w:tblGrid>
      <w:tr>
        <w:trPr>
          <w:tblHeader w:val="on"/>
          <w:cantSplit/>
          <w:tblHeader/>
        </w:trPr>
        <w:tc>
          <w:tcPr>
            <w:tcW w:type="dxa" w:w="2448"/>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9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01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448"/>
          </w:tcPr>
          <w:p>
            <w:pPr>
              <w:pStyle w:val="Compact"/>
              <w:spacing w:line="276" w:lineRule="auto" w:before="40" w:after="40"/>
            </w:pPr>
            <w:r>
              <w:rPr>
                <w:rFonts w:ascii="Liberation Sans Narrow" w:hAnsi="Liberation Sans Narrow"/>
                <w:sz w:val="18"/>
              </w:rPr>
              <w:t xml:space="preserve">Litigância abusiva: emenda da petição inicial para demonstrar interesse de agir e autenticidade da postulação</w:t>
            </w:r>
          </w:p>
        </w:tc>
        <w:tc>
          <w:tcPr>
            <w:tcW w:type="dxa" w:w="2892"/>
          </w:tcPr>
          <w:p>
            <w:pPr>
              <w:pStyle w:val="Compact"/>
              <w:spacing w:line="276" w:lineRule="auto" w:before="40" w:after="40"/>
            </w:pPr>
            <w:r>
              <w:rPr>
                <w:rFonts w:ascii="Liberation Sans Narrow" w:hAnsi="Liberation Sans Narrow"/>
                <w:sz w:val="18"/>
              </w:rPr>
              <w:t xml:space="preserve">STJ, Tema Repetitivo 1198, REsp 2.021.665, Corte Especial, relator Min. Moura Ribeiro, julgado em 13/03/2025, DJEN de 11/06/2026</w:t>
            </w:r>
          </w:p>
        </w:tc>
        <w:tc>
          <w:tcPr>
            <w:tcW w:type="dxa" w:w="4014"/>
          </w:tcPr>
          <w:p>
            <w:pPr>
              <w:pStyle w:val="Compact"/>
              <w:spacing w:line="276" w:lineRule="auto" w:before="40" w:after="40"/>
            </w:pPr>
            <w:r>
              <w:rPr>
                <w:rFonts w:ascii="Liberation Sans Narrow" w:hAnsi="Liberation Sans Narrow"/>
                <w:sz w:val="18"/>
              </w:rPr>
              <w:t xml:space="preserve">Constatados indícios de litigância abusiva, o juiz pode exigir, de modo fundamentado e com observância à razoabilidade do caso concreto, a emenda da petição inicial a fim de demonstrar o interesse de agir e a autenticidade da postulação, respeitadas as regras de distribuição do ônus da prova.</w:t>
            </w:r>
          </w:p>
        </w:tc>
      </w:tr>
      <w:tr>
        <w:trPr>
          <w:cantSplit/>
        </w:trPr>
        <w:tc>
          <w:tcPr>
            <w:tcW w:type="dxa" w:w="2448"/>
          </w:tcPr>
          <w:p>
            <w:pPr>
              <w:pStyle w:val="Compact"/>
              <w:spacing w:line="276" w:lineRule="auto" w:before="40" w:after="40"/>
            </w:pPr>
            <w:r>
              <w:rPr>
                <w:rFonts w:ascii="Liberation Sans Narrow" w:hAnsi="Liberation Sans Narrow"/>
                <w:sz w:val="18"/>
              </w:rPr>
              <w:t xml:space="preserve">Emenda da petição inicial: descumprimento e indeferimento (arts. 320 e 321)</w:t>
            </w:r>
          </w:p>
        </w:tc>
        <w:tc>
          <w:tcPr>
            <w:tcW w:type="dxa" w:w="2892"/>
          </w:tcPr>
          <w:p>
            <w:pPr>
              <w:pStyle w:val="Compact"/>
              <w:spacing w:line="276" w:lineRule="auto" w:before="40" w:after="40"/>
            </w:pPr>
            <w:r>
              <w:rPr>
                <w:rFonts w:ascii="Liberation Sans Narrow" w:hAnsi="Liberation Sans Narrow"/>
                <w:sz w:val="18"/>
              </w:rPr>
              <w:t xml:space="preserve">STF, Rcl 75.525, Segunda Turma, relator Min. André Mendonça, julgado em 02/12/2025</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014"/>
          </w:tcPr>
          <w:p>
            <w:pPr>
              <w:pStyle w:val="Compact"/>
              <w:spacing w:line="276" w:lineRule="auto" w:before="40" w:after="40"/>
            </w:pPr>
            <w:r>
              <w:rPr>
                <w:rFonts w:ascii="Liberation Sans Narrow" w:hAnsi="Liberation Sans Narrow"/>
                <w:sz w:val="18"/>
              </w:rPr>
              <w:t xml:space="preserve">O descumprimento da determinação de emendar a petição inicial implica o seu indeferimento (arts. 320 e 321). A exigência de juntar o ato reclamado e os documentos que permitam compreender a controvérsia não é mero formalismo: o autor tem o dever de instruir a inicial com prova documental.</w:t>
            </w:r>
          </w:p>
        </w:tc>
      </w:tr>
    </w:tbl>
    <w:p>
      <w:pPr>
        <w:pStyle w:val="BodyText"/>
        <w:keepNext/>
        <w:spacing w:after="80"/>
        <w:jc w:val="both"/>
      </w:pPr>
      <w:r>
        <w:t xml:space="preserve">Parágrafo único. Se o autor não cumprir a diligência, o juiz indeferirá a petição inicial.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561"/>
        <w:gridCol w:w="3274"/>
        <w:gridCol w:w="3519"/>
      </w:tblGrid>
      <w:tr>
        <w:trPr>
          <w:tblHeader w:val="on"/>
          <w:cantSplit/>
          <w:tblHeader/>
        </w:trPr>
        <w:tc>
          <w:tcPr>
            <w:tcW w:type="dxa" w:w="256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27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351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562"/>
          </w:tcPr>
          <w:p>
            <w:pPr>
              <w:pStyle w:val="Compact"/>
              <w:spacing w:line="276" w:lineRule="auto" w:before="40" w:after="40"/>
            </w:pPr>
            <w:r>
              <w:rPr>
                <w:rFonts w:ascii="Liberation Sans Narrow" w:hAnsi="Liberation Sans Narrow"/>
                <w:sz w:val="18"/>
              </w:rPr>
              <w:t xml:space="preserve">Parágrafo único: descumprimento da emenda e indeferimento da inicial</w:t>
            </w:r>
          </w:p>
        </w:tc>
        <w:tc>
          <w:tcPr>
            <w:tcW w:type="dxa" w:w="3274"/>
          </w:tcPr>
          <w:p>
            <w:pPr>
              <w:pStyle w:val="Compact"/>
              <w:spacing w:line="276" w:lineRule="auto" w:before="40" w:after="40"/>
            </w:pPr>
            <w:r>
              <w:rPr>
                <w:rFonts w:ascii="Liberation Sans Narrow" w:hAnsi="Liberation Sans Narrow"/>
                <w:sz w:val="18"/>
              </w:rPr>
              <w:t xml:space="preserve">STF, Rcl 74.610, Primeira Turma, relator Min. Luiz Fux, julgado em 05/03/2025</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3519"/>
          </w:tcPr>
          <w:p>
            <w:pPr>
              <w:pStyle w:val="Compact"/>
              <w:spacing w:line="276" w:lineRule="auto" w:before="40" w:after="40"/>
            </w:pPr>
            <w:r>
              <w:rPr>
                <w:rFonts w:ascii="Liberation Sans Narrow" w:hAnsi="Liberation Sans Narrow"/>
                <w:sz w:val="18"/>
              </w:rPr>
              <w:t xml:space="preserve">Não cumprida a determinação de emenda, a petição inicial é indeferida, nos termos do art. 321, parágrafo único.</w:t>
            </w:r>
          </w:p>
        </w:tc>
      </w:tr>
    </w:tbl>
    <w:bookmarkEnd w:id="19"/>
    <w:bookmarkEnd w:id="20"/>
    <w:bookmarkStart w:id="29" w:name="seção-ii-do-pedido-arts.-322-a-329"/>
    <w:p>
      <w:pPr>
        <w:pStyle w:val="Heading5"/>
        <w:spacing w:before="140" w:after="20"/>
      </w:pPr>
      <w:r>
        <w:rPr>
          <w:i/>
          <w:color w:val="595959"/>
        </w:rPr>
        <w:t xml:space="preserve">Seção II: do pedido (arts. 322 a 329)</w:t>
      </w:r>
    </w:p>
    <w:bookmarkStart w:id="21" w:name="art.-322"/>
    <w:p>
      <w:pPr>
        <w:pStyle w:val="Heading6"/>
        <w:pBdr>
          <w:left w:val="single" w:sz="36" w:space="4" w:color="2E75B6"/>
        </w:pBdr>
        <w:shd w:val="clear" w:color="auto" w:fill="E3EEF9"/>
        <w:spacing w:before="200" w:after="80"/>
        <w:ind w:left="85"/>
      </w:pPr>
      <w:r>
        <w:rPr>
          <w:i w:val="0"/>
          <w:color w:val="1F3A5F"/>
          <w:sz w:val="23"/>
        </w:rPr>
        <w:t xml:space="preserve">Art. 322</w:t>
      </w:r>
    </w:p>
    <w:p>
      <w:pPr>
        <w:pStyle w:val="FirstParagraph"/>
        <w:keepNext/>
        <w:spacing w:after="80"/>
        <w:jc w:val="both"/>
      </w:pPr>
      <w:r>
        <w:rPr>
          <w:b/>
          <w:bCs/>
        </w:rPr>
        <w:t xml:space="preserve">Art. 322.</w:t>
      </w:r>
      <w:r>
        <w:t xml:space="preserve"> </w:t>
      </w:r>
      <w:r>
        <w:t xml:space="preserve">O pedido deve ser certo.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528"/>
        <w:gridCol w:w="2334"/>
        <w:gridCol w:w="4492"/>
      </w:tblGrid>
      <w:tr>
        <w:trPr>
          <w:tblHeader w:val="on"/>
          <w:cantSplit/>
          <w:tblHeader/>
        </w:trPr>
        <w:tc>
          <w:tcPr>
            <w:tcW w:type="dxa" w:w="2529"/>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33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49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529"/>
          </w:tcPr>
          <w:p>
            <w:pPr>
              <w:pStyle w:val="Compact"/>
              <w:spacing w:line="276" w:lineRule="auto" w:before="40" w:after="40"/>
            </w:pPr>
            <w:r>
              <w:rPr>
                <w:rFonts w:ascii="Liberation Sans Narrow" w:hAnsi="Liberation Sans Narrow"/>
                <w:sz w:val="18"/>
              </w:rPr>
              <w:t xml:space="preserve">Interpretação do pedido (§ 2º): inépcia da inicial e interpretação lógico-sistemática</w:t>
            </w:r>
          </w:p>
        </w:tc>
        <w:tc>
          <w:tcPr>
            <w:tcW w:type="dxa" w:w="2334"/>
          </w:tcPr>
          <w:p>
            <w:pPr>
              <w:pStyle w:val="Compact"/>
              <w:spacing w:line="276" w:lineRule="auto" w:before="40" w:after="40"/>
            </w:pPr>
            <w:r>
              <w:rPr>
                <w:rFonts w:ascii="Liberation Sans Narrow" w:hAnsi="Liberation Sans Narrow"/>
                <w:sz w:val="18"/>
              </w:rPr>
              <w:t xml:space="preserve">STJ, AREsp 3.068.085, Quarta Turma, relator Min. Raul Araújo, julgado em 09/03/2026, DJEN de 16/03/2026</w:t>
            </w:r>
          </w:p>
        </w:tc>
        <w:tc>
          <w:tcPr>
            <w:tcW w:type="dxa" w:w="4492"/>
          </w:tcPr>
          <w:p>
            <w:pPr>
              <w:pStyle w:val="Compact"/>
              <w:spacing w:line="276" w:lineRule="auto" w:before="40" w:after="40"/>
            </w:pPr>
            <w:r>
              <w:rPr>
                <w:rFonts w:ascii="Liberation Sans Narrow" w:hAnsi="Liberation Sans Narrow"/>
                <w:sz w:val="18"/>
              </w:rPr>
              <w:t xml:space="preserve">A petição inicial não é inepta quando, a despeito de má técnica ou imprecisão terminológica, é possível compreender a causa de pedir e o pedido; admite-se a interpretação lógico-sistemática, que alcança o que decorre logicamente da causa de pedir, nos termos do § 2º.</w:t>
            </w:r>
          </w:p>
        </w:tc>
      </w:tr>
    </w:tbl>
    <w:p>
      <w:pPr>
        <w:pStyle w:val="BodyText"/>
        <w:spacing w:after="80"/>
        <w:jc w:val="both"/>
      </w:pPr>
      <w:r>
        <w:t xml:space="preserve">§ 1º Compreendem-se no principal os juros legais, a correção monetária e as verbas de sucumbência, inclusive os honorários advocatícios.</w:t>
      </w:r>
    </w:p>
    <w:p>
      <w:pPr>
        <w:pStyle w:val="BodyText"/>
        <w:spacing w:after="80"/>
        <w:jc w:val="both"/>
      </w:pPr>
      <w:r>
        <w:t xml:space="preserve">§ 2º A interpretação do pedido considerará o conjunto da postulação e observará o princípio da boa-fé.</w:t>
      </w:r>
    </w:p>
    <w:bookmarkEnd w:id="21"/>
    <w:bookmarkStart w:id="22" w:name="art.-323"/>
    <w:p>
      <w:pPr>
        <w:pStyle w:val="Heading6"/>
        <w:pBdr>
          <w:left w:val="single" w:sz="36" w:space="4" w:color="2E75B6"/>
        </w:pBdr>
        <w:shd w:val="clear" w:color="auto" w:fill="E3EEF9"/>
        <w:spacing w:before="200" w:after="80"/>
        <w:ind w:left="85"/>
      </w:pPr>
      <w:r>
        <w:rPr>
          <w:i w:val="0"/>
          <w:color w:val="1F3A5F"/>
          <w:sz w:val="23"/>
        </w:rPr>
        <w:t xml:space="preserve">Art. 323</w:t>
      </w:r>
    </w:p>
    <w:p>
      <w:pPr>
        <w:pStyle w:val="FirstParagraph"/>
        <w:keepNext/>
        <w:spacing w:after="80"/>
        <w:jc w:val="both"/>
      </w:pPr>
      <w:r>
        <w:rPr>
          <w:b/>
          <w:bCs/>
        </w:rPr>
        <w:t xml:space="preserve">Art. 323.</w:t>
      </w:r>
      <w:r>
        <w:t xml:space="preserve"> </w:t>
      </w:r>
      <w:r>
        <w:t xml:space="preserve">Na ação que tiver por objeto cumprimento de obrigação em prestações sucessivas, essas serão consideradas incluídas no pedido, independentemente de declaração expressa do autor, e serão incluídas na condenação, enquanto durar a obrigação, se o devedor, no curso do processo, deixar de pagá-las ou de consigná-las.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93"/>
        <w:gridCol w:w="3345"/>
        <w:gridCol w:w="4316"/>
      </w:tblGrid>
      <w:tr>
        <w:trPr>
          <w:tblHeader w:val="on"/>
          <w:cantSplit/>
          <w:tblHeader/>
        </w:trPr>
        <w:tc>
          <w:tcPr>
            <w:tcW w:type="dxa" w:w="1693"/>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34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31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93"/>
          </w:tcPr>
          <w:p>
            <w:pPr>
              <w:pStyle w:val="Compact"/>
              <w:spacing w:line="276" w:lineRule="auto" w:before="40" w:after="40"/>
            </w:pPr>
            <w:r>
              <w:rPr>
                <w:rFonts w:ascii="Liberation Sans Narrow" w:hAnsi="Liberation Sans Narrow"/>
                <w:sz w:val="18"/>
              </w:rPr>
              <w:t xml:space="preserve">Art. 323: limite temporal fixado no título</w:t>
            </w:r>
          </w:p>
        </w:tc>
        <w:tc>
          <w:tcPr>
            <w:tcW w:type="dxa" w:w="3345"/>
          </w:tcPr>
          <w:p>
            <w:pPr>
              <w:pStyle w:val="Compact"/>
              <w:spacing w:line="276" w:lineRule="auto" w:before="40" w:after="40"/>
            </w:pPr>
            <w:r>
              <w:rPr>
                <w:rFonts w:ascii="Liberation Sans Narrow" w:hAnsi="Liberation Sans Narrow"/>
                <w:sz w:val="18"/>
              </w:rPr>
              <w:t xml:space="preserve">STJ, AgInt no AREsp 2.996.755, Quarta Turma, relatora Min. Maria Isabel Gallotti, julgado em 22/06/2026, DJEN de 26/06/2026</w:t>
            </w:r>
          </w:p>
        </w:tc>
        <w:tc>
          <w:tcPr>
            <w:tcW w:type="dxa" w:w="4316"/>
          </w:tcPr>
          <w:p>
            <w:pPr>
              <w:pStyle w:val="Compact"/>
              <w:spacing w:line="276" w:lineRule="auto" w:before="40" w:after="40"/>
            </w:pPr>
            <w:r>
              <w:rPr>
                <w:rFonts w:ascii="Liberation Sans Narrow" w:hAnsi="Liberation Sans Narrow"/>
                <w:sz w:val="18"/>
              </w:rPr>
              <w:t xml:space="preserve">A inclusão de parcelas vincendas é vedada na liquidação ou na execução quando o título fixa período certo (2018–2021), sob pena de ofensa à coisa julgada; sentença ilíquida não autoriza ampliar o marco temporal delimitado, e inclusões posteriores violam o art. 503.</w:t>
            </w:r>
          </w:p>
        </w:tc>
      </w:tr>
      <w:tr>
        <w:trPr>
          <w:cantSplit/>
        </w:trPr>
        <w:tc>
          <w:tcPr>
            <w:tcW w:type="dxa" w:w="1693"/>
          </w:tcPr>
          <w:p>
            <w:pPr>
              <w:pStyle w:val="Compact"/>
              <w:spacing w:line="276" w:lineRule="auto" w:before="40" w:after="40"/>
            </w:pPr>
            <w:r>
              <w:rPr>
                <w:rFonts w:ascii="Liberation Sans Narrow" w:hAnsi="Liberation Sans Narrow"/>
                <w:sz w:val="18"/>
              </w:rPr>
              <w:t xml:space="preserve">Art. 323: relação de trato sucessivo (locação)</w:t>
            </w:r>
          </w:p>
        </w:tc>
        <w:tc>
          <w:tcPr>
            <w:tcW w:type="dxa" w:w="3345"/>
          </w:tcPr>
          <w:p>
            <w:pPr>
              <w:pStyle w:val="Compact"/>
              <w:spacing w:line="276" w:lineRule="auto" w:before="40" w:after="40"/>
            </w:pPr>
            <w:r>
              <w:rPr>
                <w:rFonts w:ascii="Liberation Sans Narrow" w:hAnsi="Liberation Sans Narrow"/>
                <w:sz w:val="18"/>
              </w:rPr>
              <w:t xml:space="preserve">STJ, REsp 2.235.749, Quarta Turma, relator Min. João Otávio de Noronha, julgado em 22/04/2026, DJEN de 27/04/2026</w:t>
            </w:r>
          </w:p>
        </w:tc>
        <w:tc>
          <w:tcPr>
            <w:tcW w:type="dxa" w:w="4316"/>
          </w:tcPr>
          <w:p>
            <w:pPr>
              <w:pStyle w:val="Compact"/>
              <w:spacing w:line="276" w:lineRule="auto" w:before="40" w:after="40"/>
            </w:pPr>
            <w:r>
              <w:rPr>
                <w:rFonts w:ascii="Liberation Sans Narrow" w:hAnsi="Liberation Sans Narrow"/>
                <w:sz w:val="18"/>
              </w:rPr>
              <w:t xml:space="preserve">As relações locatícias são de trato sucessivo e autorizam a inclusão, na condenação, das verbas vencidas e das vincendas até a desocupação, mediante interpretação lógico-sistemática dos pedidos da inicial. O tribunal de origem havia excluído água, luz e reparos como julgamento ultra petita; o STJ reconheceu a ofensa ao art. 323 e proveu em parte o recurso.</w:t>
            </w:r>
          </w:p>
        </w:tc>
      </w:tr>
      <w:tr>
        <w:trPr>
          <w:cantSplit/>
        </w:trPr>
        <w:tc>
          <w:tcPr>
            <w:tcW w:type="dxa" w:w="1693"/>
          </w:tcPr>
          <w:p>
            <w:pPr>
              <w:pStyle w:val="Compact"/>
              <w:spacing w:line="276" w:lineRule="auto" w:before="40" w:after="40"/>
            </w:pPr>
            <w:r>
              <w:rPr>
                <w:rFonts w:ascii="Liberation Sans Narrow" w:hAnsi="Liberation Sans Narrow"/>
                <w:sz w:val="18"/>
              </w:rPr>
              <w:t xml:space="preserve">Art. 323: execução de parcelas vencidas e vincendas</w:t>
            </w:r>
          </w:p>
        </w:tc>
        <w:tc>
          <w:tcPr>
            <w:tcW w:type="dxa" w:w="3345"/>
          </w:tcPr>
          <w:p>
            <w:pPr>
              <w:pStyle w:val="Compact"/>
              <w:spacing w:line="276" w:lineRule="auto" w:before="40" w:after="40"/>
            </w:pPr>
            <w:r>
              <w:rPr>
                <w:rFonts w:ascii="Liberation Sans Narrow" w:hAnsi="Liberation Sans Narrow"/>
                <w:sz w:val="18"/>
              </w:rPr>
              <w:t xml:space="preserve">STJ, REsp 2.187.534, Terceira Turma, relator Min. Moura Ribeiro, julgado em 09/02/2026, DJEN de 13/02/2026</w:t>
            </w:r>
          </w:p>
        </w:tc>
        <w:tc>
          <w:tcPr>
            <w:tcW w:type="dxa" w:w="4316"/>
          </w:tcPr>
          <w:p>
            <w:pPr>
              <w:pStyle w:val="Compact"/>
              <w:spacing w:line="276" w:lineRule="auto" w:before="40" w:after="40"/>
            </w:pPr>
            <w:r>
              <w:rPr>
                <w:rFonts w:ascii="Liberation Sans Narrow" w:hAnsi="Liberation Sans Narrow"/>
                <w:sz w:val="18"/>
              </w:rPr>
              <w:t xml:space="preserve">O art. 323 admite a condenação e a execução de prestações sucessivas vencidas no curso do processo e das vincendas até o efetivo pagamento, quando contínuas, homogêneas e derivadas da mesma fonte. Se o acordo homologado, título executivo judicial, prevê o adimplemento das cotas vincendas, é possível incluí-las no cumprimento de sentença, bem como as vencidas no curso do processo e não pagas, sem violar a coisa julgada.</w:t>
            </w:r>
          </w:p>
        </w:tc>
      </w:tr>
    </w:tbl>
    <w:bookmarkEnd w:id="22"/>
    <w:bookmarkStart w:id="23" w:name="art.-324"/>
    <w:p>
      <w:pPr>
        <w:pStyle w:val="Heading6"/>
        <w:pBdr>
          <w:left w:val="single" w:sz="36" w:space="4" w:color="2E75B6"/>
        </w:pBdr>
        <w:shd w:val="clear" w:color="auto" w:fill="E3EEF9"/>
        <w:spacing w:before="200" w:after="80"/>
        <w:ind w:left="85"/>
      </w:pPr>
      <w:r>
        <w:rPr>
          <w:i w:val="0"/>
          <w:color w:val="1F3A5F"/>
          <w:sz w:val="23"/>
        </w:rPr>
        <w:t xml:space="preserve">Art. 324</w:t>
      </w:r>
    </w:p>
    <w:p>
      <w:pPr>
        <w:pStyle w:val="FirstParagraph"/>
        <w:spacing w:after="80"/>
        <w:jc w:val="both"/>
      </w:pPr>
      <w:r>
        <w:rPr>
          <w:b/>
          <w:bCs/>
        </w:rPr>
        <w:t xml:space="preserve">Art. 324.</w:t>
      </w:r>
      <w:r>
        <w:t xml:space="preserve"> </w:t>
      </w:r>
      <w:r>
        <w:t xml:space="preserve">O pedido deve ser determinado.</w:t>
      </w:r>
    </w:p>
    <w:p>
      <w:pPr>
        <w:pStyle w:val="BodyText"/>
        <w:spacing w:after="80"/>
        <w:jc w:val="both"/>
      </w:pPr>
      <w:r>
        <w:t xml:space="preserve">§ 1º É lícito, porém, formular pedido genérico:</w:t>
      </w:r>
    </w:p>
    <w:p>
      <w:pPr>
        <w:pStyle w:val="BodyText"/>
        <w:spacing w:after="80"/>
        <w:jc w:val="both"/>
      </w:pPr>
      <w:r>
        <w:t xml:space="preserve">I - nas ações universais, se o autor não puder individuar os bens demandados;</w:t>
      </w:r>
    </w:p>
    <w:p>
      <w:pPr>
        <w:pStyle w:val="BodyText"/>
        <w:keepNext/>
        <w:spacing w:after="80"/>
        <w:jc w:val="both"/>
      </w:pPr>
      <w:r>
        <w:t xml:space="preserve">II - quando não for possível determinar, desde logo, as consequências do ato ou do fato;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86"/>
        <w:gridCol w:w="2557"/>
        <w:gridCol w:w="5111"/>
      </w:tblGrid>
      <w:tr>
        <w:trPr>
          <w:tblHeader w:val="on"/>
          <w:cantSplit/>
          <w:tblHeader/>
        </w:trPr>
        <w:tc>
          <w:tcPr>
            <w:tcW w:type="dxa" w:w="1686"/>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5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11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86"/>
          </w:tcPr>
          <w:p>
            <w:pPr>
              <w:pStyle w:val="Compact"/>
              <w:spacing w:line="276" w:lineRule="auto" w:before="40" w:after="40"/>
            </w:pPr>
            <w:r>
              <w:rPr>
                <w:rFonts w:ascii="Liberation Sans Narrow" w:hAnsi="Liberation Sans Narrow"/>
                <w:sz w:val="18"/>
              </w:rPr>
              <w:t xml:space="preserve">Art. 324, § 1º, II: pedido genérico em indenização</w:t>
            </w:r>
          </w:p>
        </w:tc>
        <w:tc>
          <w:tcPr>
            <w:tcW w:type="dxa" w:w="2557"/>
          </w:tcPr>
          <w:p>
            <w:pPr>
              <w:pStyle w:val="Compact"/>
              <w:spacing w:line="276" w:lineRule="auto" w:before="40" w:after="40"/>
            </w:pPr>
            <w:r>
              <w:rPr>
                <w:rFonts w:ascii="Liberation Sans Narrow" w:hAnsi="Liberation Sans Narrow"/>
                <w:sz w:val="18"/>
              </w:rPr>
              <w:t xml:space="preserve">STJ, AgInt no AREsp 2.760.574, Terceira Turma, relatora Min. Nancy Andrighi, DJe de 27/03/2025</w:t>
            </w:r>
          </w:p>
        </w:tc>
        <w:tc>
          <w:tcPr>
            <w:tcW w:type="dxa" w:w="5111"/>
          </w:tcPr>
          <w:p>
            <w:pPr>
              <w:pStyle w:val="Compact"/>
              <w:spacing w:line="276" w:lineRule="auto" w:before="40" w:after="40"/>
            </w:pPr>
            <w:r>
              <w:rPr>
                <w:rFonts w:ascii="Liberation Sans Narrow" w:hAnsi="Liberation Sans Narrow"/>
                <w:sz w:val="18"/>
              </w:rPr>
              <w:t xml:space="preserve">Mesma orientação: ainda que a lei exija pedido certo e determinado, admite-se o genérico quando não se pode definir, initio litis, o quantum debeatur, como no pedido de indenização por danos materiais e morais. O acórdão de origem foi mantido por estar em consonância com a jurisprudência do STJ (Súmula 83/STJ), sem tese nova sobre o alcance do inciso.</w:t>
            </w:r>
          </w:p>
        </w:tc>
      </w:tr>
    </w:tbl>
    <w:p>
      <w:pPr>
        <w:pStyle w:val="BodyText"/>
        <w:keepNext/>
        <w:spacing w:after="80"/>
        <w:jc w:val="both"/>
      </w:pPr>
      <w:r>
        <w:t xml:space="preserve">III - quando a determinação do objeto ou do valor da condenação depender de ato que deva ser praticado pelo réu.</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61"/>
        <w:gridCol w:w="2281"/>
        <w:gridCol w:w="4912"/>
      </w:tblGrid>
      <w:tr>
        <w:trPr>
          <w:tblHeader w:val="on"/>
          <w:cantSplit/>
          <w:tblHeader/>
        </w:trPr>
        <w:tc>
          <w:tcPr>
            <w:tcW w:type="dxa" w:w="216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28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91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61"/>
          </w:tcPr>
          <w:p>
            <w:pPr>
              <w:pStyle w:val="Compact"/>
              <w:spacing w:line="276" w:lineRule="auto" w:before="40" w:after="40"/>
            </w:pPr>
            <w:r>
              <w:rPr>
                <w:rFonts w:ascii="Liberation Sans Narrow" w:hAnsi="Liberation Sans Narrow"/>
                <w:sz w:val="18"/>
              </w:rPr>
              <w:t xml:space="preserve">Art. 324, § 1º, III: pedido genérico em ação revisional de contrato bancário</w:t>
            </w:r>
          </w:p>
        </w:tc>
        <w:tc>
          <w:tcPr>
            <w:tcW w:type="dxa" w:w="2281"/>
          </w:tcPr>
          <w:p>
            <w:pPr>
              <w:pStyle w:val="Compact"/>
              <w:spacing w:line="276" w:lineRule="auto" w:before="40" w:after="40"/>
            </w:pPr>
            <w:r>
              <w:rPr>
                <w:rFonts w:ascii="Liberation Sans Narrow" w:hAnsi="Liberation Sans Narrow"/>
                <w:sz w:val="18"/>
              </w:rPr>
              <w:t xml:space="preserve">STJ, AREsp 2.852.331, Quinta Turma, relatora Min. Daniela Teixeira, DJe de 02/10/2025</w:t>
            </w:r>
          </w:p>
        </w:tc>
        <w:tc>
          <w:tcPr>
            <w:tcW w:type="dxa" w:w="4912"/>
          </w:tcPr>
          <w:p>
            <w:pPr>
              <w:pStyle w:val="Compact"/>
              <w:spacing w:line="276" w:lineRule="auto" w:before="40" w:after="40"/>
            </w:pPr>
            <w:r>
              <w:rPr>
                <w:rFonts w:ascii="Liberation Sans Narrow" w:hAnsi="Liberation Sans Narrow"/>
                <w:sz w:val="18"/>
              </w:rPr>
              <w:t xml:space="preserve">A jurisprudência do STJ não admite pedido genérico em ação revisional de contrato bancário, exigindo pedido certo e determinado; como o acórdão recorrido decidira nesse sentido, incidiu a Súmula 83/STJ e o agravo não foi conhecido. A tese vem afirmada na fundamentação, não em dispositivo de mérito.</w:t>
            </w:r>
          </w:p>
        </w:tc>
      </w:tr>
    </w:tbl>
    <w:p>
      <w:pPr>
        <w:pStyle w:val="BodyText"/>
        <w:spacing w:after="80"/>
        <w:jc w:val="both"/>
      </w:pPr>
      <w:r>
        <w:t xml:space="preserve">§ 2º O disposto neste artigo aplica-se à reconvenção.</w:t>
      </w:r>
    </w:p>
    <w:bookmarkEnd w:id="23"/>
    <w:bookmarkStart w:id="24" w:name="art.-325"/>
    <w:p>
      <w:pPr>
        <w:pStyle w:val="Heading6"/>
        <w:pBdr>
          <w:left w:val="single" w:sz="36" w:space="4" w:color="2E75B6"/>
        </w:pBdr>
        <w:shd w:val="clear" w:color="auto" w:fill="E3EEF9"/>
        <w:spacing w:before="200" w:after="80"/>
        <w:ind w:left="85"/>
      </w:pPr>
      <w:r>
        <w:rPr>
          <w:i w:val="0"/>
          <w:color w:val="1F3A5F"/>
          <w:sz w:val="23"/>
        </w:rPr>
        <w:t xml:space="preserve">Art. 325</w:t>
      </w:r>
    </w:p>
    <w:p>
      <w:pPr>
        <w:pStyle w:val="FirstParagraph"/>
        <w:keepNext/>
        <w:spacing w:after="80"/>
        <w:jc w:val="both"/>
      </w:pPr>
      <w:r>
        <w:rPr>
          <w:b/>
          <w:bCs/>
        </w:rPr>
        <w:t xml:space="preserve">Art. 325.</w:t>
      </w:r>
      <w:r>
        <w:t xml:space="preserve"> </w:t>
      </w:r>
      <w:r>
        <w:t xml:space="preserve">O pedido será alternativo quando, pela natureza da obrigação, o devedor puder cumprir a prestação de mais de um modo.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2497"/>
        <w:gridCol w:w="5327"/>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49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327"/>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Caput — aplicação (aplicação narrada)</w:t>
            </w:r>
          </w:p>
        </w:tc>
        <w:tc>
          <w:tcPr>
            <w:tcW w:type="dxa" w:w="2497"/>
          </w:tcPr>
          <w:p>
            <w:pPr>
              <w:pStyle w:val="Compact"/>
              <w:spacing w:line="276" w:lineRule="auto" w:before="40" w:after="40"/>
            </w:pPr>
            <w:r>
              <w:rPr>
                <w:rFonts w:ascii="Liberation Sans Narrow" w:hAnsi="Liberation Sans Narrow"/>
                <w:sz w:val="18"/>
              </w:rPr>
              <w:t xml:space="preserve">STJ, AREsp 3.124.278, Terceira Turma, relator Min. Moura Ribeiro, julgado em 01/06/2026</w:t>
            </w:r>
          </w:p>
        </w:tc>
        <w:tc>
          <w:tcPr>
            <w:tcW w:type="dxa" w:w="5327"/>
          </w:tcPr>
          <w:p>
            <w:pPr>
              <w:pStyle w:val="Compact"/>
              <w:spacing w:line="276" w:lineRule="auto" w:before="40" w:after="40"/>
            </w:pPr>
            <w:r>
              <w:rPr>
                <w:rFonts w:ascii="Liberation Sans Narrow" w:hAnsi="Liberation Sans Narrow"/>
                <w:sz w:val="18"/>
              </w:rPr>
              <w:t xml:space="preserve">No caso, não houve julgamento extra petita porque a condenação em danos materiais decorreu de pedido alternativo expressamente formulado na inicial (reparação ou indenização pelo descumprimento): o pedido alternativo foi interpretado de forma lógico-sistemática, à luz do conjunto da petição inicial, e não isoladamente, de modo que a escolha de um dos ramos pelo julgador permaneceu dentro do objeto litigioso. Trecho: “Não se caracteriza julgamento extra petita quando a condenação em danos materiais decorre de pedido alternativo expressamente formulado, sendo o pedido interpretado de forma lógico-sistemática à luz da petição inicial.”</w:t>
            </w:r>
          </w:p>
        </w:tc>
      </w:tr>
    </w:tbl>
    <w:p>
      <w:pPr>
        <w:pStyle w:val="BodyText"/>
        <w:spacing w:after="80"/>
        <w:jc w:val="both"/>
      </w:pPr>
      <w:r>
        <w:t xml:space="preserve">Parágrafo único. Quando, pela lei ou pelo contrato, a escolha couber ao devedor, o juiz lhe assegurará o direito de cumprir a prestação de um ou de outro modo, ainda que o autor não tenha formulado pedido alternativo.</w:t>
      </w:r>
    </w:p>
    <w:bookmarkEnd w:id="24"/>
    <w:bookmarkStart w:id="25" w:name="art.-326"/>
    <w:p>
      <w:pPr>
        <w:pStyle w:val="Heading6"/>
        <w:pBdr>
          <w:left w:val="single" w:sz="36" w:space="4" w:color="2E75B6"/>
        </w:pBdr>
        <w:shd w:val="clear" w:color="auto" w:fill="E3EEF9"/>
        <w:spacing w:before="200" w:after="80"/>
        <w:ind w:left="85"/>
      </w:pPr>
      <w:r>
        <w:rPr>
          <w:i w:val="0"/>
          <w:color w:val="1F3A5F"/>
          <w:sz w:val="23"/>
        </w:rPr>
        <w:t xml:space="preserve">Art. 326</w:t>
      </w:r>
    </w:p>
    <w:p>
      <w:pPr>
        <w:pStyle w:val="FirstParagraph"/>
        <w:keepNext/>
        <w:spacing w:after="80"/>
        <w:jc w:val="both"/>
      </w:pPr>
      <w:r>
        <w:rPr>
          <w:b/>
          <w:bCs/>
        </w:rPr>
        <w:t xml:space="preserve">Art. 326.</w:t>
      </w:r>
      <w:r>
        <w:t xml:space="preserve"> </w:t>
      </w:r>
      <w:r>
        <w:t xml:space="preserve">É lícito formular mais de um pedido em ordem subsidiária, a fim de que o juiz conheça do posterior, quando não acolher o anterior.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02"/>
        <w:gridCol w:w="3052"/>
        <w:gridCol w:w="4201"/>
      </w:tblGrid>
      <w:tr>
        <w:trPr>
          <w:tblHeader w:val="on"/>
          <w:cantSplit/>
          <w:tblHeader/>
        </w:trPr>
        <w:tc>
          <w:tcPr>
            <w:tcW w:type="dxa" w:w="210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05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20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02"/>
          </w:tcPr>
          <w:p>
            <w:pPr>
              <w:pStyle w:val="Compact"/>
              <w:spacing w:line="276" w:lineRule="auto" w:before="40" w:after="40"/>
            </w:pPr>
            <w:r>
              <w:rPr>
                <w:rFonts w:ascii="Liberation Sans Narrow" w:hAnsi="Liberation Sans Narrow"/>
                <w:sz w:val="18"/>
              </w:rPr>
              <w:t xml:space="preserve">Art. 326, caput: ordem de exame na cumulação sucessiva</w:t>
            </w:r>
          </w:p>
        </w:tc>
        <w:tc>
          <w:tcPr>
            <w:tcW w:type="dxa" w:w="3052"/>
          </w:tcPr>
          <w:p>
            <w:pPr>
              <w:pStyle w:val="Compact"/>
              <w:spacing w:line="276" w:lineRule="auto" w:before="40" w:after="40"/>
            </w:pPr>
            <w:r>
              <w:rPr>
                <w:rFonts w:ascii="Liberation Sans Narrow" w:hAnsi="Liberation Sans Narrow"/>
                <w:sz w:val="18"/>
              </w:rPr>
              <w:t xml:space="preserve">STJ, AREsp 3.096.424, Terceira Turma, relator Min. Ricardo Villas Bôas Cueva, julgado em 18/05/2026, DJEN de 21/05/2026</w:t>
            </w:r>
          </w:p>
        </w:tc>
        <w:tc>
          <w:tcPr>
            <w:tcW w:type="dxa" w:w="4200"/>
          </w:tcPr>
          <w:p>
            <w:pPr>
              <w:pStyle w:val="Compact"/>
              <w:spacing w:line="276" w:lineRule="auto" w:before="40" w:after="40"/>
            </w:pPr>
            <w:r>
              <w:rPr>
                <w:rFonts w:ascii="Liberation Sans Narrow" w:hAnsi="Liberation Sans Narrow"/>
                <w:sz w:val="18"/>
              </w:rPr>
              <w:t xml:space="preserve">Na cumulação sucessiva de pedidos, em que o acolhimento de um depende do acolhimento de outro, o tribunal deve examinar e decidir expressamente o pedido principal antes de se pronunciar sobre o sucessivo. Examinar o pedido condenatório, formulado</w:t>
            </w:r>
            <w:r>
              <w:rPr>
                <w:rFonts w:ascii="Liberation Sans Narrow" w:hAnsi="Liberation Sans Narrow"/>
                <w:sz w:val="18"/>
              </w:rPr>
              <w:t xml:space="preserve"> </w:t>
            </w:r>
            <w:r>
              <w:rPr>
                <w:rFonts w:ascii="Liberation Sans Narrow" w:hAnsi="Liberation Sans Narrow"/>
                <w:sz w:val="18"/>
              </w:rPr>
              <w:t xml:space="preserve">“como consequência do pedido anterior”</w:t>
            </w:r>
            <w:r>
              <w:rPr>
                <w:rFonts w:ascii="Liberation Sans Narrow" w:hAnsi="Liberation Sans Narrow"/>
                <w:sz w:val="18"/>
              </w:rPr>
              <w:t xml:space="preserve">, sem o juízo expresso de procedência do principal configura julgamento extra petita (arts. 141 e 492 do CPC).</w:t>
            </w:r>
          </w:p>
        </w:tc>
      </w:tr>
      <w:tr>
        <w:trPr>
          <w:cantSplit/>
        </w:trPr>
        <w:tc>
          <w:tcPr>
            <w:tcW w:type="dxa" w:w="2102"/>
          </w:tcPr>
          <w:p>
            <w:pPr>
              <w:pStyle w:val="Compact"/>
              <w:spacing w:line="276" w:lineRule="auto" w:before="40" w:after="40"/>
            </w:pPr>
            <w:r>
              <w:rPr>
                <w:rFonts w:ascii="Liberation Sans Narrow" w:hAnsi="Liberation Sans Narrow"/>
                <w:sz w:val="18"/>
              </w:rPr>
              <w:t xml:space="preserve">Art. 326, caput: dever de examinar o pedido subsidiário rejeitado na sentença</w:t>
            </w:r>
          </w:p>
        </w:tc>
        <w:tc>
          <w:tcPr>
            <w:tcW w:type="dxa" w:w="3052"/>
          </w:tcPr>
          <w:p>
            <w:pPr>
              <w:pStyle w:val="Compact"/>
              <w:spacing w:line="276" w:lineRule="auto" w:before="40" w:after="40"/>
            </w:pPr>
            <w:r>
              <w:rPr>
                <w:rFonts w:ascii="Liberation Sans Narrow" w:hAnsi="Liberation Sans Narrow"/>
                <w:sz w:val="18"/>
              </w:rPr>
              <w:t xml:space="preserve">STJ, REsp 2.193.434, Quarta Turma, relator Min. Raul Araújo, julgado em 02/03/2026, DJEN de 11/03/2026</w:t>
            </w:r>
          </w:p>
        </w:tc>
        <w:tc>
          <w:tcPr>
            <w:tcW w:type="dxa" w:w="4200"/>
          </w:tcPr>
          <w:p>
            <w:pPr>
              <w:pStyle w:val="Compact"/>
              <w:spacing w:line="276" w:lineRule="auto" w:before="40" w:after="40"/>
            </w:pPr>
            <w:r>
              <w:rPr>
                <w:rFonts w:ascii="Liberation Sans Narrow" w:hAnsi="Liberation Sans Narrow"/>
                <w:sz w:val="18"/>
              </w:rPr>
              <w:t xml:space="preserve">O pedido subsidiário formulado na inicial e rejeitado na sentença deve ser analisado pelo tribunal de origem, conforme o art. 326. Não há inovação recursal na apelação que o reitera, nem violação ao princípio da não surpresa, pois o pedido constava da inicial e foi objeto de deliberação na sentença; provido o recurso para anular o acórdão e determinar o retorno dos autos.</w:t>
            </w:r>
          </w:p>
        </w:tc>
      </w:tr>
      <w:tr>
        <w:trPr>
          <w:cantSplit/>
        </w:trPr>
        <w:tc>
          <w:tcPr>
            <w:tcW w:type="dxa" w:w="2102"/>
          </w:tcPr>
          <w:p>
            <w:pPr>
              <w:pStyle w:val="Compact"/>
              <w:spacing w:line="276" w:lineRule="auto" w:before="40" w:after="40"/>
            </w:pPr>
            <w:r>
              <w:rPr>
                <w:rFonts w:ascii="Liberation Sans Narrow" w:hAnsi="Liberation Sans Narrow"/>
                <w:sz w:val="18"/>
              </w:rPr>
              <w:t xml:space="preserve">Art. 326, caput: cumulação subsidiária na ação de improbidade</w:t>
            </w:r>
          </w:p>
        </w:tc>
        <w:tc>
          <w:tcPr>
            <w:tcW w:type="dxa" w:w="3052"/>
          </w:tcPr>
          <w:p>
            <w:pPr>
              <w:pStyle w:val="Compact"/>
              <w:spacing w:line="276" w:lineRule="auto" w:before="40" w:after="40"/>
            </w:pPr>
            <w:r>
              <w:rPr>
                <w:rFonts w:ascii="Liberation Sans Narrow" w:hAnsi="Liberation Sans Narrow"/>
                <w:sz w:val="18"/>
              </w:rPr>
              <w:t xml:space="preserve">STJ, AgInt no AREsp 2.840.462, Segunda Turma, relator Min. Francisco Falcão, DJe de 26/11/2025</w:t>
            </w:r>
          </w:p>
        </w:tc>
        <w:tc>
          <w:tcPr>
            <w:tcW w:type="dxa" w:w="4200"/>
          </w:tcPr>
          <w:p>
            <w:pPr>
              <w:pStyle w:val="Compact"/>
              <w:spacing w:line="276" w:lineRule="auto" w:before="40" w:after="40"/>
            </w:pPr>
            <w:r>
              <w:rPr>
                <w:rFonts w:ascii="Liberation Sans Narrow" w:hAnsi="Liberation Sans Narrow"/>
                <w:sz w:val="18"/>
              </w:rPr>
              <w:t xml:space="preserve">O art. 326 autoriza o Ministério Público a formular pedidos cumulativos na ação de improbidade, inclusive em ordem subsidiária — por exemplo, sanção por enriquecimento ilícito (art. 9º) e, subsidiariamente, por ato que atenta contra os princípios da administração pública (art. 11). Depois da Lei n. 14.230/2021, vedou-se apenas a condenação por ato de improbidade não especificado na inicial, não a cumulação.</w:t>
            </w:r>
          </w:p>
        </w:tc>
      </w:tr>
    </w:tbl>
    <w:p>
      <w:pPr>
        <w:pStyle w:val="BodyText"/>
        <w:keepNext/>
        <w:spacing w:after="80"/>
        <w:jc w:val="both"/>
      </w:pPr>
      <w:r>
        <w:t xml:space="preserve">Parágrafo único. É lícito formular mais de um pedido, alternativamente, para que o juiz acolha um deles.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631"/>
        <w:gridCol w:w="2572"/>
        <w:gridCol w:w="4151"/>
      </w:tblGrid>
      <w:tr>
        <w:trPr>
          <w:tblHeader w:val="on"/>
          <w:cantSplit/>
          <w:tblHeader/>
        </w:trPr>
        <w:tc>
          <w:tcPr>
            <w:tcW w:type="dxa" w:w="26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7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15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631"/>
          </w:tcPr>
          <w:p>
            <w:pPr>
              <w:pStyle w:val="Compact"/>
              <w:spacing w:line="276" w:lineRule="auto" w:before="40" w:after="40"/>
            </w:pPr>
            <w:r>
              <w:rPr>
                <w:rFonts w:ascii="Liberation Sans Narrow" w:hAnsi="Liberation Sans Narrow"/>
                <w:sz w:val="18"/>
              </w:rPr>
              <w:t xml:space="preserve">Parágrafo único — acolhimento de um dos pedidos alternativos como satisfação integral da pretensão</w:t>
            </w:r>
          </w:p>
        </w:tc>
        <w:tc>
          <w:tcPr>
            <w:tcW w:type="dxa" w:w="2572"/>
          </w:tcPr>
          <w:p>
            <w:pPr>
              <w:pStyle w:val="Compact"/>
              <w:spacing w:line="276" w:lineRule="auto" w:before="40" w:after="40"/>
            </w:pPr>
            <w:r>
              <w:rPr>
                <w:rFonts w:ascii="Liberation Sans Narrow" w:hAnsi="Liberation Sans Narrow"/>
                <w:sz w:val="18"/>
              </w:rPr>
              <w:t xml:space="preserve">STJ, REsp 2.240.917, Terceira Turma, relator Min. Ricardo Villas Bôas Cueva, julgado em 18/08/2026</w:t>
            </w:r>
          </w:p>
        </w:tc>
        <w:tc>
          <w:tcPr>
            <w:tcW w:type="dxa" w:w="4151"/>
          </w:tcPr>
          <w:p>
            <w:pPr>
              <w:pStyle w:val="Compact"/>
              <w:spacing w:line="276" w:lineRule="auto" w:before="40" w:after="40"/>
            </w:pPr>
            <w:r>
              <w:rPr>
                <w:rFonts w:ascii="Liberation Sans Narrow" w:hAnsi="Liberation Sans Narrow"/>
                <w:sz w:val="18"/>
              </w:rPr>
              <w:t xml:space="preserve">O acolhimento do pedido alternativo formulado pela parte autora não caracteriza sucumbência recíproca, pois representa, na hipótese, a integral satisfação da pretensão deduzida em juízo.</w:t>
            </w:r>
          </w:p>
        </w:tc>
      </w:tr>
    </w:tbl>
    <w:bookmarkEnd w:id="25"/>
    <w:bookmarkStart w:id="26" w:name="art.-327"/>
    <w:p>
      <w:pPr>
        <w:pStyle w:val="Heading6"/>
        <w:pBdr>
          <w:left w:val="single" w:sz="36" w:space="4" w:color="2E75B6"/>
        </w:pBdr>
        <w:shd w:val="clear" w:color="auto" w:fill="E3EEF9"/>
        <w:spacing w:before="200" w:after="80"/>
        <w:ind w:left="85"/>
      </w:pPr>
      <w:r>
        <w:rPr>
          <w:i w:val="0"/>
          <w:color w:val="1F3A5F"/>
          <w:sz w:val="23"/>
        </w:rPr>
        <w:t xml:space="preserve">Art. 327</w:t>
      </w:r>
    </w:p>
    <w:p>
      <w:pPr>
        <w:pStyle w:val="FirstParagraph"/>
        <w:keepNext/>
        <w:spacing w:after="80"/>
        <w:jc w:val="both"/>
      </w:pPr>
      <w:r>
        <w:rPr>
          <w:b/>
          <w:bCs/>
        </w:rPr>
        <w:t xml:space="preserve">Art. 327.</w:t>
      </w:r>
      <w:r>
        <w:t xml:space="preserve"> </w:t>
      </w:r>
      <w:r>
        <w:t xml:space="preserve">É lícita a cumulação, em um único processo, contra o mesmo réu, de vários pedidos, ainda que entre eles não haja conexão.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19"/>
        <w:gridCol w:w="2892"/>
        <w:gridCol w:w="4843"/>
      </w:tblGrid>
      <w:tr>
        <w:trPr>
          <w:tblHeader w:val="on"/>
          <w:cantSplit/>
          <w:tblHeader/>
        </w:trPr>
        <w:tc>
          <w:tcPr>
            <w:tcW w:type="dxa" w:w="1619"/>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9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4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19"/>
          </w:tcPr>
          <w:p>
            <w:pPr>
              <w:pStyle w:val="Compact"/>
              <w:spacing w:line="276" w:lineRule="auto" w:before="40" w:after="40"/>
            </w:pPr>
            <w:r>
              <w:rPr>
                <w:rFonts w:ascii="Liberation Sans Narrow" w:hAnsi="Liberation Sans Narrow"/>
                <w:sz w:val="18"/>
              </w:rPr>
              <w:t xml:space="preserve">Cumulação sucessiva de pedidos: ordem de julgamento</w:t>
            </w:r>
          </w:p>
        </w:tc>
        <w:tc>
          <w:tcPr>
            <w:tcW w:type="dxa" w:w="2892"/>
          </w:tcPr>
          <w:p>
            <w:pPr>
              <w:pStyle w:val="Compact"/>
              <w:spacing w:line="276" w:lineRule="auto" w:before="40" w:after="40"/>
            </w:pPr>
            <w:r>
              <w:rPr>
                <w:rFonts w:ascii="Liberation Sans Narrow" w:hAnsi="Liberation Sans Narrow"/>
                <w:sz w:val="18"/>
              </w:rPr>
              <w:t xml:space="preserve">STJ, AREsp 3.096.424, Terceira Turma, relator Min. Ricardo Villas Bôas Cueva, julgado em 18/05/2026, DJEN de 21/05/2026</w:t>
            </w:r>
          </w:p>
        </w:tc>
        <w:tc>
          <w:tcPr>
            <w:tcW w:type="dxa" w:w="4843"/>
          </w:tcPr>
          <w:p>
            <w:pPr>
              <w:pStyle w:val="Compact"/>
              <w:spacing w:line="276" w:lineRule="auto" w:before="40" w:after="40"/>
            </w:pPr>
            <w:r>
              <w:rPr>
                <w:rFonts w:ascii="Liberation Sans Narrow" w:hAnsi="Liberation Sans Narrow"/>
                <w:sz w:val="18"/>
              </w:rPr>
              <w:t xml:space="preserve">Na cumulação sucessiva (art. 327), em que o acolhimento de um pedido depende do acolhimento de outro, o tribunal deve decidir expressamente o pedido principal antes de se pronunciar sobre o sucessivo, sob pena de julgamento extra petita (arts. 141 e 492).</w:t>
            </w:r>
          </w:p>
        </w:tc>
      </w:tr>
    </w:tbl>
    <w:p>
      <w:pPr>
        <w:pStyle w:val="BodyText"/>
        <w:spacing w:after="80"/>
        <w:jc w:val="both"/>
      </w:pPr>
      <w:r>
        <w:t xml:space="preserve">§ 1º São requisitos de admissibilidade da cumulação que:</w:t>
      </w:r>
    </w:p>
    <w:p>
      <w:pPr>
        <w:pStyle w:val="BodyText"/>
        <w:spacing w:after="80"/>
        <w:jc w:val="both"/>
      </w:pPr>
      <w:r>
        <w:t xml:space="preserve">I - os pedidos sejam compatíveis entre si;</w:t>
      </w:r>
    </w:p>
    <w:p>
      <w:pPr>
        <w:pStyle w:val="BodyText"/>
        <w:spacing w:after="80"/>
        <w:jc w:val="both"/>
      </w:pPr>
      <w:r>
        <w:t xml:space="preserve">II - seja competente para conhecer deles o mesmo juízo;</w:t>
      </w:r>
    </w:p>
    <w:p>
      <w:pPr>
        <w:pStyle w:val="BodyText"/>
        <w:spacing w:after="80"/>
        <w:jc w:val="both"/>
      </w:pPr>
      <w:r>
        <w:t xml:space="preserve">III - seja adequado para todos os pedidos o tipo de procedimento.</w:t>
      </w:r>
    </w:p>
    <w:p>
      <w:pPr>
        <w:pStyle w:val="BodyText"/>
        <w:spacing w:after="80"/>
        <w:jc w:val="both"/>
      </w:pPr>
      <w:r>
        <w:t xml:space="preserve">§ 2º Quando, para cada pedido, corresponder tipo diverso de procedimento, será admitida a cumulação se o autor empregar o procedimento comum, sem prejuízo do emprego das técnicas processuais diferenciadas previstas nos procedimentos especiais a que se sujeitam um ou mais pedidos cumulados, que não forem incompatíveis com as disposições sobre o procedimento comum.</w:t>
      </w:r>
    </w:p>
    <w:p>
      <w:pPr>
        <w:pStyle w:val="BodyText"/>
        <w:spacing w:after="80"/>
        <w:jc w:val="both"/>
      </w:pPr>
      <w:r>
        <w:t xml:space="preserve">§ 3º O inciso I do § 1º não se aplica às cumulações de pedidos de que trata o art. 326.</w:t>
      </w:r>
    </w:p>
    <w:bookmarkEnd w:id="26"/>
    <w:bookmarkStart w:id="27" w:name="art.-328"/>
    <w:p>
      <w:pPr>
        <w:pStyle w:val="Heading6"/>
        <w:pBdr>
          <w:left w:val="single" w:sz="36" w:space="4" w:color="2E75B6"/>
        </w:pBdr>
        <w:shd w:val="clear" w:color="auto" w:fill="E3EEF9"/>
        <w:spacing w:before="200" w:after="80"/>
        <w:ind w:left="85"/>
      </w:pPr>
      <w:r>
        <w:rPr>
          <w:i w:val="0"/>
          <w:color w:val="1F3A5F"/>
          <w:sz w:val="23"/>
        </w:rPr>
        <w:t xml:space="preserve">Art. 328</w:t>
      </w:r>
    </w:p>
    <w:p>
      <w:pPr>
        <w:pStyle w:val="FirstParagraph"/>
        <w:spacing w:after="80"/>
        <w:jc w:val="both"/>
      </w:pPr>
      <w:r>
        <w:rPr>
          <w:b/>
          <w:bCs/>
        </w:rPr>
        <w:t xml:space="preserve">Art. 328.</w:t>
      </w:r>
      <w:r>
        <w:t xml:space="preserve"> </w:t>
      </w:r>
      <w:r>
        <w:t xml:space="preserve">Na obrigação indivisível com pluralidade de credores, aquele que não participou do processo receberá sua parte, deduzidas as despesas na proporção de seu crédito.</w:t>
      </w:r>
    </w:p>
    <w:bookmarkEnd w:id="27"/>
    <w:bookmarkStart w:id="28" w:name="art.-329"/>
    <w:p>
      <w:pPr>
        <w:pStyle w:val="Heading6"/>
        <w:pBdr>
          <w:left w:val="single" w:sz="36" w:space="4" w:color="2E75B6"/>
        </w:pBdr>
        <w:shd w:val="clear" w:color="auto" w:fill="E3EEF9"/>
        <w:spacing w:before="200" w:after="80"/>
        <w:ind w:left="85"/>
      </w:pPr>
      <w:r>
        <w:rPr>
          <w:i w:val="0"/>
          <w:color w:val="1F3A5F"/>
          <w:sz w:val="23"/>
        </w:rPr>
        <w:t xml:space="preserve">Art. 329</w:t>
      </w:r>
    </w:p>
    <w:p>
      <w:pPr>
        <w:pStyle w:val="FirstParagraph"/>
        <w:keepNext/>
        <w:spacing w:after="80"/>
        <w:jc w:val="both"/>
      </w:pPr>
      <w:r>
        <w:rPr>
          <w:b/>
          <w:bCs/>
        </w:rPr>
        <w:t xml:space="preserve">Art. 329.</w:t>
      </w:r>
      <w:r>
        <w:t xml:space="preserve"> </w:t>
      </w:r>
      <w:r>
        <w:t xml:space="preserve">O autor poderá:</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453"/>
        <w:gridCol w:w="3676"/>
        <w:gridCol w:w="3225"/>
      </w:tblGrid>
      <w:tr>
        <w:trPr>
          <w:tblHeader w:val="on"/>
          <w:cantSplit/>
          <w:tblHeader/>
        </w:trPr>
        <w:tc>
          <w:tcPr>
            <w:tcW w:type="dxa" w:w="2453"/>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67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322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453"/>
          </w:tcPr>
          <w:p>
            <w:pPr>
              <w:pStyle w:val="Compact"/>
              <w:spacing w:line="276" w:lineRule="auto" w:before="40" w:after="40"/>
            </w:pPr>
            <w:r>
              <w:rPr>
                <w:rFonts w:ascii="Liberation Sans Narrow" w:hAnsi="Liberation Sans Narrow"/>
                <w:sz w:val="18"/>
              </w:rPr>
              <w:t xml:space="preserve">Alteração do pedido ou da causa de pedir após a citação (inciso I)</w:t>
            </w:r>
          </w:p>
        </w:tc>
        <w:tc>
          <w:tcPr>
            <w:tcW w:type="dxa" w:w="3676"/>
          </w:tcPr>
          <w:p>
            <w:pPr>
              <w:pStyle w:val="Compact"/>
              <w:spacing w:line="276" w:lineRule="auto" w:before="40" w:after="40"/>
            </w:pPr>
            <w:r>
              <w:rPr>
                <w:rFonts w:ascii="Liberation Sans Narrow" w:hAnsi="Liberation Sans Narrow"/>
                <w:sz w:val="18"/>
              </w:rPr>
              <w:t xml:space="preserve">STJ, AREsp 3.027.064, Terceira Turma, relator Min. Ricardo Villas Bôas Cueva, julgado em 15/12/2025, DJEN de 18/12/2025</w:t>
            </w:r>
          </w:p>
        </w:tc>
        <w:tc>
          <w:tcPr>
            <w:tcW w:type="dxa" w:w="3225"/>
          </w:tcPr>
          <w:p>
            <w:pPr>
              <w:pStyle w:val="Compact"/>
              <w:spacing w:line="276" w:lineRule="auto" w:before="40" w:after="40"/>
            </w:pPr>
            <w:r>
              <w:rPr>
                <w:rFonts w:ascii="Liberation Sans Narrow" w:hAnsi="Liberation Sans Narrow"/>
                <w:sz w:val="18"/>
              </w:rPr>
              <w:t xml:space="preserve">Depois da citação, o autor não pode modificar o pedido ou a causa de pedir sem o consentimento do réu.</w:t>
            </w:r>
          </w:p>
        </w:tc>
      </w:tr>
    </w:tbl>
    <w:p>
      <w:pPr>
        <w:pStyle w:val="BodyText"/>
        <w:spacing w:after="80"/>
        <w:jc w:val="both"/>
      </w:pPr>
      <w:r>
        <w:t xml:space="preserve">I - até a citação, aditar ou alterar o pedido ou a causa de pedir, independentemente de consentimento do réu;</w:t>
      </w:r>
    </w:p>
    <w:p>
      <w:pPr>
        <w:pStyle w:val="BodyText"/>
        <w:spacing w:after="80"/>
        <w:jc w:val="both"/>
      </w:pPr>
      <w:r>
        <w:t xml:space="preserve">II - até o saneamento do processo, aditar ou alterar o pedido e a causa de pedir, com consentimento do réu, assegurado o contraditório mediante a possibilidade de manifestação deste no prazo mínimo de 15 (quinze) dias, facultado o requerimento de prova suplementar.</w:t>
      </w:r>
    </w:p>
    <w:p>
      <w:pPr>
        <w:pStyle w:val="BodyText"/>
        <w:spacing w:after="80"/>
        <w:jc w:val="both"/>
      </w:pPr>
      <w:r>
        <w:t xml:space="preserve">Parágrafo único. Aplica-se o disposto neste artigo à reconvenção e à respectiva causa de pedir.</w:t>
      </w:r>
    </w:p>
    <w:bookmarkEnd w:id="28"/>
    <w:bookmarkEnd w:id="29"/>
    <w:bookmarkStart w:id="32" w:name="Xa359cda4cc0a02d33dfa526f4a19112a6f91c99"/>
    <w:p>
      <w:pPr>
        <w:pStyle w:val="Heading5"/>
        <w:spacing w:before="140" w:after="20"/>
      </w:pPr>
      <w:r>
        <w:rPr>
          <w:i/>
          <w:color w:val="595959"/>
        </w:rPr>
        <w:t xml:space="preserve">Seção III: do indeferimento da petição inicial (arts. 330 a 331)</w:t>
      </w:r>
    </w:p>
    <w:bookmarkStart w:id="30" w:name="art.-330"/>
    <w:p>
      <w:pPr>
        <w:pStyle w:val="Heading6"/>
        <w:pBdr>
          <w:left w:val="single" w:sz="36" w:space="4" w:color="2E75B6"/>
        </w:pBdr>
        <w:shd w:val="clear" w:color="auto" w:fill="E3EEF9"/>
        <w:spacing w:before="200" w:after="80"/>
        <w:ind w:left="85"/>
      </w:pPr>
      <w:r>
        <w:rPr>
          <w:i w:val="0"/>
          <w:color w:val="1F3A5F"/>
          <w:sz w:val="23"/>
        </w:rPr>
        <w:t xml:space="preserve">Art. 330</w:t>
      </w:r>
    </w:p>
    <w:p>
      <w:pPr>
        <w:pStyle w:val="FirstParagraph"/>
        <w:keepNext/>
        <w:spacing w:after="80"/>
        <w:jc w:val="both"/>
      </w:pPr>
      <w:r>
        <w:rPr>
          <w:b/>
          <w:bCs/>
        </w:rPr>
        <w:t xml:space="preserve">Art. 330.</w:t>
      </w:r>
      <w:r>
        <w:t xml:space="preserve"> </w:t>
      </w:r>
      <w:r>
        <w:t xml:space="preserve">A petição inicial será indeferida quando: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81"/>
        <w:gridCol w:w="2360"/>
        <w:gridCol w:w="4913"/>
      </w:tblGrid>
      <w:tr>
        <w:trPr>
          <w:tblHeader w:val="on"/>
          <w:cantSplit/>
          <w:tblHeader/>
        </w:trPr>
        <w:tc>
          <w:tcPr>
            <w:tcW w:type="dxa" w:w="208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36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91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81"/>
          </w:tcPr>
          <w:p>
            <w:pPr>
              <w:pStyle w:val="Compact"/>
              <w:spacing w:line="276" w:lineRule="auto" w:before="40" w:after="40"/>
            </w:pPr>
            <w:r>
              <w:rPr>
                <w:rFonts w:ascii="Liberation Sans Narrow" w:hAnsi="Liberation Sans Narrow"/>
                <w:sz w:val="18"/>
              </w:rPr>
              <w:t xml:space="preserve">Indeferimento por falta de documentos essenciais e litigância predatória</w:t>
            </w:r>
          </w:p>
        </w:tc>
        <w:tc>
          <w:tcPr>
            <w:tcW w:type="dxa" w:w="2360"/>
          </w:tcPr>
          <w:p>
            <w:pPr>
              <w:pStyle w:val="Compact"/>
              <w:spacing w:line="276" w:lineRule="auto" w:before="40" w:after="40"/>
            </w:pPr>
            <w:r>
              <w:rPr>
                <w:rFonts w:ascii="Liberation Sans Narrow" w:hAnsi="Liberation Sans Narrow"/>
                <w:sz w:val="18"/>
              </w:rPr>
              <w:t xml:space="preserve">STJ, REsp 2.229.072, Quarta Turma, relator Min. João Otávio de Noronha, DJe de 05/03/2026</w:t>
            </w:r>
          </w:p>
        </w:tc>
        <w:tc>
          <w:tcPr>
            <w:tcW w:type="dxa" w:w="4913"/>
          </w:tcPr>
          <w:p>
            <w:pPr>
              <w:pStyle w:val="Compact"/>
              <w:spacing w:line="276" w:lineRule="auto" w:before="40" w:after="40"/>
            </w:pPr>
            <w:r>
              <w:rPr>
                <w:rFonts w:ascii="Liberation Sans Narrow" w:hAnsi="Liberation Sans Narrow"/>
                <w:sz w:val="18"/>
              </w:rPr>
              <w:t xml:space="preserve">Manteve-se a extinção por indeferimento da inicial (arts. 330, IV, e 485, I) após emenda para juntar extratos bancários e outros documentos reputados essenciais, em contexto de indícios de litigância predatória; a Corte de origem assentou a legitimidade da exigência de documentos conforme Comunicados da Corregedoria e a ausência de justa causa para o não atendimento. Recurso especial não conhecido.</w:t>
            </w:r>
          </w:p>
        </w:tc>
      </w:tr>
    </w:tbl>
    <w:p>
      <w:pPr>
        <w:pStyle w:val="BodyText"/>
        <w:spacing w:after="80"/>
        <w:jc w:val="both"/>
      </w:pPr>
      <w:r>
        <w:t xml:space="preserve">I - for inepta;</w:t>
      </w:r>
    </w:p>
    <w:p>
      <w:pPr>
        <w:pStyle w:val="BodyText"/>
        <w:spacing w:after="80"/>
        <w:jc w:val="both"/>
      </w:pPr>
      <w:r>
        <w:t xml:space="preserve">II - a parte for manifestamente ilegítima;</w:t>
      </w:r>
    </w:p>
    <w:p>
      <w:pPr>
        <w:pStyle w:val="BodyText"/>
        <w:spacing w:after="80"/>
        <w:jc w:val="both"/>
      </w:pPr>
      <w:r>
        <w:t xml:space="preserve">III - o autor carecer de interesse processual;</w:t>
      </w:r>
    </w:p>
    <w:p>
      <w:pPr>
        <w:pStyle w:val="BodyText"/>
        <w:keepNext/>
        <w:spacing w:after="80"/>
        <w:jc w:val="both"/>
      </w:pPr>
      <w:r>
        <w:t xml:space="preserve">IV - não atendidas as prescrições dos arts. 106 e 321.</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2673"/>
        <w:gridCol w:w="4651"/>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7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65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30"/>
          </w:tcPr>
          <w:p>
            <w:pPr>
              <w:pStyle w:val="Compact"/>
              <w:spacing w:line="276" w:lineRule="auto" w:before="40" w:after="40"/>
            </w:pPr>
            <w:r>
              <w:rPr>
                <w:rFonts w:ascii="Liberation Sans Narrow" w:hAnsi="Liberation Sans Narrow"/>
                <w:sz w:val="18"/>
              </w:rPr>
              <w:t xml:space="preserve">Arts. 321 e 330, IV: descumprimento da emenda</w:t>
            </w:r>
          </w:p>
        </w:tc>
        <w:tc>
          <w:tcPr>
            <w:tcW w:type="dxa" w:w="2673"/>
          </w:tcPr>
          <w:p>
            <w:pPr>
              <w:pStyle w:val="Compact"/>
              <w:spacing w:line="276" w:lineRule="auto" w:before="40" w:after="40"/>
            </w:pPr>
            <w:r>
              <w:rPr>
                <w:rFonts w:ascii="Liberation Sans Narrow" w:hAnsi="Liberation Sans Narrow"/>
                <w:sz w:val="18"/>
              </w:rPr>
              <w:t xml:space="preserve">STJ, AREsp 3.191.276, Terceira Turma, relator Min. Ricardo Villas Bôas Cueva, julgado em 18/05/2026, DJEN de 21/05/2026</w:t>
            </w:r>
          </w:p>
        </w:tc>
        <w:tc>
          <w:tcPr>
            <w:tcW w:type="dxa" w:w="4651"/>
          </w:tcPr>
          <w:p>
            <w:pPr>
              <w:pStyle w:val="Compact"/>
              <w:spacing w:line="276" w:lineRule="auto" w:before="40" w:after="40"/>
            </w:pPr>
            <w:r>
              <w:rPr>
                <w:rFonts w:ascii="Liberation Sans Narrow" w:hAnsi="Liberation Sans Narrow"/>
                <w:sz w:val="18"/>
              </w:rPr>
              <w:t xml:space="preserve">Cabe ao juiz da causa verificar os requisitos da inicial e determinar a emenda, inclusive com exigência de informações e documentos adicionais; o descumprimento autoriza o indeferimento e a extinção sem resolução do mérito (arts. 321, 330, IV, e 485, I). Aferir a suficiência da instrução exige reexame de provas (Súmula 7/STJ).</w:t>
            </w:r>
          </w:p>
        </w:tc>
      </w:tr>
    </w:tbl>
    <w:p>
      <w:pPr>
        <w:pStyle w:val="BodyText"/>
        <w:spacing w:after="80"/>
        <w:jc w:val="both"/>
      </w:pPr>
      <w:r>
        <w:t xml:space="preserve">§ 1º Considera-se inepta a petição inicial quando:</w:t>
      </w:r>
    </w:p>
    <w:p>
      <w:pPr>
        <w:pStyle w:val="BodyText"/>
        <w:spacing w:after="80"/>
        <w:jc w:val="both"/>
      </w:pPr>
      <w:r>
        <w:t xml:space="preserve">I - lhe faltar pedido ou causa de pedir;</w:t>
      </w:r>
    </w:p>
    <w:p>
      <w:pPr>
        <w:pStyle w:val="BodyText"/>
        <w:spacing w:after="80"/>
        <w:jc w:val="both"/>
      </w:pPr>
      <w:r>
        <w:t xml:space="preserve">II - o pedido for indeterminado, ressalvadas as hipóteses legais em que se permite o pedido genérico;</w:t>
      </w:r>
    </w:p>
    <w:p>
      <w:pPr>
        <w:pStyle w:val="BodyText"/>
        <w:spacing w:after="80"/>
        <w:jc w:val="both"/>
      </w:pPr>
      <w:r>
        <w:t xml:space="preserve">III - da narração dos fatos não decorrer logicamente a conclusão;</w:t>
      </w:r>
    </w:p>
    <w:p>
      <w:pPr>
        <w:pStyle w:val="BodyText"/>
        <w:spacing w:after="80"/>
        <w:jc w:val="both"/>
      </w:pPr>
      <w:r>
        <w:t xml:space="preserve">IV - contiver pedidos incompatíveis entre si.</w:t>
      </w:r>
    </w:p>
    <w:p>
      <w:pPr>
        <w:pStyle w:val="BodyText"/>
        <w:keepNext/>
        <w:spacing w:after="80"/>
        <w:jc w:val="both"/>
      </w:pPr>
      <w:r>
        <w:t xml:space="preserve">§ 2º Nas ações que tenham por objeto a revisão de obrigação decorrente de empréstimo, de financiamento ou de alienação de bens, o autor terá de, sob pena de inépcia, discriminar na petição inicial, dentre as obrigações contratuais, aquelas que pretende controverter, além de quantificar o valor incontroverso do débito.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07"/>
        <w:gridCol w:w="2367"/>
        <w:gridCol w:w="5380"/>
      </w:tblGrid>
      <w:tr>
        <w:trPr>
          <w:tblHeader w:val="on"/>
          <w:cantSplit/>
          <w:tblHeader/>
        </w:trPr>
        <w:tc>
          <w:tcPr>
            <w:tcW w:type="dxa" w:w="1607"/>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36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38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07"/>
          </w:tcPr>
          <w:p>
            <w:pPr>
              <w:pStyle w:val="Compact"/>
              <w:spacing w:line="276" w:lineRule="auto" w:before="40" w:after="40"/>
            </w:pPr>
            <w:r>
              <w:rPr>
                <w:rFonts w:ascii="Liberation Sans Narrow" w:hAnsi="Liberation Sans Narrow"/>
                <w:sz w:val="18"/>
              </w:rPr>
              <w:t xml:space="preserve">Art. 330, § 2º: ação revisional de contrato</w:t>
            </w:r>
          </w:p>
        </w:tc>
        <w:tc>
          <w:tcPr>
            <w:tcW w:type="dxa" w:w="2367"/>
          </w:tcPr>
          <w:p>
            <w:pPr>
              <w:pStyle w:val="Compact"/>
              <w:spacing w:line="276" w:lineRule="auto" w:before="40" w:after="40"/>
            </w:pPr>
            <w:r>
              <w:rPr>
                <w:rFonts w:ascii="Liberation Sans Narrow" w:hAnsi="Liberation Sans Narrow"/>
                <w:sz w:val="18"/>
              </w:rPr>
              <w:t xml:space="preserve">STJ, AREsp 3.016.018, Quarta Turma, relator Min. Raul Araújo, DJe de 29/10/2025</w:t>
            </w:r>
          </w:p>
        </w:tc>
        <w:tc>
          <w:tcPr>
            <w:tcW w:type="dxa" w:w="5380"/>
          </w:tcPr>
          <w:p>
            <w:pPr>
              <w:pStyle w:val="Compact"/>
              <w:spacing w:line="276" w:lineRule="auto" w:before="40" w:after="40"/>
            </w:pPr>
            <w:r>
              <w:rPr>
                <w:rFonts w:ascii="Liberation Sans Narrow" w:hAnsi="Liberation Sans Narrow"/>
                <w:sz w:val="18"/>
              </w:rPr>
              <w:t xml:space="preserve">Nas ações revisionais é ônus do autor discriminar na inicial as obrigações contratuais que pretende questionar e quantificar o valor incontroverso (cita o AgInt no AREsp 2.034.591/RJ, Quarta Turma, 2022). O tribunal que flexibilizou o § 2º destoou da jurisprudência; recurso especial provido para extinguir o feito sem resolução do mérito.</w:t>
            </w:r>
          </w:p>
        </w:tc>
      </w:tr>
    </w:tbl>
    <w:p>
      <w:pPr>
        <w:pStyle w:val="BodyText"/>
        <w:spacing w:after="80"/>
        <w:jc w:val="both"/>
      </w:pPr>
      <w:r>
        <w:t xml:space="preserve">§ 3º Na hipótese do § 2º, o valor incontroverso deverá continuar a ser pago no tempo e modo contratados.</w:t>
      </w:r>
    </w:p>
    <w:bookmarkEnd w:id="30"/>
    <w:bookmarkStart w:id="31" w:name="art.-331"/>
    <w:p>
      <w:pPr>
        <w:pStyle w:val="Heading6"/>
        <w:pBdr>
          <w:left w:val="single" w:sz="36" w:space="4" w:color="2E75B6"/>
        </w:pBdr>
        <w:shd w:val="clear" w:color="auto" w:fill="E3EEF9"/>
        <w:spacing w:before="200" w:after="80"/>
        <w:ind w:left="85"/>
      </w:pPr>
      <w:r>
        <w:rPr>
          <w:i w:val="0"/>
          <w:color w:val="1F3A5F"/>
          <w:sz w:val="23"/>
        </w:rPr>
        <w:t xml:space="preserve">Art. 331</w:t>
      </w:r>
    </w:p>
    <w:p>
      <w:pPr>
        <w:pStyle w:val="FirstParagraph"/>
        <w:keepNext/>
        <w:spacing w:after="80"/>
        <w:jc w:val="both"/>
      </w:pPr>
      <w:r>
        <w:rPr>
          <w:b/>
          <w:bCs/>
        </w:rPr>
        <w:t xml:space="preserve">Art. 331.</w:t>
      </w:r>
      <w:r>
        <w:t xml:space="preserve"> </w:t>
      </w:r>
      <w:r>
        <w:t xml:space="preserve">Indeferida a petição inicial, o autor poderá apelar, facultado ao juiz, no prazo de 5 (cinco) dias, retratar-se.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57"/>
        <w:gridCol w:w="2669"/>
        <w:gridCol w:w="4528"/>
      </w:tblGrid>
      <w:tr>
        <w:trPr>
          <w:tblHeader w:val="on"/>
          <w:cantSplit/>
          <w:tblHeader/>
        </w:trPr>
        <w:tc>
          <w:tcPr>
            <w:tcW w:type="dxa" w:w="2157"/>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7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528"/>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57"/>
          </w:tcPr>
          <w:p>
            <w:pPr>
              <w:pStyle w:val="Compact"/>
              <w:spacing w:line="276" w:lineRule="auto" w:before="40" w:after="40"/>
            </w:pPr>
            <w:r>
              <w:rPr>
                <w:rFonts w:ascii="Liberation Sans Narrow" w:hAnsi="Liberation Sans Narrow"/>
                <w:sz w:val="18"/>
              </w:rPr>
              <w:t xml:space="preserve">Indeferimento da petição inicial: apelação, citação do réu e honorários sucumbenciais</w:t>
            </w:r>
          </w:p>
        </w:tc>
        <w:tc>
          <w:tcPr>
            <w:tcW w:type="dxa" w:w="2670"/>
          </w:tcPr>
          <w:p>
            <w:pPr>
              <w:pStyle w:val="Compact"/>
              <w:spacing w:line="276" w:lineRule="auto" w:before="40" w:after="40"/>
            </w:pPr>
            <w:r>
              <w:rPr>
                <w:rFonts w:ascii="Liberation Sans Narrow" w:hAnsi="Liberation Sans Narrow"/>
                <w:sz w:val="18"/>
              </w:rPr>
              <w:t xml:space="preserve">STJ, REsp 1.801.586, Terceira Turma, relator Min. Ricardo Villas Bôas Cueva, julgado em 11/06/2019, DJe de 18/06/2019</w:t>
            </w:r>
          </w:p>
        </w:tc>
        <w:tc>
          <w:tcPr>
            <w:tcW w:type="dxa" w:w="4528"/>
          </w:tcPr>
          <w:p>
            <w:pPr>
              <w:pStyle w:val="Compact"/>
              <w:spacing w:line="276" w:lineRule="auto" w:before="40" w:after="40"/>
            </w:pPr>
            <w:r>
              <w:rPr>
                <w:rFonts w:ascii="Liberation Sans Narrow" w:hAnsi="Liberation Sans Narrow"/>
                <w:sz w:val="18"/>
              </w:rPr>
              <w:t xml:space="preserve">Indeferida a petição inicial sem citação ou comparecimento espontâneo do réu, não há condenação do autor em honorários sucumbenciais. Interposta apelação sem retratação, o réu deve ser citado para responder ao recurso e, apresentadas as contrarrazões, cabem honorários se a apelação não for provida.</w:t>
            </w:r>
          </w:p>
        </w:tc>
      </w:tr>
    </w:tbl>
    <w:p>
      <w:pPr>
        <w:pStyle w:val="BodyText"/>
        <w:spacing w:after="80"/>
        <w:jc w:val="both"/>
      </w:pPr>
      <w:r>
        <w:t xml:space="preserve">§ 1º Se não houver retratação, o juiz mandará citar o réu para responder ao recurso.</w:t>
      </w:r>
    </w:p>
    <w:p>
      <w:pPr>
        <w:pStyle w:val="BodyText"/>
        <w:spacing w:after="80"/>
        <w:jc w:val="both"/>
      </w:pPr>
      <w:r>
        <w:t xml:space="preserve">§ 2º Sendo a sentença reformada pelo tribunal, o prazo para a contestação começará a correr da intimação do retorno dos autos, observado o disposto no art. 334.</w:t>
      </w:r>
    </w:p>
    <w:p>
      <w:pPr>
        <w:pStyle w:val="BodyText"/>
        <w:spacing w:after="80"/>
        <w:jc w:val="both"/>
      </w:pPr>
      <w:r>
        <w:t xml:space="preserve">§ 3º Não interposta a apelação, o réu será intimado do trânsito em julgado da sentença.</w:t>
      </w:r>
    </w:p>
    <w:bookmarkEnd w:id="31"/>
    <w:bookmarkEnd w:id="32"/>
    <w:bookmarkEnd w:id="33"/>
    <w:bookmarkStart w:id="35" w:name="Xde024ff242411dbd5e3f520efcdc13959655181"/>
    <w:p>
      <w:pPr>
        <w:pStyle w:val="Heading4"/>
        <w:spacing w:before="160" w:after="40"/>
      </w:pPr>
      <w:r>
        <w:rPr>
          <w:smallCaps/>
          <w:color w:val="2E75B6"/>
        </w:rPr>
        <w:t xml:space="preserve">Capítulo III: da improcedência liminar do pedido (arts. 332)</w:t>
      </w:r>
    </w:p>
    <w:bookmarkStart w:id="34" w:name="art.-332"/>
    <w:p>
      <w:pPr>
        <w:pStyle w:val="Heading6"/>
        <w:pBdr>
          <w:left w:val="single" w:sz="36" w:space="4" w:color="2E75B6"/>
        </w:pBdr>
        <w:shd w:val="clear" w:color="auto" w:fill="E3EEF9"/>
        <w:spacing w:before="200" w:after="80"/>
        <w:ind w:left="85"/>
      </w:pPr>
      <w:r>
        <w:rPr>
          <w:i w:val="0"/>
          <w:color w:val="1F3A5F"/>
          <w:sz w:val="23"/>
        </w:rPr>
        <w:t xml:space="preserve">Art. 332</w:t>
      </w:r>
    </w:p>
    <w:p>
      <w:pPr>
        <w:pStyle w:val="FirstParagraph"/>
        <w:spacing w:after="80"/>
        <w:jc w:val="both"/>
      </w:pPr>
      <w:r>
        <w:rPr>
          <w:b/>
          <w:bCs/>
        </w:rPr>
        <w:t xml:space="preserve">Art. 332.</w:t>
      </w:r>
      <w:r>
        <w:t xml:space="preserve"> </w:t>
      </w:r>
      <w:r>
        <w:t xml:space="preserve">Nas causas que dispensem a fase instrutória, o juiz, independentemente da citação do réu, julgará liminarmente improcedente o pedido que contrariar:</w:t>
      </w:r>
    </w:p>
    <w:p>
      <w:pPr>
        <w:pStyle w:val="BodyText"/>
        <w:spacing w:after="80"/>
        <w:jc w:val="both"/>
      </w:pPr>
      <w:r>
        <w:t xml:space="preserve">I - enunciado de súmula do Supremo Tribunal Federal ou do Superior Tribunal de Justiça;</w:t>
      </w:r>
    </w:p>
    <w:p>
      <w:pPr>
        <w:pStyle w:val="BodyText"/>
        <w:keepNext/>
        <w:spacing w:after="80"/>
        <w:jc w:val="both"/>
      </w:pPr>
      <w:r>
        <w:t xml:space="preserve">II - acórdão proferido pelo Supremo Tribunal Federal ou pelo Superior Tribunal de Justiça em julgamento de recursos repetitivos;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431"/>
        <w:gridCol w:w="2554"/>
        <w:gridCol w:w="4369"/>
      </w:tblGrid>
      <w:tr>
        <w:trPr>
          <w:tblHeader w:val="on"/>
          <w:cantSplit/>
          <w:tblHeader/>
        </w:trPr>
        <w:tc>
          <w:tcPr>
            <w:tcW w:type="dxa" w:w="24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5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36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431"/>
          </w:tcPr>
          <w:p>
            <w:pPr>
              <w:pStyle w:val="Compact"/>
              <w:spacing w:line="276" w:lineRule="auto" w:before="40" w:after="40"/>
            </w:pPr>
            <w:r>
              <w:rPr>
                <w:rFonts w:ascii="Liberation Sans Narrow" w:hAnsi="Liberation Sans Narrow"/>
                <w:sz w:val="18"/>
              </w:rPr>
              <w:t xml:space="preserve">Art. 332, caput e II: cabimento da improcedência liminar na ação rescisória</w:t>
            </w:r>
          </w:p>
        </w:tc>
        <w:tc>
          <w:tcPr>
            <w:tcW w:type="dxa" w:w="2554"/>
          </w:tcPr>
          <w:p>
            <w:pPr>
              <w:pStyle w:val="Compact"/>
              <w:spacing w:line="276" w:lineRule="auto" w:before="40" w:after="40"/>
            </w:pPr>
            <w:r>
              <w:rPr>
                <w:rFonts w:ascii="Liberation Sans Narrow" w:hAnsi="Liberation Sans Narrow"/>
                <w:sz w:val="18"/>
              </w:rPr>
              <w:t xml:space="preserve">STJ, AgInt no AR 7.846, Segunda Seção, relatora Min. Daniela Teixeira, DJe de 18/08/2025</w:t>
            </w:r>
          </w:p>
        </w:tc>
        <w:tc>
          <w:tcPr>
            <w:tcW w:type="dxa" w:w="4369"/>
          </w:tcPr>
          <w:p>
            <w:pPr>
              <w:pStyle w:val="Compact"/>
              <w:spacing w:line="276" w:lineRule="auto" w:before="40" w:after="40"/>
            </w:pPr>
            <w:r>
              <w:rPr>
                <w:rFonts w:ascii="Liberation Sans Narrow" w:hAnsi="Liberation Sans Narrow"/>
                <w:sz w:val="18"/>
              </w:rPr>
              <w:t xml:space="preserve">“A improcedência liminar da ação rescisória é possível nas hipóteses do art. 332 do CPC, quando o pedido contrariar entendimento firmado em recursos repetitivos ou enunciado de súmula dos tribunais superiores”</w:t>
            </w:r>
            <w:r>
              <w:rPr>
                <w:rFonts w:ascii="Liberation Sans Narrow" w:hAnsi="Liberation Sans Narrow"/>
                <w:sz w:val="18"/>
              </w:rPr>
              <w:t xml:space="preserve">. No caso, a decisão rescindenda considerara a anuência do autor ao pagamento das taxas condominiais, o que afastou o erro de fato e atraiu a Súmula 7/STJ; a ação foi julgada liminarmente improcedente também por vícios formais da inicial (arts. 968, II, e 975).</w:t>
            </w:r>
          </w:p>
        </w:tc>
      </w:tr>
      <w:tr>
        <w:trPr>
          <w:cantSplit/>
        </w:trPr>
        <w:tc>
          <w:tcPr>
            <w:tcW w:type="dxa" w:w="2431"/>
          </w:tcPr>
          <w:p>
            <w:pPr>
              <w:pStyle w:val="Compact"/>
              <w:spacing w:line="276" w:lineRule="auto" w:before="40" w:after="40"/>
            </w:pPr>
            <w:r>
              <w:rPr>
                <w:rFonts w:ascii="Liberation Sans Narrow" w:hAnsi="Liberation Sans Narrow"/>
                <w:sz w:val="18"/>
              </w:rPr>
              <w:t xml:space="preserve">Art. 332, II: improcedência liminar fundada em repetitivo exige aderência do caso à tese</w:t>
            </w:r>
          </w:p>
        </w:tc>
        <w:tc>
          <w:tcPr>
            <w:tcW w:type="dxa" w:w="2554"/>
          </w:tcPr>
          <w:p>
            <w:pPr>
              <w:pStyle w:val="Compact"/>
              <w:spacing w:line="276" w:lineRule="auto" w:before="40" w:after="40"/>
            </w:pPr>
            <w:r>
              <w:rPr>
                <w:rFonts w:ascii="Liberation Sans Narrow" w:hAnsi="Liberation Sans Narrow"/>
                <w:sz w:val="18"/>
              </w:rPr>
              <w:t xml:space="preserve">STJ, REsp 2.051.570, Quarta Turma, relator Min. João Otávio de Noronha, DJe de 17/09/2026</w:t>
            </w:r>
          </w:p>
        </w:tc>
        <w:tc>
          <w:tcPr>
            <w:tcW w:type="dxa" w:w="4369"/>
          </w:tcPr>
          <w:p>
            <w:pPr>
              <w:pStyle w:val="Compact"/>
              <w:spacing w:line="276" w:lineRule="auto" w:before="40" w:after="40"/>
            </w:pPr>
            <w:r>
              <w:rPr>
                <w:rFonts w:ascii="Liberation Sans Narrow" w:hAnsi="Liberation Sans Narrow"/>
                <w:sz w:val="18"/>
              </w:rPr>
              <w:t xml:space="preserve">Tese expressa:</w:t>
            </w:r>
            <w:r>
              <w:rPr>
                <w:rFonts w:ascii="Liberation Sans Narrow" w:hAnsi="Liberation Sans Narrow"/>
                <w:sz w:val="18"/>
              </w:rPr>
              <w:t xml:space="preserve"> </w:t>
            </w:r>
            <w:r>
              <w:rPr>
                <w:rFonts w:ascii="Liberation Sans Narrow" w:hAnsi="Liberation Sans Narrow"/>
                <w:sz w:val="18"/>
              </w:rPr>
              <w:t xml:space="preserve">“o art. 332, II, do CPC não autoriza improcedência liminar quando a aplicação do Tema 882/STJ depende da verificação de vínculo associativo ou de anuência contratual alegada na inicial”</w:t>
            </w:r>
            <w:r>
              <w:rPr>
                <w:rFonts w:ascii="Liberation Sans Narrow" w:hAnsi="Liberation Sans Narrow"/>
                <w:sz w:val="18"/>
              </w:rPr>
              <w:t xml:space="preserve">. Não se admite aplicação automática do inciso: encerrado o processo sem citação e sem instrução compatível com a tese de vínculo associativo, incide o art. 373, I, e impõe-se cassar acórdão e sentença para retorno dos autos.</w:t>
            </w:r>
          </w:p>
        </w:tc>
      </w:tr>
    </w:tbl>
    <w:p>
      <w:pPr>
        <w:pStyle w:val="BodyText"/>
        <w:spacing w:after="80"/>
        <w:jc w:val="both"/>
      </w:pPr>
      <w:r>
        <w:t xml:space="preserve">III - entendimento firmado em incidente de resolução de demandas repetitivas ou de assunção de competência;</w:t>
      </w:r>
    </w:p>
    <w:p>
      <w:pPr>
        <w:pStyle w:val="BodyText"/>
        <w:spacing w:after="80"/>
        <w:jc w:val="both"/>
      </w:pPr>
      <w:r>
        <w:t xml:space="preserve">IV - enunciado de súmula de tribunal de justiça sobre direito local.</w:t>
      </w:r>
    </w:p>
    <w:p>
      <w:pPr>
        <w:pStyle w:val="BodyText"/>
        <w:spacing w:after="80"/>
        <w:jc w:val="both"/>
      </w:pPr>
      <w:r>
        <w:t xml:space="preserve">§ 1º O juiz também poderá julgar liminarmente improcedente o pedido se verificar, desde logo, a ocorrência de decadência ou de prescrição.</w:t>
      </w:r>
    </w:p>
    <w:p>
      <w:pPr>
        <w:pStyle w:val="BodyText"/>
        <w:spacing w:after="80"/>
        <w:jc w:val="both"/>
      </w:pPr>
      <w:r>
        <w:t xml:space="preserve">§ 2º Não interposta a apelação, o réu será intimado do trânsito em julgado da sentença, nos termos do art. 241.</w:t>
      </w:r>
    </w:p>
    <w:p>
      <w:pPr>
        <w:pStyle w:val="BodyText"/>
        <w:keepNext/>
        <w:spacing w:after="80"/>
        <w:jc w:val="both"/>
      </w:pPr>
      <w:r>
        <w:t xml:space="preserve">§ 3º Interposta a apelação, o juiz poderá retratar-se em 5 (cinco) dias.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2500"/>
        <w:gridCol w:w="494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0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94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Art. 332, § 3º: retratação e contraditório</w:t>
            </w:r>
          </w:p>
        </w:tc>
        <w:tc>
          <w:tcPr>
            <w:tcW w:type="dxa" w:w="2500"/>
          </w:tcPr>
          <w:p>
            <w:pPr>
              <w:pStyle w:val="Compact"/>
              <w:spacing w:line="276" w:lineRule="auto" w:before="40" w:after="40"/>
            </w:pPr>
            <w:r>
              <w:rPr>
                <w:rFonts w:ascii="Liberation Sans Narrow" w:hAnsi="Liberation Sans Narrow"/>
                <w:sz w:val="18"/>
              </w:rPr>
              <w:t xml:space="preserve">STJ, AgInt no AREsp 2.857.765, Segunda Turma, relator Min. Marco Aurélio Bellizze, DJe de 02/03/2026</w:t>
            </w:r>
          </w:p>
        </w:tc>
        <w:tc>
          <w:tcPr>
            <w:tcW w:type="dxa" w:w="4949"/>
          </w:tcPr>
          <w:p>
            <w:pPr>
              <w:pStyle w:val="Compact"/>
              <w:spacing w:line="276" w:lineRule="auto" w:before="40" w:after="40"/>
            </w:pPr>
            <w:r>
              <w:rPr>
                <w:rFonts w:ascii="Liberation Sans Narrow" w:hAnsi="Liberation Sans Narrow"/>
                <w:sz w:val="18"/>
              </w:rPr>
              <w:t xml:space="preserve">A ementa reproduz, entre aspas, o entendimento de que a improcedência liminar</w:t>
            </w:r>
            <w:r>
              <w:rPr>
                <w:rFonts w:ascii="Liberation Sans Narrow" w:hAnsi="Liberation Sans Narrow"/>
                <w:sz w:val="18"/>
              </w:rPr>
              <w:t xml:space="preserve"> </w:t>
            </w:r>
            <w:r>
              <w:rPr>
                <w:rFonts w:ascii="Liberation Sans Narrow" w:hAnsi="Liberation Sans Narrow"/>
                <w:sz w:val="18"/>
              </w:rPr>
              <w:t xml:space="preserve">“não viola o devido processo legal, notadamente as garantias do contraditório e da ampla defesa, porquanto o art. 332, § 3º, do CPC/2015 prevê a possibilidade de o juiz retratar-se”</w:t>
            </w:r>
            <w:r>
              <w:rPr>
                <w:rFonts w:ascii="Liberation Sans Narrow" w:hAnsi="Liberation Sans Narrow"/>
                <w:sz w:val="18"/>
              </w:rPr>
              <w:t xml:space="preserve"> </w:t>
            </w:r>
            <w:r>
              <w:rPr>
                <w:rFonts w:ascii="Liberation Sans Narrow" w:hAnsi="Liberation Sans Narrow"/>
                <w:sz w:val="18"/>
              </w:rPr>
              <w:t xml:space="preserve">(REsp 1.996.197/SP, Terceira Turma, rel. Min. Nancy Andrighi, j. 9/8/2022, DJe 12/8/2022). No caso, a parte teve oportunidade de convencer o juízo na inicial, de obter retratação e de apelar, o que afastou a alegada decisão surpresa (arts. 9º e 10).</w:t>
            </w:r>
          </w:p>
        </w:tc>
      </w:tr>
    </w:tbl>
    <w:p>
      <w:pPr>
        <w:pStyle w:val="BodyText"/>
        <w:keepNext/>
        <w:spacing w:after="80"/>
        <w:jc w:val="both"/>
      </w:pPr>
      <w:r>
        <w:t xml:space="preserve">§ 4º Se houver retratação, o juiz determinará o prosseguimento do processo, com a citação do réu, e, se não houver retratação, determinará a citação do réu para apresentar contrarrazões, no prazo de 15 (quinze) dias.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2580"/>
        <w:gridCol w:w="486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8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6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Art. 332, § 4º: citação do réu para contrarrazões e honorários</w:t>
            </w:r>
          </w:p>
        </w:tc>
        <w:tc>
          <w:tcPr>
            <w:tcW w:type="dxa" w:w="2580"/>
          </w:tcPr>
          <w:p>
            <w:pPr>
              <w:pStyle w:val="Compact"/>
              <w:spacing w:line="276" w:lineRule="auto" w:before="40" w:after="40"/>
            </w:pPr>
            <w:r>
              <w:rPr>
                <w:rFonts w:ascii="Liberation Sans Narrow" w:hAnsi="Liberation Sans Narrow"/>
                <w:sz w:val="18"/>
              </w:rPr>
              <w:t xml:space="preserve">STJ, REsp 2.120.563, Quarta Turma, relator Min. Raul Araújo, julgado em 09/03/2026, DJEN de 16/03/2026</w:t>
            </w:r>
          </w:p>
        </w:tc>
        <w:tc>
          <w:tcPr>
            <w:tcW w:type="dxa" w:w="4869"/>
          </w:tcPr>
          <w:p>
            <w:pPr>
              <w:pStyle w:val="Compact"/>
              <w:spacing w:line="276" w:lineRule="auto" w:before="40" w:after="40"/>
            </w:pPr>
            <w:r>
              <w:rPr>
                <w:rFonts w:ascii="Liberation Sans Narrow" w:hAnsi="Liberation Sans Narrow"/>
                <w:sz w:val="18"/>
              </w:rPr>
              <w:t xml:space="preserve">Não havendo retratação após a apelação contra sentença de improcedência liminar, o juiz deve citar o réu para responder ao recurso (art. 332, § 4º). A angularização da relação processual pode ocorrer na instância revisora, mediante citação para contrarrazões; apresentadas estas e mantida a improcedência liminar, cabem honorários sucumbenciais pelo trabalho advocatício na fase recursal (art. 85, caput e § 1º).</w:t>
            </w:r>
          </w:p>
        </w:tc>
      </w:tr>
    </w:tbl>
    <w:bookmarkEnd w:id="34"/>
    <w:bookmarkEnd w:id="35"/>
    <w:bookmarkStart w:id="37" w:name="Xcb73fef4b59365374afd4edd3f62018b5938396"/>
    <w:p>
      <w:pPr>
        <w:pStyle w:val="Heading4"/>
        <w:spacing w:before="160" w:after="40"/>
      </w:pPr>
      <w:r>
        <w:rPr>
          <w:smallCaps/>
          <w:color w:val="2E75B6"/>
        </w:rPr>
        <w:t xml:space="preserve">Capítulo IV: da conversão da ação individual em ação coletiva (arts. 333)</w:t>
      </w:r>
    </w:p>
    <w:bookmarkStart w:id="36" w:name="art.-333"/>
    <w:p>
      <w:pPr>
        <w:pStyle w:val="Heading6"/>
        <w:pBdr>
          <w:left w:val="single" w:sz="36" w:space="4" w:color="2E75B6"/>
        </w:pBdr>
        <w:shd w:val="clear" w:color="auto" w:fill="E3EEF9"/>
        <w:spacing w:before="200" w:after="80"/>
        <w:ind w:left="85"/>
      </w:pPr>
      <w:r>
        <w:rPr>
          <w:i w:val="0"/>
          <w:color w:val="1F3A5F"/>
          <w:sz w:val="23"/>
        </w:rPr>
        <w:t xml:space="preserve">Art. 333</w:t>
      </w:r>
    </w:p>
    <w:p>
      <w:pPr>
        <w:pStyle w:val="FirstParagraph"/>
        <w:spacing w:after="80"/>
        <w:jc w:val="both"/>
      </w:pPr>
      <w:r>
        <w:rPr>
          <w:b/>
          <w:bCs/>
        </w:rPr>
        <w:t xml:space="preserve">Art. 333.</w:t>
      </w:r>
      <w:r>
        <w:t xml:space="preserve"> </w:t>
      </w:r>
      <w:r>
        <w:t xml:space="preserve">(VETADO).</w:t>
      </w:r>
    </w:p>
    <w:bookmarkEnd w:id="36"/>
    <w:bookmarkEnd w:id="37"/>
    <w:bookmarkStart w:id="39" w:name="X422fa7eb1da88e85d48268270330d206080e5a0"/>
    <w:p>
      <w:pPr>
        <w:pStyle w:val="Heading4"/>
        <w:spacing w:before="160" w:after="40"/>
      </w:pPr>
      <w:r>
        <w:rPr>
          <w:smallCaps/>
          <w:color w:val="2E75B6"/>
        </w:rPr>
        <w:t xml:space="preserve">Capítulo V: da audiência de conciliação ou de mediação (arts. 334)</w:t>
      </w:r>
    </w:p>
    <w:bookmarkStart w:id="38" w:name="art.-334"/>
    <w:p>
      <w:pPr>
        <w:pStyle w:val="Heading6"/>
        <w:pBdr>
          <w:left w:val="single" w:sz="36" w:space="4" w:color="2E75B6"/>
        </w:pBdr>
        <w:shd w:val="clear" w:color="auto" w:fill="E3EEF9"/>
        <w:spacing w:before="200" w:after="80"/>
        <w:ind w:left="85"/>
      </w:pPr>
      <w:r>
        <w:rPr>
          <w:i w:val="0"/>
          <w:color w:val="1F3A5F"/>
          <w:sz w:val="23"/>
        </w:rPr>
        <w:t xml:space="preserve">Art. 334</w:t>
      </w:r>
    </w:p>
    <w:p>
      <w:pPr>
        <w:pStyle w:val="FirstParagraph"/>
        <w:keepNext/>
        <w:spacing w:after="80"/>
        <w:jc w:val="both"/>
      </w:pPr>
      <w:r>
        <w:rPr>
          <w:b/>
          <w:bCs/>
        </w:rPr>
        <w:t xml:space="preserve">Art. 334.</w:t>
      </w:r>
      <w:r>
        <w:t xml:space="preserve"> </w:t>
      </w:r>
      <w:r>
        <w:t xml:space="preserve">Se a petição inicial preencher os requisitos essenciais e não for o caso de improcedência liminar do pedido, o juiz designará audiência de conciliação ou de mediação com antecedência mínima de 30 (trinta) dias, devendo ser citado o réu com pelo menos 20 (vinte) dias de antecedência.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43"/>
        <w:gridCol w:w="2585"/>
        <w:gridCol w:w="4826"/>
      </w:tblGrid>
      <w:tr>
        <w:trPr>
          <w:tblHeader w:val="on"/>
          <w:cantSplit/>
          <w:tblHeader/>
        </w:trPr>
        <w:tc>
          <w:tcPr>
            <w:tcW w:type="dxa" w:w="1943"/>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8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2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43"/>
          </w:tcPr>
          <w:p>
            <w:pPr>
              <w:pStyle w:val="Compact"/>
              <w:spacing w:line="276" w:lineRule="auto" w:before="40" w:after="40"/>
            </w:pPr>
            <w:r>
              <w:rPr>
                <w:rFonts w:ascii="Liberation Sans Narrow" w:hAnsi="Liberation Sans Narrow"/>
                <w:sz w:val="18"/>
              </w:rPr>
              <w:t xml:space="preserve">Art. 334, caput: designação da audiência e efeito da não realização</w:t>
            </w:r>
          </w:p>
        </w:tc>
        <w:tc>
          <w:tcPr>
            <w:tcW w:type="dxa" w:w="2585"/>
          </w:tcPr>
          <w:p>
            <w:pPr>
              <w:pStyle w:val="Compact"/>
              <w:spacing w:line="276" w:lineRule="auto" w:before="40" w:after="40"/>
            </w:pPr>
            <w:r>
              <w:rPr>
                <w:rFonts w:ascii="Liberation Sans Narrow" w:hAnsi="Liberation Sans Narrow"/>
                <w:sz w:val="18"/>
              </w:rPr>
              <w:t xml:space="preserve">STJ, AREsp 3.075.807, Quarta Turma, relator Min. Raul Araújo, julgado em 01/06/2026, DJEN de 09/06/2026</w:t>
            </w:r>
          </w:p>
        </w:tc>
        <w:tc>
          <w:tcPr>
            <w:tcW w:type="dxa" w:w="4826"/>
          </w:tcPr>
          <w:p>
            <w:pPr>
              <w:pStyle w:val="Compact"/>
              <w:spacing w:line="276" w:lineRule="auto" w:before="40" w:after="40"/>
            </w:pPr>
            <w:r>
              <w:rPr>
                <w:rFonts w:ascii="Liberation Sans Narrow" w:hAnsi="Liberation Sans Narrow"/>
                <w:sz w:val="18"/>
              </w:rPr>
              <w:t xml:space="preserve">A ausência de realização de audiência de conciliação não é causa de nulidade do processo quando a parte não demonstra prejuízo pela não realização do ato; a origem a reputou prescindível, e o STJ manteve o acórdão, invocando a Súmula 83/STJ.</w:t>
            </w:r>
          </w:p>
        </w:tc>
      </w:tr>
    </w:tbl>
    <w:p>
      <w:pPr>
        <w:pStyle w:val="BodyText"/>
        <w:spacing w:after="80"/>
        <w:jc w:val="both"/>
      </w:pPr>
      <w:r>
        <w:t xml:space="preserve">§ 1º O conciliador ou mediador, onde houver, atuará necessariamente na audiência de conciliação ou de mediação, observando o disposto neste Código, bem como as disposições da lei de organização judiciária.</w:t>
      </w:r>
    </w:p>
    <w:p>
      <w:pPr>
        <w:pStyle w:val="BodyText"/>
        <w:spacing w:after="80"/>
        <w:jc w:val="both"/>
      </w:pPr>
      <w:r>
        <w:t xml:space="preserve">§ 2º Poderá haver mais de uma sessão destinada à conciliação e à mediação, não podendo exceder a 2 (dois) meses da data de realização da primeira sessão, desde que necessárias à composição das partes.</w:t>
      </w:r>
    </w:p>
    <w:p>
      <w:pPr>
        <w:pStyle w:val="BodyText"/>
        <w:spacing w:after="80"/>
        <w:jc w:val="both"/>
      </w:pPr>
      <w:r>
        <w:t xml:space="preserve">§ 3º A intimação do autor para a audiência será feita na pessoa de seu advogado.</w:t>
      </w:r>
    </w:p>
    <w:p>
      <w:pPr>
        <w:pStyle w:val="BodyText"/>
        <w:spacing w:after="80"/>
        <w:jc w:val="both"/>
      </w:pPr>
      <w:r>
        <w:t xml:space="preserve">§ 4º A audiência não será realizada:</w:t>
      </w:r>
    </w:p>
    <w:p>
      <w:pPr>
        <w:pStyle w:val="BodyText"/>
        <w:spacing w:after="80"/>
        <w:jc w:val="both"/>
      </w:pPr>
      <w:r>
        <w:t xml:space="preserve">I - se ambas as partes manifestarem, expressamente, desinteresse na composição consensual;</w:t>
      </w:r>
    </w:p>
    <w:p>
      <w:pPr>
        <w:pStyle w:val="BodyText"/>
        <w:spacing w:after="80"/>
        <w:jc w:val="both"/>
      </w:pPr>
      <w:r>
        <w:t xml:space="preserve">II - quando não se admitir a autocomposição.</w:t>
      </w:r>
    </w:p>
    <w:p>
      <w:pPr>
        <w:pStyle w:val="BodyText"/>
        <w:spacing w:after="80"/>
        <w:jc w:val="both"/>
      </w:pPr>
      <w:r>
        <w:t xml:space="preserve">§ 5º O autor deverá indicar, na petição inicial, seu desinteresse na autocomposição, e o réu deverá fazê-lo, por petição, apresentada com 10 (dez) dias de antecedência, contados da data da audiência.</w:t>
      </w:r>
    </w:p>
    <w:p>
      <w:pPr>
        <w:pStyle w:val="BodyText"/>
        <w:spacing w:after="80"/>
        <w:jc w:val="both"/>
      </w:pPr>
      <w:r>
        <w:t xml:space="preserve">§ 6º Havendo litisconsórcio, o desinteresse na realização da audiência deve ser manifestado por todos os litisconsortes.</w:t>
      </w:r>
    </w:p>
    <w:p>
      <w:pPr>
        <w:pStyle w:val="BodyText"/>
        <w:spacing w:after="80"/>
        <w:jc w:val="both"/>
      </w:pPr>
      <w:r>
        <w:t xml:space="preserve">§ 7º A audiência de conciliação ou de mediação pode realizar-se por meio eletrônico, nos termos da lei.</w:t>
      </w:r>
    </w:p>
    <w:p>
      <w:pPr>
        <w:pStyle w:val="BodyText"/>
        <w:keepNext/>
        <w:spacing w:after="80"/>
        <w:jc w:val="both"/>
      </w:pPr>
      <w:r>
        <w:t xml:space="preserve">§ 8º O não comparecimento injustificado do autor ou do réu à audiência de conciliação é considerado ato atentatório à dignidade da justiça e será sancionado com multa de até dois por cento da vantagem econômica pretendida ou do valor da causa, revertida em favor da União ou do Estado.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38"/>
        <w:gridCol w:w="3070"/>
        <w:gridCol w:w="4046"/>
      </w:tblGrid>
      <w:tr>
        <w:trPr>
          <w:tblHeader w:val="on"/>
          <w:cantSplit/>
          <w:tblHeader/>
        </w:trPr>
        <w:tc>
          <w:tcPr>
            <w:tcW w:type="dxa" w:w="2238"/>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07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04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38"/>
          </w:tcPr>
          <w:p>
            <w:pPr>
              <w:pStyle w:val="Compact"/>
              <w:spacing w:line="276" w:lineRule="auto" w:before="40" w:after="40"/>
            </w:pPr>
            <w:r>
              <w:rPr>
                <w:rFonts w:ascii="Liberation Sans Narrow" w:hAnsi="Liberation Sans Narrow"/>
                <w:sz w:val="18"/>
              </w:rPr>
              <w:t xml:space="preserve">Art. 334, § 8º: multa e equívoco interno do escritório</w:t>
            </w:r>
          </w:p>
        </w:tc>
        <w:tc>
          <w:tcPr>
            <w:tcW w:type="dxa" w:w="3070"/>
          </w:tcPr>
          <w:p>
            <w:pPr>
              <w:pStyle w:val="Compact"/>
              <w:spacing w:line="276" w:lineRule="auto" w:before="40" w:after="40"/>
            </w:pPr>
            <w:r>
              <w:rPr>
                <w:rFonts w:ascii="Liberation Sans Narrow" w:hAnsi="Liberation Sans Narrow"/>
                <w:sz w:val="18"/>
              </w:rPr>
              <w:t xml:space="preserve">STJ, AgInt no AREsp 2.750.701, Quarta Turma, relator Min. Antonio Carlos Ferreira, julgado em 01/06/2026, DJEN de 09/06/2026</w:t>
            </w:r>
          </w:p>
        </w:tc>
        <w:tc>
          <w:tcPr>
            <w:tcW w:type="dxa" w:w="4046"/>
          </w:tcPr>
          <w:p>
            <w:pPr>
              <w:pStyle w:val="Compact"/>
              <w:spacing w:line="276" w:lineRule="auto" w:before="40" w:after="40"/>
            </w:pPr>
            <w:r>
              <w:rPr>
                <w:rFonts w:ascii="Liberation Sans Narrow" w:hAnsi="Liberation Sans Narrow"/>
                <w:sz w:val="18"/>
              </w:rPr>
              <w:t xml:space="preserve">A multa do art. 334, § 8º, é legítima quando constatado o não comparecimento injustificado à audiência de conciliação, com intimações regulares e habilitação da patrona nos autos; a justificativa de equívoco interno na organização do escritório não afasta a penalidade, por se inserir na esfera de responsabilidade profissional. O recurso não foi conhecido por falta de prequestionamento (Súmulas 282 e 356/STF), mas a ementa afirma a legitimidade da multa nas razões de decidir.</w:t>
            </w:r>
          </w:p>
        </w:tc>
      </w:tr>
      <w:tr>
        <w:trPr>
          <w:cantSplit/>
        </w:trPr>
        <w:tc>
          <w:tcPr>
            <w:tcW w:type="dxa" w:w="2238"/>
          </w:tcPr>
          <w:p>
            <w:pPr>
              <w:pStyle w:val="Compact"/>
              <w:spacing w:line="276" w:lineRule="auto" w:before="40" w:after="40"/>
            </w:pPr>
            <w:r>
              <w:rPr>
                <w:rFonts w:ascii="Liberation Sans Narrow" w:hAnsi="Liberation Sans Narrow"/>
                <w:sz w:val="18"/>
              </w:rPr>
              <w:t xml:space="preserve">Art. 334, § 8º: multa, intimações válidas e ausência de manifestação de desinteresse</w:t>
            </w:r>
          </w:p>
        </w:tc>
        <w:tc>
          <w:tcPr>
            <w:tcW w:type="dxa" w:w="3070"/>
          </w:tcPr>
          <w:p>
            <w:pPr>
              <w:pStyle w:val="Compact"/>
              <w:spacing w:line="276" w:lineRule="auto" w:before="40" w:after="40"/>
            </w:pPr>
            <w:r>
              <w:rPr>
                <w:rFonts w:ascii="Liberation Sans Narrow" w:hAnsi="Liberation Sans Narrow"/>
                <w:sz w:val="18"/>
              </w:rPr>
              <w:t xml:space="preserve">STJ, AREsp 2.471.590, Quarta Turma, relator Min. Raul Araújo, julgado em 16/03/2026, DJEN de 23/03/2026</w:t>
            </w:r>
          </w:p>
        </w:tc>
        <w:tc>
          <w:tcPr>
            <w:tcW w:type="dxa" w:w="4046"/>
          </w:tcPr>
          <w:p>
            <w:pPr>
              <w:pStyle w:val="Compact"/>
              <w:spacing w:line="276" w:lineRule="auto" w:before="40" w:after="40"/>
            </w:pPr>
            <w:r>
              <w:rPr>
                <w:rFonts w:ascii="Liberation Sans Narrow" w:hAnsi="Liberation Sans Narrow"/>
                <w:sz w:val="18"/>
              </w:rPr>
              <w:t xml:space="preserve">O não comparecimento injustificado à audiência de conciliação é sancionado com a multa do art. 334, § 8º; na hipótese, as instâncias locais assentaram a validade das intimações e a ausência de manifestação expressa de desinteresse na autocomposição, e o agravo foi desprovido.</w:t>
            </w:r>
          </w:p>
        </w:tc>
      </w:tr>
      <w:tr>
        <w:trPr>
          <w:cantSplit/>
        </w:trPr>
        <w:tc>
          <w:tcPr>
            <w:tcW w:type="dxa" w:w="2238"/>
          </w:tcPr>
          <w:p>
            <w:pPr>
              <w:pStyle w:val="Compact"/>
              <w:spacing w:line="276" w:lineRule="auto" w:before="40" w:after="40"/>
            </w:pPr>
            <w:r>
              <w:rPr>
                <w:rFonts w:ascii="Liberation Sans Narrow" w:hAnsi="Liberation Sans Narrow"/>
                <w:sz w:val="18"/>
              </w:rPr>
              <w:t xml:space="preserve">Art. 334, § 8º: multa por não comparecimento pessoal e representação por advogado</w:t>
            </w:r>
          </w:p>
        </w:tc>
        <w:tc>
          <w:tcPr>
            <w:tcW w:type="dxa" w:w="3070"/>
          </w:tcPr>
          <w:p>
            <w:pPr>
              <w:pStyle w:val="Compact"/>
              <w:spacing w:line="276" w:lineRule="auto" w:before="40" w:after="40"/>
            </w:pPr>
            <w:r>
              <w:rPr>
                <w:rFonts w:ascii="Liberation Sans Narrow" w:hAnsi="Liberation Sans Narrow"/>
                <w:sz w:val="18"/>
              </w:rPr>
              <w:t xml:space="preserve">STJ, AgInt no RMS 56.422, Quarta Turma, relator Min. Raul Araújo, julgado em 08/06/2021, DJe de 16/06/2021</w:t>
            </w:r>
          </w:p>
        </w:tc>
        <w:tc>
          <w:tcPr>
            <w:tcW w:type="dxa" w:w="4046"/>
          </w:tcPr>
          <w:p>
            <w:pPr>
              <w:pStyle w:val="Compact"/>
              <w:spacing w:line="276" w:lineRule="auto" w:before="40" w:after="40"/>
            </w:pPr>
            <w:r>
              <w:rPr>
                <w:rFonts w:ascii="Liberation Sans Narrow" w:hAnsi="Liberation Sans Narrow"/>
                <w:sz w:val="18"/>
              </w:rPr>
              <w:t xml:space="preserve">É manifestamente ilegal e irrecorrível a decisão que impõe à parte a multa do § 8º por não comparecimento pessoal à audiência de conciliação quando ela estava representada por advogado com poderes específicos para transigir, como autoriza o § 10 do mesmo artigo; segurança concedida.</w:t>
            </w:r>
          </w:p>
        </w:tc>
      </w:tr>
    </w:tbl>
    <w:p>
      <w:pPr>
        <w:pStyle w:val="BodyText"/>
        <w:spacing w:after="80"/>
        <w:jc w:val="both"/>
      </w:pPr>
      <w:r>
        <w:t xml:space="preserve">§ 9º As partes devem estar acompanhadas por seus advogados ou defensores públicos.</w:t>
      </w:r>
    </w:p>
    <w:p>
      <w:pPr>
        <w:pStyle w:val="BodyText"/>
        <w:spacing w:after="80"/>
        <w:jc w:val="both"/>
      </w:pPr>
      <w:r>
        <w:t xml:space="preserve">§ 10. A parte poderá constituir representante, por meio de procuração específica, com poderes para negociar e transigir.</w:t>
      </w:r>
    </w:p>
    <w:p>
      <w:pPr>
        <w:pStyle w:val="BodyText"/>
        <w:spacing w:after="80"/>
        <w:jc w:val="both"/>
      </w:pPr>
      <w:r>
        <w:t xml:space="preserve">§ 11. A autocomposição obtida será reduzida a termo e homologada por sentença.</w:t>
      </w:r>
    </w:p>
    <w:p>
      <w:pPr>
        <w:pStyle w:val="BodyText"/>
        <w:spacing w:after="80"/>
        <w:jc w:val="both"/>
      </w:pPr>
      <w:r>
        <w:t xml:space="preserve">§ 12. A pauta das audiências de conciliação ou de mediação será organizada de modo a respeitar o intervalo mínimo de 20 (vinte) minutos entre o início de uma e o início da seguinte.</w:t>
      </w:r>
    </w:p>
    <w:bookmarkEnd w:id="38"/>
    <w:bookmarkEnd w:id="39"/>
    <w:bookmarkStart w:id="48" w:name="X20c3b6257f06b2bcca31185fc7fc39e64939eb8"/>
    <w:p>
      <w:pPr>
        <w:pStyle w:val="Heading4"/>
        <w:spacing w:before="160" w:after="40"/>
      </w:pPr>
      <w:r>
        <w:rPr>
          <w:smallCaps/>
          <w:color w:val="2E75B6"/>
        </w:rPr>
        <w:t xml:space="preserve">Capítulo VI: da contestação (arts. 335 a 342)</w:t>
      </w:r>
    </w:p>
    <w:bookmarkStart w:id="40" w:name="art.-335"/>
    <w:p>
      <w:pPr>
        <w:pStyle w:val="Heading6"/>
        <w:pBdr>
          <w:left w:val="single" w:sz="36" w:space="4" w:color="2E75B6"/>
        </w:pBdr>
        <w:shd w:val="clear" w:color="auto" w:fill="E3EEF9"/>
        <w:spacing w:before="200" w:after="80"/>
        <w:ind w:left="85"/>
      </w:pPr>
      <w:r>
        <w:rPr>
          <w:i w:val="0"/>
          <w:color w:val="1F3A5F"/>
          <w:sz w:val="23"/>
        </w:rPr>
        <w:t xml:space="preserve">Art. 335</w:t>
      </w:r>
    </w:p>
    <w:p>
      <w:pPr>
        <w:pStyle w:val="FirstParagraph"/>
        <w:keepNext/>
        <w:spacing w:after="80"/>
        <w:jc w:val="both"/>
      </w:pPr>
      <w:r>
        <w:rPr>
          <w:b/>
          <w:bCs/>
        </w:rPr>
        <w:t xml:space="preserve">Art. 335.</w:t>
      </w:r>
      <w:r>
        <w:t xml:space="preserve"> </w:t>
      </w:r>
      <w:r>
        <w:t xml:space="preserve">O réu poderá oferecer contestação, por petição, no prazo de 15 (quinze) dias, cujo termo inicial será a data: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79"/>
        <w:gridCol w:w="3144"/>
        <w:gridCol w:w="3931"/>
      </w:tblGrid>
      <w:tr>
        <w:trPr>
          <w:tblHeader w:val="on"/>
          <w:cantSplit/>
          <w:tblHeader/>
        </w:trPr>
        <w:tc>
          <w:tcPr>
            <w:tcW w:type="dxa" w:w="2279"/>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14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393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79"/>
          </w:tcPr>
          <w:p>
            <w:pPr>
              <w:pStyle w:val="Compact"/>
              <w:spacing w:line="276" w:lineRule="auto" w:before="40" w:after="40"/>
            </w:pPr>
            <w:r>
              <w:rPr>
                <w:rFonts w:ascii="Liberation Sans Narrow" w:hAnsi="Liberation Sans Narrow"/>
                <w:sz w:val="18"/>
              </w:rPr>
              <w:t xml:space="preserve">Art. 239, § 1º: comparecimento espontâneo</w:t>
            </w:r>
          </w:p>
        </w:tc>
        <w:tc>
          <w:tcPr>
            <w:tcW w:type="dxa" w:w="3145"/>
          </w:tcPr>
          <w:p>
            <w:pPr>
              <w:pStyle w:val="Compact"/>
              <w:spacing w:line="276" w:lineRule="auto" w:before="40" w:after="40"/>
            </w:pPr>
            <w:r>
              <w:rPr>
                <w:rFonts w:ascii="Liberation Sans Narrow" w:hAnsi="Liberation Sans Narrow"/>
                <w:sz w:val="18"/>
              </w:rPr>
              <w:t xml:space="preserve">STJ, AgInt no EREsp 1.930.225, Segunda Seção, relator Min. Luis Felipe Salomão, DJe de 06/06/2022</w:t>
            </w:r>
          </w:p>
        </w:tc>
        <w:tc>
          <w:tcPr>
            <w:tcW w:type="dxa" w:w="3931"/>
          </w:tcPr>
          <w:p>
            <w:pPr>
              <w:pStyle w:val="Compact"/>
              <w:spacing w:line="276" w:lineRule="auto" w:before="40" w:after="40"/>
            </w:pPr>
            <w:r>
              <w:rPr>
                <w:rFonts w:ascii="Liberation Sans Narrow" w:hAnsi="Liberation Sans Narrow"/>
                <w:sz w:val="18"/>
              </w:rPr>
              <w:t xml:space="preserve">O art. 239, § 1º, do CPC/2015 vale para quem toma conhecimento do processo na fase de conhecimento; na fase de cumprimento de sentença, o comparecimento espontâneo reabre o prazo. Embargos de divergência não admitidos por ausência de similitude fática.</w:t>
            </w:r>
          </w:p>
        </w:tc>
      </w:tr>
      <w:tr>
        <w:trPr>
          <w:cantSplit/>
        </w:trPr>
        <w:tc>
          <w:tcPr>
            <w:tcW w:type="dxa" w:w="2279"/>
          </w:tcPr>
          <w:p>
            <w:pPr>
              <w:pStyle w:val="Compact"/>
              <w:spacing w:line="276" w:lineRule="auto" w:before="40" w:after="40"/>
            </w:pPr>
            <w:r>
              <w:rPr>
                <w:rFonts w:ascii="Liberation Sans Narrow" w:hAnsi="Liberation Sans Narrow"/>
                <w:sz w:val="18"/>
              </w:rPr>
              <w:t xml:space="preserve">Art. 335 c/c art. 231, § 1º: pluralidade de réus</w:t>
            </w:r>
          </w:p>
        </w:tc>
        <w:tc>
          <w:tcPr>
            <w:tcW w:type="dxa" w:w="3145"/>
          </w:tcPr>
          <w:p>
            <w:pPr>
              <w:pStyle w:val="Compact"/>
              <w:spacing w:line="276" w:lineRule="auto" w:before="40" w:after="40"/>
            </w:pPr>
            <w:r>
              <w:rPr>
                <w:rFonts w:ascii="Liberation Sans Narrow" w:hAnsi="Liberation Sans Narrow"/>
                <w:sz w:val="18"/>
              </w:rPr>
              <w:t xml:space="preserve">STJ, REsp 2.139.058, Quarta Turma, relator Min. João Otávio de Noronha, julgado em 11/05/2026, DJEN de 14/05/2026</w:t>
            </w:r>
          </w:p>
        </w:tc>
        <w:tc>
          <w:tcPr>
            <w:tcW w:type="dxa" w:w="3931"/>
          </w:tcPr>
          <w:p>
            <w:pPr>
              <w:pStyle w:val="Compact"/>
              <w:spacing w:line="276" w:lineRule="auto" w:before="40" w:after="40"/>
            </w:pPr>
            <w:r>
              <w:rPr>
                <w:rFonts w:ascii="Liberation Sans Narrow" w:hAnsi="Liberation Sans Narrow"/>
                <w:sz w:val="18"/>
              </w:rPr>
              <w:t xml:space="preserve">Havendo litisconsórcio passivo, o prazo para contestar tem como termo inicial a última citação válida (art. 231, § 1º), com reflexos na revelia, e é inaplicável a multa do art. 1.026, § 2º. Recurso especial conhecido e parcialmente provido.</w:t>
            </w:r>
          </w:p>
        </w:tc>
      </w:tr>
      <w:tr>
        <w:trPr>
          <w:cantSplit/>
        </w:trPr>
        <w:tc>
          <w:tcPr>
            <w:tcW w:type="dxa" w:w="2279"/>
          </w:tcPr>
          <w:p>
            <w:pPr>
              <w:pStyle w:val="Compact"/>
              <w:spacing w:line="276" w:lineRule="auto" w:before="40" w:after="40"/>
            </w:pPr>
            <w:r>
              <w:rPr>
                <w:rFonts w:ascii="Liberation Sans Narrow" w:hAnsi="Liberation Sans Narrow"/>
                <w:sz w:val="18"/>
              </w:rPr>
              <w:t xml:space="preserve">Citação postal: início da contagem</w:t>
            </w:r>
          </w:p>
        </w:tc>
        <w:tc>
          <w:tcPr>
            <w:tcW w:type="dxa" w:w="3145"/>
          </w:tcPr>
          <w:p>
            <w:pPr>
              <w:pStyle w:val="Compact"/>
              <w:spacing w:line="276" w:lineRule="auto" w:before="40" w:after="40"/>
            </w:pPr>
            <w:r>
              <w:rPr>
                <w:rFonts w:ascii="Liberation Sans Narrow" w:hAnsi="Liberation Sans Narrow"/>
                <w:sz w:val="18"/>
              </w:rPr>
              <w:t xml:space="preserve">STJ, AREsp 2.626.022, Quarta Turma, relator Min. João Otávio de Noronha, julgado em 04/05/2026, DJEN de 07/05/2026</w:t>
            </w:r>
          </w:p>
        </w:tc>
        <w:tc>
          <w:tcPr>
            <w:tcW w:type="dxa" w:w="3931"/>
          </w:tcPr>
          <w:p>
            <w:pPr>
              <w:pStyle w:val="Compact"/>
              <w:spacing w:line="276" w:lineRule="auto" w:before="40" w:after="40"/>
            </w:pPr>
            <w:r>
              <w:rPr>
                <w:rFonts w:ascii="Liberation Sans Narrow" w:hAnsi="Liberation Sans Narrow"/>
                <w:sz w:val="18"/>
              </w:rPr>
              <w:t xml:space="preserve">Na citação postal, a contagem do prazo para contestar exclui o dia do começo e se inicia no primeiro dia útil subsequente à juntada do último aviso de recebimento; mantida a tempestividade das contestações, o agravo em recurso especial foi desprovido.</w:t>
            </w:r>
          </w:p>
        </w:tc>
      </w:tr>
      <w:tr>
        <w:trPr>
          <w:cantSplit/>
        </w:trPr>
        <w:tc>
          <w:tcPr>
            <w:tcW w:type="dxa" w:w="2279"/>
          </w:tcPr>
          <w:p>
            <w:pPr>
              <w:pStyle w:val="Compact"/>
              <w:spacing w:line="276" w:lineRule="auto" w:before="40" w:after="40"/>
            </w:pPr>
            <w:r>
              <w:rPr>
                <w:rFonts w:ascii="Liberation Sans Narrow" w:hAnsi="Liberation Sans Narrow"/>
                <w:sz w:val="18"/>
              </w:rPr>
              <w:t xml:space="preserve">Revelia por intempestividade (reexame)</w:t>
            </w:r>
          </w:p>
        </w:tc>
        <w:tc>
          <w:tcPr>
            <w:tcW w:type="dxa" w:w="3145"/>
          </w:tcPr>
          <w:p>
            <w:pPr>
              <w:pStyle w:val="Compact"/>
              <w:spacing w:line="276" w:lineRule="auto" w:before="40" w:after="40"/>
            </w:pPr>
            <w:r>
              <w:rPr>
                <w:rFonts w:ascii="Liberation Sans Narrow" w:hAnsi="Liberation Sans Narrow"/>
                <w:sz w:val="18"/>
              </w:rPr>
              <w:t xml:space="preserve">STJ, REsp 2.200.972, Quarta Turma, relatora Min. Maria Isabel Gallotti, julgado em 13/04/2026, DJEN de 16/04/2026</w:t>
            </w:r>
          </w:p>
        </w:tc>
        <w:tc>
          <w:tcPr>
            <w:tcW w:type="dxa" w:w="3931"/>
          </w:tcPr>
          <w:p>
            <w:pPr>
              <w:pStyle w:val="Compact"/>
              <w:spacing w:line="276" w:lineRule="auto" w:before="40" w:after="40"/>
            </w:pPr>
            <w:r>
              <w:rPr>
                <w:rFonts w:ascii="Liberation Sans Narrow" w:hAnsi="Liberation Sans Narrow"/>
                <w:sz w:val="18"/>
              </w:rPr>
              <w:t xml:space="preserve">A intempestividade da contestação e a consequente revelia, a apreciação das provas e a adequação do quantum indenizatório não se revêm em recurso especial (Súmula 7/STJ); não viola o art. 1.022, II, o acórdão que enfrenta expressamente as questões suscitadas, ainda que em sentido contrário ao interesse da parte.</w:t>
            </w:r>
          </w:p>
        </w:tc>
      </w:tr>
      <w:tr>
        <w:trPr>
          <w:cantSplit/>
        </w:trPr>
        <w:tc>
          <w:tcPr>
            <w:tcW w:type="dxa" w:w="2279"/>
          </w:tcPr>
          <w:p>
            <w:pPr>
              <w:pStyle w:val="Compact"/>
              <w:spacing w:line="276" w:lineRule="auto" w:before="40" w:after="40"/>
            </w:pPr>
            <w:r>
              <w:rPr>
                <w:rFonts w:ascii="Liberation Sans Narrow" w:hAnsi="Liberation Sans Narrow"/>
                <w:sz w:val="18"/>
              </w:rPr>
              <w:t xml:space="preserve">Termo inicial a partir da audiência de conciliação</w:t>
            </w:r>
          </w:p>
        </w:tc>
        <w:tc>
          <w:tcPr>
            <w:tcW w:type="dxa" w:w="3145"/>
          </w:tcPr>
          <w:p>
            <w:pPr>
              <w:pStyle w:val="Compact"/>
              <w:spacing w:line="276" w:lineRule="auto" w:before="40" w:after="40"/>
            </w:pPr>
            <w:r>
              <w:rPr>
                <w:rFonts w:ascii="Liberation Sans Narrow" w:hAnsi="Liberation Sans Narrow"/>
                <w:sz w:val="18"/>
              </w:rPr>
              <w:t xml:space="preserve">STJ, AREsp 3.055.345, Terceira Turma, relator Min. Moura Ribeiro, julgado em 23/03/2026, DJEN de 30/03/2026</w:t>
            </w:r>
          </w:p>
        </w:tc>
        <w:tc>
          <w:tcPr>
            <w:tcW w:type="dxa" w:w="3931"/>
          </w:tcPr>
          <w:p>
            <w:pPr>
              <w:pStyle w:val="Compact"/>
              <w:spacing w:line="276" w:lineRule="auto" w:before="40" w:after="40"/>
            </w:pPr>
            <w:r>
              <w:rPr>
                <w:rFonts w:ascii="Liberation Sans Narrow" w:hAnsi="Liberation Sans Narrow"/>
                <w:sz w:val="18"/>
              </w:rPr>
              <w:t xml:space="preserve">O prazo para contestar, iniciado por decisão judicial na audiência de conciliação, encerra-se na data útil correspondente; a defesa protocolada depois é intempestiva.</w:t>
            </w:r>
          </w:p>
        </w:tc>
      </w:tr>
      <w:tr>
        <w:trPr>
          <w:cantSplit/>
        </w:trPr>
        <w:tc>
          <w:tcPr>
            <w:tcW w:type="dxa" w:w="2279"/>
          </w:tcPr>
          <w:p>
            <w:pPr>
              <w:pStyle w:val="Compact"/>
              <w:spacing w:line="276" w:lineRule="auto" w:before="40" w:after="40"/>
            </w:pPr>
            <w:r>
              <w:rPr>
                <w:rFonts w:ascii="Liberation Sans Narrow" w:hAnsi="Liberation Sans Narrow"/>
                <w:sz w:val="18"/>
              </w:rPr>
              <w:t xml:space="preserve">Citação por mandado e Defensoria Pública</w:t>
            </w:r>
          </w:p>
        </w:tc>
        <w:tc>
          <w:tcPr>
            <w:tcW w:type="dxa" w:w="3145"/>
          </w:tcPr>
          <w:p>
            <w:pPr>
              <w:pStyle w:val="Compact"/>
              <w:spacing w:line="276" w:lineRule="auto" w:before="40" w:after="40"/>
            </w:pPr>
            <w:r>
              <w:rPr>
                <w:rFonts w:ascii="Liberation Sans Narrow" w:hAnsi="Liberation Sans Narrow"/>
                <w:sz w:val="18"/>
              </w:rPr>
              <w:t xml:space="preserve">STJ, AgInt no AREsp 2.018.658, Quarta Turma, relatora Min. Maria Isabel Gallotti, DJe de 23/03/2023</w:t>
            </w:r>
          </w:p>
        </w:tc>
        <w:tc>
          <w:tcPr>
            <w:tcW w:type="dxa" w:w="3931"/>
          </w:tcPr>
          <w:p>
            <w:pPr>
              <w:pStyle w:val="Compact"/>
              <w:spacing w:line="276" w:lineRule="auto" w:before="40" w:after="40"/>
            </w:pPr>
            <w:r>
              <w:rPr>
                <w:rFonts w:ascii="Liberation Sans Narrow" w:hAnsi="Liberation Sans Narrow"/>
                <w:sz w:val="18"/>
              </w:rPr>
              <w:t xml:space="preserve">O ato citatório é personalíssimo: o prazo para contestar ou embargar conta-se da juntada do mandado de citação, e não da intimação pessoal do Defensor Público.</w:t>
            </w:r>
          </w:p>
        </w:tc>
      </w:tr>
    </w:tbl>
    <w:p>
      <w:pPr>
        <w:pStyle w:val="BodyText"/>
        <w:spacing w:after="80"/>
        <w:jc w:val="both"/>
      </w:pPr>
      <w:r>
        <w:t xml:space="preserve">I - da audiência de conciliação ou de mediação, ou da última sessão de conciliação, quando qualquer parte não comparecer ou, comparecendo, não houver autocomposição;</w:t>
      </w:r>
    </w:p>
    <w:p>
      <w:pPr>
        <w:pStyle w:val="BodyText"/>
        <w:spacing w:after="80"/>
        <w:jc w:val="both"/>
      </w:pPr>
      <w:r>
        <w:t xml:space="preserve">II - do protocolo do pedido de cancelamento da audiência de conciliação ou de mediação apresentado pelo réu, quando ocorrer a hipótese do art. 334, § 4º, inciso I;</w:t>
      </w:r>
    </w:p>
    <w:p>
      <w:pPr>
        <w:pStyle w:val="BodyText"/>
        <w:spacing w:after="80"/>
        <w:jc w:val="both"/>
      </w:pPr>
      <w:r>
        <w:t xml:space="preserve">III - prevista no art. 231, de acordo com o modo como foi feita a citação, nos demais casos.</w:t>
      </w:r>
    </w:p>
    <w:p>
      <w:pPr>
        <w:pStyle w:val="BodyText"/>
        <w:spacing w:after="80"/>
        <w:jc w:val="both"/>
      </w:pPr>
      <w:r>
        <w:t xml:space="preserve">§ 1º No caso de litisconsórcio passivo, ocorrendo a hipótese do art. 334, § 6º, o termo inicial previsto no inciso II será, para cada um dos réus, a data de apresentação de seu respectivo pedido de cancelamento da audiência.</w:t>
      </w:r>
    </w:p>
    <w:p>
      <w:pPr>
        <w:pStyle w:val="BodyText"/>
        <w:spacing w:after="80"/>
        <w:jc w:val="both"/>
      </w:pPr>
      <w:r>
        <w:t xml:space="preserve">§ 2º Quando ocorrer a hipótese do art. 334, § 4º, inciso II, havendo litisconsórcio passivo e o autor desistir da ação em relação a réu ainda não citado, o prazo para resposta correrá da data de intimação da decisão que homologar a desistência.</w:t>
      </w:r>
    </w:p>
    <w:bookmarkEnd w:id="40"/>
    <w:bookmarkStart w:id="41" w:name="art.-336"/>
    <w:p>
      <w:pPr>
        <w:pStyle w:val="Heading6"/>
        <w:pBdr>
          <w:left w:val="single" w:sz="36" w:space="4" w:color="2E75B6"/>
        </w:pBdr>
        <w:shd w:val="clear" w:color="auto" w:fill="E3EEF9"/>
        <w:spacing w:before="200" w:after="80"/>
        <w:ind w:left="85"/>
      </w:pPr>
      <w:r>
        <w:rPr>
          <w:i w:val="0"/>
          <w:color w:val="1F3A5F"/>
          <w:sz w:val="23"/>
        </w:rPr>
        <w:t xml:space="preserve">Art. 336</w:t>
      </w:r>
    </w:p>
    <w:p>
      <w:pPr>
        <w:pStyle w:val="FirstParagraph"/>
        <w:keepNext/>
        <w:spacing w:after="80"/>
        <w:jc w:val="both"/>
      </w:pPr>
      <w:r>
        <w:rPr>
          <w:b/>
          <w:bCs/>
        </w:rPr>
        <w:t xml:space="preserve">Art. 336.</w:t>
      </w:r>
      <w:r>
        <w:t xml:space="preserve"> </w:t>
      </w:r>
      <w:r>
        <w:t xml:space="preserve">Incumbe ao réu alegar, na contestação, toda a matéria de defesa, expondo as razões de fato e de direito com que impugna o pedido do autor e especificando as provas que pretende produzir.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80"/>
        <w:gridCol w:w="3181"/>
        <w:gridCol w:w="4192"/>
      </w:tblGrid>
      <w:tr>
        <w:trPr>
          <w:tblHeader w:val="on"/>
          <w:cantSplit/>
          <w:tblHeader/>
        </w:trPr>
        <w:tc>
          <w:tcPr>
            <w:tcW w:type="dxa" w:w="198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18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19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81"/>
          </w:tcPr>
          <w:p>
            <w:pPr>
              <w:pStyle w:val="Compact"/>
              <w:spacing w:line="276" w:lineRule="auto" w:before="40" w:after="40"/>
            </w:pPr>
            <w:r>
              <w:rPr>
                <w:rFonts w:ascii="Liberation Sans Narrow" w:hAnsi="Liberation Sans Narrow"/>
                <w:sz w:val="18"/>
              </w:rPr>
              <w:t xml:space="preserve">Art. 336: documentos essenciais e momento da contestação</w:t>
            </w:r>
          </w:p>
        </w:tc>
        <w:tc>
          <w:tcPr>
            <w:tcW w:type="dxa" w:w="3182"/>
          </w:tcPr>
          <w:p>
            <w:pPr>
              <w:pStyle w:val="Compact"/>
              <w:spacing w:line="276" w:lineRule="auto" w:before="40" w:after="40"/>
            </w:pPr>
            <w:r>
              <w:rPr>
                <w:rFonts w:ascii="Liberation Sans Narrow" w:hAnsi="Liberation Sans Narrow"/>
                <w:sz w:val="18"/>
              </w:rPr>
              <w:t xml:space="preserve">STJ, AREsp 2.580.345, Quarta Turma, relator Min. João Otávio de Noronha, julgado em 30/06/2026, DJEN de 06/07/2026</w:t>
            </w:r>
          </w:p>
        </w:tc>
        <w:tc>
          <w:tcPr>
            <w:tcW w:type="dxa" w:w="4192"/>
          </w:tcPr>
          <w:p>
            <w:pPr>
              <w:pStyle w:val="Compact"/>
              <w:spacing w:line="276" w:lineRule="auto" w:before="40" w:after="40"/>
            </w:pPr>
            <w:r>
              <w:rPr>
                <w:rFonts w:ascii="Liberation Sans Narrow" w:hAnsi="Liberation Sans Narrow"/>
                <w:sz w:val="18"/>
              </w:rPr>
              <w:t xml:space="preserve">Documento essencial à defesa, disponível desde a contestação, deve ser juntado no momento oportuno; a juntada extemporânea em apelação, sem justificativa, não se qualifica como</w:t>
            </w:r>
            <w:r>
              <w:rPr>
                <w:rFonts w:ascii="Liberation Sans Narrow" w:hAnsi="Liberation Sans Narrow"/>
                <w:sz w:val="18"/>
              </w:rPr>
              <w:t xml:space="preserve"> </w:t>
            </w:r>
            <w:r>
              <w:rPr>
                <w:rFonts w:ascii="Liberation Sans Narrow" w:hAnsi="Liberation Sans Narrow"/>
                <w:sz w:val="18"/>
              </w:rPr>
              <w:t xml:space="preserve">“documento novo”</w:t>
            </w:r>
            <w:r>
              <w:rPr>
                <w:rFonts w:ascii="Liberation Sans Narrow" w:hAnsi="Liberation Sans Narrow"/>
                <w:sz w:val="18"/>
              </w:rPr>
              <w:t xml:space="preserve"> </w:t>
            </w:r>
            <w:r>
              <w:rPr>
                <w:rFonts w:ascii="Liberation Sans Narrow" w:hAnsi="Liberation Sans Narrow"/>
                <w:sz w:val="18"/>
              </w:rPr>
              <w:t xml:space="preserve">(arts. 434 e 435, parágrafo único) e viola o contraditório e a ampla defesa, com ofensa aos arts. 336, 373 e 435, parágrafo único, do CPC.</w:t>
            </w:r>
          </w:p>
        </w:tc>
      </w:tr>
      <w:tr>
        <w:trPr>
          <w:cantSplit/>
        </w:trPr>
        <w:tc>
          <w:tcPr>
            <w:tcW w:type="dxa" w:w="1981"/>
          </w:tcPr>
          <w:p>
            <w:pPr>
              <w:pStyle w:val="Compact"/>
              <w:spacing w:line="276" w:lineRule="auto" w:before="40" w:after="40"/>
            </w:pPr>
            <w:r>
              <w:rPr>
                <w:rFonts w:ascii="Liberation Sans Narrow" w:hAnsi="Liberation Sans Narrow"/>
                <w:sz w:val="18"/>
              </w:rPr>
              <w:t xml:space="preserve">Art. 336: vedação à inovação de questão de fato em apelação</w:t>
            </w:r>
          </w:p>
        </w:tc>
        <w:tc>
          <w:tcPr>
            <w:tcW w:type="dxa" w:w="3182"/>
          </w:tcPr>
          <w:p>
            <w:pPr>
              <w:pStyle w:val="Compact"/>
              <w:spacing w:line="276" w:lineRule="auto" w:before="40" w:after="40"/>
            </w:pPr>
            <w:r>
              <w:rPr>
                <w:rFonts w:ascii="Liberation Sans Narrow" w:hAnsi="Liberation Sans Narrow"/>
                <w:sz w:val="18"/>
              </w:rPr>
              <w:t xml:space="preserve">STJ, REsp 2.010.021, Quarta Turma, relator Min. João Otávio de Noronha, julgado em 01/06/2026, DJEN de 08/06/2026</w:t>
            </w:r>
          </w:p>
        </w:tc>
        <w:tc>
          <w:tcPr>
            <w:tcW w:type="dxa" w:w="4192"/>
          </w:tcPr>
          <w:p>
            <w:pPr>
              <w:pStyle w:val="Compact"/>
              <w:spacing w:line="276" w:lineRule="auto" w:before="40" w:after="40"/>
            </w:pPr>
            <w:r>
              <w:rPr>
                <w:rFonts w:ascii="Liberation Sans Narrow" w:hAnsi="Liberation Sans Narrow"/>
                <w:sz w:val="18"/>
              </w:rPr>
              <w:t xml:space="preserve">A alegação de terceirização do evento é questão de fato, dependente de prova, que não pode ser inovada em apelação sem demonstração concreta de força maior; a orientação de vedação à inovação recursal é aplicada em consonância com os arts. 336 e 342 do CPC, e o recurso especial não foi conhecido.</w:t>
            </w:r>
          </w:p>
        </w:tc>
      </w:tr>
      <w:tr>
        <w:trPr>
          <w:cantSplit/>
        </w:trPr>
        <w:tc>
          <w:tcPr>
            <w:tcW w:type="dxa" w:w="1981"/>
          </w:tcPr>
          <w:p>
            <w:pPr>
              <w:pStyle w:val="Compact"/>
              <w:spacing w:line="276" w:lineRule="auto" w:before="40" w:after="40"/>
            </w:pPr>
            <w:r>
              <w:rPr>
                <w:rFonts w:ascii="Liberation Sans Narrow" w:hAnsi="Liberation Sans Narrow"/>
                <w:sz w:val="18"/>
              </w:rPr>
              <w:t xml:space="preserve">Art. 336: dever de deduzir toda a matéria de defesa e preclusão</w:t>
            </w:r>
          </w:p>
        </w:tc>
        <w:tc>
          <w:tcPr>
            <w:tcW w:type="dxa" w:w="3182"/>
          </w:tcPr>
          <w:p>
            <w:pPr>
              <w:pStyle w:val="Compact"/>
              <w:spacing w:line="276" w:lineRule="auto" w:before="40" w:after="40"/>
            </w:pPr>
            <w:r>
              <w:rPr>
                <w:rFonts w:ascii="Liberation Sans Narrow" w:hAnsi="Liberation Sans Narrow"/>
                <w:sz w:val="18"/>
              </w:rPr>
              <w:t xml:space="preserve">STJ, REsp 1.921.548, Terceira Turma, relator Min. Moura Ribeiro, julgado em 02/03/2026, DJEN de 06/03/2026</w:t>
            </w:r>
          </w:p>
        </w:tc>
        <w:tc>
          <w:tcPr>
            <w:tcW w:type="dxa" w:w="4192"/>
          </w:tcPr>
          <w:p>
            <w:pPr>
              <w:pStyle w:val="Compact"/>
              <w:spacing w:line="276" w:lineRule="auto" w:before="40" w:after="40"/>
            </w:pPr>
            <w:r>
              <w:rPr>
                <w:rFonts w:ascii="Liberation Sans Narrow" w:hAnsi="Liberation Sans Narrow"/>
                <w:sz w:val="18"/>
              </w:rPr>
              <w:t xml:space="preserve">A negativa geral da curadoria especial apenas afasta a presunção de veracidade dos fatos não impugnados, sem dispensar o réu do dever de deduzir, na contestação, toda a matéria de defesa e de especificar as provas, sob pena de preclusão (arts. 336 e 341, parágrafo único). A abusividade de cláusula penal é fato impeditivo, que exige alegação oportuna e prova específica (art. 373); sua veiculação apenas em apelação configura inovação recursal e supressão de instância.</w:t>
            </w:r>
          </w:p>
        </w:tc>
      </w:tr>
    </w:tbl>
    <w:bookmarkEnd w:id="41"/>
    <w:bookmarkStart w:id="42" w:name="art.-337"/>
    <w:p>
      <w:pPr>
        <w:pStyle w:val="Heading6"/>
        <w:pBdr>
          <w:left w:val="single" w:sz="36" w:space="4" w:color="2E75B6"/>
        </w:pBdr>
        <w:shd w:val="clear" w:color="auto" w:fill="E3EEF9"/>
        <w:spacing w:before="200" w:after="80"/>
        <w:ind w:left="85"/>
      </w:pPr>
      <w:r>
        <w:rPr>
          <w:i w:val="0"/>
          <w:color w:val="1F3A5F"/>
          <w:sz w:val="23"/>
        </w:rPr>
        <w:t xml:space="preserve">Art. 337</w:t>
      </w:r>
    </w:p>
    <w:p>
      <w:pPr>
        <w:pStyle w:val="FirstParagraph"/>
        <w:spacing w:after="80"/>
        <w:jc w:val="both"/>
      </w:pPr>
      <w:r>
        <w:rPr>
          <w:b/>
          <w:bCs/>
        </w:rPr>
        <w:t xml:space="preserve">Art. 337.</w:t>
      </w:r>
      <w:r>
        <w:t xml:space="preserve"> </w:t>
      </w:r>
      <w:r>
        <w:t xml:space="preserve">Incumbe ao réu, antes de discutir o mérito, alegar:</w:t>
      </w:r>
    </w:p>
    <w:p>
      <w:pPr>
        <w:pStyle w:val="BodyText"/>
        <w:spacing w:after="80"/>
        <w:jc w:val="both"/>
      </w:pPr>
      <w:r>
        <w:t xml:space="preserve">I - inexistência ou nulidade da citação;</w:t>
      </w:r>
    </w:p>
    <w:p>
      <w:pPr>
        <w:pStyle w:val="BodyText"/>
        <w:keepNext/>
        <w:spacing w:after="80"/>
        <w:jc w:val="both"/>
      </w:pPr>
      <w:r>
        <w:t xml:space="preserve">II - incompetência absoluta e relativa;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02"/>
        <w:gridCol w:w="2410"/>
        <w:gridCol w:w="4742"/>
      </w:tblGrid>
      <w:tr>
        <w:trPr>
          <w:tblHeader w:val="on"/>
          <w:cantSplit/>
          <w:tblHeader/>
        </w:trPr>
        <w:tc>
          <w:tcPr>
            <w:tcW w:type="dxa" w:w="220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41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4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02"/>
          </w:tcPr>
          <w:p>
            <w:pPr>
              <w:pStyle w:val="Compact"/>
              <w:spacing w:line="276" w:lineRule="auto" w:before="40" w:after="40"/>
            </w:pPr>
            <w:r>
              <w:rPr>
                <w:rFonts w:ascii="Liberation Sans Narrow" w:hAnsi="Liberation Sans Narrow"/>
                <w:sz w:val="18"/>
              </w:rPr>
              <w:t xml:space="preserve">Art. 337, II: incompetência por cláusula compromissória não arguida em contestação</w:t>
            </w:r>
          </w:p>
        </w:tc>
        <w:tc>
          <w:tcPr>
            <w:tcW w:type="dxa" w:w="2410"/>
          </w:tcPr>
          <w:p>
            <w:pPr>
              <w:pStyle w:val="Compact"/>
              <w:spacing w:line="276" w:lineRule="auto" w:before="40" w:after="40"/>
            </w:pPr>
            <w:r>
              <w:rPr>
                <w:rFonts w:ascii="Liberation Sans Narrow" w:hAnsi="Liberation Sans Narrow"/>
                <w:sz w:val="18"/>
              </w:rPr>
              <w:t xml:space="preserve">STJ, AgInt no AREsp 1.823.350, Quarta Turma, relator Min. Luis Felipe Salomão, DJe de 15/12/2021</w:t>
            </w:r>
          </w:p>
        </w:tc>
        <w:tc>
          <w:tcPr>
            <w:tcW w:type="dxa" w:w="4742"/>
          </w:tcPr>
          <w:p>
            <w:pPr>
              <w:pStyle w:val="Compact"/>
              <w:spacing w:line="276" w:lineRule="auto" w:before="40" w:after="40"/>
            </w:pPr>
            <w:r>
              <w:rPr>
                <w:rFonts w:ascii="Liberation Sans Narrow" w:hAnsi="Liberation Sans Narrow"/>
                <w:sz w:val="18"/>
              </w:rPr>
              <w:t xml:space="preserve">Contrato de franquia: a incompetência absoluta decorrente de cláusula compromissória não foi arguida em contestação, a citação foi regular e a revelia, regularmente pronunciada; o agravo interno foi desprovido pelas Súmulas 7 e 211/STJ.</w:t>
            </w:r>
          </w:p>
        </w:tc>
      </w:tr>
    </w:tbl>
    <w:p>
      <w:pPr>
        <w:pStyle w:val="BodyText"/>
        <w:spacing w:after="80"/>
        <w:jc w:val="both"/>
      </w:pPr>
      <w:r>
        <w:t xml:space="preserve">III - incorreção do valor da causa;</w:t>
      </w:r>
    </w:p>
    <w:p>
      <w:pPr>
        <w:pStyle w:val="BodyText"/>
        <w:spacing w:after="80"/>
        <w:jc w:val="both"/>
      </w:pPr>
      <w:r>
        <w:t xml:space="preserve">IV - inépcia da petição inicial;</w:t>
      </w:r>
    </w:p>
    <w:p>
      <w:pPr>
        <w:pStyle w:val="BodyText"/>
        <w:spacing w:after="80"/>
        <w:jc w:val="both"/>
      </w:pPr>
      <w:r>
        <w:t xml:space="preserve">V - perempção;</w:t>
      </w:r>
    </w:p>
    <w:p>
      <w:pPr>
        <w:pStyle w:val="BodyText"/>
        <w:spacing w:after="80"/>
        <w:jc w:val="both"/>
      </w:pPr>
      <w:r>
        <w:t xml:space="preserve">VI - litispendência;</w:t>
      </w:r>
    </w:p>
    <w:p>
      <w:pPr>
        <w:pStyle w:val="BodyText"/>
        <w:spacing w:after="80"/>
        <w:jc w:val="both"/>
      </w:pPr>
      <w:r>
        <w:t xml:space="preserve">VII - coisa julgada;</w:t>
      </w:r>
    </w:p>
    <w:p>
      <w:pPr>
        <w:pStyle w:val="BodyText"/>
        <w:spacing w:after="80"/>
        <w:jc w:val="both"/>
      </w:pPr>
      <w:r>
        <w:t xml:space="preserve">VIII - conexão;</w:t>
      </w:r>
    </w:p>
    <w:p>
      <w:pPr>
        <w:pStyle w:val="BodyText"/>
        <w:spacing w:after="80"/>
        <w:jc w:val="both"/>
      </w:pPr>
      <w:r>
        <w:t xml:space="preserve">IX - incapacidade da parte, defeito de representação ou falta de autorização;</w:t>
      </w:r>
    </w:p>
    <w:p>
      <w:pPr>
        <w:pStyle w:val="BodyText"/>
        <w:spacing w:after="80"/>
        <w:jc w:val="both"/>
      </w:pPr>
      <w:r>
        <w:t xml:space="preserve">X - convenção de arbitragem;</w:t>
      </w:r>
    </w:p>
    <w:p>
      <w:pPr>
        <w:pStyle w:val="BodyText"/>
        <w:spacing w:after="80"/>
        <w:jc w:val="both"/>
      </w:pPr>
      <w:r>
        <w:t xml:space="preserve">XI - ausência de legitimidade ou de interesse processual;</w:t>
      </w:r>
    </w:p>
    <w:p>
      <w:pPr>
        <w:pStyle w:val="BodyText"/>
        <w:spacing w:after="80"/>
        <w:jc w:val="both"/>
      </w:pPr>
      <w:r>
        <w:t xml:space="preserve">XII - falta de caução ou de outra prestação que a lei exige como preliminar;</w:t>
      </w:r>
    </w:p>
    <w:p>
      <w:pPr>
        <w:pStyle w:val="BodyText"/>
        <w:spacing w:after="80"/>
        <w:jc w:val="both"/>
      </w:pPr>
      <w:r>
        <w:t xml:space="preserve">XIII - indevida concessão do benefício de gratuidade de justiça.</w:t>
      </w:r>
    </w:p>
    <w:p>
      <w:pPr>
        <w:pStyle w:val="BodyText"/>
        <w:spacing w:after="80"/>
        <w:jc w:val="both"/>
      </w:pPr>
      <w:r>
        <w:t xml:space="preserve">§ 1º Verifica-se a litispendência ou a coisa julgada quando se reproduz ação anteriormente ajuizada.</w:t>
      </w:r>
    </w:p>
    <w:p>
      <w:pPr>
        <w:pStyle w:val="BodyText"/>
        <w:spacing w:after="80"/>
        <w:jc w:val="both"/>
      </w:pPr>
      <w:r>
        <w:t xml:space="preserve">§ 2º Uma ação é idêntica a outra quando possui as mesmas partes, a mesma causa de pedir e o mesmo pedido.</w:t>
      </w:r>
    </w:p>
    <w:p>
      <w:pPr>
        <w:pStyle w:val="BodyText"/>
        <w:spacing w:after="80"/>
        <w:jc w:val="both"/>
      </w:pPr>
      <w:r>
        <w:t xml:space="preserve">§ 3º Há litispendência quando se repete ação que está em curso.</w:t>
      </w:r>
    </w:p>
    <w:p>
      <w:pPr>
        <w:pStyle w:val="BodyText"/>
        <w:spacing w:after="80"/>
        <w:jc w:val="both"/>
      </w:pPr>
      <w:r>
        <w:t xml:space="preserve">§ 4º Há coisa julgada quando se repete ação que já foi decidida por decisão transitada em julgado.</w:t>
      </w:r>
    </w:p>
    <w:p>
      <w:pPr>
        <w:pStyle w:val="BodyText"/>
        <w:keepNext/>
        <w:spacing w:after="80"/>
        <w:jc w:val="both"/>
      </w:pPr>
      <w:r>
        <w:t xml:space="preserve">§ 5º Excetuadas a convenção de arbitragem e a incompetência relativa, o juiz conhecerá de ofício das matérias enumeradas neste artigo.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91"/>
        <w:gridCol w:w="2748"/>
        <w:gridCol w:w="4514"/>
      </w:tblGrid>
      <w:tr>
        <w:trPr>
          <w:tblHeader w:val="on"/>
          <w:cantSplit/>
          <w:tblHeader/>
        </w:trPr>
        <w:tc>
          <w:tcPr>
            <w:tcW w:type="dxa" w:w="209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4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51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91"/>
          </w:tcPr>
          <w:p>
            <w:pPr>
              <w:pStyle w:val="Compact"/>
              <w:spacing w:line="276" w:lineRule="auto" w:before="40" w:after="40"/>
            </w:pPr>
            <w:r>
              <w:rPr>
                <w:rFonts w:ascii="Liberation Sans Narrow" w:hAnsi="Liberation Sans Narrow"/>
                <w:sz w:val="18"/>
              </w:rPr>
              <w:t xml:space="preserve">Art. 337, X, §§ 5º e 6º: convenção de arbitragem arguida fora da contestação</w:t>
            </w:r>
          </w:p>
        </w:tc>
        <w:tc>
          <w:tcPr>
            <w:tcW w:type="dxa" w:w="2748"/>
          </w:tcPr>
          <w:p>
            <w:pPr>
              <w:pStyle w:val="Compact"/>
              <w:spacing w:line="276" w:lineRule="auto" w:before="40" w:after="40"/>
            </w:pPr>
            <w:r>
              <w:rPr>
                <w:rFonts w:ascii="Liberation Sans Narrow" w:hAnsi="Liberation Sans Narrow"/>
                <w:sz w:val="18"/>
              </w:rPr>
              <w:t xml:space="preserve">STJ, AREsp 2.786.129, Quarta Turma, relator Min. João Otávio de Noronha, julgado em 09/02/2026, DJEN de 13/02/2026</w:t>
            </w:r>
          </w:p>
        </w:tc>
        <w:tc>
          <w:tcPr>
            <w:tcW w:type="dxa" w:w="4514"/>
          </w:tcPr>
          <w:p>
            <w:pPr>
              <w:pStyle w:val="Compact"/>
              <w:spacing w:line="276" w:lineRule="auto" w:before="40" w:after="40"/>
            </w:pPr>
            <w:r>
              <w:rPr>
                <w:rFonts w:ascii="Liberation Sans Narrow" w:hAnsi="Liberation Sans Narrow"/>
                <w:sz w:val="18"/>
              </w:rPr>
              <w:t xml:space="preserve">A cláusula compromissória não é matéria de ordem pública; sua não invocação tempestiva, em preliminar de contestação, implica renúncia ao juízo arbitral e preclusão (Súmula 83/STJ). Agravo em recurso especial desprovido.</w:t>
            </w:r>
          </w:p>
        </w:tc>
      </w:tr>
    </w:tbl>
    <w:p>
      <w:pPr>
        <w:pStyle w:val="BodyText"/>
        <w:spacing w:after="80"/>
        <w:jc w:val="both"/>
      </w:pPr>
      <w:r>
        <w:t xml:space="preserve">§ 6º A ausência de alegação da existência de convenção de arbitragem, na forma prevista neste Capítulo, implica aceitação da jurisdição estatal e renúncia ao juízo arbitral.</w:t>
      </w:r>
    </w:p>
    <w:bookmarkEnd w:id="42"/>
    <w:bookmarkStart w:id="43" w:name="art.-338"/>
    <w:p>
      <w:pPr>
        <w:pStyle w:val="Heading6"/>
        <w:pBdr>
          <w:left w:val="single" w:sz="36" w:space="4" w:color="2E75B6"/>
        </w:pBdr>
        <w:shd w:val="clear" w:color="auto" w:fill="E3EEF9"/>
        <w:spacing w:before="200" w:after="80"/>
        <w:ind w:left="85"/>
      </w:pPr>
      <w:r>
        <w:rPr>
          <w:i w:val="0"/>
          <w:color w:val="1F3A5F"/>
          <w:sz w:val="23"/>
        </w:rPr>
        <w:t xml:space="preserve">Art. 338</w:t>
      </w:r>
    </w:p>
    <w:p>
      <w:pPr>
        <w:pStyle w:val="FirstParagraph"/>
        <w:keepNext/>
        <w:spacing w:after="80"/>
        <w:jc w:val="both"/>
      </w:pPr>
      <w:r>
        <w:rPr>
          <w:b/>
          <w:bCs/>
        </w:rPr>
        <w:t xml:space="preserve">Art. 338.</w:t>
      </w:r>
      <w:r>
        <w:t xml:space="preserve"> </w:t>
      </w:r>
      <w:r>
        <w:t xml:space="preserve">Alegando o réu, na contestação, ser parte ilegítima ou não ser o responsável pelo prejuízo invocado, o juiz facultará ao autor, em 15 (quinze) dias, a alteração da petição inicial para substituição do réu.</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79"/>
        <w:gridCol w:w="2864"/>
        <w:gridCol w:w="4211"/>
      </w:tblGrid>
      <w:tr>
        <w:trPr>
          <w:tblHeader w:val="on"/>
          <w:cantSplit/>
          <w:tblHeader/>
        </w:trPr>
        <w:tc>
          <w:tcPr>
            <w:tcW w:type="dxa" w:w="2279"/>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6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21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79"/>
          </w:tcPr>
          <w:p>
            <w:pPr>
              <w:pStyle w:val="Compact"/>
              <w:spacing w:line="276" w:lineRule="auto" w:before="40" w:after="40"/>
            </w:pPr>
            <w:r>
              <w:rPr>
                <w:rFonts w:ascii="Liberation Sans Narrow" w:hAnsi="Liberation Sans Narrow"/>
                <w:sz w:val="18"/>
              </w:rPr>
              <w:t xml:space="preserve">Art. 338: exclusão de litisconsortes por ilegitimidade e honorários</w:t>
            </w:r>
          </w:p>
        </w:tc>
        <w:tc>
          <w:tcPr>
            <w:tcW w:type="dxa" w:w="2865"/>
          </w:tcPr>
          <w:p>
            <w:pPr>
              <w:pStyle w:val="Compact"/>
              <w:spacing w:line="276" w:lineRule="auto" w:before="40" w:after="40"/>
            </w:pPr>
            <w:r>
              <w:rPr>
                <w:rFonts w:ascii="Liberation Sans Narrow" w:hAnsi="Liberation Sans Narrow"/>
                <w:sz w:val="18"/>
              </w:rPr>
              <w:t xml:space="preserve">STJ, AREsp 2.541.215, Terceira Turma, relator Min. Ricardo Villas Bôas Cueva, julgado em 23/03/2026, DJEN de 26/03/2026</w:t>
            </w:r>
          </w:p>
        </w:tc>
        <w:tc>
          <w:tcPr>
            <w:tcW w:type="dxa" w:w="4211"/>
          </w:tcPr>
          <w:p>
            <w:pPr>
              <w:pStyle w:val="Compact"/>
              <w:spacing w:line="276" w:lineRule="auto" w:before="40" w:after="40"/>
            </w:pPr>
            <w:r>
              <w:rPr>
                <w:rFonts w:ascii="Liberation Sans Narrow" w:hAnsi="Liberation Sans Narrow"/>
                <w:sz w:val="18"/>
              </w:rPr>
              <w:t xml:space="preserve">Em se tratando de reconhecimento de ilegitimidade de alguns dos litisconsortes e de sua exclusão da lide, aplica-se a regra prevista no art. 338 do CPC; os honorários do art. 85, § 2º, devem atender à sucumbência global da demanda e, no julgamento parcial da lide, ser arbitrados de forma proporcional à parcela do pedido efetivamente apreciada.</w:t>
            </w:r>
          </w:p>
        </w:tc>
      </w:tr>
      <w:tr>
        <w:trPr>
          <w:cantSplit/>
        </w:trPr>
        <w:tc>
          <w:tcPr>
            <w:tcW w:type="dxa" w:w="2279"/>
          </w:tcPr>
          <w:p>
            <w:pPr>
              <w:pStyle w:val="Compact"/>
              <w:spacing w:line="276" w:lineRule="auto" w:before="40" w:after="40"/>
            </w:pPr>
            <w:r>
              <w:rPr>
                <w:rFonts w:ascii="Liberation Sans Narrow" w:hAnsi="Liberation Sans Narrow"/>
                <w:sz w:val="18"/>
              </w:rPr>
              <w:t xml:space="preserve">Art. 338: inaplicabilidade em jurisdição voluntária (aplicação narrada)</w:t>
            </w:r>
          </w:p>
        </w:tc>
        <w:tc>
          <w:tcPr>
            <w:tcW w:type="dxa" w:w="2865"/>
          </w:tcPr>
          <w:p>
            <w:pPr>
              <w:pStyle w:val="Compact"/>
              <w:spacing w:line="276" w:lineRule="auto" w:before="40" w:after="40"/>
            </w:pPr>
            <w:r>
              <w:rPr>
                <w:rFonts w:ascii="Liberation Sans Narrow" w:hAnsi="Liberation Sans Narrow"/>
                <w:sz w:val="18"/>
              </w:rPr>
              <w:t xml:space="preserve">STJ, AgInt no AREsp 2.419.237, Quarta Turma, relatora Min. Maria Isabel Gallotti, DJe de 25/11/2025</w:t>
            </w:r>
          </w:p>
        </w:tc>
        <w:tc>
          <w:tcPr>
            <w:tcW w:type="dxa" w:w="4211"/>
          </w:tcPr>
          <w:p>
            <w:pPr>
              <w:pStyle w:val="Compact"/>
              <w:spacing w:line="276" w:lineRule="auto" w:before="40" w:after="40"/>
            </w:pPr>
            <w:r>
              <w:rPr>
                <w:rFonts w:ascii="Liberation Sans Narrow" w:hAnsi="Liberation Sans Narrow"/>
                <w:sz w:val="18"/>
              </w:rPr>
              <w:t xml:space="preserve">A habilitação por morte possui natureza de jurisdição voluntária e, ausente contenciosidade efetiva, não enseja condenação em honorários advocatícios; o art. 338 do CPC não se aplica a esse procedimento. Trecho: “A habilitação por morte possui natureza de jurisdição voluntária e, ausente contenciosidade efetiva, não enseja condenação em honorários advocatícios.”</w:t>
            </w:r>
          </w:p>
        </w:tc>
      </w:tr>
    </w:tbl>
    <w:p>
      <w:pPr>
        <w:pStyle w:val="BodyText"/>
        <w:keepNext/>
        <w:spacing w:after="80"/>
        <w:jc w:val="both"/>
      </w:pPr>
      <w:r>
        <w:t xml:space="preserve">Parágrafo único. Realizada a substituição, o autor reembolsará as despesas e pagará os honorários ao procurador do réu excluído, que serão fixados entre três e cinco por cento do valor da causa ou, sendo este irrisório, nos termos do art. 85, § 8º.</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25"/>
        <w:gridCol w:w="3014"/>
        <w:gridCol w:w="4114"/>
      </w:tblGrid>
      <w:tr>
        <w:trPr>
          <w:tblHeader w:val="on"/>
          <w:cantSplit/>
          <w:tblHeader/>
        </w:trPr>
        <w:tc>
          <w:tcPr>
            <w:tcW w:type="dxa" w:w="2226"/>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01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11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26"/>
          </w:tcPr>
          <w:p>
            <w:pPr>
              <w:pStyle w:val="Compact"/>
              <w:spacing w:line="276" w:lineRule="auto" w:before="40" w:after="40"/>
            </w:pPr>
            <w:r>
              <w:rPr>
                <w:rFonts w:ascii="Liberation Sans Narrow" w:hAnsi="Liberation Sans Narrow"/>
                <w:sz w:val="18"/>
              </w:rPr>
              <w:t xml:space="preserve">Art. 338, parágrafo único: honorários ao procurador do réu excluído</w:t>
            </w:r>
          </w:p>
        </w:tc>
        <w:tc>
          <w:tcPr>
            <w:tcW w:type="dxa" w:w="3014"/>
          </w:tcPr>
          <w:p>
            <w:pPr>
              <w:pStyle w:val="Compact"/>
              <w:spacing w:line="276" w:lineRule="auto" w:before="40" w:after="40"/>
            </w:pPr>
            <w:r>
              <w:rPr>
                <w:rFonts w:ascii="Liberation Sans Narrow" w:hAnsi="Liberation Sans Narrow"/>
                <w:sz w:val="18"/>
              </w:rPr>
              <w:t xml:space="preserve">STJ, AREsp 2.707.668, Terceira Turma, relator Min. Ricardo Villas Bôas Cueva, julgado em 23/03/2026, DJEN de 26/03/2026</w:t>
            </w:r>
          </w:p>
        </w:tc>
        <w:tc>
          <w:tcPr>
            <w:tcW w:type="dxa" w:w="4114"/>
          </w:tcPr>
          <w:p>
            <w:pPr>
              <w:pStyle w:val="Compact"/>
              <w:spacing w:line="276" w:lineRule="auto" w:before="40" w:after="40"/>
            </w:pPr>
            <w:r>
              <w:rPr>
                <w:rFonts w:ascii="Liberation Sans Narrow" w:hAnsi="Liberation Sans Narrow"/>
                <w:sz w:val="18"/>
              </w:rPr>
              <w:t xml:space="preserve">Nos termos do art. 338, parágrafo único, o reconhecimento, pelo autor, da ilegitimidade passiva de um dos réus não afasta a condenação ao pagamento de honorários advocatícios de sucumbência quando a atuação do autor ensejou a citação do réu e o reconhecimento da preliminar não foi espontâneo, mas provocado pela defesa técnica.</w:t>
            </w:r>
          </w:p>
        </w:tc>
      </w:tr>
      <w:tr>
        <w:trPr>
          <w:cantSplit/>
        </w:trPr>
        <w:tc>
          <w:tcPr>
            <w:tcW w:type="dxa" w:w="2226"/>
          </w:tcPr>
          <w:p>
            <w:pPr>
              <w:pStyle w:val="Compact"/>
              <w:spacing w:line="276" w:lineRule="auto" w:before="40" w:after="40"/>
            </w:pPr>
            <w:r>
              <w:rPr>
                <w:rFonts w:ascii="Liberation Sans Narrow" w:hAnsi="Liberation Sans Narrow"/>
                <w:sz w:val="18"/>
              </w:rPr>
              <w:t xml:space="preserve">Art. 338, parágrafo único: aplicação analógica e honorários de 3% a 5% (aplicação narrada)</w:t>
            </w:r>
          </w:p>
        </w:tc>
        <w:tc>
          <w:tcPr>
            <w:tcW w:type="dxa" w:w="3014"/>
          </w:tcPr>
          <w:p>
            <w:pPr>
              <w:pStyle w:val="Compact"/>
              <w:spacing w:line="276" w:lineRule="auto" w:before="40" w:after="40"/>
            </w:pPr>
            <w:r>
              <w:rPr>
                <w:rFonts w:ascii="Liberation Sans Narrow" w:hAnsi="Liberation Sans Narrow"/>
                <w:sz w:val="18"/>
              </w:rPr>
              <w:t xml:space="preserve">STJ, REsp 1.935.852, Terceira Turma, relator Min. Paulo de Tarso Sanseverino, julgado em 04/10/2022, DJe de 10/11/2022</w:t>
            </w:r>
          </w:p>
        </w:tc>
        <w:tc>
          <w:tcPr>
            <w:tcW w:type="dxa" w:w="4114"/>
          </w:tcPr>
          <w:p>
            <w:pPr>
              <w:pStyle w:val="Compact"/>
              <w:spacing w:line="276" w:lineRule="auto" w:before="40" w:after="40"/>
            </w:pPr>
            <w:r>
              <w:rPr>
                <w:rFonts w:ascii="Liberation Sans Narrow" w:hAnsi="Liberation Sans Narrow"/>
                <w:sz w:val="18"/>
              </w:rPr>
              <w:t xml:space="preserve">Acolhida a ilegitimidade passiva suscitada na contestação e aceita pelo autor, com a extinção do processo em relação a uma das demandadas, admite-se a aplicação analógica da regra do art. 338, parágrafo único, para fixar os honorários do réu excluído entre 3% e 5% do valor da causa; a Turma arbitrou a verba em 3% sobre o valor atualizado da causa, consideradas a parca complexidade da demanda e o trabalho desempenhado até a exclusão. Trecho: “Controvérsia em torno do arbitramento de honorários advocatícios em casoque, suscitada preliminar deilegitimidade passiva</w:t>
            </w:r>
            <w:r>
              <w:rPr>
                <w:rFonts w:ascii="Liberation Sans Narrow" w:hAnsi="Liberation Sans Narrow"/>
                <w:sz w:val="18"/>
              </w:rPr>
              <w:t xml:space="preserve"> </w:t>
            </w:r>
            <w:r>
              <w:rPr>
                <w:rFonts w:ascii="Liberation Sans Narrow" w:hAnsi="Liberation Sans Narrow"/>
                <w:sz w:val="18"/>
              </w:rPr>
              <w:t xml:space="preserve">“ad causam”</w:t>
            </w:r>
            <w:r>
              <w:rPr>
                <w:rFonts w:ascii="Liberation Sans Narrow" w:hAnsi="Liberation Sans Narrow"/>
                <w:sz w:val="18"/>
              </w:rPr>
              <w:t xml:space="preserve"> </w:t>
            </w:r>
            <w:r>
              <w:rPr>
                <w:rFonts w:ascii="Liberation Sans Narrow" w:hAnsi="Liberation Sans Narrow"/>
                <w:sz w:val="18"/>
              </w:rPr>
              <w:t xml:space="preserve">na contestação e acolhida pelo autor da demanda, extinguiu-se o processo em relação a uma das demandadas (ora recorrente).”</w:t>
            </w:r>
          </w:p>
        </w:tc>
      </w:tr>
    </w:tbl>
    <w:bookmarkEnd w:id="43"/>
    <w:bookmarkStart w:id="44" w:name="art.-339"/>
    <w:p>
      <w:pPr>
        <w:pStyle w:val="Heading6"/>
        <w:pBdr>
          <w:left w:val="single" w:sz="36" w:space="4" w:color="2E75B6"/>
        </w:pBdr>
        <w:shd w:val="clear" w:color="auto" w:fill="E3EEF9"/>
        <w:spacing w:before="200" w:after="80"/>
        <w:ind w:left="85"/>
      </w:pPr>
      <w:r>
        <w:rPr>
          <w:i w:val="0"/>
          <w:color w:val="1F3A5F"/>
          <w:sz w:val="23"/>
        </w:rPr>
        <w:t xml:space="preserve">Art. 339</w:t>
      </w:r>
    </w:p>
    <w:p>
      <w:pPr>
        <w:pStyle w:val="FirstParagraph"/>
        <w:keepNext/>
        <w:spacing w:after="80"/>
        <w:jc w:val="both"/>
      </w:pPr>
      <w:r>
        <w:rPr>
          <w:b/>
          <w:bCs/>
        </w:rPr>
        <w:t xml:space="preserve">Art. 339.</w:t>
      </w:r>
      <w:r>
        <w:t xml:space="preserve"> </w:t>
      </w:r>
      <w:r>
        <w:t xml:space="preserve">Quando alegar sua ilegitimidade, incumbe ao réu indicar o sujeito passivo da relação jurídica discutida sempre que tiver conhecimento, sob pena de arcar com as despesas processuais e de indenizar o autor pelos prejuízos decorrentes da falta de indicação.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830"/>
        <w:gridCol w:w="2673"/>
        <w:gridCol w:w="4850"/>
      </w:tblGrid>
      <w:tr>
        <w:trPr>
          <w:tblHeader w:val="on"/>
          <w:cantSplit/>
          <w:tblHeader/>
        </w:trPr>
        <w:tc>
          <w:tcPr>
            <w:tcW w:type="dxa" w:w="18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7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5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831"/>
          </w:tcPr>
          <w:p>
            <w:pPr>
              <w:pStyle w:val="Compact"/>
              <w:spacing w:line="276" w:lineRule="auto" w:before="40" w:after="40"/>
            </w:pPr>
            <w:r>
              <w:rPr>
                <w:rFonts w:ascii="Liberation Sans Narrow" w:hAnsi="Liberation Sans Narrow"/>
                <w:sz w:val="18"/>
              </w:rPr>
              <w:t xml:space="preserve">Art. 339: indicação do sujeito passivo e legitimidade passiva</w:t>
            </w:r>
          </w:p>
        </w:tc>
        <w:tc>
          <w:tcPr>
            <w:tcW w:type="dxa" w:w="2674"/>
          </w:tcPr>
          <w:p>
            <w:pPr>
              <w:pStyle w:val="Compact"/>
              <w:spacing w:line="276" w:lineRule="auto" w:before="40" w:after="40"/>
            </w:pPr>
            <w:r>
              <w:rPr>
                <w:rFonts w:ascii="Liberation Sans Narrow" w:hAnsi="Liberation Sans Narrow"/>
                <w:sz w:val="18"/>
              </w:rPr>
              <w:t xml:space="preserve">STJ, AREsp 3.134.716, Terceira Turma, relator Min. Moura Ribeiro, julgado em 22/06/2026, DJEN de 29/06/2026</w:t>
            </w:r>
          </w:p>
        </w:tc>
        <w:tc>
          <w:tcPr>
            <w:tcW w:type="dxa" w:w="4850"/>
          </w:tcPr>
          <w:p>
            <w:pPr>
              <w:pStyle w:val="Compact"/>
              <w:spacing w:line="276" w:lineRule="auto" w:before="40" w:after="40"/>
            </w:pPr>
            <w:r>
              <w:rPr>
                <w:rFonts w:ascii="Liberation Sans Narrow" w:hAnsi="Liberation Sans Narrow"/>
                <w:sz w:val="18"/>
              </w:rPr>
              <w:t xml:space="preserve">O art. 339 do CPC não impõe acolhimento automático da ilegitimidade passiva: a indicação de outro sujeito não desloca automaticamente a legitimidade quando a ocupação se mantém injusta e sem título atual. Na hipótese, o ocupante que invocou o art. 339 permaneceu parte legítima na ação de imissão na posse, por se tratar de detenção precária, sem animus domini.</w:t>
            </w:r>
          </w:p>
        </w:tc>
      </w:tr>
    </w:tbl>
    <w:p>
      <w:pPr>
        <w:pStyle w:val="BodyText"/>
        <w:spacing w:after="80"/>
        <w:jc w:val="both"/>
      </w:pPr>
      <w:r>
        <w:t xml:space="preserve">§ 1º O autor, ao aceitar a indicação, procederá, no prazo de 15 (quinze) dias, à alteração da petição inicial para a substituição do réu, observando-se, ainda, o parágrafo único do art. 338.</w:t>
      </w:r>
    </w:p>
    <w:p>
      <w:pPr>
        <w:pStyle w:val="BodyText"/>
        <w:spacing w:after="80"/>
        <w:jc w:val="both"/>
      </w:pPr>
      <w:r>
        <w:t xml:space="preserve">§ 2º No prazo de 15 (quinze) dias, o autor pode optar por alterar a petição inicial para incluir, como litisconsorte passivo, o sujeito indicado pelo réu.</w:t>
      </w:r>
    </w:p>
    <w:bookmarkEnd w:id="44"/>
    <w:bookmarkStart w:id="45" w:name="art.-340"/>
    <w:p>
      <w:pPr>
        <w:pStyle w:val="Heading6"/>
        <w:pBdr>
          <w:left w:val="single" w:sz="36" w:space="4" w:color="2E75B6"/>
        </w:pBdr>
        <w:shd w:val="clear" w:color="auto" w:fill="E3EEF9"/>
        <w:spacing w:before="200" w:after="80"/>
        <w:ind w:left="85"/>
      </w:pPr>
      <w:r>
        <w:rPr>
          <w:i w:val="0"/>
          <w:color w:val="1F3A5F"/>
          <w:sz w:val="23"/>
        </w:rPr>
        <w:t xml:space="preserve">Art. 340</w:t>
      </w:r>
    </w:p>
    <w:p>
      <w:pPr>
        <w:pStyle w:val="FirstParagraph"/>
        <w:spacing w:after="80"/>
        <w:jc w:val="both"/>
      </w:pPr>
      <w:r>
        <w:rPr>
          <w:b/>
          <w:bCs/>
        </w:rPr>
        <w:t xml:space="preserve">Art. 340.</w:t>
      </w:r>
      <w:r>
        <w:t xml:space="preserve"> </w:t>
      </w:r>
      <w:r>
        <w:t xml:space="preserve">Havendo alegação de incompetência relativa ou absoluta, a contestação poderá ser protocolada no foro de domicílio do réu, fato que será imediatamente comunicado ao juiz da causa, preferencialmente por meio eletrônico.</w:t>
      </w:r>
    </w:p>
    <w:p>
      <w:pPr>
        <w:pStyle w:val="BodyText"/>
        <w:spacing w:after="80"/>
        <w:jc w:val="both"/>
      </w:pPr>
      <w:r>
        <w:t xml:space="preserve">§ 1º A contestação será submetida a livre distribuição ou, se o réu houver sido citado por meio de carta precatória, juntada aos autos dessa carta, seguindo-se a sua imediata remessa para o juízo da causa.</w:t>
      </w:r>
    </w:p>
    <w:p>
      <w:pPr>
        <w:pStyle w:val="BodyText"/>
        <w:spacing w:after="80"/>
        <w:jc w:val="both"/>
      </w:pPr>
      <w:r>
        <w:t xml:space="preserve">§ 2º Reconhecida a competência do foro indicado pelo réu, o juízo para o qual for distribuída a contestação ou a carta precatória será considerado prevento.</w:t>
      </w:r>
    </w:p>
    <w:p>
      <w:pPr>
        <w:pStyle w:val="BodyText"/>
        <w:spacing w:after="80"/>
        <w:jc w:val="both"/>
      </w:pPr>
      <w:r>
        <w:t xml:space="preserve">§ 3º Alegada a incompetência nos termos do caput , será suspensa a realização da audiência de conciliação ou de mediação, se tiver sido designada.</w:t>
      </w:r>
    </w:p>
    <w:p>
      <w:pPr>
        <w:pStyle w:val="BodyText"/>
        <w:spacing w:after="80"/>
        <w:jc w:val="both"/>
      </w:pPr>
      <w:r>
        <w:t xml:space="preserve">§ 4º Definida a competência, o juízo competente designará nova data para a audiência de conciliação ou de mediação.</w:t>
      </w:r>
    </w:p>
    <w:bookmarkEnd w:id="45"/>
    <w:bookmarkStart w:id="46" w:name="art.-341"/>
    <w:p>
      <w:pPr>
        <w:pStyle w:val="Heading6"/>
        <w:pBdr>
          <w:left w:val="single" w:sz="36" w:space="4" w:color="2E75B6"/>
        </w:pBdr>
        <w:shd w:val="clear" w:color="auto" w:fill="E3EEF9"/>
        <w:spacing w:before="200" w:after="80"/>
        <w:ind w:left="85"/>
      </w:pPr>
      <w:r>
        <w:rPr>
          <w:i w:val="0"/>
          <w:color w:val="1F3A5F"/>
          <w:sz w:val="23"/>
        </w:rPr>
        <w:t xml:space="preserve">Art. 341</w:t>
      </w:r>
    </w:p>
    <w:p>
      <w:pPr>
        <w:pStyle w:val="FirstParagraph"/>
        <w:keepNext/>
        <w:spacing w:after="80"/>
        <w:jc w:val="both"/>
      </w:pPr>
      <w:r>
        <w:rPr>
          <w:b/>
          <w:bCs/>
        </w:rPr>
        <w:t xml:space="preserve">Art. 341.</w:t>
      </w:r>
      <w:r>
        <w:t xml:space="preserve"> </w:t>
      </w:r>
      <w:r>
        <w:t xml:space="preserve">Incumbe também ao réu manifestar-se precisamente sobre as alegações de fato constantes da petição inicial, presumindo-se verdadeiras as não impugnadas, salvo se: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3034"/>
        <w:gridCol w:w="441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03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41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Curador especial e ônus sucumbenciais após negativa geral</w:t>
            </w:r>
          </w:p>
        </w:tc>
        <w:tc>
          <w:tcPr>
            <w:tcW w:type="dxa" w:w="3034"/>
          </w:tcPr>
          <w:p>
            <w:pPr>
              <w:pStyle w:val="Compact"/>
              <w:spacing w:line="276" w:lineRule="auto" w:before="40" w:after="40"/>
            </w:pPr>
            <w:r>
              <w:rPr>
                <w:rFonts w:ascii="Liberation Sans Narrow" w:hAnsi="Liberation Sans Narrow"/>
                <w:sz w:val="18"/>
              </w:rPr>
              <w:t xml:space="preserve">STJ, REsp 2.027.283, Quarta Turma, relatora Min. Maria Isabel Gallotti, julgado em 12/08/2026, DJEN de 17/08/2026</w:t>
            </w:r>
          </w:p>
        </w:tc>
        <w:tc>
          <w:tcPr>
            <w:tcW w:type="dxa" w:w="4415"/>
          </w:tcPr>
          <w:p>
            <w:pPr>
              <w:pStyle w:val="Compact"/>
              <w:spacing w:line="276" w:lineRule="auto" w:before="40" w:after="40"/>
            </w:pPr>
            <w:r>
              <w:rPr>
                <w:rFonts w:ascii="Liberation Sans Narrow" w:hAnsi="Liberation Sans Narrow"/>
                <w:sz w:val="18"/>
              </w:rPr>
              <w:t xml:space="preserve">A contestação por negativa geral do curador especial (art. 72, II) preserva formalmente o contraditório e a ampla defesa da parte revel citada por edital, mas não configura, por si só, resistência material ao pedido, nem autoriza impor automaticamente à parte curatelada custas e honorários advocatícios. Recurso especial provido.</w:t>
            </w:r>
          </w:p>
        </w:tc>
      </w:tr>
      <w:tr>
        <w:trPr>
          <w:cantSplit/>
        </w:trPr>
        <w:tc>
          <w:tcPr>
            <w:tcW w:type="dxa" w:w="1905"/>
          </w:tcPr>
          <w:p>
            <w:pPr>
              <w:pStyle w:val="Compact"/>
              <w:spacing w:line="276" w:lineRule="auto" w:before="40" w:after="40"/>
            </w:pPr>
            <w:r>
              <w:rPr>
                <w:rFonts w:ascii="Liberation Sans Narrow" w:hAnsi="Liberation Sans Narrow"/>
                <w:sz w:val="18"/>
              </w:rPr>
              <w:t xml:space="preserve">Contestação genérica não leva à procedência automática</w:t>
            </w:r>
          </w:p>
        </w:tc>
        <w:tc>
          <w:tcPr>
            <w:tcW w:type="dxa" w:w="3034"/>
          </w:tcPr>
          <w:p>
            <w:pPr>
              <w:pStyle w:val="Compact"/>
              <w:spacing w:line="276" w:lineRule="auto" w:before="40" w:after="40"/>
            </w:pPr>
            <w:r>
              <w:rPr>
                <w:rFonts w:ascii="Liberation Sans Narrow" w:hAnsi="Liberation Sans Narrow"/>
                <w:sz w:val="18"/>
              </w:rPr>
              <w:t xml:space="preserve">STJ, REsp 2.174.611, Terceira Turma, relator Min. Moura Ribeiro, julgado em 09/02/2026, DJEN de 13/02/2026</w:t>
            </w:r>
          </w:p>
        </w:tc>
        <w:tc>
          <w:tcPr>
            <w:tcW w:type="dxa" w:w="4415"/>
          </w:tcPr>
          <w:p>
            <w:pPr>
              <w:pStyle w:val="Compact"/>
              <w:spacing w:line="276" w:lineRule="auto" w:before="40" w:after="40"/>
            </w:pPr>
            <w:r>
              <w:rPr>
                <w:rFonts w:ascii="Liberation Sans Narrow" w:hAnsi="Liberation Sans Narrow"/>
                <w:sz w:val="18"/>
              </w:rPr>
              <w:t xml:space="preserve">Os efeitos da revelia são relativos e não implicam imediata procedência do pedido, cabendo ao magistrado analisar as alegações do autor e as provas dos autos; a contestação genérica não dispensa esse exame.</w:t>
            </w:r>
          </w:p>
        </w:tc>
      </w:tr>
    </w:tbl>
    <w:p>
      <w:pPr>
        <w:pStyle w:val="BodyText"/>
        <w:spacing w:after="80"/>
        <w:jc w:val="both"/>
      </w:pPr>
      <w:r>
        <w:t xml:space="preserve">I - não for admissível, a seu respeito, a confissão;</w:t>
      </w:r>
    </w:p>
    <w:p>
      <w:pPr>
        <w:pStyle w:val="BodyText"/>
        <w:spacing w:after="80"/>
        <w:jc w:val="both"/>
      </w:pPr>
      <w:r>
        <w:t xml:space="preserve">II - a petição inicial não estiver acompanhada de instrumento que a lei considerar da substância do ato;</w:t>
      </w:r>
    </w:p>
    <w:p>
      <w:pPr>
        <w:pStyle w:val="BodyText"/>
        <w:spacing w:after="80"/>
        <w:jc w:val="both"/>
      </w:pPr>
      <w:r>
        <w:t xml:space="preserve">III - estiverem em contradição com a defesa, considerada em seu conjunto.</w:t>
      </w:r>
    </w:p>
    <w:p>
      <w:pPr>
        <w:pStyle w:val="BodyText"/>
        <w:keepNext/>
        <w:spacing w:after="80"/>
        <w:jc w:val="both"/>
      </w:pPr>
      <w:r>
        <w:t xml:space="preserve">Parágrafo único. O ônus da impugnação especificada dos fatos não se aplica ao defensor público, ao advogado dativo e ao curador especial.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834"/>
        <w:gridCol w:w="2660"/>
        <w:gridCol w:w="4860"/>
      </w:tblGrid>
      <w:tr>
        <w:trPr>
          <w:tblHeader w:val="on"/>
          <w:cantSplit/>
          <w:tblHeader/>
        </w:trPr>
        <w:tc>
          <w:tcPr>
            <w:tcW w:type="dxa" w:w="1834"/>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6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6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834"/>
          </w:tcPr>
          <w:p>
            <w:pPr>
              <w:pStyle w:val="Compact"/>
              <w:spacing w:line="276" w:lineRule="auto" w:before="40" w:after="40"/>
            </w:pPr>
            <w:r>
              <w:rPr>
                <w:rFonts w:ascii="Liberation Sans Narrow" w:hAnsi="Liberation Sans Narrow"/>
                <w:sz w:val="18"/>
              </w:rPr>
              <w:t xml:space="preserve">Art. 341, parágrafo único: negativa geral do curador especial</w:t>
            </w:r>
          </w:p>
        </w:tc>
        <w:tc>
          <w:tcPr>
            <w:tcW w:type="dxa" w:w="2660"/>
          </w:tcPr>
          <w:p>
            <w:pPr>
              <w:pStyle w:val="Compact"/>
              <w:spacing w:line="276" w:lineRule="auto" w:before="40" w:after="40"/>
            </w:pPr>
            <w:r>
              <w:rPr>
                <w:rFonts w:ascii="Liberation Sans Narrow" w:hAnsi="Liberation Sans Narrow"/>
                <w:sz w:val="18"/>
              </w:rPr>
              <w:t xml:space="preserve">STJ, REsp 1.921.548, Terceira Turma, relator Min. Moura Ribeiro, julgado em 02/03/2026, DJEN de 06/03/2026</w:t>
            </w:r>
          </w:p>
        </w:tc>
        <w:tc>
          <w:tcPr>
            <w:tcW w:type="dxa" w:w="4860"/>
          </w:tcPr>
          <w:p>
            <w:pPr>
              <w:pStyle w:val="Compact"/>
              <w:spacing w:line="276" w:lineRule="auto" w:before="40" w:after="40"/>
            </w:pPr>
            <w:r>
              <w:rPr>
                <w:rFonts w:ascii="Liberation Sans Narrow" w:hAnsi="Liberation Sans Narrow"/>
                <w:sz w:val="18"/>
              </w:rPr>
              <w:t xml:space="preserve">A negativa geral apresentada pela curadoria especial apenas afasta a presunção de veracidade dos fatos não impugnados; não dispensa o réu de deduzir na contestação toda a matéria de defesa e de especificar as provas, sob pena de preclusão (arts. 336 e 341, parágrafo único). A abusividade da cláusula penal, fato impeditivo ou modificativo, suscitada só na apelação, configura inovação recursal.</w:t>
            </w:r>
          </w:p>
        </w:tc>
      </w:tr>
    </w:tbl>
    <w:bookmarkEnd w:id="46"/>
    <w:bookmarkStart w:id="47" w:name="art.-342"/>
    <w:p>
      <w:pPr>
        <w:pStyle w:val="Heading6"/>
        <w:pBdr>
          <w:left w:val="single" w:sz="36" w:space="4" w:color="2E75B6"/>
        </w:pBdr>
        <w:shd w:val="clear" w:color="auto" w:fill="E3EEF9"/>
        <w:spacing w:before="200" w:after="80"/>
        <w:ind w:left="85"/>
      </w:pPr>
      <w:r>
        <w:rPr>
          <w:i w:val="0"/>
          <w:color w:val="1F3A5F"/>
          <w:sz w:val="23"/>
        </w:rPr>
        <w:t xml:space="preserve">Art. 342</w:t>
      </w:r>
    </w:p>
    <w:p>
      <w:pPr>
        <w:pStyle w:val="FirstParagraph"/>
        <w:keepNext/>
        <w:spacing w:after="80"/>
        <w:jc w:val="both"/>
      </w:pPr>
      <w:r>
        <w:rPr>
          <w:b/>
          <w:bCs/>
        </w:rPr>
        <w:t xml:space="preserve">Art. 342.</w:t>
      </w:r>
      <w:r>
        <w:t xml:space="preserve"> </w:t>
      </w:r>
      <w:r>
        <w:t xml:space="preserve">Depois da contestação, só é lícito ao réu deduzir novas alegações quando: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873"/>
        <w:gridCol w:w="2729"/>
        <w:gridCol w:w="4752"/>
      </w:tblGrid>
      <w:tr>
        <w:trPr>
          <w:tblHeader w:val="on"/>
          <w:cantSplit/>
          <w:tblHeader/>
        </w:trPr>
        <w:tc>
          <w:tcPr>
            <w:tcW w:type="dxa" w:w="1874"/>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2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5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874"/>
          </w:tcPr>
          <w:p>
            <w:pPr>
              <w:pStyle w:val="Compact"/>
              <w:spacing w:line="276" w:lineRule="auto" w:before="40" w:after="40"/>
            </w:pPr>
            <w:r>
              <w:rPr>
                <w:rFonts w:ascii="Liberation Sans Narrow" w:hAnsi="Liberation Sans Narrow"/>
                <w:sz w:val="18"/>
              </w:rPr>
              <w:t xml:space="preserve">Art. 342: alegação posterior à contestação e inovação em apelação</w:t>
            </w:r>
          </w:p>
        </w:tc>
        <w:tc>
          <w:tcPr>
            <w:tcW w:type="dxa" w:w="2729"/>
          </w:tcPr>
          <w:p>
            <w:pPr>
              <w:pStyle w:val="Compact"/>
              <w:spacing w:line="276" w:lineRule="auto" w:before="40" w:after="40"/>
            </w:pPr>
            <w:r>
              <w:rPr>
                <w:rFonts w:ascii="Liberation Sans Narrow" w:hAnsi="Liberation Sans Narrow"/>
                <w:sz w:val="18"/>
              </w:rPr>
              <w:t xml:space="preserve">STJ, REsp 2.010.021, Quarta Turma, relator Min. João Otávio de Noronha, julgado em 01/06/2026, DJEN de 08/06/2026</w:t>
            </w:r>
          </w:p>
        </w:tc>
        <w:tc>
          <w:tcPr>
            <w:tcW w:type="dxa" w:w="4752"/>
          </w:tcPr>
          <w:p>
            <w:pPr>
              <w:pStyle w:val="Compact"/>
              <w:spacing w:line="276" w:lineRule="auto" w:before="40" w:after="40"/>
            </w:pPr>
            <w:r>
              <w:rPr>
                <w:rFonts w:ascii="Liberation Sans Narrow" w:hAnsi="Liberation Sans Narrow"/>
                <w:sz w:val="18"/>
              </w:rPr>
              <w:t xml:space="preserve">A alegação de terceirização do evento é questão de fato, dependente de prova, que não pode ser inovada em apelação sem demonstração concreta de força maior; a vedação à inovação recursal é aplicada em consonância com os arts. 336 e 342 do CPC, e o recurso especial não foi conhecido.</w:t>
            </w:r>
          </w:p>
        </w:tc>
      </w:tr>
    </w:tbl>
    <w:p>
      <w:pPr>
        <w:pStyle w:val="BodyText"/>
        <w:keepNext/>
        <w:spacing w:after="80"/>
        <w:jc w:val="both"/>
      </w:pPr>
      <w:r>
        <w:t xml:space="preserve">I - relativas a direito ou a fato superveniente;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2427"/>
        <w:gridCol w:w="5023"/>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42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02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Art. 342, I: fato superveniente</w:t>
            </w:r>
          </w:p>
        </w:tc>
        <w:tc>
          <w:tcPr>
            <w:tcW w:type="dxa" w:w="2427"/>
          </w:tcPr>
          <w:p>
            <w:pPr>
              <w:pStyle w:val="Compact"/>
              <w:spacing w:line="276" w:lineRule="auto" w:before="40" w:after="40"/>
            </w:pPr>
            <w:r>
              <w:rPr>
                <w:rFonts w:ascii="Liberation Sans Narrow" w:hAnsi="Liberation Sans Narrow"/>
                <w:sz w:val="18"/>
              </w:rPr>
              <w:t xml:space="preserve">STJ, AgInt no HDE 7.132, Corte Especial, relator Min. Mauro Campbell Marques, DJe de 26/05/2025</w:t>
            </w:r>
          </w:p>
        </w:tc>
        <w:tc>
          <w:tcPr>
            <w:tcW w:type="dxa" w:w="5022"/>
          </w:tcPr>
          <w:p>
            <w:pPr>
              <w:pStyle w:val="Compact"/>
              <w:spacing w:line="276" w:lineRule="auto" w:before="40" w:after="40"/>
            </w:pPr>
            <w:r>
              <w:rPr>
                <w:rFonts w:ascii="Liberation Sans Narrow" w:hAnsi="Liberation Sans Narrow"/>
                <w:sz w:val="18"/>
              </w:rPr>
              <w:t xml:space="preserve">A alegação de vício de representação processual não constitui fato novo quando poderia ter sido constatada desde o início da demanda, não se enquadrando nas hipóteses do art. 342, I, e do art. 493 do CPC/2015. A questão de representação é de ordem pública e não se sujeita a preclusão temporal (art. 337, IX, e § 5º).</w:t>
            </w:r>
          </w:p>
        </w:tc>
      </w:tr>
    </w:tbl>
    <w:p>
      <w:pPr>
        <w:pStyle w:val="BodyText"/>
        <w:spacing w:after="80"/>
        <w:jc w:val="both"/>
      </w:pPr>
      <w:r>
        <w:t xml:space="preserve">II - competir ao juiz conhecer delas de ofício;</w:t>
      </w:r>
    </w:p>
    <w:p>
      <w:pPr>
        <w:pStyle w:val="BodyText"/>
        <w:spacing w:after="80"/>
        <w:jc w:val="both"/>
      </w:pPr>
      <w:r>
        <w:t xml:space="preserve">III - por expressa autorização legal, puderem ser formuladas em qualquer tempo e grau de jurisdição.</w:t>
      </w:r>
    </w:p>
    <w:bookmarkEnd w:id="47"/>
    <w:bookmarkEnd w:id="48"/>
    <w:bookmarkStart w:id="50" w:name="capítulo-vii-da-reconvenção-arts.-343"/>
    <w:p>
      <w:pPr>
        <w:pStyle w:val="Heading4"/>
        <w:spacing w:before="160" w:after="40"/>
      </w:pPr>
      <w:r>
        <w:rPr>
          <w:smallCaps/>
          <w:color w:val="2E75B6"/>
        </w:rPr>
        <w:t xml:space="preserve">Capítulo VII: da reconvenção (arts. 343)</w:t>
      </w:r>
    </w:p>
    <w:bookmarkStart w:id="49" w:name="art.-343"/>
    <w:p>
      <w:pPr>
        <w:pStyle w:val="Heading6"/>
        <w:pBdr>
          <w:left w:val="single" w:sz="36" w:space="4" w:color="2E75B6"/>
        </w:pBdr>
        <w:shd w:val="clear" w:color="auto" w:fill="E3EEF9"/>
        <w:spacing w:before="200" w:after="80"/>
        <w:ind w:left="85"/>
      </w:pPr>
      <w:r>
        <w:rPr>
          <w:i w:val="0"/>
          <w:color w:val="1F3A5F"/>
          <w:sz w:val="23"/>
        </w:rPr>
        <w:t xml:space="preserve">Art. 343</w:t>
      </w:r>
    </w:p>
    <w:p>
      <w:pPr>
        <w:pStyle w:val="FirstParagraph"/>
        <w:keepNext/>
        <w:spacing w:after="80"/>
        <w:jc w:val="both"/>
      </w:pPr>
      <w:r>
        <w:rPr>
          <w:b/>
          <w:bCs/>
        </w:rPr>
        <w:t xml:space="preserve">Art. 343.</w:t>
      </w:r>
      <w:r>
        <w:t xml:space="preserve"> </w:t>
      </w:r>
      <w:r>
        <w:t xml:space="preserve">Na contestação, é lícito ao réu propor reconvenção para manifestar pretensão própria, conexa com a ação principal ou com o fundamento da defesa.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54"/>
        <w:gridCol w:w="2523"/>
        <w:gridCol w:w="4577"/>
      </w:tblGrid>
      <w:tr>
        <w:trPr>
          <w:tblHeader w:val="on"/>
          <w:cantSplit/>
          <w:tblHeader/>
        </w:trPr>
        <w:tc>
          <w:tcPr>
            <w:tcW w:type="dxa" w:w="2254"/>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2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577"/>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54"/>
          </w:tcPr>
          <w:p>
            <w:pPr>
              <w:pStyle w:val="Compact"/>
              <w:spacing w:line="276" w:lineRule="auto" w:before="40" w:after="40"/>
            </w:pPr>
            <w:r>
              <w:rPr>
                <w:rFonts w:ascii="Liberation Sans Narrow" w:hAnsi="Liberation Sans Narrow"/>
                <w:sz w:val="18"/>
              </w:rPr>
              <w:t xml:space="preserve">Reconvenção: conexão com a ação principal ou com o fundamento da defesa; autonomia (§ 2º)</w:t>
            </w:r>
          </w:p>
        </w:tc>
        <w:tc>
          <w:tcPr>
            <w:tcW w:type="dxa" w:w="2523"/>
          </w:tcPr>
          <w:p>
            <w:pPr>
              <w:pStyle w:val="Compact"/>
              <w:spacing w:line="276" w:lineRule="auto" w:before="40" w:after="40"/>
            </w:pPr>
            <w:r>
              <w:rPr>
                <w:rFonts w:ascii="Liberation Sans Narrow" w:hAnsi="Liberation Sans Narrow"/>
                <w:sz w:val="18"/>
              </w:rPr>
              <w:t xml:space="preserve">STJ, REsp 2.076.127, Terceira Turma, relatora Min. Nancy Andrighi, julgado em 12/09/2023, DJe de 15/09/2023</w:t>
            </w:r>
          </w:p>
        </w:tc>
        <w:tc>
          <w:tcPr>
            <w:tcW w:type="dxa" w:w="4577"/>
          </w:tcPr>
          <w:p>
            <w:pPr>
              <w:pStyle w:val="Compact"/>
              <w:spacing w:line="276" w:lineRule="auto" w:before="40" w:after="40"/>
            </w:pPr>
            <w:r>
              <w:rPr>
                <w:rFonts w:ascii="Liberation Sans Narrow" w:hAnsi="Liberation Sans Narrow"/>
                <w:sz w:val="18"/>
              </w:rPr>
              <w:t xml:space="preserve">A conexão exigida para a reconvenção é mais ampla que a do art. 55: basta que a ação principal ou o fundamento da defesa e a reconvenção estejam fundados nos mesmos fatos ou na mesma relação jurídica, ou haja risco de decisões conflitantes ou entrelaçamento de questões. A reconvenção é ação autônoma: a extinção da ação principal, com ou sem resolução de mérito, não impede o seu prosseguimento (§ 2º).</w:t>
            </w:r>
          </w:p>
        </w:tc>
      </w:tr>
    </w:tbl>
    <w:p>
      <w:pPr>
        <w:pStyle w:val="BodyText"/>
        <w:spacing w:after="80"/>
        <w:jc w:val="both"/>
      </w:pPr>
      <w:r>
        <w:t xml:space="preserve">§ 1º Proposta a reconvenção, o autor será intimado, na pessoa de seu advogado, para apresentar resposta no prazo de 15 (quinze) dias.</w:t>
      </w:r>
    </w:p>
    <w:p>
      <w:pPr>
        <w:pStyle w:val="BodyText"/>
        <w:spacing w:after="80"/>
        <w:jc w:val="both"/>
      </w:pPr>
      <w:r>
        <w:t xml:space="preserve">§ 2º A desistência da ação ou a ocorrência de causa extintiva que impeça o exame de seu mérito não obsta ao prosseguimento do processo quanto à reconvenção.</w:t>
      </w:r>
    </w:p>
    <w:p>
      <w:pPr>
        <w:pStyle w:val="BodyText"/>
        <w:spacing w:after="80"/>
        <w:jc w:val="both"/>
      </w:pPr>
      <w:r>
        <w:t xml:space="preserve">§ 3º A reconvenção pode ser proposta contra o autor e terceiro.</w:t>
      </w:r>
    </w:p>
    <w:p>
      <w:pPr>
        <w:pStyle w:val="BodyText"/>
        <w:spacing w:after="80"/>
        <w:jc w:val="both"/>
      </w:pPr>
      <w:r>
        <w:t xml:space="preserve">§ 4º A reconvenção pode ser proposta pelo réu em litisconsórcio com terceiro.</w:t>
      </w:r>
    </w:p>
    <w:p>
      <w:pPr>
        <w:pStyle w:val="BodyText"/>
        <w:spacing w:after="80"/>
        <w:jc w:val="both"/>
      </w:pPr>
      <w:r>
        <w:t xml:space="preserve">§ 5º Se o autor for substituto processual, o reconvinte deverá afirmar ser titular de direito em face do substituído, e a reconvenção deverá ser proposta em face do autor, também na qualidade de substituto processual.</w:t>
      </w:r>
    </w:p>
    <w:p>
      <w:pPr>
        <w:pStyle w:val="BodyText"/>
        <w:spacing w:after="80"/>
        <w:jc w:val="both"/>
      </w:pPr>
      <w:r>
        <w:t xml:space="preserve">§ 6º O réu pode propor reconvenção independentemente de oferecer contestação.</w:t>
      </w:r>
    </w:p>
    <w:bookmarkEnd w:id="49"/>
    <w:bookmarkEnd w:id="50"/>
    <w:bookmarkStart w:id="54" w:name="capítulo-viii-da-revelia-arts.-344-a-346"/>
    <w:p>
      <w:pPr>
        <w:pStyle w:val="Heading4"/>
        <w:spacing w:before="160" w:after="40"/>
      </w:pPr>
      <w:r>
        <w:rPr>
          <w:smallCaps/>
          <w:color w:val="2E75B6"/>
        </w:rPr>
        <w:t xml:space="preserve">Capítulo VIII: da revelia (arts. 344 a 346)</w:t>
      </w:r>
    </w:p>
    <w:bookmarkStart w:id="51" w:name="art.-344"/>
    <w:p>
      <w:pPr>
        <w:pStyle w:val="Heading6"/>
        <w:pBdr>
          <w:left w:val="single" w:sz="36" w:space="4" w:color="2E75B6"/>
        </w:pBdr>
        <w:shd w:val="clear" w:color="auto" w:fill="E3EEF9"/>
        <w:spacing w:before="200" w:after="80"/>
        <w:ind w:left="85"/>
      </w:pPr>
      <w:r>
        <w:rPr>
          <w:i w:val="0"/>
          <w:color w:val="1F3A5F"/>
          <w:sz w:val="23"/>
        </w:rPr>
        <w:t xml:space="preserve">Art. 344</w:t>
      </w:r>
    </w:p>
    <w:p>
      <w:pPr>
        <w:pStyle w:val="FirstParagraph"/>
        <w:keepNext/>
        <w:spacing w:after="80"/>
        <w:jc w:val="both"/>
      </w:pPr>
      <w:r>
        <w:rPr>
          <w:b/>
          <w:bCs/>
        </w:rPr>
        <w:t xml:space="preserve">Art. 344.</w:t>
      </w:r>
      <w:r>
        <w:t xml:space="preserve"> </w:t>
      </w:r>
      <w:r>
        <w:t xml:space="preserve">Se o réu não contestar a ação, será considerado revel e presumir-se-ão verdadeiras as alegações de fato formuladas pelo autor.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26"/>
        <w:gridCol w:w="3132"/>
        <w:gridCol w:w="3895"/>
      </w:tblGrid>
      <w:tr>
        <w:trPr>
          <w:tblHeader w:val="on"/>
          <w:cantSplit/>
          <w:tblHeader/>
        </w:trPr>
        <w:tc>
          <w:tcPr>
            <w:tcW w:type="dxa" w:w="2326"/>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13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389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326"/>
          </w:tcPr>
          <w:p>
            <w:pPr>
              <w:pStyle w:val="Compact"/>
              <w:spacing w:line="276" w:lineRule="auto" w:before="40" w:after="40"/>
            </w:pPr>
            <w:r>
              <w:rPr>
                <w:rFonts w:ascii="Liberation Sans Narrow" w:hAnsi="Liberation Sans Narrow"/>
                <w:sz w:val="18"/>
              </w:rPr>
              <w:t xml:space="preserve">Revelia afastada: comparecimento espontâneo sem poderes para receber citação</w:t>
            </w:r>
          </w:p>
        </w:tc>
        <w:tc>
          <w:tcPr>
            <w:tcW w:type="dxa" w:w="3132"/>
          </w:tcPr>
          <w:p>
            <w:pPr>
              <w:pStyle w:val="Compact"/>
              <w:spacing w:line="276" w:lineRule="auto" w:before="40" w:after="40"/>
            </w:pPr>
            <w:r>
              <w:rPr>
                <w:rFonts w:ascii="Liberation Sans Narrow" w:hAnsi="Liberation Sans Narrow"/>
                <w:sz w:val="18"/>
              </w:rPr>
              <w:t xml:space="preserve">STJ, AgInt no AREsp 2.029.503, Corte Especial, relator Min. Raul Araújo, DJe de 17/10/2023</w:t>
            </w:r>
          </w:p>
        </w:tc>
        <w:tc>
          <w:tcPr>
            <w:tcW w:type="dxa" w:w="3895"/>
          </w:tcPr>
          <w:p>
            <w:pPr>
              <w:pStyle w:val="Compact"/>
              <w:spacing w:line="276" w:lineRule="auto" w:before="40" w:after="40"/>
            </w:pPr>
            <w:r>
              <w:rPr>
                <w:rFonts w:ascii="Liberation Sans Narrow" w:hAnsi="Liberation Sans Narrow"/>
                <w:sz w:val="18"/>
              </w:rPr>
              <w:t xml:space="preserve">Peticionar para juntar procuração e substabelecimento sem poderes especiais para receber citação não é comparecimento espontâneo; o prazo da contestação conta da juntada do mandado de citação, e a contestação é tempestiva, afastada a revelia. Cita o EREsp 1.709.915/CE (Corte Especial).</w:t>
            </w:r>
          </w:p>
        </w:tc>
      </w:tr>
      <w:tr>
        <w:trPr>
          <w:cantSplit/>
        </w:trPr>
        <w:tc>
          <w:tcPr>
            <w:tcW w:type="dxa" w:w="2326"/>
          </w:tcPr>
          <w:p>
            <w:pPr>
              <w:pStyle w:val="Compact"/>
              <w:spacing w:line="276" w:lineRule="auto" w:before="40" w:after="40"/>
            </w:pPr>
            <w:r>
              <w:rPr>
                <w:rFonts w:ascii="Liberation Sans Narrow" w:hAnsi="Liberation Sans Narrow"/>
                <w:sz w:val="18"/>
              </w:rPr>
              <w:t xml:space="preserve">Art. 344: a presunção de veracidade é relativa e exige prova mínima do fato constitutivo (art. 373, I)</w:t>
            </w:r>
          </w:p>
        </w:tc>
        <w:tc>
          <w:tcPr>
            <w:tcW w:type="dxa" w:w="3132"/>
          </w:tcPr>
          <w:p>
            <w:pPr>
              <w:pStyle w:val="Compact"/>
              <w:spacing w:line="276" w:lineRule="auto" w:before="40" w:after="40"/>
            </w:pPr>
            <w:r>
              <w:rPr>
                <w:rFonts w:ascii="Liberation Sans Narrow" w:hAnsi="Liberation Sans Narrow"/>
                <w:sz w:val="18"/>
              </w:rPr>
              <w:t xml:space="preserve">STJ, AREsp 3.198.909, Segunda Turma, relator Min. Teodoro Silva Santos, julgado em 12/08/2026, DJEN de 18/08/2026</w:t>
            </w:r>
          </w:p>
        </w:tc>
        <w:tc>
          <w:tcPr>
            <w:tcW w:type="dxa" w:w="3895"/>
          </w:tcPr>
          <w:p>
            <w:pPr>
              <w:pStyle w:val="Compact"/>
              <w:spacing w:line="276" w:lineRule="auto" w:before="40" w:after="40"/>
            </w:pPr>
            <w:r>
              <w:rPr>
                <w:rFonts w:ascii="Liberation Sans Narrow" w:hAnsi="Liberation Sans Narrow"/>
                <w:sz w:val="18"/>
              </w:rPr>
              <w:t xml:space="preserve">A revelia autoriza presumir a veracidade dos fatos, mas a presunção é relativa e impõe ao autor prova mínima do fato constitutivo; sem documento hábil, mantém-se a improcedência. A inversão do ônus do art. 6º, VIII, do CDC não dispensa o consumidor de trazer elementos mínimos.</w:t>
            </w:r>
          </w:p>
        </w:tc>
      </w:tr>
      <w:tr>
        <w:trPr>
          <w:cantSplit/>
        </w:trPr>
        <w:tc>
          <w:tcPr>
            <w:tcW w:type="dxa" w:w="2326"/>
          </w:tcPr>
          <w:p>
            <w:pPr>
              <w:pStyle w:val="Compact"/>
              <w:spacing w:line="276" w:lineRule="auto" w:before="40" w:after="40"/>
            </w:pPr>
            <w:r>
              <w:rPr>
                <w:rFonts w:ascii="Liberation Sans Narrow" w:hAnsi="Liberation Sans Narrow"/>
                <w:sz w:val="18"/>
              </w:rPr>
              <w:t xml:space="preserve">Arts. 344 e 345, IV: a revelia não leva à procedência automática, nem dos embargos à execução</w:t>
            </w:r>
          </w:p>
        </w:tc>
        <w:tc>
          <w:tcPr>
            <w:tcW w:type="dxa" w:w="3132"/>
          </w:tcPr>
          <w:p>
            <w:pPr>
              <w:pStyle w:val="Compact"/>
              <w:spacing w:line="276" w:lineRule="auto" w:before="40" w:after="40"/>
            </w:pPr>
            <w:r>
              <w:rPr>
                <w:rFonts w:ascii="Liberation Sans Narrow" w:hAnsi="Liberation Sans Narrow"/>
                <w:sz w:val="18"/>
              </w:rPr>
              <w:t xml:space="preserve">STJ, AREsp 2.968.286, Terceira Turma, relator Min. Moura Ribeiro, julgado em 16/03/2026, DJEN de 20/03/2026</w:t>
            </w:r>
          </w:p>
        </w:tc>
        <w:tc>
          <w:tcPr>
            <w:tcW w:type="dxa" w:w="3895"/>
          </w:tcPr>
          <w:p>
            <w:pPr>
              <w:pStyle w:val="Compact"/>
              <w:spacing w:line="276" w:lineRule="auto" w:before="40" w:after="40"/>
            </w:pPr>
            <w:r>
              <w:rPr>
                <w:rFonts w:ascii="Liberation Sans Narrow" w:hAnsi="Liberation Sans Narrow"/>
                <w:sz w:val="18"/>
              </w:rPr>
              <w:t xml:space="preserve">A revelia gera presunção relativa, compatível com o exame do conjunto probatório; não implica procedência automática dos embargos. A alteração das premissas fáticas esbarra na Súmula 7/STJ.</w:t>
            </w:r>
          </w:p>
        </w:tc>
      </w:tr>
      <w:tr>
        <w:trPr>
          <w:cantSplit/>
        </w:trPr>
        <w:tc>
          <w:tcPr>
            <w:tcW w:type="dxa" w:w="2326"/>
          </w:tcPr>
          <w:p>
            <w:pPr>
              <w:pStyle w:val="Compact"/>
              <w:spacing w:line="276" w:lineRule="auto" w:before="40" w:after="40"/>
            </w:pPr>
            <w:r>
              <w:rPr>
                <w:rFonts w:ascii="Liberation Sans Narrow" w:hAnsi="Liberation Sans Narrow"/>
                <w:sz w:val="18"/>
              </w:rPr>
              <w:t xml:space="preserve">Arts. 344, 345 e 373, I: mínimo lastro probatório</w:t>
            </w:r>
          </w:p>
        </w:tc>
        <w:tc>
          <w:tcPr>
            <w:tcW w:type="dxa" w:w="3132"/>
          </w:tcPr>
          <w:p>
            <w:pPr>
              <w:pStyle w:val="Compact"/>
              <w:spacing w:line="276" w:lineRule="auto" w:before="40" w:after="40"/>
            </w:pPr>
            <w:r>
              <w:rPr>
                <w:rFonts w:ascii="Liberation Sans Narrow" w:hAnsi="Liberation Sans Narrow"/>
                <w:sz w:val="18"/>
              </w:rPr>
              <w:t xml:space="preserve">STJ, AREsp 2.679.825, Quarta Turma, relator Min. João Otávio de Noronha, julgado em 09/02/2026, DJEN de 13/02/2026</w:t>
            </w:r>
          </w:p>
        </w:tc>
        <w:tc>
          <w:tcPr>
            <w:tcW w:type="dxa" w:w="3895"/>
          </w:tcPr>
          <w:p>
            <w:pPr>
              <w:pStyle w:val="Compact"/>
              <w:spacing w:line="276" w:lineRule="auto" w:before="40" w:after="40"/>
            </w:pPr>
            <w:r>
              <w:rPr>
                <w:rFonts w:ascii="Liberation Sans Narrow" w:hAnsi="Liberation Sans Narrow"/>
                <w:sz w:val="18"/>
              </w:rPr>
              <w:t xml:space="preserve">A revelia produz presunção relativa, e o juiz pode julgar improcedente o pedido à luz das provas; é necessário mínimo lastro probatório. Tese de julgamento no mesmo sentido.</w:t>
            </w:r>
          </w:p>
        </w:tc>
      </w:tr>
      <w:tr>
        <w:trPr>
          <w:cantSplit/>
        </w:trPr>
        <w:tc>
          <w:tcPr>
            <w:tcW w:type="dxa" w:w="2326"/>
          </w:tcPr>
          <w:p>
            <w:pPr>
              <w:pStyle w:val="Compact"/>
              <w:spacing w:line="276" w:lineRule="auto" w:before="40" w:after="40"/>
            </w:pPr>
            <w:r>
              <w:rPr>
                <w:rFonts w:ascii="Liberation Sans Narrow" w:hAnsi="Liberation Sans Narrow"/>
                <w:sz w:val="18"/>
              </w:rPr>
              <w:t xml:space="preserve">Recorribilidade da decisão que reconhece a revelia</w:t>
            </w:r>
          </w:p>
        </w:tc>
        <w:tc>
          <w:tcPr>
            <w:tcW w:type="dxa" w:w="3132"/>
          </w:tcPr>
          <w:p>
            <w:pPr>
              <w:pStyle w:val="Compact"/>
              <w:spacing w:line="276" w:lineRule="auto" w:before="40" w:after="40"/>
            </w:pPr>
            <w:r>
              <w:rPr>
                <w:rFonts w:ascii="Liberation Sans Narrow" w:hAnsi="Liberation Sans Narrow"/>
                <w:sz w:val="18"/>
              </w:rPr>
              <w:t xml:space="preserve">STJ, AgInt no REsp 1.839.804, Quarta Turma, relatora Min. Maria Isabel Gallotti, DJe de 19/12/2025</w:t>
            </w:r>
          </w:p>
        </w:tc>
        <w:tc>
          <w:tcPr>
            <w:tcW w:type="dxa" w:w="3895"/>
          </w:tcPr>
          <w:p>
            <w:pPr>
              <w:pStyle w:val="Compact"/>
              <w:spacing w:line="276" w:lineRule="auto" w:before="40" w:after="40"/>
            </w:pPr>
            <w:r>
              <w:rPr>
                <w:rFonts w:ascii="Liberation Sans Narrow" w:hAnsi="Liberation Sans Narrow"/>
                <w:sz w:val="18"/>
              </w:rPr>
              <w:t xml:space="preserve">Não cabe agravo de instrumento contra a decisão que reconhece a revelia (rol do art. 1.015); a questão não preclui e pode ser suscitada em preliminar de apelação ou nas contrarrazões (art. 1.009, § 1º).</w:t>
            </w:r>
          </w:p>
        </w:tc>
      </w:tr>
      <w:tr>
        <w:trPr>
          <w:cantSplit/>
        </w:trPr>
        <w:tc>
          <w:tcPr>
            <w:tcW w:type="dxa" w:w="2326"/>
          </w:tcPr>
          <w:p>
            <w:pPr>
              <w:pStyle w:val="Compact"/>
              <w:spacing w:line="276" w:lineRule="auto" w:before="40" w:after="40"/>
            </w:pPr>
            <w:r>
              <w:rPr>
                <w:rFonts w:ascii="Liberation Sans Narrow" w:hAnsi="Liberation Sans Narrow"/>
                <w:sz w:val="18"/>
              </w:rPr>
              <w:t xml:space="preserve">Presunção relativa; análise conjunta das alegações e das provas</w:t>
            </w:r>
          </w:p>
        </w:tc>
        <w:tc>
          <w:tcPr>
            <w:tcW w:type="dxa" w:w="3132"/>
          </w:tcPr>
          <w:p>
            <w:pPr>
              <w:pStyle w:val="Compact"/>
              <w:spacing w:line="276" w:lineRule="auto" w:before="40" w:after="40"/>
            </w:pPr>
            <w:r>
              <w:rPr>
                <w:rFonts w:ascii="Liberation Sans Narrow" w:hAnsi="Liberation Sans Narrow"/>
                <w:sz w:val="18"/>
              </w:rPr>
              <w:t xml:space="preserve">STJ, AgInt no AREsp 2.581.366, Quarta Turma, relator Min. Raul Araújo, DJe de 10/04/2025</w:t>
            </w:r>
          </w:p>
        </w:tc>
        <w:tc>
          <w:tcPr>
            <w:tcW w:type="dxa" w:w="3895"/>
          </w:tcPr>
          <w:p>
            <w:pPr>
              <w:pStyle w:val="Compact"/>
              <w:spacing w:line="276" w:lineRule="auto" w:before="40" w:after="40"/>
            </w:pPr>
            <w:r>
              <w:rPr>
                <w:rFonts w:ascii="Liberation Sans Narrow" w:hAnsi="Liberation Sans Narrow"/>
                <w:sz w:val="18"/>
              </w:rPr>
              <w:t xml:space="preserve">A revelia não importa procedência automática; a presunção de veracidade dos fatos alegados pelo autor é relativa, cabendo ao juiz a análise conjunta das alegações e das provas.</w:t>
            </w:r>
          </w:p>
        </w:tc>
      </w:tr>
      <w:tr>
        <w:trPr>
          <w:cantSplit/>
        </w:trPr>
        <w:tc>
          <w:tcPr>
            <w:tcW w:type="dxa" w:w="2326"/>
          </w:tcPr>
          <w:p>
            <w:pPr>
              <w:pStyle w:val="Compact"/>
              <w:spacing w:line="276" w:lineRule="auto" w:before="40" w:after="40"/>
            </w:pPr>
            <w:r>
              <w:rPr>
                <w:rFonts w:ascii="Liberation Sans Narrow" w:hAnsi="Liberation Sans Narrow"/>
                <w:sz w:val="18"/>
              </w:rPr>
              <w:t xml:space="preserve">Revelia: presunção relativa de veracidade e limites do pedido</w:t>
            </w:r>
          </w:p>
        </w:tc>
        <w:tc>
          <w:tcPr>
            <w:tcW w:type="dxa" w:w="3132"/>
          </w:tcPr>
          <w:p>
            <w:pPr>
              <w:pStyle w:val="Compact"/>
              <w:spacing w:line="276" w:lineRule="auto" w:before="40" w:after="40"/>
            </w:pPr>
            <w:r>
              <w:rPr>
                <w:rFonts w:ascii="Liberation Sans Narrow" w:hAnsi="Liberation Sans Narrow"/>
                <w:sz w:val="18"/>
              </w:rPr>
              <w:t xml:space="preserve">STJ, REsp 1.971.966, Terceira Turma, relator Min. Marco Aurélio Bellizze, julgado em 05/03/2024, DJe de 12/03/2024</w:t>
            </w:r>
          </w:p>
        </w:tc>
        <w:tc>
          <w:tcPr>
            <w:tcW w:type="dxa" w:w="3895"/>
          </w:tcPr>
          <w:p>
            <w:pPr>
              <w:pStyle w:val="Compact"/>
              <w:spacing w:line="276" w:lineRule="auto" w:before="40" w:after="40"/>
            </w:pPr>
            <w:r>
              <w:rPr>
                <w:rFonts w:ascii="Liberation Sans Narrow" w:hAnsi="Liberation Sans Narrow"/>
                <w:sz w:val="18"/>
              </w:rPr>
              <w:t xml:space="preserve">Os efeitos da revelia implicam presunção relativa de veracidade dos fatos alegados pelo autor, que o juiz confronta com as provas dos autos. Na ação de alimentos, o juiz pode fixar a verba abaixo do valor postulado na inicial, segundo o binômio necessidade-capacidade, ainda que haja revelia do réu citado pessoalmente.</w:t>
            </w:r>
          </w:p>
        </w:tc>
      </w:tr>
    </w:tbl>
    <w:bookmarkEnd w:id="51"/>
    <w:bookmarkStart w:id="52" w:name="art.-345"/>
    <w:p>
      <w:pPr>
        <w:pStyle w:val="Heading6"/>
        <w:pBdr>
          <w:left w:val="single" w:sz="36" w:space="4" w:color="2E75B6"/>
        </w:pBdr>
        <w:shd w:val="clear" w:color="auto" w:fill="E3EEF9"/>
        <w:spacing w:before="200" w:after="80"/>
        <w:ind w:left="85"/>
      </w:pPr>
      <w:r>
        <w:rPr>
          <w:i w:val="0"/>
          <w:color w:val="1F3A5F"/>
          <w:sz w:val="23"/>
        </w:rPr>
        <w:t xml:space="preserve">Art. 345</w:t>
      </w:r>
    </w:p>
    <w:p>
      <w:pPr>
        <w:pStyle w:val="FirstParagraph"/>
        <w:keepNext/>
        <w:spacing w:after="80"/>
        <w:jc w:val="both"/>
      </w:pPr>
      <w:r>
        <w:rPr>
          <w:b/>
          <w:bCs/>
        </w:rPr>
        <w:t xml:space="preserve">Art. 345.</w:t>
      </w:r>
      <w:r>
        <w:t xml:space="preserve"> </w:t>
      </w:r>
      <w:r>
        <w:t xml:space="preserve">A revelia não produz o efeito mencionado no art. 344 se: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98"/>
        <w:gridCol w:w="2531"/>
        <w:gridCol w:w="4725"/>
      </w:tblGrid>
      <w:tr>
        <w:trPr>
          <w:tblHeader w:val="on"/>
          <w:cantSplit/>
          <w:tblHeader/>
        </w:trPr>
        <w:tc>
          <w:tcPr>
            <w:tcW w:type="dxa" w:w="2098"/>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3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2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98"/>
          </w:tcPr>
          <w:p>
            <w:pPr>
              <w:pStyle w:val="Compact"/>
              <w:spacing w:line="276" w:lineRule="auto" w:before="40" w:after="40"/>
            </w:pPr>
            <w:r>
              <w:rPr>
                <w:rFonts w:ascii="Liberation Sans Narrow" w:hAnsi="Liberation Sans Narrow"/>
                <w:sz w:val="18"/>
              </w:rPr>
              <w:t xml:space="preserve">Art. 345 (caput): livre apreciação da prova e improcedência apesar da revelia</w:t>
            </w:r>
          </w:p>
        </w:tc>
        <w:tc>
          <w:tcPr>
            <w:tcW w:type="dxa" w:w="2531"/>
          </w:tcPr>
          <w:p>
            <w:pPr>
              <w:pStyle w:val="Compact"/>
              <w:spacing w:line="276" w:lineRule="auto" w:before="40" w:after="40"/>
            </w:pPr>
            <w:r>
              <w:rPr>
                <w:rFonts w:ascii="Liberation Sans Narrow" w:hAnsi="Liberation Sans Narrow"/>
                <w:sz w:val="18"/>
              </w:rPr>
              <w:t xml:space="preserve">STJ, AREsp 2.459.998, Quarta Turma, relator Min. Raul Araújo, julgado em 02/03/2026, DJEN de 11/03/2026</w:t>
            </w:r>
          </w:p>
        </w:tc>
        <w:tc>
          <w:tcPr>
            <w:tcW w:type="dxa" w:w="4725"/>
          </w:tcPr>
          <w:p>
            <w:pPr>
              <w:pStyle w:val="Compact"/>
              <w:spacing w:line="276" w:lineRule="auto" w:before="40" w:after="40"/>
            </w:pPr>
            <w:r>
              <w:rPr>
                <w:rFonts w:ascii="Liberation Sans Narrow" w:hAnsi="Liberation Sans Narrow"/>
                <w:sz w:val="18"/>
              </w:rPr>
              <w:t xml:space="preserve">A presunção de veracidade decorrente da revelia é relativa,</w:t>
            </w:r>
            <w:r>
              <w:rPr>
                <w:rFonts w:ascii="Liberation Sans Narrow" w:hAnsi="Liberation Sans Narrow"/>
                <w:sz w:val="18"/>
              </w:rPr>
              <w:t xml:space="preserve"> </w:t>
            </w:r>
            <w:r>
              <w:rPr>
                <w:rFonts w:ascii="Liberation Sans Narrow" w:hAnsi="Liberation Sans Narrow"/>
                <w:sz w:val="18"/>
              </w:rPr>
              <w:t xml:space="preserve">“conforme o artigo 345 do Código de Processo Civil”</w:t>
            </w:r>
            <w:r>
              <w:rPr>
                <w:rFonts w:ascii="Liberation Sans Narrow" w:hAnsi="Liberation Sans Narrow"/>
                <w:sz w:val="18"/>
              </w:rPr>
              <w:t xml:space="preserve">, e não impede que o juiz analise as provas dos autos e decida de forma contrária às alegações do autor, caso constate a improcedência do pedido com base nos elementos disponíveis. Ainda assim, os honorários são devidos quando a parte contrária não contestou, pois remuneram o trabalho do advogado em todo o processo.</w:t>
            </w:r>
          </w:p>
        </w:tc>
      </w:tr>
    </w:tbl>
    <w:p>
      <w:pPr>
        <w:pStyle w:val="BodyText"/>
        <w:spacing w:after="80"/>
        <w:jc w:val="both"/>
      </w:pPr>
      <w:r>
        <w:t xml:space="preserve">I - havendo pluralidade de réus, algum deles contestar a ação;</w:t>
      </w:r>
    </w:p>
    <w:p>
      <w:pPr>
        <w:pStyle w:val="BodyText"/>
        <w:spacing w:after="80"/>
        <w:jc w:val="both"/>
      </w:pPr>
      <w:r>
        <w:t xml:space="preserve">II - o litígio versar sobre direitos indisponíveis;</w:t>
      </w:r>
    </w:p>
    <w:p>
      <w:pPr>
        <w:pStyle w:val="BodyText"/>
        <w:spacing w:after="80"/>
        <w:jc w:val="both"/>
      </w:pPr>
      <w:r>
        <w:t xml:space="preserve">III - a petição inicial não estiver acompanhada de instrumento que a lei considere indispensável à prova do ato;</w:t>
      </w:r>
    </w:p>
    <w:p>
      <w:pPr>
        <w:pStyle w:val="BodyText"/>
        <w:keepNext/>
        <w:spacing w:after="80"/>
        <w:jc w:val="both"/>
      </w:pPr>
      <w:r>
        <w:t xml:space="preserve">IV - as alegações de fato formuladas pelo autor forem inverossímeis ou estiverem em contradição com prova constante dos autos.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54"/>
        <w:gridCol w:w="2990"/>
        <w:gridCol w:w="4210"/>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99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21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54"/>
          </w:tcPr>
          <w:p>
            <w:pPr>
              <w:pStyle w:val="Compact"/>
              <w:spacing w:line="276" w:lineRule="auto" w:before="40" w:after="40"/>
            </w:pPr>
            <w:r>
              <w:rPr>
                <w:rFonts w:ascii="Liberation Sans Narrow" w:hAnsi="Liberation Sans Narrow"/>
                <w:sz w:val="18"/>
              </w:rPr>
              <w:t xml:space="preserve">Art. 345, IV: exame da verossimilhança e da prova dos autos</w:t>
            </w:r>
          </w:p>
        </w:tc>
        <w:tc>
          <w:tcPr>
            <w:tcW w:type="dxa" w:w="2990"/>
          </w:tcPr>
          <w:p>
            <w:pPr>
              <w:pStyle w:val="Compact"/>
              <w:spacing w:line="276" w:lineRule="auto" w:before="40" w:after="40"/>
            </w:pPr>
            <w:r>
              <w:rPr>
                <w:rFonts w:ascii="Liberation Sans Narrow" w:hAnsi="Liberation Sans Narrow"/>
                <w:sz w:val="18"/>
              </w:rPr>
              <w:t xml:space="preserve">STJ, EDcl no AREsp 2.691.914, Quarta Turma, relator Min. João Otávio de Noronha, julgado em 22/06/2026, DJEN de 26/06/2026</w:t>
            </w:r>
          </w:p>
        </w:tc>
        <w:tc>
          <w:tcPr>
            <w:tcW w:type="dxa" w:w="4210"/>
          </w:tcPr>
          <w:p>
            <w:pPr>
              <w:pStyle w:val="Compact"/>
              <w:spacing w:line="276" w:lineRule="auto" w:before="40" w:after="40"/>
            </w:pPr>
            <w:r>
              <w:rPr>
                <w:rFonts w:ascii="Liberation Sans Narrow" w:hAnsi="Liberation Sans Narrow"/>
                <w:sz w:val="18"/>
              </w:rPr>
              <w:t xml:space="preserve">Não há omissão a sanar quando o acórdão embargado enfrenta a tese de aplicação do art. 345, IV: a incidência do dispositivo</w:t>
            </w:r>
            <w:r>
              <w:rPr>
                <w:rFonts w:ascii="Liberation Sans Narrow" w:hAnsi="Liberation Sans Narrow"/>
                <w:sz w:val="18"/>
              </w:rPr>
              <w:t xml:space="preserve"> </w:t>
            </w:r>
            <w:r>
              <w:rPr>
                <w:rFonts w:ascii="Liberation Sans Narrow" w:hAnsi="Liberation Sans Narrow"/>
                <w:sz w:val="18"/>
              </w:rPr>
              <w:t xml:space="preserve">“demanda exame da verossimilhança e compatibilidade com a prova dos autos”</w:t>
            </w:r>
            <w:r>
              <w:rPr>
                <w:rFonts w:ascii="Liberation Sans Narrow" w:hAnsi="Liberation Sans Narrow"/>
                <w:sz w:val="18"/>
              </w:rPr>
              <w:t xml:space="preserve">, o que atrai a Súmula 7/STJ e, no que couber, a Súmula 5/STJ. A relatividade da revelia foi assentada com base na suficiência da prova documental, insuscetível de reexame na via especial.</w:t>
            </w:r>
          </w:p>
        </w:tc>
      </w:tr>
      <w:tr>
        <w:trPr>
          <w:cantSplit/>
        </w:trPr>
        <w:tc>
          <w:tcPr>
            <w:tcW w:type="dxa" w:w="2154"/>
          </w:tcPr>
          <w:p>
            <w:pPr>
              <w:pStyle w:val="Compact"/>
              <w:spacing w:line="276" w:lineRule="auto" w:before="40" w:after="40"/>
            </w:pPr>
            <w:r>
              <w:rPr>
                <w:rFonts w:ascii="Liberation Sans Narrow" w:hAnsi="Liberation Sans Narrow"/>
                <w:sz w:val="18"/>
              </w:rPr>
              <w:t xml:space="preserve">Art. 345, IV: alegações inverossímeis ou em contradição com a prova dos autos</w:t>
            </w:r>
          </w:p>
        </w:tc>
        <w:tc>
          <w:tcPr>
            <w:tcW w:type="dxa" w:w="2990"/>
          </w:tcPr>
          <w:p>
            <w:pPr>
              <w:pStyle w:val="Compact"/>
              <w:spacing w:line="276" w:lineRule="auto" w:before="40" w:after="40"/>
            </w:pPr>
            <w:r>
              <w:rPr>
                <w:rFonts w:ascii="Liberation Sans Narrow" w:hAnsi="Liberation Sans Narrow"/>
                <w:sz w:val="18"/>
              </w:rPr>
              <w:t xml:space="preserve">STJ, AREsp 3.121.151, Terceira Turma, relator Min. Moura Ribeiro, julgado em 18/05/2026, DJEN de 26/05/2026</w:t>
            </w:r>
          </w:p>
        </w:tc>
        <w:tc>
          <w:tcPr>
            <w:tcW w:type="dxa" w:w="4210"/>
          </w:tcPr>
          <w:p>
            <w:pPr>
              <w:pStyle w:val="Compact"/>
              <w:spacing w:line="276" w:lineRule="auto" w:before="40" w:after="40"/>
            </w:pPr>
            <w:r>
              <w:rPr>
                <w:rFonts w:ascii="Liberation Sans Narrow" w:hAnsi="Liberation Sans Narrow"/>
                <w:sz w:val="18"/>
              </w:rPr>
              <w:t xml:space="preserve">“A presunção de veracidade dos fatos alegados pelo autor, decorrente da revelia, tem caráter relativo e cede quando as alegações forem inverossímeis ou contraditadas pelas provas existentes nos autos, consoante o art. 345, IV, do CPC.”</w:t>
            </w:r>
            <w:r>
              <w:rPr>
                <w:rFonts w:ascii="Liberation Sans Narrow" w:hAnsi="Liberation Sans Narrow"/>
                <w:sz w:val="18"/>
              </w:rPr>
              <w:t xml:space="preserve"> </w:t>
            </w:r>
            <w:r>
              <w:rPr>
                <w:rFonts w:ascii="Liberation Sans Narrow" w:hAnsi="Liberation Sans Narrow"/>
                <w:sz w:val="18"/>
              </w:rPr>
              <w:t xml:space="preserve">No caso, a instituição financeira cobrou encargos em conformidade com a regulamentação aplicável, o que afastou o ato ilícito e o dano moral.</w:t>
            </w:r>
          </w:p>
        </w:tc>
      </w:tr>
    </w:tbl>
    <w:bookmarkEnd w:id="52"/>
    <w:bookmarkStart w:id="53" w:name="art.-346"/>
    <w:p>
      <w:pPr>
        <w:pStyle w:val="Heading6"/>
        <w:pBdr>
          <w:left w:val="single" w:sz="36" w:space="4" w:color="2E75B6"/>
        </w:pBdr>
        <w:shd w:val="clear" w:color="auto" w:fill="E3EEF9"/>
        <w:spacing w:before="200" w:after="80"/>
        <w:ind w:left="85"/>
      </w:pPr>
      <w:r>
        <w:rPr>
          <w:i w:val="0"/>
          <w:color w:val="1F3A5F"/>
          <w:sz w:val="23"/>
        </w:rPr>
        <w:t xml:space="preserve">Art. 346</w:t>
      </w:r>
    </w:p>
    <w:p>
      <w:pPr>
        <w:pStyle w:val="FirstParagraph"/>
        <w:keepNext/>
        <w:spacing w:after="80"/>
        <w:jc w:val="both"/>
      </w:pPr>
      <w:r>
        <w:rPr>
          <w:b/>
          <w:bCs/>
        </w:rPr>
        <w:t xml:space="preserve">Art. 346.</w:t>
      </w:r>
      <w:r>
        <w:t xml:space="preserve"> </w:t>
      </w:r>
      <w:r>
        <w:t xml:space="preserve">Os prazos contra o revel que não tenha patrono nos autos fluirão da data de publicação do ato decisório no órgão oficial.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65"/>
        <w:gridCol w:w="3183"/>
        <w:gridCol w:w="4006"/>
      </w:tblGrid>
      <w:tr>
        <w:trPr>
          <w:tblHeader w:val="on"/>
          <w:cantSplit/>
          <w:tblHeader/>
        </w:trPr>
        <w:tc>
          <w:tcPr>
            <w:tcW w:type="dxa" w:w="216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18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00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65"/>
          </w:tcPr>
          <w:p>
            <w:pPr>
              <w:pStyle w:val="Compact"/>
              <w:spacing w:line="276" w:lineRule="auto" w:before="40" w:after="40"/>
            </w:pPr>
            <w:r>
              <w:rPr>
                <w:rFonts w:ascii="Liberation Sans Narrow" w:hAnsi="Liberation Sans Narrow"/>
                <w:sz w:val="18"/>
              </w:rPr>
              <w:t xml:space="preserve">Art. 346: limite ante a regra específica do art. 513, § 2º, II</w:t>
            </w:r>
          </w:p>
        </w:tc>
        <w:tc>
          <w:tcPr>
            <w:tcW w:type="dxa" w:w="3183"/>
          </w:tcPr>
          <w:p>
            <w:pPr>
              <w:pStyle w:val="Compact"/>
              <w:spacing w:line="276" w:lineRule="auto" w:before="40" w:after="40"/>
            </w:pPr>
            <w:r>
              <w:rPr>
                <w:rFonts w:ascii="Liberation Sans Narrow" w:hAnsi="Liberation Sans Narrow"/>
                <w:sz w:val="18"/>
              </w:rPr>
              <w:t xml:space="preserve">STJ, REsp 2.251.088, Terceira Turma, relator Min. Humberto Martins, julgado em 08/06/2026, DJEN de 11/06/2026</w:t>
            </w:r>
          </w:p>
        </w:tc>
        <w:tc>
          <w:tcPr>
            <w:tcW w:type="dxa" w:w="4006"/>
          </w:tcPr>
          <w:p>
            <w:pPr>
              <w:pStyle w:val="Compact"/>
              <w:spacing w:line="276" w:lineRule="auto" w:before="40" w:after="40"/>
            </w:pPr>
            <w:r>
              <w:rPr>
                <w:rFonts w:ascii="Liberation Sans Narrow" w:hAnsi="Liberation Sans Narrow"/>
                <w:sz w:val="18"/>
              </w:rPr>
              <w:t xml:space="preserve">O art. 513, § 2º, II, é norma específica que disciplina a intimação do devedor para o cumprimento de sentença e</w:t>
            </w:r>
            <w:r>
              <w:rPr>
                <w:rFonts w:ascii="Liberation Sans Narrow" w:hAnsi="Liberation Sans Narrow"/>
                <w:sz w:val="18"/>
              </w:rPr>
              <w:t xml:space="preserve"> </w:t>
            </w:r>
            <w:r>
              <w:rPr>
                <w:rFonts w:ascii="Liberation Sans Narrow" w:hAnsi="Liberation Sans Narrow"/>
                <w:sz w:val="18"/>
              </w:rPr>
              <w:t xml:space="preserve">“prevalece sobre a regra geral do art. 346”</w:t>
            </w:r>
            <w:r>
              <w:rPr>
                <w:rFonts w:ascii="Liberation Sans Narrow" w:hAnsi="Liberation Sans Narrow"/>
                <w:sz w:val="18"/>
              </w:rPr>
              <w:t xml:space="preserve">: o réu revel citado pessoalmente que não constituiu procurador deve ser intimado por carta com aviso de recebimento, requisito de validade dos atos executivos subsequentes, inclusive do bloqueio de valores.</w:t>
            </w:r>
          </w:p>
        </w:tc>
      </w:tr>
      <w:tr>
        <w:trPr>
          <w:cantSplit/>
        </w:trPr>
        <w:tc>
          <w:tcPr>
            <w:tcW w:type="dxa" w:w="2165"/>
          </w:tcPr>
          <w:p>
            <w:pPr>
              <w:pStyle w:val="Compact"/>
              <w:spacing w:line="276" w:lineRule="auto" w:before="40" w:after="40"/>
            </w:pPr>
            <w:r>
              <w:rPr>
                <w:rFonts w:ascii="Liberation Sans Narrow" w:hAnsi="Liberation Sans Narrow"/>
                <w:sz w:val="18"/>
              </w:rPr>
              <w:t xml:space="preserve">Art. 346 (caput): dispensa de intimação pessoal do revel sem patrono</w:t>
            </w:r>
          </w:p>
        </w:tc>
        <w:tc>
          <w:tcPr>
            <w:tcW w:type="dxa" w:w="3183"/>
          </w:tcPr>
          <w:p>
            <w:pPr>
              <w:pStyle w:val="Compact"/>
              <w:spacing w:line="276" w:lineRule="auto" w:before="40" w:after="40"/>
            </w:pPr>
            <w:r>
              <w:rPr>
                <w:rFonts w:ascii="Liberation Sans Narrow" w:hAnsi="Liberation Sans Narrow"/>
                <w:sz w:val="18"/>
              </w:rPr>
              <w:t xml:space="preserve">STJ, REsp 2.251.250, Quarta Turma, relator Min. João Otávio de Noronha, julgado em 30/03/2026, DJEN de 08/04/2026</w:t>
            </w:r>
          </w:p>
        </w:tc>
        <w:tc>
          <w:tcPr>
            <w:tcW w:type="dxa" w:w="4006"/>
          </w:tcPr>
          <w:p>
            <w:pPr>
              <w:pStyle w:val="Compact"/>
              <w:spacing w:line="276" w:lineRule="auto" w:before="40" w:after="40"/>
            </w:pPr>
            <w:r>
              <w:rPr>
                <w:rFonts w:ascii="Liberation Sans Narrow" w:hAnsi="Liberation Sans Narrow"/>
                <w:sz w:val="18"/>
              </w:rPr>
              <w:t xml:space="preserve">O art. 346 dispensa a intimação pessoal do réu revel sem advogado, inclusive na fase de cumprimento de sentença:</w:t>
            </w:r>
            <w:r>
              <w:rPr>
                <w:rFonts w:ascii="Liberation Sans Narrow" w:hAnsi="Liberation Sans Narrow"/>
                <w:sz w:val="18"/>
              </w:rPr>
              <w:t xml:space="preserve"> </w:t>
            </w:r>
            <w:r>
              <w:rPr>
                <w:rFonts w:ascii="Liberation Sans Narrow" w:hAnsi="Liberation Sans Narrow"/>
                <w:sz w:val="18"/>
              </w:rPr>
              <w:t xml:space="preserve">“persistindo a revelia sem patrono, é suficiente a intimação pelo DJe”</w:t>
            </w:r>
            <w:r>
              <w:rPr>
                <w:rFonts w:ascii="Liberation Sans Narrow" w:hAnsi="Liberation Sans Narrow"/>
                <w:sz w:val="18"/>
              </w:rPr>
              <w:t xml:space="preserve">. A citação válida no incidente de desconsideração da personalidade jurídica integra os novos executados à lide, sem necessidade de intimação pessoal posterior da decisão que o acolhe (art. 135).</w:t>
            </w:r>
          </w:p>
        </w:tc>
      </w:tr>
      <w:tr>
        <w:trPr>
          <w:cantSplit/>
        </w:trPr>
        <w:tc>
          <w:tcPr>
            <w:tcW w:type="dxa" w:w="2165"/>
          </w:tcPr>
          <w:p>
            <w:pPr>
              <w:pStyle w:val="Compact"/>
              <w:spacing w:line="276" w:lineRule="auto" w:before="40" w:after="40"/>
            </w:pPr>
            <w:r>
              <w:rPr>
                <w:rFonts w:ascii="Liberation Sans Narrow" w:hAnsi="Liberation Sans Narrow"/>
                <w:sz w:val="18"/>
              </w:rPr>
              <w:t xml:space="preserve">Revel sem advogado: início do prazo pela publicação no órgão oficial</w:t>
            </w:r>
          </w:p>
        </w:tc>
        <w:tc>
          <w:tcPr>
            <w:tcW w:type="dxa" w:w="3183"/>
          </w:tcPr>
          <w:p>
            <w:pPr>
              <w:pStyle w:val="Compact"/>
              <w:spacing w:line="276" w:lineRule="auto" w:before="40" w:after="40"/>
            </w:pPr>
            <w:r>
              <w:rPr>
                <w:rFonts w:ascii="Liberation Sans Narrow" w:hAnsi="Liberation Sans Narrow"/>
                <w:sz w:val="18"/>
              </w:rPr>
              <w:t xml:space="preserve">STJ, REsp 2.106.717, Primeira Turma, relator Min. Gurgel de Faria, julgado em 17/09/2024, DJe de 25/09/2024</w:t>
            </w:r>
          </w:p>
        </w:tc>
        <w:tc>
          <w:tcPr>
            <w:tcW w:type="dxa" w:w="4006"/>
          </w:tcPr>
          <w:p>
            <w:pPr>
              <w:pStyle w:val="Compact"/>
              <w:spacing w:line="276" w:lineRule="auto" w:before="40" w:after="40"/>
            </w:pPr>
            <w:r>
              <w:rPr>
                <w:rFonts w:ascii="Liberation Sans Narrow" w:hAnsi="Liberation Sans Narrow"/>
                <w:sz w:val="18"/>
              </w:rPr>
              <w:t xml:space="preserve">O prazo contra o revel sem patrono nos autos flui da data da publicação do ato decisório no órgão oficial (art. 346, caput); não basta a inserção da sentença no sistema eletrônico nem a publicação em cartório.</w:t>
            </w:r>
          </w:p>
        </w:tc>
      </w:tr>
      <w:tr>
        <w:trPr>
          <w:cantSplit/>
        </w:trPr>
        <w:tc>
          <w:tcPr>
            <w:tcW w:type="dxa" w:w="2165"/>
          </w:tcPr>
          <w:p>
            <w:pPr>
              <w:pStyle w:val="Compact"/>
              <w:spacing w:line="276" w:lineRule="auto" w:before="40" w:after="40"/>
            </w:pPr>
            <w:r>
              <w:rPr>
                <w:rFonts w:ascii="Liberation Sans Narrow" w:hAnsi="Liberation Sans Narrow"/>
                <w:sz w:val="18"/>
              </w:rPr>
              <w:t xml:space="preserve">Art. 346 (caput): publicação no órgão oficial para o revel sem patrono</w:t>
            </w:r>
          </w:p>
        </w:tc>
        <w:tc>
          <w:tcPr>
            <w:tcW w:type="dxa" w:w="3183"/>
          </w:tcPr>
          <w:p>
            <w:pPr>
              <w:pStyle w:val="Compact"/>
              <w:spacing w:line="276" w:lineRule="auto" w:before="40" w:after="40"/>
            </w:pPr>
            <w:r>
              <w:rPr>
                <w:rFonts w:ascii="Liberation Sans Narrow" w:hAnsi="Liberation Sans Narrow"/>
                <w:sz w:val="18"/>
              </w:rPr>
              <w:t xml:space="preserve">STJ, REsp 1.951.656, Terceira Turma, relator Min. Marco Aurélio Bellizze, julgado em 07/02/2023, DJe de 10/02/2023</w:t>
            </w:r>
          </w:p>
        </w:tc>
        <w:tc>
          <w:tcPr>
            <w:tcW w:type="dxa" w:w="4006"/>
          </w:tcPr>
          <w:p>
            <w:pPr>
              <w:pStyle w:val="Compact"/>
              <w:spacing w:line="276" w:lineRule="auto" w:before="40" w:after="40"/>
            </w:pPr>
            <w:r>
              <w:rPr>
                <w:rFonts w:ascii="Liberation Sans Narrow" w:hAnsi="Liberation Sans Narrow"/>
                <w:sz w:val="18"/>
              </w:rPr>
              <w:t xml:space="preserve">Nos termos do art. 346,</w:t>
            </w:r>
            <w:r>
              <w:rPr>
                <w:rFonts w:ascii="Liberation Sans Narrow" w:hAnsi="Liberation Sans Narrow"/>
                <w:sz w:val="18"/>
              </w:rPr>
              <w:t xml:space="preserve"> </w:t>
            </w:r>
            <w:r>
              <w:rPr>
                <w:rFonts w:ascii="Liberation Sans Narrow" w:hAnsi="Liberation Sans Narrow"/>
                <w:sz w:val="18"/>
              </w:rPr>
              <w:t xml:space="preserve">“os prazos contra o revel que não tenha patrono nos autos fluirão da data de publicação do ato decisório no órgão oficial”</w:t>
            </w:r>
            <w:r>
              <w:rPr>
                <w:rFonts w:ascii="Liberation Sans Narrow" w:hAnsi="Liberation Sans Narrow"/>
                <w:sz w:val="18"/>
              </w:rPr>
              <w:t xml:space="preserve">: exige-se a publicação na imprensa oficial para o início do prazo, não bastando a publicação em cartório, como no diploma anterior. Ainda em processo eletrônico, a dispensa da publicação oficial só ocorre quando a parte está representada por advogado cadastrado no sistema (art. 5º, caput e § 1º, da Lei 11.419/2006), pois só então é possível a consulta eletrônica.</w:t>
            </w:r>
          </w:p>
        </w:tc>
      </w:tr>
    </w:tbl>
    <w:p>
      <w:pPr>
        <w:pStyle w:val="BodyText"/>
        <w:keepNext/>
        <w:spacing w:after="80"/>
        <w:jc w:val="both"/>
      </w:pPr>
      <w:r>
        <w:t xml:space="preserve">Parágrafo único. O revel poderá intervir no processo em qualquer fase, recebendo-o no estado em que se encontrar.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872"/>
        <w:gridCol w:w="2683"/>
        <w:gridCol w:w="4799"/>
      </w:tblGrid>
      <w:tr>
        <w:trPr>
          <w:tblHeader w:val="on"/>
          <w:cantSplit/>
          <w:tblHeader/>
        </w:trPr>
        <w:tc>
          <w:tcPr>
            <w:tcW w:type="dxa" w:w="187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8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9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872"/>
          </w:tcPr>
          <w:p>
            <w:pPr>
              <w:pStyle w:val="Compact"/>
              <w:spacing w:line="276" w:lineRule="auto" w:before="40" w:after="40"/>
            </w:pPr>
            <w:r>
              <w:rPr>
                <w:rFonts w:ascii="Liberation Sans Narrow" w:hAnsi="Liberation Sans Narrow"/>
                <w:sz w:val="18"/>
              </w:rPr>
              <w:t xml:space="preserve">Art. 346, parágrafo único: intervenção do revel em qualquer fase</w:t>
            </w:r>
          </w:p>
        </w:tc>
        <w:tc>
          <w:tcPr>
            <w:tcW w:type="dxa" w:w="2683"/>
          </w:tcPr>
          <w:p>
            <w:pPr>
              <w:pStyle w:val="Compact"/>
              <w:spacing w:line="276" w:lineRule="auto" w:before="40" w:after="40"/>
            </w:pPr>
            <w:r>
              <w:rPr>
                <w:rFonts w:ascii="Liberation Sans Narrow" w:hAnsi="Liberation Sans Narrow"/>
                <w:sz w:val="18"/>
              </w:rPr>
              <w:t xml:space="preserve">STJ, REsp 2.174.214, Terceira Turma, relator Min. Humberto Martins, julgado em 08/06/2026, DJEN de 11/06/2026</w:t>
            </w:r>
          </w:p>
        </w:tc>
        <w:tc>
          <w:tcPr>
            <w:tcW w:type="dxa" w:w="4799"/>
          </w:tcPr>
          <w:p>
            <w:pPr>
              <w:pStyle w:val="Compact"/>
              <w:spacing w:line="276" w:lineRule="auto" w:before="40" w:after="40"/>
            </w:pPr>
            <w:r>
              <w:rPr>
                <w:rFonts w:ascii="Liberation Sans Narrow" w:hAnsi="Liberation Sans Narrow"/>
                <w:sz w:val="18"/>
              </w:rPr>
              <w:t xml:space="preserve">“A revelia não acarreta a exclusão do réu do processo, tampouco o impede de intervir nos autos”</w:t>
            </w:r>
            <w:r>
              <w:rPr>
                <w:rFonts w:ascii="Liberation Sans Narrow" w:hAnsi="Liberation Sans Narrow"/>
                <w:sz w:val="18"/>
              </w:rPr>
              <w:t xml:space="preserve">: pelo parágrafo único, o revel pode intervir em qualquer fase, recebendo o processo no estado em que se encontrar, pois continua sendo parte e titular do devido processo legal. No caso, afastou-se a preclusão para examinar o alcance do acordo juntado pelo revel; os efeitos da revelia são relativos e não geram procedência automática do pedido.</w:t>
            </w:r>
          </w:p>
        </w:tc>
      </w:tr>
    </w:tbl>
    <w:bookmarkEnd w:id="53"/>
    <w:bookmarkEnd w:id="54"/>
    <w:bookmarkStart w:id="65" w:name="X76e231d6b79148ee437645752cf6c89a542d1a7"/>
    <w:p>
      <w:pPr>
        <w:pStyle w:val="Heading4"/>
        <w:spacing w:before="160" w:after="40"/>
      </w:pPr>
      <w:r>
        <w:rPr>
          <w:smallCaps/>
          <w:color w:val="2E75B6"/>
        </w:rPr>
        <w:t xml:space="preserve">Capítulo IX: das providências preliminares e do saneamento (arts. 347 a 353)</w:t>
      </w:r>
    </w:p>
    <w:bookmarkStart w:id="55" w:name="art.-347"/>
    <w:p>
      <w:pPr>
        <w:pStyle w:val="Heading6"/>
        <w:pBdr>
          <w:left w:val="single" w:sz="36" w:space="4" w:color="2E75B6"/>
        </w:pBdr>
        <w:shd w:val="clear" w:color="auto" w:fill="E3EEF9"/>
        <w:spacing w:before="200" w:after="80"/>
        <w:ind w:left="85"/>
      </w:pPr>
      <w:r>
        <w:rPr>
          <w:i w:val="0"/>
          <w:color w:val="1F3A5F"/>
          <w:sz w:val="23"/>
        </w:rPr>
        <w:t xml:space="preserve">Art. 347</w:t>
      </w:r>
    </w:p>
    <w:p>
      <w:pPr>
        <w:pStyle w:val="FirstParagraph"/>
        <w:spacing w:after="80"/>
        <w:jc w:val="both"/>
      </w:pPr>
      <w:r>
        <w:rPr>
          <w:b/>
          <w:bCs/>
        </w:rPr>
        <w:t xml:space="preserve">Art. 347.</w:t>
      </w:r>
      <w:r>
        <w:t xml:space="preserve"> </w:t>
      </w:r>
      <w:r>
        <w:t xml:space="preserve">Findo o prazo para a contestação, o juiz tomará, conforme o caso, as providências preliminares constantes das seções deste Capítulo.</w:t>
      </w:r>
    </w:p>
    <w:bookmarkEnd w:id="55"/>
    <w:bookmarkStart w:id="58" w:name="Xb4b6453eb20012509392e7f9bd77cf0c49f74a1"/>
    <w:p>
      <w:pPr>
        <w:pStyle w:val="Heading5"/>
        <w:spacing w:before="140" w:after="20"/>
      </w:pPr>
      <w:r>
        <w:rPr>
          <w:i/>
          <w:color w:val="595959"/>
        </w:rPr>
        <w:t xml:space="preserve">Seção I: da não incidência dos efeitos da revelia (arts. 348 a 349)</w:t>
      </w:r>
    </w:p>
    <w:bookmarkStart w:id="56" w:name="art.-348"/>
    <w:p>
      <w:pPr>
        <w:pStyle w:val="Heading6"/>
        <w:pBdr>
          <w:left w:val="single" w:sz="36" w:space="4" w:color="2E75B6"/>
        </w:pBdr>
        <w:shd w:val="clear" w:color="auto" w:fill="E3EEF9"/>
        <w:spacing w:before="200" w:after="80"/>
        <w:ind w:left="85"/>
      </w:pPr>
      <w:r>
        <w:rPr>
          <w:i w:val="0"/>
          <w:color w:val="1F3A5F"/>
          <w:sz w:val="23"/>
        </w:rPr>
        <w:t xml:space="preserve">Art. 348</w:t>
      </w:r>
    </w:p>
    <w:p>
      <w:pPr>
        <w:pStyle w:val="FirstParagraph"/>
        <w:spacing w:after="80"/>
        <w:jc w:val="both"/>
      </w:pPr>
      <w:r>
        <w:rPr>
          <w:b/>
          <w:bCs/>
        </w:rPr>
        <w:t xml:space="preserve">Art. 348.</w:t>
      </w:r>
      <w:r>
        <w:t xml:space="preserve"> </w:t>
      </w:r>
      <w:r>
        <w:t xml:space="preserve">Se o réu não contestar a ação, o juiz, verificando a inocorrência do efeito da revelia previsto no art. 344, ordenará que o autor especifique as provas que pretenda produzir, se ainda não as tiver indicado.</w:t>
      </w:r>
    </w:p>
    <w:bookmarkEnd w:id="56"/>
    <w:bookmarkStart w:id="57" w:name="art.-349"/>
    <w:p>
      <w:pPr>
        <w:pStyle w:val="Heading6"/>
        <w:pBdr>
          <w:left w:val="single" w:sz="36" w:space="4" w:color="2E75B6"/>
        </w:pBdr>
        <w:shd w:val="clear" w:color="auto" w:fill="E3EEF9"/>
        <w:spacing w:before="200" w:after="80"/>
        <w:ind w:left="85"/>
      </w:pPr>
      <w:r>
        <w:rPr>
          <w:i w:val="0"/>
          <w:color w:val="1F3A5F"/>
          <w:sz w:val="23"/>
        </w:rPr>
        <w:t xml:space="preserve">Art. 349</w:t>
      </w:r>
    </w:p>
    <w:p>
      <w:pPr>
        <w:pStyle w:val="FirstParagraph"/>
        <w:keepNext/>
        <w:spacing w:after="80"/>
        <w:jc w:val="both"/>
      </w:pPr>
      <w:r>
        <w:rPr>
          <w:b/>
          <w:bCs/>
        </w:rPr>
        <w:t xml:space="preserve">Art. 349.</w:t>
      </w:r>
      <w:r>
        <w:t xml:space="preserve"> </w:t>
      </w:r>
      <w:r>
        <w:t xml:space="preserve">Ao réu revel será lícita a produção de provas, contrapostas às alegações do autor, desde que se faça representar nos autos a tempo de praticar os atos processuais indispensáveis a essa produção.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838"/>
        <w:gridCol w:w="2754"/>
        <w:gridCol w:w="4763"/>
      </w:tblGrid>
      <w:tr>
        <w:trPr>
          <w:tblHeader w:val="on"/>
          <w:cantSplit/>
          <w:tblHeader/>
        </w:trPr>
        <w:tc>
          <w:tcPr>
            <w:tcW w:type="dxa" w:w="1838"/>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5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6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838"/>
          </w:tcPr>
          <w:p>
            <w:pPr>
              <w:pStyle w:val="Compact"/>
              <w:spacing w:line="276" w:lineRule="auto" w:before="40" w:after="40"/>
            </w:pPr>
            <w:r>
              <w:rPr>
                <w:rFonts w:ascii="Liberation Sans Narrow" w:hAnsi="Liberation Sans Narrow"/>
                <w:sz w:val="18"/>
              </w:rPr>
              <w:t xml:space="preserve">Art. 349: produção de provas pelo revel e julgamento antecipado</w:t>
            </w:r>
          </w:p>
        </w:tc>
        <w:tc>
          <w:tcPr>
            <w:tcW w:type="dxa" w:w="2754"/>
          </w:tcPr>
          <w:p>
            <w:pPr>
              <w:pStyle w:val="Compact"/>
              <w:spacing w:line="276" w:lineRule="auto" w:before="40" w:after="40"/>
            </w:pPr>
            <w:r>
              <w:rPr>
                <w:rFonts w:ascii="Liberation Sans Narrow" w:hAnsi="Liberation Sans Narrow"/>
                <w:sz w:val="18"/>
              </w:rPr>
              <w:t xml:space="preserve">STJ, AREsp 2.489.481, Quarta Turma, relator Min. João Otávio de Noronha, julgado em 16/03/2026, DJEN de 19/03/2026</w:t>
            </w:r>
          </w:p>
        </w:tc>
        <w:tc>
          <w:tcPr>
            <w:tcW w:type="dxa" w:w="4763"/>
          </w:tcPr>
          <w:p>
            <w:pPr>
              <w:pStyle w:val="Compact"/>
              <w:spacing w:line="276" w:lineRule="auto" w:before="40" w:after="40"/>
            </w:pPr>
            <w:r>
              <w:rPr>
                <w:rFonts w:ascii="Liberation Sans Narrow" w:hAnsi="Liberation Sans Narrow"/>
                <w:sz w:val="18"/>
              </w:rPr>
              <w:t xml:space="preserve">Tese expressa:</w:t>
            </w:r>
            <w:r>
              <w:rPr>
                <w:rFonts w:ascii="Liberation Sans Narrow" w:hAnsi="Liberation Sans Narrow"/>
                <w:sz w:val="18"/>
              </w:rPr>
              <w:t xml:space="preserve"> </w:t>
            </w:r>
            <w:r>
              <w:rPr>
                <w:rFonts w:ascii="Liberation Sans Narrow" w:hAnsi="Liberation Sans Narrow"/>
                <w:sz w:val="18"/>
              </w:rPr>
              <w:t xml:space="preserve">“Não há violação aos arts. 349 e 355, II do CPC quando o magistrado, por livre convencimento motivado, julga antecipadamente diante da suficiência das provas.”</w:t>
            </w:r>
            <w:r>
              <w:rPr>
                <w:rFonts w:ascii="Liberation Sans Narrow" w:hAnsi="Liberation Sans Narrow"/>
                <w:sz w:val="18"/>
              </w:rPr>
              <w:t xml:space="preserve"> </w:t>
            </w:r>
            <w:r>
              <w:rPr>
                <w:rFonts w:ascii="Liberation Sans Narrow" w:hAnsi="Liberation Sans Narrow"/>
                <w:sz w:val="18"/>
              </w:rPr>
              <w:t xml:space="preserve">A participação do revel na instrução só se justifica quando imprescindível, e o julgamento antecipado com base em conjunto documental suficiente não configura cerceamento de defesa (arts. 370 e 371). No caso, a revelia dispensou outras provas quanto ao fato constitutivo, não incidindo as hipóteses do art. 345.</w:t>
            </w:r>
          </w:p>
        </w:tc>
      </w:tr>
    </w:tbl>
    <w:bookmarkEnd w:id="57"/>
    <w:bookmarkEnd w:id="58"/>
    <w:bookmarkStart w:id="60" w:name="X542d212752730e36e20709c742ddccd1d060067"/>
    <w:p>
      <w:pPr>
        <w:pStyle w:val="Heading5"/>
        <w:spacing w:before="140" w:after="20"/>
      </w:pPr>
      <w:r>
        <w:rPr>
          <w:i/>
          <w:color w:val="595959"/>
        </w:rPr>
        <w:t xml:space="preserve">Seção II: do fato impeditivo, modificativo ou extintivo do direito do autor (arts. 350)</w:t>
      </w:r>
    </w:p>
    <w:bookmarkStart w:id="59" w:name="art.-350"/>
    <w:p>
      <w:pPr>
        <w:pStyle w:val="Heading6"/>
        <w:pBdr>
          <w:left w:val="single" w:sz="36" w:space="4" w:color="2E75B6"/>
        </w:pBdr>
        <w:shd w:val="clear" w:color="auto" w:fill="E3EEF9"/>
        <w:spacing w:before="200" w:after="80"/>
        <w:ind w:left="85"/>
      </w:pPr>
      <w:r>
        <w:rPr>
          <w:i w:val="0"/>
          <w:color w:val="1F3A5F"/>
          <w:sz w:val="23"/>
        </w:rPr>
        <w:t xml:space="preserve">Art. 350</w:t>
      </w:r>
    </w:p>
    <w:p>
      <w:pPr>
        <w:pStyle w:val="FirstParagraph"/>
        <w:keepNext/>
        <w:spacing w:after="80"/>
        <w:jc w:val="both"/>
      </w:pPr>
      <w:r>
        <w:rPr>
          <w:b/>
          <w:bCs/>
        </w:rPr>
        <w:t xml:space="preserve">Art. 350.</w:t>
      </w:r>
      <w:r>
        <w:t xml:space="preserve"> </w:t>
      </w:r>
      <w:r>
        <w:t xml:space="preserve">Se o réu alegar fato impeditivo, modificativo ou extintivo do direito do autor, este será ouvido no prazo de 15 (quinze) dias, permitindo-lhe o juiz a produção de prova.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45"/>
        <w:gridCol w:w="2467"/>
        <w:gridCol w:w="4743"/>
      </w:tblGrid>
      <w:tr>
        <w:trPr>
          <w:tblHeader w:val="on"/>
          <w:cantSplit/>
          <w:tblHeader/>
        </w:trPr>
        <w:tc>
          <w:tcPr>
            <w:tcW w:type="dxa" w:w="214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46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4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45"/>
          </w:tcPr>
          <w:p>
            <w:pPr>
              <w:pStyle w:val="Compact"/>
              <w:spacing w:line="276" w:lineRule="auto" w:before="40" w:after="40"/>
            </w:pPr>
            <w:r>
              <w:rPr>
                <w:rFonts w:ascii="Liberation Sans Narrow" w:hAnsi="Liberation Sans Narrow"/>
                <w:sz w:val="18"/>
              </w:rPr>
              <w:t xml:space="preserve">Art. 350: réplica do autor diante de fato impeditivo, modificativo ou extintivo</w:t>
            </w:r>
          </w:p>
        </w:tc>
        <w:tc>
          <w:tcPr>
            <w:tcW w:type="dxa" w:w="2467"/>
          </w:tcPr>
          <w:p>
            <w:pPr>
              <w:pStyle w:val="Compact"/>
              <w:spacing w:line="276" w:lineRule="auto" w:before="40" w:after="40"/>
            </w:pPr>
            <w:r>
              <w:rPr>
                <w:rFonts w:ascii="Liberation Sans Narrow" w:hAnsi="Liberation Sans Narrow"/>
                <w:sz w:val="18"/>
              </w:rPr>
              <w:t xml:space="preserve">STJ, AgInt no REsp 1.932.383, Quarta Turma, relator Min. Antonio Carlos Ferreira, DJe de 19/12/2025</w:t>
            </w:r>
          </w:p>
        </w:tc>
        <w:tc>
          <w:tcPr>
            <w:tcW w:type="dxa" w:w="4743"/>
          </w:tcPr>
          <w:p>
            <w:pPr>
              <w:pStyle w:val="Compact"/>
              <w:spacing w:line="276" w:lineRule="auto" w:before="40" w:after="40"/>
            </w:pPr>
            <w:r>
              <w:rPr>
                <w:rFonts w:ascii="Liberation Sans Narrow" w:hAnsi="Liberation Sans Narrow"/>
                <w:sz w:val="18"/>
              </w:rPr>
              <w:t xml:space="preserve">“É vedada a decisão surpresa (arts. 9º e 10 do CPC), sendo indispensável a intimação da parte autora para réplica sempre que a contestação introduzir fatos impeditivos, modificativos ou extintivos do direito alegado, nos termos do art. 350 do CPC. Precedentes.”</w:t>
            </w:r>
            <w:r>
              <w:rPr>
                <w:rFonts w:ascii="Liberation Sans Narrow" w:hAnsi="Liberation Sans Narrow"/>
                <w:sz w:val="18"/>
              </w:rPr>
              <w:t xml:space="preserve"> </w:t>
            </w:r>
            <w:r>
              <w:rPr>
                <w:rFonts w:ascii="Liberation Sans Narrow" w:hAnsi="Liberation Sans Narrow"/>
                <w:sz w:val="18"/>
              </w:rPr>
              <w:t xml:space="preserve">Sem o contraditório pleno, é inviável o julgamento imediato da causa (art. 1.013, § 3º, IV).</w:t>
            </w:r>
          </w:p>
        </w:tc>
      </w:tr>
    </w:tbl>
    <w:bookmarkEnd w:id="59"/>
    <w:bookmarkEnd w:id="60"/>
    <w:bookmarkStart w:id="64" w:name="X698bcd0f8f39db82fdf0a4551aad77a501a8272"/>
    <w:p>
      <w:pPr>
        <w:pStyle w:val="Heading5"/>
        <w:spacing w:before="140" w:after="20"/>
      </w:pPr>
      <w:r>
        <w:rPr>
          <w:i/>
          <w:color w:val="595959"/>
        </w:rPr>
        <w:t xml:space="preserve">Seção III: das alegações do réu (arts. 351 a 353)</w:t>
      </w:r>
    </w:p>
    <w:bookmarkStart w:id="61" w:name="art.-351"/>
    <w:p>
      <w:pPr>
        <w:pStyle w:val="Heading6"/>
        <w:pBdr>
          <w:left w:val="single" w:sz="36" w:space="4" w:color="2E75B6"/>
        </w:pBdr>
        <w:shd w:val="clear" w:color="auto" w:fill="E3EEF9"/>
        <w:spacing w:before="200" w:after="80"/>
        <w:ind w:left="85"/>
      </w:pPr>
      <w:r>
        <w:rPr>
          <w:i w:val="0"/>
          <w:color w:val="1F3A5F"/>
          <w:sz w:val="23"/>
        </w:rPr>
        <w:t xml:space="preserve">Art. 351</w:t>
      </w:r>
    </w:p>
    <w:p>
      <w:pPr>
        <w:pStyle w:val="FirstParagraph"/>
        <w:keepNext/>
        <w:spacing w:after="80"/>
        <w:jc w:val="both"/>
      </w:pPr>
      <w:r>
        <w:rPr>
          <w:b/>
          <w:bCs/>
        </w:rPr>
        <w:t xml:space="preserve">Art. 351.</w:t>
      </w:r>
      <w:r>
        <w:t xml:space="preserve"> </w:t>
      </w:r>
      <w:r>
        <w:t xml:space="preserve">Se o réu alegar qualquer das matérias enumeradas no art. 337, o juiz determinará a oitiva do autor no prazo de 15 (quinze) dias, permitindo-lhe a produção de prova.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34"/>
        <w:gridCol w:w="2995"/>
        <w:gridCol w:w="4425"/>
      </w:tblGrid>
      <w:tr>
        <w:trPr>
          <w:tblHeader w:val="on"/>
          <w:cantSplit/>
          <w:tblHeader/>
        </w:trPr>
        <w:tc>
          <w:tcPr>
            <w:tcW w:type="dxa" w:w="193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99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42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35"/>
          </w:tcPr>
          <w:p>
            <w:pPr>
              <w:pStyle w:val="Compact"/>
              <w:spacing w:line="276" w:lineRule="auto" w:before="40" w:after="40"/>
            </w:pPr>
            <w:r>
              <w:rPr>
                <w:rFonts w:ascii="Liberation Sans Narrow" w:hAnsi="Liberation Sans Narrow"/>
                <w:sz w:val="18"/>
              </w:rPr>
              <w:t xml:space="preserve">Art. 351: oitiva do autor e oportunidade de produção de prova</w:t>
            </w:r>
          </w:p>
        </w:tc>
        <w:tc>
          <w:tcPr>
            <w:tcW w:type="dxa" w:w="2995"/>
          </w:tcPr>
          <w:p>
            <w:pPr>
              <w:pStyle w:val="Compact"/>
              <w:spacing w:line="276" w:lineRule="auto" w:before="40" w:after="40"/>
            </w:pPr>
            <w:r>
              <w:rPr>
                <w:rFonts w:ascii="Liberation Sans Narrow" w:hAnsi="Liberation Sans Narrow"/>
                <w:sz w:val="18"/>
              </w:rPr>
              <w:t xml:space="preserve">STJ, agravo regimental (AgRg) no AREsp 2.694.666, Quinta Turma, relator Min. Messod Azulay Neto, DJe de 06/12/2024</w:t>
            </w:r>
          </w:p>
        </w:tc>
        <w:tc>
          <w:tcPr>
            <w:tcW w:type="dxa" w:w="4425"/>
          </w:tcPr>
          <w:p>
            <w:pPr>
              <w:pStyle w:val="Compact"/>
              <w:spacing w:line="276" w:lineRule="auto" w:before="40" w:after="40"/>
            </w:pPr>
            <w:r>
              <w:rPr>
                <w:rFonts w:ascii="Liberation Sans Narrow" w:hAnsi="Liberation Sans Narrow"/>
                <w:sz w:val="18"/>
              </w:rPr>
              <w:t xml:space="preserve">Configuradas as hipóteses dos arts. 350 e 351, os agravantes foram intimados a oferecer réplica e a produzir as provas pertinentes e permaneceram inertes. Tese expressa:</w:t>
            </w:r>
            <w:r>
              <w:rPr>
                <w:rFonts w:ascii="Liberation Sans Narrow" w:hAnsi="Liberation Sans Narrow"/>
                <w:sz w:val="18"/>
              </w:rPr>
              <w:t xml:space="preserve"> </w:t>
            </w:r>
            <w:r>
              <w:rPr>
                <w:rFonts w:ascii="Liberation Sans Narrow" w:hAnsi="Liberation Sans Narrow"/>
                <w:sz w:val="18"/>
              </w:rPr>
              <w:t xml:space="preserve">“A ausência de despacho saneador e de nova intimação para produção de provas não configura cerceamento de defesa quando as partes não se manifestam nos momentos processuais adequados.”</w:t>
            </w:r>
          </w:p>
        </w:tc>
      </w:tr>
      <w:tr>
        <w:trPr>
          <w:cantSplit/>
        </w:trPr>
        <w:tc>
          <w:tcPr>
            <w:tcW w:type="dxa" w:w="1935"/>
          </w:tcPr>
          <w:p>
            <w:pPr>
              <w:pStyle w:val="Compact"/>
              <w:spacing w:line="276" w:lineRule="auto" w:before="40" w:after="40"/>
            </w:pPr>
            <w:r>
              <w:rPr>
                <w:rFonts w:ascii="Liberation Sans Narrow" w:hAnsi="Liberation Sans Narrow"/>
                <w:sz w:val="18"/>
              </w:rPr>
              <w:t xml:space="preserve">Art. 351: nulidade por ausência de réplica e seus efeitos</w:t>
            </w:r>
          </w:p>
        </w:tc>
        <w:tc>
          <w:tcPr>
            <w:tcW w:type="dxa" w:w="2995"/>
          </w:tcPr>
          <w:p>
            <w:pPr>
              <w:pStyle w:val="Compact"/>
              <w:spacing w:line="276" w:lineRule="auto" w:before="40" w:after="40"/>
            </w:pPr>
            <w:r>
              <w:rPr>
                <w:rFonts w:ascii="Liberation Sans Narrow" w:hAnsi="Liberation Sans Narrow"/>
                <w:sz w:val="18"/>
              </w:rPr>
              <w:t xml:space="preserve">STJ, EDcl no AREsp 1.486.202, Terceira Turma, relator Min. Marco Aurélio Bellizze, DJe de 28/08/2024</w:t>
            </w:r>
          </w:p>
        </w:tc>
        <w:tc>
          <w:tcPr>
            <w:tcW w:type="dxa" w:w="4425"/>
          </w:tcPr>
          <w:p>
            <w:pPr>
              <w:pStyle w:val="Compact"/>
              <w:spacing w:line="276" w:lineRule="auto" w:before="40" w:after="40"/>
            </w:pPr>
            <w:r>
              <w:rPr>
                <w:rFonts w:ascii="Liberation Sans Narrow" w:hAnsi="Liberation Sans Narrow"/>
                <w:sz w:val="18"/>
              </w:rPr>
              <w:t xml:space="preserve">Reconhecida a nulidade por falta de intimação da autora para réplica,</w:t>
            </w:r>
            <w:r>
              <w:rPr>
                <w:rFonts w:ascii="Liberation Sans Narrow" w:hAnsi="Liberation Sans Narrow"/>
                <w:sz w:val="18"/>
              </w:rPr>
              <w:t xml:space="preserve"> </w:t>
            </w:r>
            <w:r>
              <w:rPr>
                <w:rFonts w:ascii="Liberation Sans Narrow" w:hAnsi="Liberation Sans Narrow"/>
                <w:sz w:val="18"/>
              </w:rPr>
              <w:t xml:space="preserve">“nos moldes previstos no art. 351 do CPC/2015”</w:t>
            </w:r>
            <w:r>
              <w:rPr>
                <w:rFonts w:ascii="Liberation Sans Narrow" w:hAnsi="Liberation Sans Narrow"/>
                <w:sz w:val="18"/>
              </w:rPr>
              <w:t xml:space="preserve">, ficam anulados a sentença e os atos anteriores, determinando-se o prosseguimento com a réplica, para que a parte possa rebater a impugnação à gratuidade de justiça formulada em contestação. É contraditório o acórdão que, ao mesmo tempo, anula os atos para assegurar a réplica e declara preclusa a matéria que nela seria discutida.</w:t>
            </w:r>
          </w:p>
        </w:tc>
      </w:tr>
    </w:tbl>
    <w:bookmarkEnd w:id="61"/>
    <w:bookmarkStart w:id="62" w:name="art.-352"/>
    <w:p>
      <w:pPr>
        <w:pStyle w:val="Heading6"/>
        <w:pBdr>
          <w:left w:val="single" w:sz="36" w:space="4" w:color="2E75B6"/>
        </w:pBdr>
        <w:shd w:val="clear" w:color="auto" w:fill="E3EEF9"/>
        <w:spacing w:before="200" w:after="80"/>
        <w:ind w:left="85"/>
      </w:pPr>
      <w:r>
        <w:rPr>
          <w:i w:val="0"/>
          <w:color w:val="1F3A5F"/>
          <w:sz w:val="23"/>
        </w:rPr>
        <w:t xml:space="preserve">Art. 352</w:t>
      </w:r>
    </w:p>
    <w:p>
      <w:pPr>
        <w:pStyle w:val="FirstParagraph"/>
        <w:spacing w:after="80"/>
        <w:jc w:val="both"/>
      </w:pPr>
      <w:r>
        <w:rPr>
          <w:b/>
          <w:bCs/>
        </w:rPr>
        <w:t xml:space="preserve">Art. 352.</w:t>
      </w:r>
      <w:r>
        <w:t xml:space="preserve"> </w:t>
      </w:r>
      <w:r>
        <w:t xml:space="preserve">Verificando a existência de irregularidades ou de vícios sanáveis, o juiz determinará sua correção em prazo nunca superior a 30 (trinta) dias.</w:t>
      </w:r>
    </w:p>
    <w:bookmarkEnd w:id="62"/>
    <w:bookmarkStart w:id="63" w:name="art.-353"/>
    <w:p>
      <w:pPr>
        <w:pStyle w:val="Heading6"/>
        <w:pBdr>
          <w:left w:val="single" w:sz="36" w:space="4" w:color="2E75B6"/>
        </w:pBdr>
        <w:shd w:val="clear" w:color="auto" w:fill="E3EEF9"/>
        <w:spacing w:before="200" w:after="80"/>
        <w:ind w:left="85"/>
      </w:pPr>
      <w:r>
        <w:rPr>
          <w:i w:val="0"/>
          <w:color w:val="1F3A5F"/>
          <w:sz w:val="23"/>
        </w:rPr>
        <w:t xml:space="preserve">Art. 353</w:t>
      </w:r>
    </w:p>
    <w:p>
      <w:pPr>
        <w:pStyle w:val="FirstParagraph"/>
        <w:spacing w:after="80"/>
        <w:jc w:val="both"/>
      </w:pPr>
      <w:r>
        <w:rPr>
          <w:b/>
          <w:bCs/>
        </w:rPr>
        <w:t xml:space="preserve">Art. 353.</w:t>
      </w:r>
      <w:r>
        <w:t xml:space="preserve"> </w:t>
      </w:r>
      <w:r>
        <w:t xml:space="preserve">Cumpridas as providências preliminares ou não havendo necessidade delas, o juiz proferirá julgamento conforme o estado do processo, observando o que dispõe o Capítulo X.</w:t>
      </w:r>
    </w:p>
    <w:bookmarkEnd w:id="63"/>
    <w:bookmarkEnd w:id="64"/>
    <w:bookmarkEnd w:id="65"/>
    <w:bookmarkStart w:id="74" w:name="X61e6d2af246b482b27ceebda63e62d22920e09b"/>
    <w:p>
      <w:pPr>
        <w:pStyle w:val="Heading4"/>
        <w:spacing w:before="160" w:after="40"/>
      </w:pPr>
      <w:r>
        <w:rPr>
          <w:smallCaps/>
          <w:color w:val="2E75B6"/>
        </w:rPr>
        <w:t xml:space="preserve">Capítulo X: do julgamento conforme o estado do processo (arts. 354 a 357)</w:t>
      </w:r>
    </w:p>
    <w:bookmarkStart w:id="67" w:name="Xa07659185106f04c9e8c516e60d0296494e3dc5"/>
    <w:p>
      <w:pPr>
        <w:pStyle w:val="Heading5"/>
        <w:spacing w:before="140" w:after="20"/>
      </w:pPr>
      <w:r>
        <w:rPr>
          <w:i/>
          <w:color w:val="595959"/>
        </w:rPr>
        <w:t xml:space="preserve">Seção I: da extinção do processo (arts. 354)</w:t>
      </w:r>
    </w:p>
    <w:bookmarkStart w:id="66" w:name="art.-354"/>
    <w:p>
      <w:pPr>
        <w:pStyle w:val="Heading6"/>
        <w:pBdr>
          <w:left w:val="single" w:sz="36" w:space="4" w:color="2E75B6"/>
        </w:pBdr>
        <w:shd w:val="clear" w:color="auto" w:fill="E3EEF9"/>
        <w:spacing w:before="200" w:after="80"/>
        <w:ind w:left="85"/>
      </w:pPr>
      <w:r>
        <w:rPr>
          <w:i w:val="0"/>
          <w:color w:val="1F3A5F"/>
          <w:sz w:val="23"/>
        </w:rPr>
        <w:t xml:space="preserve">Art. 354</w:t>
      </w:r>
    </w:p>
    <w:p>
      <w:pPr>
        <w:pStyle w:val="FirstParagraph"/>
        <w:spacing w:after="80"/>
        <w:jc w:val="both"/>
      </w:pPr>
      <w:r>
        <w:rPr>
          <w:b/>
          <w:bCs/>
        </w:rPr>
        <w:t xml:space="preserve">Art. 354.</w:t>
      </w:r>
      <w:r>
        <w:t xml:space="preserve"> </w:t>
      </w:r>
      <w:r>
        <w:t xml:space="preserve">Ocorrendo qualquer das hipóteses previstas nos arts. 485 e 487, incisos II e III, o juiz proferirá sentença.</w:t>
      </w:r>
    </w:p>
    <w:p>
      <w:pPr>
        <w:pStyle w:val="BodyText"/>
        <w:keepNext/>
        <w:spacing w:after="80"/>
        <w:jc w:val="both"/>
      </w:pPr>
      <w:r>
        <w:t xml:space="preserve">Parágrafo único. A decisão a que se refere o caput pode dizer respeito a apenas parcela do processo, caso em que será impugnável por agravo de instrumento.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81"/>
        <w:gridCol w:w="3167"/>
        <w:gridCol w:w="3805"/>
      </w:tblGrid>
      <w:tr>
        <w:trPr>
          <w:tblHeader w:val="on"/>
          <w:cantSplit/>
          <w:tblHeader/>
        </w:trPr>
        <w:tc>
          <w:tcPr>
            <w:tcW w:type="dxa" w:w="238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16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380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382"/>
          </w:tcPr>
          <w:p>
            <w:pPr>
              <w:pStyle w:val="Compact"/>
              <w:spacing w:line="276" w:lineRule="auto" w:before="40" w:after="40"/>
            </w:pPr>
            <w:r>
              <w:rPr>
                <w:rFonts w:ascii="Liberation Sans Narrow" w:hAnsi="Liberation Sans Narrow"/>
                <w:sz w:val="18"/>
              </w:rPr>
              <w:t xml:space="preserve">Art. 354, parágrafo único: inaplicabilidade fora do julgamento parcial de mérito</w:t>
            </w:r>
          </w:p>
        </w:tc>
        <w:tc>
          <w:tcPr>
            <w:tcW w:type="dxa" w:w="3167"/>
          </w:tcPr>
          <w:p>
            <w:pPr>
              <w:pStyle w:val="Compact"/>
              <w:spacing w:line="276" w:lineRule="auto" w:before="40" w:after="40"/>
            </w:pPr>
            <w:r>
              <w:rPr>
                <w:rFonts w:ascii="Liberation Sans Narrow" w:hAnsi="Liberation Sans Narrow"/>
                <w:sz w:val="18"/>
              </w:rPr>
              <w:t xml:space="preserve">STJ, AREsp 3.108.712, Terceira Turma, relator Min. Moura Ribeiro, DJe de 25/09/2026</w:t>
            </w:r>
          </w:p>
        </w:tc>
        <w:tc>
          <w:tcPr>
            <w:tcW w:type="dxa" w:w="3805"/>
          </w:tcPr>
          <w:p>
            <w:pPr>
              <w:pStyle w:val="Compact"/>
              <w:spacing w:line="276" w:lineRule="auto" w:before="40" w:after="40"/>
            </w:pPr>
            <w:r>
              <w:rPr>
                <w:rFonts w:ascii="Liberation Sans Narrow" w:hAnsi="Liberation Sans Narrow"/>
                <w:sz w:val="18"/>
              </w:rPr>
              <w:t xml:space="preserve">“Inaplicável o art. 354, parágrafo único, do CPC, por não se tratar de julgamento parcial de mérito”</w:t>
            </w:r>
            <w:r>
              <w:rPr>
                <w:rFonts w:ascii="Liberation Sans Narrow" w:hAnsi="Liberation Sans Narrow"/>
                <w:sz w:val="18"/>
              </w:rPr>
              <w:t xml:space="preserve">: o indeferimento liminar da reconvenção não se enquadra nas hipóteses do art. 1.015 nem autoriza a mitigação do rol pela urgência (Tema 988/STJ).</w:t>
            </w:r>
          </w:p>
        </w:tc>
      </w:tr>
      <w:tr>
        <w:trPr>
          <w:cantSplit/>
        </w:trPr>
        <w:tc>
          <w:tcPr>
            <w:tcW w:type="dxa" w:w="2382"/>
          </w:tcPr>
          <w:p>
            <w:pPr>
              <w:pStyle w:val="Compact"/>
              <w:spacing w:line="276" w:lineRule="auto" w:before="40" w:after="40"/>
            </w:pPr>
            <w:r>
              <w:rPr>
                <w:rFonts w:ascii="Liberation Sans Narrow" w:hAnsi="Liberation Sans Narrow"/>
                <w:sz w:val="18"/>
              </w:rPr>
              <w:t xml:space="preserve">Art. 354, parágrafo único: natureza interlocutória da extinção parcial por ilegitimidade</w:t>
            </w:r>
          </w:p>
        </w:tc>
        <w:tc>
          <w:tcPr>
            <w:tcW w:type="dxa" w:w="3167"/>
          </w:tcPr>
          <w:p>
            <w:pPr>
              <w:pStyle w:val="Compact"/>
              <w:spacing w:line="276" w:lineRule="auto" w:before="40" w:after="40"/>
            </w:pPr>
            <w:r>
              <w:rPr>
                <w:rFonts w:ascii="Liberation Sans Narrow" w:hAnsi="Liberation Sans Narrow"/>
                <w:sz w:val="18"/>
              </w:rPr>
              <w:t xml:space="preserve">STJ, AgInt no AREsp 3.149.164, Quarta Turma, relator Min. Luís Carlos Gambogi (Desembargador Convocado do Tjmg), julgado em 08/06/2026, DJEN de 16/06/2026</w:t>
            </w:r>
          </w:p>
        </w:tc>
        <w:tc>
          <w:tcPr>
            <w:tcW w:type="dxa" w:w="3805"/>
          </w:tcPr>
          <w:p>
            <w:pPr>
              <w:pStyle w:val="Compact"/>
              <w:spacing w:line="276" w:lineRule="auto" w:before="40" w:after="40"/>
            </w:pPr>
            <w:r>
              <w:rPr>
                <w:rFonts w:ascii="Liberation Sans Narrow" w:hAnsi="Liberation Sans Narrow"/>
                <w:sz w:val="18"/>
              </w:rPr>
              <w:t xml:space="preserve">A decisão que reconhece a ilegitimidade passiva de uma das partes, extingue parcialmente o feito (art. 485, VI) e determina a emenda da inicial não põe fim ao processo: tem natureza interlocutória e é impugnável por agravo de instrumento (art. 354, parágrafo único, e art. 1.015, XIII). É inaplicável a fungibilidade recursal sem dúvida objetiva e caracterizado erro grosseiro.</w:t>
            </w:r>
          </w:p>
        </w:tc>
      </w:tr>
      <w:tr>
        <w:trPr>
          <w:cantSplit/>
        </w:trPr>
        <w:tc>
          <w:tcPr>
            <w:tcW w:type="dxa" w:w="2382"/>
          </w:tcPr>
          <w:p>
            <w:pPr>
              <w:pStyle w:val="Compact"/>
              <w:spacing w:line="276" w:lineRule="auto" w:before="40" w:after="40"/>
            </w:pPr>
            <w:r>
              <w:rPr>
                <w:rFonts w:ascii="Liberation Sans Narrow" w:hAnsi="Liberation Sans Narrow"/>
                <w:sz w:val="18"/>
              </w:rPr>
              <w:t xml:space="preserve">Art. 354, parágrafo único: extinção de um dos pedidos e agravo de instrumento</w:t>
            </w:r>
          </w:p>
        </w:tc>
        <w:tc>
          <w:tcPr>
            <w:tcW w:type="dxa" w:w="3167"/>
          </w:tcPr>
          <w:p>
            <w:pPr>
              <w:pStyle w:val="Compact"/>
              <w:spacing w:line="276" w:lineRule="auto" w:before="40" w:after="40"/>
            </w:pPr>
            <w:r>
              <w:rPr>
                <w:rFonts w:ascii="Liberation Sans Narrow" w:hAnsi="Liberation Sans Narrow"/>
                <w:sz w:val="18"/>
              </w:rPr>
              <w:t xml:space="preserve">STJ, AREsp 2.682.619, Terceira Turma, relator Min. Ricardo Villas Bôas Cueva, julgado em 02/03/2026, DJEN de 05/03/2026</w:t>
            </w:r>
          </w:p>
        </w:tc>
        <w:tc>
          <w:tcPr>
            <w:tcW w:type="dxa" w:w="3805"/>
          </w:tcPr>
          <w:p>
            <w:pPr>
              <w:pStyle w:val="Compact"/>
              <w:spacing w:line="276" w:lineRule="auto" w:before="40" w:after="40"/>
            </w:pPr>
            <w:r>
              <w:rPr>
                <w:rFonts w:ascii="Liberation Sans Narrow" w:hAnsi="Liberation Sans Narrow"/>
                <w:sz w:val="18"/>
              </w:rPr>
              <w:t xml:space="preserve">“A decisão que extingue um dos pedidos com fundamento no artigo 485, VI, do Código de Processo Civil é impugnável por agravo de instrumento, nos termos do artigo 354, parágrafo único, do Estatuto Processual.”</w:t>
            </w:r>
            <w:r>
              <w:rPr>
                <w:rFonts w:ascii="Liberation Sans Narrow" w:hAnsi="Liberation Sans Narrow"/>
                <w:sz w:val="18"/>
              </w:rPr>
              <w:t xml:space="preserve"> </w:t>
            </w:r>
            <w:r>
              <w:rPr>
                <w:rFonts w:ascii="Liberation Sans Narrow" w:hAnsi="Liberation Sans Narrow"/>
                <w:sz w:val="18"/>
              </w:rPr>
              <w:t xml:space="preserve">No caso, afastado o alegado equívoco no nome da ação, a inicial estava redigida como execução de título extrajudicial e, decorrido o prazo para emenda, não havia como prosseguir.</w:t>
            </w:r>
          </w:p>
        </w:tc>
      </w:tr>
      <w:tr>
        <w:trPr>
          <w:cantSplit/>
        </w:trPr>
        <w:tc>
          <w:tcPr>
            <w:tcW w:type="dxa" w:w="2382"/>
          </w:tcPr>
          <w:p>
            <w:pPr>
              <w:pStyle w:val="Compact"/>
              <w:spacing w:line="276" w:lineRule="auto" w:before="40" w:after="40"/>
            </w:pPr>
            <w:r>
              <w:rPr>
                <w:rFonts w:ascii="Liberation Sans Narrow" w:hAnsi="Liberation Sans Narrow"/>
                <w:sz w:val="18"/>
              </w:rPr>
              <w:t xml:space="preserve">Art. 354, parágrafo único: sentença parcial de mérito e reconvenção não julgada</w:t>
            </w:r>
          </w:p>
        </w:tc>
        <w:tc>
          <w:tcPr>
            <w:tcW w:type="dxa" w:w="3167"/>
          </w:tcPr>
          <w:p>
            <w:pPr>
              <w:pStyle w:val="Compact"/>
              <w:spacing w:line="276" w:lineRule="auto" w:before="40" w:after="40"/>
            </w:pPr>
            <w:r>
              <w:rPr>
                <w:rFonts w:ascii="Liberation Sans Narrow" w:hAnsi="Liberation Sans Narrow"/>
                <w:sz w:val="18"/>
              </w:rPr>
              <w:t xml:space="preserve">STJ, REsp 2.034.485, Terceira Turma, relator Min. Marco Aurélio Bellizze, julgado em 22/11/2022, DJe de 30/11/2022</w:t>
            </w:r>
          </w:p>
        </w:tc>
        <w:tc>
          <w:tcPr>
            <w:tcW w:type="dxa" w:w="3805"/>
          </w:tcPr>
          <w:p>
            <w:pPr>
              <w:pStyle w:val="Compact"/>
              <w:spacing w:line="276" w:lineRule="auto" w:before="40" w:after="40"/>
            </w:pPr>
            <w:r>
              <w:rPr>
                <w:rFonts w:ascii="Liberation Sans Narrow" w:hAnsi="Liberation Sans Narrow"/>
                <w:sz w:val="18"/>
              </w:rPr>
              <w:t xml:space="preserve">Extinto o feito sem resolução de mérito quanto à ação principal, o juiz deve manifestar-se expressamente sobre a reconvenção e fixar os ônus sucumbenciais (arts. 343, § 2º, e 85, § 1º). Não havendo julgamento expresso, o feito poderia prosseguir quanto à reconvenção, hipótese enquadrada na regra do art. 354, parágrafo único, que determina a impugnação da sentença parcial de mérito por agravo de instrumento; a fungibilidade recursal foi aplicada diante do equívoco do magistrado.</w:t>
            </w:r>
          </w:p>
        </w:tc>
      </w:tr>
    </w:tbl>
    <w:bookmarkEnd w:id="66"/>
    <w:bookmarkEnd w:id="67"/>
    <w:bookmarkStart w:id="69" w:name="X7174c708226fddcd6802a96d3e4bddd27be29be"/>
    <w:p>
      <w:pPr>
        <w:pStyle w:val="Heading5"/>
        <w:spacing w:before="140" w:after="20"/>
      </w:pPr>
      <w:r>
        <w:rPr>
          <w:i/>
          <w:color w:val="595959"/>
        </w:rPr>
        <w:t xml:space="preserve">Seção II: do julgamento antecipado do mérito (arts. 355)</w:t>
      </w:r>
    </w:p>
    <w:bookmarkStart w:id="68" w:name="art.-355"/>
    <w:p>
      <w:pPr>
        <w:pStyle w:val="Heading6"/>
        <w:pBdr>
          <w:left w:val="single" w:sz="36" w:space="4" w:color="2E75B6"/>
        </w:pBdr>
        <w:shd w:val="clear" w:color="auto" w:fill="E3EEF9"/>
        <w:spacing w:before="200" w:after="80"/>
        <w:ind w:left="85"/>
      </w:pPr>
      <w:r>
        <w:rPr>
          <w:i w:val="0"/>
          <w:color w:val="1F3A5F"/>
          <w:sz w:val="23"/>
        </w:rPr>
        <w:t xml:space="preserve">Art. 355</w:t>
      </w:r>
    </w:p>
    <w:p>
      <w:pPr>
        <w:pStyle w:val="FirstParagraph"/>
        <w:keepNext/>
        <w:spacing w:after="80"/>
        <w:jc w:val="both"/>
      </w:pPr>
      <w:r>
        <w:rPr>
          <w:b/>
          <w:bCs/>
        </w:rPr>
        <w:t xml:space="preserve">Art. 355.</w:t>
      </w:r>
      <w:r>
        <w:t xml:space="preserve"> </w:t>
      </w:r>
      <w:r>
        <w:t xml:space="preserve">O juiz julgará antecipadamente o pedido, proferindo sentença com resolução de mérito, quando: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25"/>
        <w:gridCol w:w="2723"/>
        <w:gridCol w:w="4906"/>
      </w:tblGrid>
      <w:tr>
        <w:trPr>
          <w:tblHeader w:val="on"/>
          <w:cantSplit/>
          <w:tblHeader/>
        </w:trPr>
        <w:tc>
          <w:tcPr>
            <w:tcW w:type="dxa" w:w="172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2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90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725"/>
          </w:tcPr>
          <w:p>
            <w:pPr>
              <w:pStyle w:val="Compact"/>
              <w:spacing w:line="276" w:lineRule="auto" w:before="40" w:after="40"/>
            </w:pPr>
            <w:r>
              <w:rPr>
                <w:rFonts w:ascii="Liberation Sans Narrow" w:hAnsi="Liberation Sans Narrow"/>
                <w:sz w:val="18"/>
              </w:rPr>
              <w:t xml:space="preserve">Julgamento antecipado do mérito e cerceamento de defesa</w:t>
            </w:r>
          </w:p>
        </w:tc>
        <w:tc>
          <w:tcPr>
            <w:tcW w:type="dxa" w:w="2723"/>
          </w:tcPr>
          <w:p>
            <w:pPr>
              <w:pStyle w:val="Compact"/>
              <w:spacing w:line="276" w:lineRule="auto" w:before="40" w:after="40"/>
            </w:pPr>
            <w:r>
              <w:rPr>
                <w:rFonts w:ascii="Liberation Sans Narrow" w:hAnsi="Liberation Sans Narrow"/>
                <w:sz w:val="18"/>
              </w:rPr>
              <w:t xml:space="preserve">STF, AO 2.511, Primeira Turma, relator Min. Alexandre de Moraes, julgado em 08/04/2021</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906"/>
          </w:tcPr>
          <w:p>
            <w:pPr>
              <w:pStyle w:val="Compact"/>
              <w:spacing w:line="276" w:lineRule="auto" w:before="40" w:after="40"/>
            </w:pPr>
            <w:r>
              <w:rPr>
                <w:rFonts w:ascii="Liberation Sans Narrow" w:hAnsi="Liberation Sans Narrow"/>
                <w:sz w:val="18"/>
              </w:rPr>
              <w:t xml:space="preserve">O julgamento antecipado da lide não representa, por si só, cerceamento de defesa ou ofensa ao contraditório: a legislação processual permite julgar sem percorrer todas as etapas quando a questão de mérito é só de direito ou, sendo de fato e de direito, não há necessidade de novas provas (art. 355).</w:t>
            </w:r>
          </w:p>
        </w:tc>
      </w:tr>
    </w:tbl>
    <w:p>
      <w:pPr>
        <w:pStyle w:val="BodyText"/>
        <w:spacing w:after="80"/>
        <w:jc w:val="both"/>
      </w:pPr>
      <w:r>
        <w:t xml:space="preserve">I - não houver necessidade de produção de outras provas;</w:t>
      </w:r>
    </w:p>
    <w:p>
      <w:pPr>
        <w:pStyle w:val="BodyText"/>
        <w:spacing w:after="80"/>
        <w:jc w:val="both"/>
      </w:pPr>
      <w:r>
        <w:t xml:space="preserve">II - o réu for revel, ocorrer o efeito previsto no art. 344 e não houver requerimento de prova, na forma do art. 349.</w:t>
      </w:r>
    </w:p>
    <w:bookmarkEnd w:id="68"/>
    <w:bookmarkEnd w:id="69"/>
    <w:bookmarkStart w:id="71" w:name="X71c9e860c5551e117e4f6f5e1bf248dc0ea2afb"/>
    <w:p>
      <w:pPr>
        <w:pStyle w:val="Heading5"/>
        <w:spacing w:before="140" w:after="20"/>
      </w:pPr>
      <w:r>
        <w:rPr>
          <w:i/>
          <w:color w:val="595959"/>
        </w:rPr>
        <w:t xml:space="preserve">Seção III: do julgamento antecipado parcial do mérito (arts. 356)</w:t>
      </w:r>
    </w:p>
    <w:bookmarkStart w:id="70" w:name="art.-356"/>
    <w:p>
      <w:pPr>
        <w:pStyle w:val="Heading6"/>
        <w:pBdr>
          <w:left w:val="single" w:sz="36" w:space="4" w:color="2E75B6"/>
        </w:pBdr>
        <w:shd w:val="clear" w:color="auto" w:fill="E3EEF9"/>
        <w:spacing w:before="200" w:after="80"/>
        <w:ind w:left="85"/>
      </w:pPr>
      <w:r>
        <w:rPr>
          <w:i w:val="0"/>
          <w:color w:val="1F3A5F"/>
          <w:sz w:val="23"/>
        </w:rPr>
        <w:t xml:space="preserve">Art. 356</w:t>
      </w:r>
    </w:p>
    <w:p>
      <w:pPr>
        <w:pStyle w:val="FirstParagraph"/>
        <w:keepNext/>
        <w:spacing w:after="80"/>
        <w:jc w:val="both"/>
      </w:pPr>
      <w:r>
        <w:rPr>
          <w:b/>
          <w:bCs/>
        </w:rPr>
        <w:t xml:space="preserve">Art. 356.</w:t>
      </w:r>
      <w:r>
        <w:t xml:space="preserve"> </w:t>
      </w:r>
      <w:r>
        <w:t xml:space="preserve">O juiz decidirá parcialmente o mérito quando um ou mais dos pedidos formulados ou parcela deles: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62"/>
        <w:gridCol w:w="2811"/>
        <w:gridCol w:w="4481"/>
      </w:tblGrid>
      <w:tr>
        <w:trPr>
          <w:tblHeader w:val="on"/>
          <w:cantSplit/>
          <w:tblHeader/>
        </w:trPr>
        <w:tc>
          <w:tcPr>
            <w:tcW w:type="dxa" w:w="2063"/>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1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48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63"/>
          </w:tcPr>
          <w:p>
            <w:pPr>
              <w:pStyle w:val="Compact"/>
              <w:spacing w:line="276" w:lineRule="auto" w:before="40" w:after="40"/>
            </w:pPr>
            <w:r>
              <w:rPr>
                <w:rFonts w:ascii="Liberation Sans Narrow" w:hAnsi="Liberation Sans Narrow"/>
                <w:sz w:val="18"/>
              </w:rPr>
              <w:t xml:space="preserve">Julgamento antecipado parcial do mérito: o que é decisão interlocutória de mérito</w:t>
            </w:r>
          </w:p>
        </w:tc>
        <w:tc>
          <w:tcPr>
            <w:tcW w:type="dxa" w:w="2811"/>
          </w:tcPr>
          <w:p>
            <w:pPr>
              <w:pStyle w:val="Compact"/>
              <w:spacing w:line="276" w:lineRule="auto" w:before="40" w:after="40"/>
            </w:pPr>
            <w:r>
              <w:rPr>
                <w:rFonts w:ascii="Liberation Sans Narrow" w:hAnsi="Liberation Sans Narrow"/>
                <w:sz w:val="18"/>
              </w:rPr>
              <w:t xml:space="preserve">STJ, AgInt no AREsp 1.410.278, Terceira Turma, relator Min. Ricardo Villas Bôas Cueva, julgado em 13/05/2024, DJe de 15/05/2024</w:t>
            </w:r>
          </w:p>
        </w:tc>
        <w:tc>
          <w:tcPr>
            <w:tcW w:type="dxa" w:w="4481"/>
          </w:tcPr>
          <w:p>
            <w:pPr>
              <w:pStyle w:val="Compact"/>
              <w:spacing w:line="276" w:lineRule="auto" w:before="40" w:after="40"/>
            </w:pPr>
            <w:r>
              <w:rPr>
                <w:rFonts w:ascii="Liberation Sans Narrow" w:hAnsi="Liberation Sans Narrow"/>
                <w:sz w:val="18"/>
              </w:rPr>
              <w:t xml:space="preserve">Decisão interlocutória de mérito é o ato que decide o mérito de um ou mais pedidos, ou de parcela deles, quando incontroversos ou em condições de imediato julgamento; a simples decisão saneadora que reconhece a necessidade de dilação probatória não é julgamento parcial.</w:t>
            </w:r>
          </w:p>
        </w:tc>
      </w:tr>
    </w:tbl>
    <w:p>
      <w:pPr>
        <w:pStyle w:val="BodyText"/>
        <w:spacing w:after="80"/>
        <w:jc w:val="both"/>
      </w:pPr>
      <w:r>
        <w:t xml:space="preserve">I - mostrar-se incontroverso;</w:t>
      </w:r>
    </w:p>
    <w:p>
      <w:pPr>
        <w:pStyle w:val="BodyText"/>
        <w:keepNext/>
        <w:spacing w:after="80"/>
        <w:jc w:val="both"/>
      </w:pPr>
      <w:r>
        <w:t xml:space="preserve">II - estiver em condições de imediato julgamento, nos termos do art. 355.</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4"/>
        <w:gridCol w:w="2803"/>
        <w:gridCol w:w="4897"/>
      </w:tblGrid>
      <w:tr>
        <w:trPr>
          <w:tblHeader w:val="on"/>
          <w:cantSplit/>
          <w:tblHeader/>
        </w:trPr>
        <w:tc>
          <w:tcPr>
            <w:tcW w:type="dxa" w:w="1654"/>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0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97"/>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54"/>
          </w:tcPr>
          <w:p>
            <w:pPr>
              <w:pStyle w:val="Compact"/>
              <w:spacing w:line="276" w:lineRule="auto" w:before="40" w:after="40"/>
            </w:pPr>
            <w:r>
              <w:rPr>
                <w:rFonts w:ascii="Liberation Sans Narrow" w:hAnsi="Liberation Sans Narrow"/>
                <w:sz w:val="18"/>
              </w:rPr>
              <w:t xml:space="preserve">Inciso II: julgamento antecipado parcial do mérito</w:t>
            </w:r>
          </w:p>
        </w:tc>
        <w:tc>
          <w:tcPr>
            <w:tcW w:type="dxa" w:w="2803"/>
          </w:tcPr>
          <w:p>
            <w:pPr>
              <w:pStyle w:val="Compact"/>
              <w:spacing w:line="276" w:lineRule="auto" w:before="40" w:after="40"/>
            </w:pPr>
            <w:r>
              <w:rPr>
                <w:rFonts w:ascii="Liberation Sans Narrow" w:hAnsi="Liberation Sans Narrow"/>
                <w:sz w:val="18"/>
              </w:rPr>
              <w:t xml:space="preserve">STF, ACO 3.568, Tribunal Pleno, relator Min. Ricardo Lewandowski, julgado em 17/03/2023</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897"/>
          </w:tcPr>
          <w:p>
            <w:pPr>
              <w:pStyle w:val="Compact"/>
              <w:spacing w:line="276" w:lineRule="auto" w:before="40" w:after="40"/>
            </w:pPr>
            <w:r>
              <w:rPr>
                <w:rFonts w:ascii="Liberation Sans Narrow" w:hAnsi="Liberation Sans Narrow"/>
                <w:sz w:val="18"/>
              </w:rPr>
              <w:t xml:space="preserve">O inciso II do art. 356 autoriza o julgamento antecipado parcial do mérito, técnica processual que prestigia o devido processo legal e a duração razoável do processo; admite-se acordo parcial estruturante sobre aspectos da lide.</w:t>
            </w:r>
          </w:p>
        </w:tc>
      </w:tr>
    </w:tbl>
    <w:p>
      <w:pPr>
        <w:pStyle w:val="BodyText"/>
        <w:spacing w:after="80"/>
        <w:jc w:val="both"/>
      </w:pPr>
      <w:r>
        <w:t xml:space="preserve">§ 1º A decisão que julgar parcialmente o mérito poderá reconhecer a existência de obrigação líquida ou ilíquida.</w:t>
      </w:r>
    </w:p>
    <w:p>
      <w:pPr>
        <w:pStyle w:val="BodyText"/>
        <w:spacing w:after="80"/>
        <w:jc w:val="both"/>
      </w:pPr>
      <w:r>
        <w:t xml:space="preserve">§ 2º A parte poderá liquidar ou executar, desde logo, a obrigação reconhecida na decisão que julgar parcialmente o mérito, independentemente de caução, ainda que haja recurso contra essa interposto.</w:t>
      </w:r>
    </w:p>
    <w:p>
      <w:pPr>
        <w:pStyle w:val="BodyText"/>
        <w:spacing w:after="80"/>
        <w:jc w:val="both"/>
      </w:pPr>
      <w:r>
        <w:t xml:space="preserve">§ 3º Na hipótese do § 2º, se houver trânsito em julgado da decisão, a execução será definitiva.</w:t>
      </w:r>
    </w:p>
    <w:p>
      <w:pPr>
        <w:pStyle w:val="BodyText"/>
        <w:spacing w:after="80"/>
        <w:jc w:val="both"/>
      </w:pPr>
      <w:r>
        <w:t xml:space="preserve">§ 4º A liquidação e o cumprimento da decisão que julgar parcialmente o mérito poderão ser processados em autos suplementares, a requerimento da parte ou a critério do juiz.</w:t>
      </w:r>
    </w:p>
    <w:p>
      <w:pPr>
        <w:pStyle w:val="BodyText"/>
        <w:spacing w:after="80"/>
        <w:jc w:val="both"/>
      </w:pPr>
      <w:r>
        <w:t xml:space="preserve">§ 5º A decisão proferida com base neste artigo é impugnável por agravo de instrumento.</w:t>
      </w:r>
    </w:p>
    <w:bookmarkEnd w:id="70"/>
    <w:bookmarkEnd w:id="71"/>
    <w:bookmarkStart w:id="73" w:name="X27cad871c22cf8e6980a829747fc74f5c3e11b9"/>
    <w:p>
      <w:pPr>
        <w:pStyle w:val="Heading5"/>
        <w:spacing w:before="140" w:after="20"/>
      </w:pPr>
      <w:r>
        <w:rPr>
          <w:i/>
          <w:color w:val="595959"/>
        </w:rPr>
        <w:t xml:space="preserve">Seção IV: do saneamento e da organização do processo (arts. 357)</w:t>
      </w:r>
    </w:p>
    <w:bookmarkStart w:id="72" w:name="art.-357"/>
    <w:p>
      <w:pPr>
        <w:pStyle w:val="Heading6"/>
        <w:pBdr>
          <w:left w:val="single" w:sz="36" w:space="4" w:color="2E75B6"/>
        </w:pBdr>
        <w:shd w:val="clear" w:color="auto" w:fill="E3EEF9"/>
        <w:spacing w:before="200" w:after="80"/>
        <w:ind w:left="85"/>
      </w:pPr>
      <w:r>
        <w:rPr>
          <w:i w:val="0"/>
          <w:color w:val="1F3A5F"/>
          <w:sz w:val="23"/>
        </w:rPr>
        <w:t xml:space="preserve">Art. 357</w:t>
      </w:r>
    </w:p>
    <w:p>
      <w:pPr>
        <w:pStyle w:val="FirstParagraph"/>
        <w:keepNext/>
        <w:spacing w:after="80"/>
        <w:jc w:val="both"/>
      </w:pPr>
      <w:r>
        <w:rPr>
          <w:b/>
          <w:bCs/>
        </w:rPr>
        <w:t xml:space="preserve">Art. 357.</w:t>
      </w:r>
      <w:r>
        <w:t xml:space="preserve"> </w:t>
      </w:r>
      <w:r>
        <w:t xml:space="preserve">Não ocorrendo nenhuma das hipóteses deste Capítulo, deverá o juiz, em decisão de saneamento e de organização do processo: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2837"/>
        <w:gridCol w:w="4987"/>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3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987"/>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Julgamento antecipado e saneamento</w:t>
            </w:r>
          </w:p>
        </w:tc>
        <w:tc>
          <w:tcPr>
            <w:tcW w:type="dxa" w:w="2837"/>
          </w:tcPr>
          <w:p>
            <w:pPr>
              <w:pStyle w:val="Compact"/>
              <w:spacing w:line="276" w:lineRule="auto" w:before="40" w:after="40"/>
            </w:pPr>
            <w:r>
              <w:rPr>
                <w:rFonts w:ascii="Liberation Sans Narrow" w:hAnsi="Liberation Sans Narrow"/>
                <w:sz w:val="18"/>
              </w:rPr>
              <w:t xml:space="preserve">STJ, AREsp 2.766.779, Quarta Turma, relator Min. João Otávio de Noronha, julgado em 16/03/2026, DJEN de 19/03/2026</w:t>
            </w:r>
          </w:p>
        </w:tc>
        <w:tc>
          <w:tcPr>
            <w:tcW w:type="dxa" w:w="4987"/>
          </w:tcPr>
          <w:p>
            <w:pPr>
              <w:pStyle w:val="Compact"/>
              <w:spacing w:line="276" w:lineRule="auto" w:before="40" w:after="40"/>
            </w:pPr>
            <w:r>
              <w:rPr>
                <w:rFonts w:ascii="Liberation Sans Narrow" w:hAnsi="Liberation Sans Narrow"/>
                <w:sz w:val="18"/>
              </w:rPr>
              <w:t xml:space="preserve">Afastado o cerceamento de defesa por julgamento antecipado sem saneamento e sem prova oral: a Corte de origem reputou suficiente a prova documental, e o reexame do acervo probatório é vedado pela Súmula 7/STJ. Recurso especial conhecido em parte e desprovido.</w:t>
            </w:r>
          </w:p>
        </w:tc>
      </w:tr>
    </w:tbl>
    <w:p>
      <w:pPr>
        <w:pStyle w:val="BodyText"/>
        <w:spacing w:after="80"/>
        <w:jc w:val="both"/>
      </w:pPr>
      <w:r>
        <w:t xml:space="preserve">I - resolver as questões processuais pendentes, se houver;</w:t>
      </w:r>
    </w:p>
    <w:p>
      <w:pPr>
        <w:pStyle w:val="BodyText"/>
        <w:spacing w:after="80"/>
        <w:jc w:val="both"/>
      </w:pPr>
      <w:r>
        <w:t xml:space="preserve">II - delimitar as questões de fato sobre as quais recairá a atividade probatória, especificando os meios de prova admitidos;</w:t>
      </w:r>
    </w:p>
    <w:p>
      <w:pPr>
        <w:pStyle w:val="BodyText"/>
        <w:spacing w:after="80"/>
        <w:jc w:val="both"/>
      </w:pPr>
      <w:r>
        <w:t xml:space="preserve">III - definir a distribuição do ônus da prova, observado o art. 373;</w:t>
      </w:r>
    </w:p>
    <w:p>
      <w:pPr>
        <w:pStyle w:val="BodyText"/>
        <w:spacing w:after="80"/>
        <w:jc w:val="both"/>
      </w:pPr>
      <w:r>
        <w:t xml:space="preserve">IV - delimitar as questões de direito relevantes para a decisão do mérito;</w:t>
      </w:r>
    </w:p>
    <w:p>
      <w:pPr>
        <w:pStyle w:val="BodyText"/>
        <w:spacing w:after="80"/>
        <w:jc w:val="both"/>
      </w:pPr>
      <w:r>
        <w:t xml:space="preserve">V - designar, se necessário, audiência de instrução e julgamento.</w:t>
      </w:r>
    </w:p>
    <w:p>
      <w:pPr>
        <w:pStyle w:val="BodyText"/>
        <w:keepNext/>
        <w:spacing w:after="80"/>
        <w:jc w:val="both"/>
      </w:pPr>
      <w:r>
        <w:t xml:space="preserve">§ 1º Realizado o saneamento, as partes têm o direito de pedir esclarecimentos ou solicitar ajustes, no prazo comum de 5 (cinco) dias, findo o qual a decisão se torna estável.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54"/>
        <w:gridCol w:w="3273"/>
        <w:gridCol w:w="3932"/>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27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393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54"/>
          </w:tcPr>
          <w:p>
            <w:pPr>
              <w:pStyle w:val="Compact"/>
              <w:spacing w:line="276" w:lineRule="auto" w:before="40" w:after="40"/>
            </w:pPr>
            <w:r>
              <w:rPr>
                <w:rFonts w:ascii="Liberation Sans Narrow" w:hAnsi="Liberation Sans Narrow"/>
                <w:sz w:val="18"/>
              </w:rPr>
              <w:t xml:space="preserve">Art. 357, § 1º: estabilização após a deliberação do juiz</w:t>
            </w:r>
          </w:p>
        </w:tc>
        <w:tc>
          <w:tcPr>
            <w:tcW w:type="dxa" w:w="3273"/>
          </w:tcPr>
          <w:p>
            <w:pPr>
              <w:pStyle w:val="Compact"/>
              <w:spacing w:line="276" w:lineRule="auto" w:before="40" w:after="40"/>
            </w:pPr>
            <w:r>
              <w:rPr>
                <w:rFonts w:ascii="Liberation Sans Narrow" w:hAnsi="Liberation Sans Narrow"/>
                <w:sz w:val="18"/>
              </w:rPr>
              <w:t xml:space="preserve">STJ, AREsp 3.071.983, Terceira Turma, relator Min. Ricardo Villas Bôas Cueva, julgado em 15/06/2026, DJEN de 18/06/2026</w:t>
            </w:r>
          </w:p>
        </w:tc>
        <w:tc>
          <w:tcPr>
            <w:tcW w:type="dxa" w:w="3932"/>
          </w:tcPr>
          <w:p>
            <w:pPr>
              <w:pStyle w:val="Compact"/>
              <w:spacing w:line="276" w:lineRule="auto" w:before="40" w:after="40"/>
            </w:pPr>
            <w:r>
              <w:rPr>
                <w:rFonts w:ascii="Liberation Sans Narrow" w:hAnsi="Liberation Sans Narrow"/>
                <w:sz w:val="18"/>
              </w:rPr>
              <w:t xml:space="preserve">Mesma orientação: estabilizada a decisão após a deliberação do juiz sobre o requerimento ou o transcurso do prazo de 5 dias. Recurso especial provido; o tribunal deve prosseguir na apreciação do agravo de instrumento.</w:t>
            </w:r>
          </w:p>
        </w:tc>
      </w:tr>
      <w:tr>
        <w:trPr>
          <w:cantSplit/>
        </w:trPr>
        <w:tc>
          <w:tcPr>
            <w:tcW w:type="dxa" w:w="2154"/>
          </w:tcPr>
          <w:p>
            <w:pPr>
              <w:pStyle w:val="Compact"/>
              <w:spacing w:line="276" w:lineRule="auto" w:before="40" w:after="40"/>
            </w:pPr>
            <w:r>
              <w:rPr>
                <w:rFonts w:ascii="Liberation Sans Narrow" w:hAnsi="Liberation Sans Narrow"/>
                <w:sz w:val="18"/>
              </w:rPr>
              <w:t xml:space="preserve">Art. 357, § 1º: redação da tese e termo inicial do prazo</w:t>
            </w:r>
          </w:p>
        </w:tc>
        <w:tc>
          <w:tcPr>
            <w:tcW w:type="dxa" w:w="3273"/>
          </w:tcPr>
          <w:p>
            <w:pPr>
              <w:pStyle w:val="Compact"/>
              <w:spacing w:line="276" w:lineRule="auto" w:before="40" w:after="40"/>
            </w:pPr>
            <w:r>
              <w:rPr>
                <w:rFonts w:ascii="Liberation Sans Narrow" w:hAnsi="Liberation Sans Narrow"/>
                <w:sz w:val="18"/>
              </w:rPr>
              <w:t xml:space="preserve">STJ, AgInt no AREsp 2.957.383, Quarta Turma, relator Min. Antonio Carlos Ferreira, julgado em 30/03/2026, DJEN de 07/04/2026</w:t>
            </w:r>
          </w:p>
        </w:tc>
        <w:tc>
          <w:tcPr>
            <w:tcW w:type="dxa" w:w="3932"/>
          </w:tcPr>
          <w:p>
            <w:pPr>
              <w:pStyle w:val="Compact"/>
              <w:spacing w:line="276" w:lineRule="auto" w:before="40" w:after="40"/>
            </w:pPr>
            <w:r>
              <w:rPr>
                <w:rFonts w:ascii="Liberation Sans Narrow" w:hAnsi="Liberation Sans Narrow"/>
                <w:sz w:val="18"/>
              </w:rPr>
              <w:t xml:space="preserve">Transcreve o REsp 1.703.571/DF (Quarta Turma, 2022): o prazo só se inicia depois de publicada a deliberação do juiz sobre os esclarecimentos ou, sem requerimento, com o transcurso dos 5 dias. Agravo interno parcialmente provido.</w:t>
            </w:r>
          </w:p>
        </w:tc>
      </w:tr>
      <w:tr>
        <w:trPr>
          <w:cantSplit/>
        </w:trPr>
        <w:tc>
          <w:tcPr>
            <w:tcW w:type="dxa" w:w="2154"/>
          </w:tcPr>
          <w:p>
            <w:pPr>
              <w:pStyle w:val="Compact"/>
              <w:spacing w:line="276" w:lineRule="auto" w:before="40" w:after="40"/>
            </w:pPr>
            <w:r>
              <w:rPr>
                <w:rFonts w:ascii="Liberation Sans Narrow" w:hAnsi="Liberation Sans Narrow"/>
                <w:sz w:val="18"/>
              </w:rPr>
              <w:t xml:space="preserve">Art. 357, § 1º: termo inicial do agravo de instrumento após pedido de esclarecimentos</w:t>
            </w:r>
          </w:p>
        </w:tc>
        <w:tc>
          <w:tcPr>
            <w:tcW w:type="dxa" w:w="3273"/>
          </w:tcPr>
          <w:p>
            <w:pPr>
              <w:pStyle w:val="Compact"/>
              <w:spacing w:line="276" w:lineRule="auto" w:before="40" w:after="40"/>
            </w:pPr>
            <w:r>
              <w:rPr>
                <w:rFonts w:ascii="Liberation Sans Narrow" w:hAnsi="Liberation Sans Narrow"/>
                <w:sz w:val="18"/>
              </w:rPr>
              <w:t xml:space="preserve">STJ, REsp 2.111.849, Terceira Turma, relator Min. Ricardo Villas Bôas Cueva, julgado em 09/03/2026, DJEN de 12/03/2026</w:t>
            </w:r>
          </w:p>
        </w:tc>
        <w:tc>
          <w:tcPr>
            <w:tcW w:type="dxa" w:w="3932"/>
          </w:tcPr>
          <w:p>
            <w:pPr>
              <w:pStyle w:val="Compact"/>
              <w:spacing w:line="276" w:lineRule="auto" w:before="40" w:after="40"/>
            </w:pPr>
            <w:r>
              <w:rPr>
                <w:rFonts w:ascii="Liberation Sans Narrow" w:hAnsi="Liberation Sans Narrow"/>
                <w:sz w:val="18"/>
              </w:rPr>
              <w:t xml:space="preserve">O termo inicial para interpor agravo de instrumento, havendo o pedido do § 1º, só começa depois de estabilizada a decisão de saneamento, ou seja, depois de publicada a deliberação do juiz sobre os esclarecimentos. Recurso especial provido.</w:t>
            </w:r>
          </w:p>
        </w:tc>
      </w:tr>
      <w:tr>
        <w:trPr>
          <w:cantSplit/>
        </w:trPr>
        <w:tc>
          <w:tcPr>
            <w:tcW w:type="dxa" w:w="2154"/>
          </w:tcPr>
          <w:p>
            <w:pPr>
              <w:pStyle w:val="Compact"/>
              <w:spacing w:line="276" w:lineRule="auto" w:before="40" w:after="40"/>
            </w:pPr>
            <w:r>
              <w:rPr>
                <w:rFonts w:ascii="Liberation Sans Narrow" w:hAnsi="Liberation Sans Narrow"/>
                <w:sz w:val="18"/>
              </w:rPr>
              <w:t xml:space="preserve">Art. 357, § 1º: petição posterior ao saneador como pedido de reconsideração</w:t>
            </w:r>
          </w:p>
        </w:tc>
        <w:tc>
          <w:tcPr>
            <w:tcW w:type="dxa" w:w="3273"/>
          </w:tcPr>
          <w:p>
            <w:pPr>
              <w:pStyle w:val="Compact"/>
              <w:spacing w:line="276" w:lineRule="auto" w:before="40" w:after="40"/>
            </w:pPr>
            <w:r>
              <w:rPr>
                <w:rFonts w:ascii="Liberation Sans Narrow" w:hAnsi="Liberation Sans Narrow"/>
                <w:sz w:val="18"/>
              </w:rPr>
              <w:t xml:space="preserve">STJ, REsp 2.225.725, Terceira Turma, relator Min. Humberto Martins, julgado em 02/03/2026, DJEN de 05/03/2026</w:t>
            </w:r>
          </w:p>
        </w:tc>
        <w:tc>
          <w:tcPr>
            <w:tcW w:type="dxa" w:w="3932"/>
          </w:tcPr>
          <w:p>
            <w:pPr>
              <w:pStyle w:val="Compact"/>
              <w:spacing w:line="276" w:lineRule="auto" w:before="40" w:after="40"/>
            </w:pPr>
            <w:r>
              <w:rPr>
                <w:rFonts w:ascii="Liberation Sans Narrow" w:hAnsi="Liberation Sans Narrow"/>
                <w:sz w:val="18"/>
              </w:rPr>
              <w:t xml:space="preserve">A qualificação, pela instância ordinária, da petição apresentada após o saneador como pedido de reconsideração, e não como exercício do direito do § 1º, é juízo fático insuscetível de reexame em recurso especial (Súmula 7/STJ); o art. 357, § 1º, não autoriza aplicar por analogia o regime dos embargos de declaração (arts. 1.024, § 4º, e 1.026) à suspensão do prazo recursal.</w:t>
            </w:r>
          </w:p>
        </w:tc>
      </w:tr>
    </w:tbl>
    <w:p>
      <w:pPr>
        <w:pStyle w:val="BodyText"/>
        <w:spacing w:after="80"/>
        <w:jc w:val="both"/>
      </w:pPr>
      <w:r>
        <w:t xml:space="preserve">§ 2º As partes podem apresentar ao juiz, para homologação, delimitação consensual das questões de fato e de direito a que se referem os incisos II e IV, a qual, se homologada, vincula as partes e o juiz.</w:t>
      </w:r>
    </w:p>
    <w:p>
      <w:pPr>
        <w:pStyle w:val="BodyText"/>
        <w:spacing w:after="80"/>
        <w:jc w:val="both"/>
      </w:pPr>
      <w:r>
        <w:t xml:space="preserve">§ 3º Se a causa apresentar complexidade em matéria de fato ou de direito, deverá o juiz designar audiência para que o saneamento seja feito em cooperação com as partes, oportunidade em que o juiz, se for o caso, convidará as partes a integrar ou esclarecer suas alegações.</w:t>
      </w:r>
    </w:p>
    <w:p>
      <w:pPr>
        <w:pStyle w:val="BodyText"/>
        <w:spacing w:after="80"/>
        <w:jc w:val="both"/>
      </w:pPr>
      <w:r>
        <w:t xml:space="preserve">§ 4º Caso tenha sido determinada a produção de prova testemunhal, o juiz fixará prazo comum não superior a 15 (quinze) dias para que as partes apresentem rol de testemunhas.</w:t>
      </w:r>
    </w:p>
    <w:p>
      <w:pPr>
        <w:pStyle w:val="BodyText"/>
        <w:spacing w:after="80"/>
        <w:jc w:val="both"/>
      </w:pPr>
      <w:r>
        <w:t xml:space="preserve">§ 5º Na hipótese do § 3º, as partes devem levar, para a audiência prevista, o respectivo rol de testemunhas.</w:t>
      </w:r>
    </w:p>
    <w:p>
      <w:pPr>
        <w:pStyle w:val="BodyText"/>
        <w:spacing w:after="80"/>
        <w:jc w:val="both"/>
      </w:pPr>
      <w:r>
        <w:t xml:space="preserve">§ 6º O número de testemunhas arroladas não pode ser superior a 10 (dez), sendo 3 (três), no máximo, para a prova de cada fato.</w:t>
      </w:r>
    </w:p>
    <w:p>
      <w:pPr>
        <w:pStyle w:val="BodyText"/>
        <w:spacing w:after="80"/>
        <w:jc w:val="both"/>
      </w:pPr>
      <w:r>
        <w:t xml:space="preserve">§ 7º O juiz poderá limitar o número de testemunhas levando em conta a complexidade da causa e dos fatos individualmente considerados.</w:t>
      </w:r>
    </w:p>
    <w:p>
      <w:pPr>
        <w:pStyle w:val="BodyText"/>
        <w:spacing w:after="80"/>
        <w:jc w:val="both"/>
      </w:pPr>
      <w:r>
        <w:t xml:space="preserve">§ 8º Caso tenha sido determinada a produção de prova pericial, o juiz deve observar o disposto no art. 465 e, se possível, estabelecer, desde logo, calendário para sua realização.</w:t>
      </w:r>
    </w:p>
    <w:p>
      <w:pPr>
        <w:pStyle w:val="BodyText"/>
        <w:spacing w:after="80"/>
        <w:jc w:val="both"/>
      </w:pPr>
      <w:r>
        <w:t xml:space="preserve">§ 9º As pautas deverão ser preparadas com intervalo mínimo de 1 (uma) hora entre as audiências.</w:t>
      </w:r>
    </w:p>
    <w:bookmarkEnd w:id="72"/>
    <w:bookmarkEnd w:id="73"/>
    <w:bookmarkEnd w:id="74"/>
    <w:bookmarkStart w:id="86" w:name="X276c0df71e574d24880d99df24e8a46b41afa56"/>
    <w:p>
      <w:pPr>
        <w:pStyle w:val="Heading4"/>
        <w:spacing w:before="160" w:after="40"/>
      </w:pPr>
      <w:r>
        <w:rPr>
          <w:smallCaps/>
          <w:color w:val="2E75B6"/>
        </w:rPr>
        <w:t xml:space="preserve">Capítulo XI: da audiência de instrução e julgamento (arts. 358 a 368)</w:t>
      </w:r>
    </w:p>
    <w:bookmarkStart w:id="75" w:name="art.-358"/>
    <w:p>
      <w:pPr>
        <w:pStyle w:val="Heading6"/>
        <w:pBdr>
          <w:left w:val="single" w:sz="36" w:space="4" w:color="2E75B6"/>
        </w:pBdr>
        <w:shd w:val="clear" w:color="auto" w:fill="E3EEF9"/>
        <w:spacing w:before="200" w:after="80"/>
        <w:ind w:left="85"/>
      </w:pPr>
      <w:r>
        <w:rPr>
          <w:i w:val="0"/>
          <w:color w:val="1F3A5F"/>
          <w:sz w:val="23"/>
        </w:rPr>
        <w:t xml:space="preserve">Art. 358</w:t>
      </w:r>
    </w:p>
    <w:p>
      <w:pPr>
        <w:pStyle w:val="FirstParagraph"/>
        <w:spacing w:after="80"/>
        <w:jc w:val="both"/>
      </w:pPr>
      <w:r>
        <w:rPr>
          <w:b/>
          <w:bCs/>
        </w:rPr>
        <w:t xml:space="preserve">Art. 358.</w:t>
      </w:r>
      <w:r>
        <w:t xml:space="preserve"> </w:t>
      </w:r>
      <w:r>
        <w:t xml:space="preserve">No dia e na hora designados, o juiz declarará aberta a audiência de instrução e julgamento e mandará apregoar as partes e os respectivos advogados, bem como outras pessoas que dela devam participar.</w:t>
      </w:r>
    </w:p>
    <w:bookmarkEnd w:id="75"/>
    <w:bookmarkStart w:id="76" w:name="art.-359"/>
    <w:p>
      <w:pPr>
        <w:pStyle w:val="Heading6"/>
        <w:pBdr>
          <w:left w:val="single" w:sz="36" w:space="4" w:color="2E75B6"/>
        </w:pBdr>
        <w:shd w:val="clear" w:color="auto" w:fill="E3EEF9"/>
        <w:spacing w:before="200" w:after="80"/>
        <w:ind w:left="85"/>
      </w:pPr>
      <w:r>
        <w:rPr>
          <w:i w:val="0"/>
          <w:color w:val="1F3A5F"/>
          <w:sz w:val="23"/>
        </w:rPr>
        <w:t xml:space="preserve">Art. 359</w:t>
      </w:r>
    </w:p>
    <w:p>
      <w:pPr>
        <w:pStyle w:val="FirstParagraph"/>
        <w:spacing w:after="80"/>
        <w:jc w:val="both"/>
      </w:pPr>
      <w:r>
        <w:rPr>
          <w:b/>
          <w:bCs/>
        </w:rPr>
        <w:t xml:space="preserve">Art. 359.</w:t>
      </w:r>
      <w:r>
        <w:t xml:space="preserve"> </w:t>
      </w:r>
      <w:r>
        <w:t xml:space="preserve">Instalada a audiência, o juiz tentará conciliar as partes, independentemente do emprego anterior de outros métodos de solução consensual de conflitos, como a mediação e a arbitragem.</w:t>
      </w:r>
    </w:p>
    <w:bookmarkEnd w:id="76"/>
    <w:bookmarkStart w:id="77" w:name="art.-360"/>
    <w:p>
      <w:pPr>
        <w:pStyle w:val="Heading6"/>
        <w:pBdr>
          <w:left w:val="single" w:sz="36" w:space="4" w:color="2E75B6"/>
        </w:pBdr>
        <w:shd w:val="clear" w:color="auto" w:fill="E3EEF9"/>
        <w:spacing w:before="200" w:after="80"/>
        <w:ind w:left="85"/>
      </w:pPr>
      <w:r>
        <w:rPr>
          <w:i w:val="0"/>
          <w:color w:val="1F3A5F"/>
          <w:sz w:val="23"/>
        </w:rPr>
        <w:t xml:space="preserve">Art. 360</w:t>
      </w:r>
    </w:p>
    <w:p>
      <w:pPr>
        <w:pStyle w:val="FirstParagraph"/>
        <w:spacing w:after="80"/>
        <w:jc w:val="both"/>
      </w:pPr>
      <w:r>
        <w:rPr>
          <w:b/>
          <w:bCs/>
        </w:rPr>
        <w:t xml:space="preserve">Art. 360.</w:t>
      </w:r>
      <w:r>
        <w:t xml:space="preserve"> </w:t>
      </w:r>
      <w:r>
        <w:t xml:space="preserve">O juiz exerce o poder de polícia, incumbindo-lhe:</w:t>
      </w:r>
    </w:p>
    <w:p>
      <w:pPr>
        <w:pStyle w:val="BodyText"/>
        <w:spacing w:after="80"/>
        <w:jc w:val="both"/>
      </w:pPr>
      <w:r>
        <w:t xml:space="preserve">I - manter a ordem e o decoro na audiência;</w:t>
      </w:r>
    </w:p>
    <w:p>
      <w:pPr>
        <w:pStyle w:val="BodyText"/>
        <w:spacing w:after="80"/>
        <w:jc w:val="both"/>
      </w:pPr>
      <w:r>
        <w:t xml:space="preserve">II - ordenar que se retirem da sala de audiência os que se comportarem inconvenientemente;</w:t>
      </w:r>
    </w:p>
    <w:p>
      <w:pPr>
        <w:pStyle w:val="BodyText"/>
        <w:spacing w:after="80"/>
        <w:jc w:val="both"/>
      </w:pPr>
      <w:r>
        <w:t xml:space="preserve">III - requisitar, quando necessário, força policial;</w:t>
      </w:r>
    </w:p>
    <w:p>
      <w:pPr>
        <w:pStyle w:val="BodyText"/>
        <w:spacing w:after="80"/>
        <w:jc w:val="both"/>
      </w:pPr>
      <w:r>
        <w:t xml:space="preserve">IV - tratar com urbanidade as partes, os advogados, os membros do Ministério Público e da Defensoria Pública e qualquer pessoa que participe do processo;</w:t>
      </w:r>
    </w:p>
    <w:p>
      <w:pPr>
        <w:pStyle w:val="BodyText"/>
        <w:spacing w:after="80"/>
        <w:jc w:val="both"/>
      </w:pPr>
      <w:r>
        <w:t xml:space="preserve">V - registrar em ata, com exatidão, todos os requerimentos apresentados em audiência.</w:t>
      </w:r>
    </w:p>
    <w:bookmarkEnd w:id="77"/>
    <w:bookmarkStart w:id="78" w:name="art.-361"/>
    <w:p>
      <w:pPr>
        <w:pStyle w:val="Heading6"/>
        <w:pBdr>
          <w:left w:val="single" w:sz="36" w:space="4" w:color="2E75B6"/>
        </w:pBdr>
        <w:shd w:val="clear" w:color="auto" w:fill="E3EEF9"/>
        <w:spacing w:before="200" w:after="80"/>
        <w:ind w:left="85"/>
      </w:pPr>
      <w:r>
        <w:rPr>
          <w:i w:val="0"/>
          <w:color w:val="1F3A5F"/>
          <w:sz w:val="23"/>
        </w:rPr>
        <w:t xml:space="preserve">Art. 361</w:t>
      </w:r>
    </w:p>
    <w:p>
      <w:pPr>
        <w:pStyle w:val="FirstParagraph"/>
        <w:spacing w:after="80"/>
        <w:jc w:val="both"/>
      </w:pPr>
      <w:r>
        <w:rPr>
          <w:b/>
          <w:bCs/>
        </w:rPr>
        <w:t xml:space="preserve">Art. 361.</w:t>
      </w:r>
      <w:r>
        <w:t xml:space="preserve"> </w:t>
      </w:r>
      <w:r>
        <w:t xml:space="preserve">As provas orais serão produzidas em audiência, ouvindo-se nesta ordem, preferencialmente:</w:t>
      </w:r>
    </w:p>
    <w:p>
      <w:pPr>
        <w:pStyle w:val="BodyText"/>
        <w:keepNext/>
        <w:spacing w:after="80"/>
        <w:jc w:val="both"/>
      </w:pPr>
      <w:r>
        <w:t xml:space="preserve">I - o perito e os assistentes técnicos, que responderão aos quesitos de esclarecimentos requeridos no prazo e na forma do art. 477, caso não respondidos anteriormente por escrito;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54"/>
        <w:gridCol w:w="1973"/>
        <w:gridCol w:w="5227"/>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197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22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54"/>
          </w:tcPr>
          <w:p>
            <w:pPr>
              <w:pStyle w:val="Compact"/>
              <w:spacing w:line="276" w:lineRule="auto" w:before="40" w:after="40"/>
            </w:pPr>
            <w:r>
              <w:rPr>
                <w:rFonts w:ascii="Liberation Sans Narrow" w:hAnsi="Liberation Sans Narrow"/>
                <w:sz w:val="18"/>
              </w:rPr>
              <w:t xml:space="preserve">I — oitiva do perito em audiência para esclarecimentos</w:t>
            </w:r>
          </w:p>
        </w:tc>
        <w:tc>
          <w:tcPr>
            <w:tcW w:type="dxa" w:w="1974"/>
          </w:tcPr>
          <w:p>
            <w:pPr>
              <w:pStyle w:val="Compact"/>
              <w:spacing w:line="276" w:lineRule="auto" w:before="40" w:after="40"/>
            </w:pPr>
            <w:r>
              <w:rPr>
                <w:rFonts w:ascii="Liberation Sans Narrow" w:hAnsi="Liberation Sans Narrow"/>
                <w:sz w:val="18"/>
              </w:rPr>
              <w:t xml:space="preserve">STJ, AgInt no REsp 1.796.125, Quarta Turma, relator Min. Raul Araújo</w:t>
            </w:r>
          </w:p>
        </w:tc>
        <w:tc>
          <w:tcPr>
            <w:tcW w:type="dxa" w:w="5226"/>
          </w:tcPr>
          <w:p>
            <w:pPr>
              <w:pStyle w:val="Compact"/>
              <w:spacing w:line="276" w:lineRule="auto" w:before="40" w:after="40"/>
            </w:pPr>
            <w:r>
              <w:rPr>
                <w:rFonts w:ascii="Liberation Sans Narrow" w:hAnsi="Liberation Sans Narrow"/>
                <w:sz w:val="18"/>
              </w:rPr>
              <w:t xml:space="preserve">Não configura cerceamento de defesa o indeferimento da oitiva do perito em audiência para esclarecimentos quando o Tribunal de origem, soberano na apreciação das provas, constata que as conclusões do laudo são claras e suficientes; rever esse entendimento exigiria reexame fático-probatório.</w:t>
            </w:r>
          </w:p>
        </w:tc>
      </w:tr>
    </w:tbl>
    <w:p>
      <w:pPr>
        <w:pStyle w:val="BodyText"/>
        <w:spacing w:after="80"/>
        <w:jc w:val="both"/>
      </w:pPr>
      <w:r>
        <w:t xml:space="preserve">II - o autor e, em seguida, o réu, que prestarão depoimentos pessoais;</w:t>
      </w:r>
    </w:p>
    <w:p>
      <w:pPr>
        <w:pStyle w:val="BodyText"/>
        <w:spacing w:after="80"/>
        <w:jc w:val="both"/>
      </w:pPr>
      <w:r>
        <w:t xml:space="preserve">III - as testemunhas arroladas pelo autor e pelo réu, que serão inquiridas.</w:t>
      </w:r>
    </w:p>
    <w:p>
      <w:pPr>
        <w:pStyle w:val="BodyText"/>
        <w:spacing w:after="80"/>
        <w:jc w:val="both"/>
      </w:pPr>
      <w:r>
        <w:t xml:space="preserve">Parágrafo único. Enquanto depuserem o perito, os assistentes técnicos, as partes e as testemunhas, não poderão os advogados e o Ministério Público intervir ou apartear, sem licença do juiz.</w:t>
      </w:r>
    </w:p>
    <w:bookmarkEnd w:id="78"/>
    <w:bookmarkStart w:id="79" w:name="art.-362"/>
    <w:p>
      <w:pPr>
        <w:pStyle w:val="Heading6"/>
        <w:pBdr>
          <w:left w:val="single" w:sz="36" w:space="4" w:color="2E75B6"/>
        </w:pBdr>
        <w:shd w:val="clear" w:color="auto" w:fill="E3EEF9"/>
        <w:spacing w:before="200" w:after="80"/>
        <w:ind w:left="85"/>
      </w:pPr>
      <w:r>
        <w:rPr>
          <w:i w:val="0"/>
          <w:color w:val="1F3A5F"/>
          <w:sz w:val="23"/>
        </w:rPr>
        <w:t xml:space="preserve">Art. 362</w:t>
      </w:r>
    </w:p>
    <w:p>
      <w:pPr>
        <w:pStyle w:val="FirstParagraph"/>
        <w:spacing w:after="80"/>
        <w:jc w:val="both"/>
      </w:pPr>
      <w:r>
        <w:rPr>
          <w:b/>
          <w:bCs/>
        </w:rPr>
        <w:t xml:space="preserve">Art. 362.</w:t>
      </w:r>
      <w:r>
        <w:t xml:space="preserve"> </w:t>
      </w:r>
      <w:r>
        <w:t xml:space="preserve">A audiência poderá ser adiada:</w:t>
      </w:r>
    </w:p>
    <w:p>
      <w:pPr>
        <w:pStyle w:val="BodyText"/>
        <w:spacing w:after="80"/>
        <w:jc w:val="both"/>
      </w:pPr>
      <w:r>
        <w:t xml:space="preserve">I - por convenção das partes;</w:t>
      </w:r>
    </w:p>
    <w:p>
      <w:pPr>
        <w:pStyle w:val="BodyText"/>
        <w:spacing w:after="80"/>
        <w:jc w:val="both"/>
      </w:pPr>
      <w:r>
        <w:t xml:space="preserve">II - se não puder comparecer, por motivo justificado, qualquer pessoa que dela deva necessariamente participar;</w:t>
      </w:r>
    </w:p>
    <w:p>
      <w:pPr>
        <w:pStyle w:val="BodyText"/>
        <w:spacing w:after="80"/>
        <w:jc w:val="both"/>
      </w:pPr>
      <w:r>
        <w:t xml:space="preserve">III - por atraso injustificado de seu início em tempo superior a 30 (trinta) minutos do horário marcado.</w:t>
      </w:r>
    </w:p>
    <w:p>
      <w:pPr>
        <w:pStyle w:val="BodyText"/>
        <w:keepNext/>
        <w:spacing w:after="80"/>
        <w:jc w:val="both"/>
      </w:pPr>
      <w:r>
        <w:t xml:space="preserve">§ 1º O impedimento deverá ser comprovado até a abertura da audiência, e, não o sendo, o juiz procederá à instrução.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00"/>
        <w:gridCol w:w="2925"/>
        <w:gridCol w:w="4230"/>
      </w:tblGrid>
      <w:tr>
        <w:trPr>
          <w:tblHeader w:val="on"/>
          <w:cantSplit/>
          <w:tblHeader/>
        </w:trPr>
        <w:tc>
          <w:tcPr>
            <w:tcW w:type="dxa" w:w="220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92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23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00"/>
          </w:tcPr>
          <w:p>
            <w:pPr>
              <w:pStyle w:val="Compact"/>
              <w:spacing w:line="276" w:lineRule="auto" w:before="40" w:after="40"/>
            </w:pPr>
            <w:r>
              <w:rPr>
                <w:rFonts w:ascii="Liberation Sans Narrow" w:hAnsi="Liberation Sans Narrow"/>
                <w:sz w:val="18"/>
              </w:rPr>
              <w:t xml:space="preserve">Art. 362, § 1º: comprovação do impedimento até a abertura da audiência</w:t>
            </w:r>
          </w:p>
        </w:tc>
        <w:tc>
          <w:tcPr>
            <w:tcW w:type="dxa" w:w="2925"/>
          </w:tcPr>
          <w:p>
            <w:pPr>
              <w:pStyle w:val="Compact"/>
              <w:spacing w:line="276" w:lineRule="auto" w:before="40" w:after="40"/>
            </w:pPr>
            <w:r>
              <w:rPr>
                <w:rFonts w:ascii="Liberation Sans Narrow" w:hAnsi="Liberation Sans Narrow"/>
                <w:sz w:val="18"/>
              </w:rPr>
              <w:t xml:space="preserve">STJ, AREsp 3.134.445, Terceira Turma, relator Min. Moura Ribeiro, julgado em 30/06/2026, DJEN de 03/07/2026</w:t>
            </w:r>
          </w:p>
        </w:tc>
        <w:tc>
          <w:tcPr>
            <w:tcW w:type="dxa" w:w="4230"/>
          </w:tcPr>
          <w:p>
            <w:pPr>
              <w:pStyle w:val="Compact"/>
              <w:spacing w:line="276" w:lineRule="auto" w:before="40" w:after="40"/>
            </w:pPr>
            <w:r>
              <w:rPr>
                <w:rFonts w:ascii="Liberation Sans Narrow" w:hAnsi="Liberation Sans Narrow"/>
                <w:sz w:val="18"/>
              </w:rPr>
              <w:t xml:space="preserve">A justificativa de ausência deve ser comprovada até a abertura da audiência, nos termos do art. 362, § 1º; a apresentação posterior, quando o ato já se encerrou e sem impedimento do patrono, não configura cerceamento de defesa. Agravo conhecido; recurso especial conhecido em parte e, nessa extensão, desprovido.</w:t>
            </w:r>
          </w:p>
        </w:tc>
      </w:tr>
      <w:tr>
        <w:trPr>
          <w:cantSplit/>
        </w:trPr>
        <w:tc>
          <w:tcPr>
            <w:tcW w:type="dxa" w:w="2200"/>
          </w:tcPr>
          <w:p>
            <w:pPr>
              <w:pStyle w:val="Compact"/>
              <w:spacing w:line="276" w:lineRule="auto" w:before="40" w:after="40"/>
            </w:pPr>
            <w:r>
              <w:rPr>
                <w:rFonts w:ascii="Liberation Sans Narrow" w:hAnsi="Liberation Sans Narrow"/>
                <w:sz w:val="18"/>
              </w:rPr>
              <w:t xml:space="preserve">Art. 362, § 1º: adiamento por motivo justificado e preclusão do direito à prova</w:t>
            </w:r>
          </w:p>
        </w:tc>
        <w:tc>
          <w:tcPr>
            <w:tcW w:type="dxa" w:w="2925"/>
          </w:tcPr>
          <w:p>
            <w:pPr>
              <w:pStyle w:val="Compact"/>
              <w:spacing w:line="276" w:lineRule="auto" w:before="40" w:after="40"/>
            </w:pPr>
            <w:r>
              <w:rPr>
                <w:rFonts w:ascii="Liberation Sans Narrow" w:hAnsi="Liberation Sans Narrow"/>
                <w:sz w:val="18"/>
              </w:rPr>
              <w:t xml:space="preserve">STJ, REsp 2.240.858, Quarta Turma, relatora Min. Maria Isabel Gallotti, julgado em 16/03/2026, DJEN de 19/03/2026</w:t>
            </w:r>
          </w:p>
        </w:tc>
        <w:tc>
          <w:tcPr>
            <w:tcW w:type="dxa" w:w="4230"/>
          </w:tcPr>
          <w:p>
            <w:pPr>
              <w:pStyle w:val="Compact"/>
              <w:spacing w:line="276" w:lineRule="auto" w:before="40" w:after="40"/>
            </w:pPr>
            <w:r>
              <w:rPr>
                <w:rFonts w:ascii="Liberation Sans Narrow" w:hAnsi="Liberation Sans Narrow"/>
                <w:sz w:val="18"/>
              </w:rPr>
              <w:t xml:space="preserve">A audiência pode ser adiada se não puder comparecer, por motivo justificado, qualquer pessoa que dela deva necessariamente participar, devendo o impedimento ser comprovado até a abertura da audiência; não o sendo, o juiz procederá à instrução. O cerceamento de defesa não se configura e o direito à prova precluiu pela ausência de manifestação oportuna. Recurso especial provido.</w:t>
            </w:r>
          </w:p>
        </w:tc>
      </w:tr>
    </w:tbl>
    <w:p>
      <w:pPr>
        <w:pStyle w:val="BodyText"/>
        <w:keepNext/>
        <w:spacing w:after="80"/>
        <w:jc w:val="both"/>
      </w:pPr>
      <w:r>
        <w:t xml:space="preserve">§ 2º O juiz poderá dispensar a produção das provas requeridas pela parte cujo advogado ou defensor público não tenha comparecido à audiência, aplicando-se a mesma regra ao Ministério Público.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36"/>
        <w:gridCol w:w="2407"/>
        <w:gridCol w:w="4811"/>
      </w:tblGrid>
      <w:tr>
        <w:trPr>
          <w:tblHeader w:val="on"/>
          <w:cantSplit/>
          <w:tblHeader/>
        </w:trPr>
        <w:tc>
          <w:tcPr>
            <w:tcW w:type="dxa" w:w="2136"/>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40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1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36"/>
          </w:tcPr>
          <w:p>
            <w:pPr>
              <w:pStyle w:val="Compact"/>
              <w:spacing w:line="276" w:lineRule="auto" w:before="40" w:after="40"/>
            </w:pPr>
            <w:r>
              <w:rPr>
                <w:rFonts w:ascii="Liberation Sans Narrow" w:hAnsi="Liberation Sans Narrow"/>
                <w:sz w:val="18"/>
              </w:rPr>
              <w:t xml:space="preserve">Art. 362, § 2º: dispensa da prova testemunhal quando o advogado não comparece</w:t>
            </w:r>
          </w:p>
        </w:tc>
        <w:tc>
          <w:tcPr>
            <w:tcW w:type="dxa" w:w="2407"/>
          </w:tcPr>
          <w:p>
            <w:pPr>
              <w:pStyle w:val="Compact"/>
              <w:spacing w:line="276" w:lineRule="auto" w:before="40" w:after="40"/>
            </w:pPr>
            <w:r>
              <w:rPr>
                <w:rFonts w:ascii="Liberation Sans Narrow" w:hAnsi="Liberation Sans Narrow"/>
                <w:sz w:val="18"/>
              </w:rPr>
              <w:t xml:space="preserve">STJ, EDcl no AREsp 2.403.361, Terceira Turma, relator Min. Humberto Martins, DJe de 12/12/2024</w:t>
            </w:r>
          </w:p>
        </w:tc>
        <w:tc>
          <w:tcPr>
            <w:tcW w:type="dxa" w:w="4811"/>
          </w:tcPr>
          <w:p>
            <w:pPr>
              <w:pStyle w:val="Compact"/>
              <w:spacing w:line="276" w:lineRule="auto" w:before="40" w:after="40"/>
            </w:pPr>
            <w:r>
              <w:rPr>
                <w:rFonts w:ascii="Liberation Sans Narrow" w:hAnsi="Liberation Sans Narrow"/>
                <w:sz w:val="18"/>
              </w:rPr>
              <w:t xml:space="preserve">O juiz pode dispensar a prova testemunhal requerida pela parte cujos advogados não compareceram à audiência designada e não apresentaram justificativa (art. 362, § 2º). Constatado pelo acórdão recorrido que houve prejuízo à parte, rever esse entendimento exigiria reexame de fatos e provas (Súmula 7/STJ). Embargos de declaração rejeitados.</w:t>
            </w:r>
          </w:p>
        </w:tc>
      </w:tr>
    </w:tbl>
    <w:p>
      <w:pPr>
        <w:pStyle w:val="BodyText"/>
        <w:spacing w:after="80"/>
        <w:jc w:val="both"/>
      </w:pPr>
      <w:r>
        <w:t xml:space="preserve">§ 3º Quem der causa ao adiamento responderá pelas despesas acrescidas.</w:t>
      </w:r>
    </w:p>
    <w:bookmarkEnd w:id="79"/>
    <w:bookmarkStart w:id="80" w:name="art.-363"/>
    <w:p>
      <w:pPr>
        <w:pStyle w:val="Heading6"/>
        <w:pBdr>
          <w:left w:val="single" w:sz="36" w:space="4" w:color="2E75B6"/>
        </w:pBdr>
        <w:shd w:val="clear" w:color="auto" w:fill="E3EEF9"/>
        <w:spacing w:before="200" w:after="80"/>
        <w:ind w:left="85"/>
      </w:pPr>
      <w:r>
        <w:rPr>
          <w:i w:val="0"/>
          <w:color w:val="1F3A5F"/>
          <w:sz w:val="23"/>
        </w:rPr>
        <w:t xml:space="preserve">Art. 363</w:t>
      </w:r>
    </w:p>
    <w:p>
      <w:pPr>
        <w:pStyle w:val="FirstParagraph"/>
        <w:spacing w:after="80"/>
        <w:jc w:val="both"/>
      </w:pPr>
      <w:r>
        <w:rPr>
          <w:b/>
          <w:bCs/>
        </w:rPr>
        <w:t xml:space="preserve">Art. 363.</w:t>
      </w:r>
      <w:r>
        <w:t xml:space="preserve"> </w:t>
      </w:r>
      <w:r>
        <w:t xml:space="preserve">Havendo antecipação ou adiamento da audiência, o juiz, de ofício ou a requerimento da parte, determinará a intimação dos advogados ou da sociedade de advogados para ciência da nova designação.</w:t>
      </w:r>
    </w:p>
    <w:bookmarkEnd w:id="80"/>
    <w:bookmarkStart w:id="81" w:name="art.-364"/>
    <w:p>
      <w:pPr>
        <w:pStyle w:val="Heading6"/>
        <w:pBdr>
          <w:left w:val="single" w:sz="36" w:space="4" w:color="2E75B6"/>
        </w:pBdr>
        <w:shd w:val="clear" w:color="auto" w:fill="E3EEF9"/>
        <w:spacing w:before="200" w:after="80"/>
        <w:ind w:left="85"/>
      </w:pPr>
      <w:r>
        <w:rPr>
          <w:i w:val="0"/>
          <w:color w:val="1F3A5F"/>
          <w:sz w:val="23"/>
        </w:rPr>
        <w:t xml:space="preserve">Art. 364</w:t>
      </w:r>
    </w:p>
    <w:p>
      <w:pPr>
        <w:pStyle w:val="FirstParagraph"/>
        <w:keepNext/>
        <w:spacing w:after="80"/>
        <w:jc w:val="both"/>
      </w:pPr>
      <w:r>
        <w:rPr>
          <w:b/>
          <w:bCs/>
        </w:rPr>
        <w:t xml:space="preserve">Art. 364.</w:t>
      </w:r>
      <w:r>
        <w:t xml:space="preserve"> </w:t>
      </w:r>
      <w:r>
        <w:t xml:space="preserve">Finda a instrução, o juiz dará a palavra ao advogado do autor e do réu, bem como ao membro do Ministério Público, se for o caso de sua intervenção, sucessivamente, pelo prazo de 20 (vinte) minutos para cada um, prorrogável por 10 (dez) minutos, a critério do juiz.</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47"/>
        <w:gridCol w:w="2522"/>
        <w:gridCol w:w="4886"/>
      </w:tblGrid>
      <w:tr>
        <w:trPr>
          <w:tblHeader w:val="on"/>
          <w:cantSplit/>
          <w:tblHeader/>
        </w:trPr>
        <w:tc>
          <w:tcPr>
            <w:tcW w:type="dxa" w:w="1947"/>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2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8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47"/>
          </w:tcPr>
          <w:p>
            <w:pPr>
              <w:pStyle w:val="Compact"/>
              <w:spacing w:line="276" w:lineRule="auto" w:before="40" w:after="40"/>
            </w:pPr>
            <w:r>
              <w:rPr>
                <w:rFonts w:ascii="Liberation Sans Narrow" w:hAnsi="Liberation Sans Narrow"/>
                <w:sz w:val="18"/>
              </w:rPr>
              <w:t xml:space="preserve">Art. 364: alegações finais e intimação pessoal do defensor público</w:t>
            </w:r>
          </w:p>
        </w:tc>
        <w:tc>
          <w:tcPr>
            <w:tcW w:type="dxa" w:w="2522"/>
          </w:tcPr>
          <w:p>
            <w:pPr>
              <w:pStyle w:val="Compact"/>
              <w:spacing w:line="276" w:lineRule="auto" w:before="40" w:after="40"/>
            </w:pPr>
            <w:r>
              <w:rPr>
                <w:rFonts w:ascii="Liberation Sans Narrow" w:hAnsi="Liberation Sans Narrow"/>
                <w:sz w:val="18"/>
              </w:rPr>
              <w:t xml:space="preserve">STJ, AgInt no REsp 1.578.352, Quarta Turma, relatora Min. Maria Isabel Gallotti, DJe de 12/09/2025</w:t>
            </w:r>
          </w:p>
        </w:tc>
        <w:tc>
          <w:tcPr>
            <w:tcW w:type="dxa" w:w="4886"/>
          </w:tcPr>
          <w:p>
            <w:pPr>
              <w:pStyle w:val="Compact"/>
              <w:spacing w:line="276" w:lineRule="auto" w:before="40" w:after="40"/>
            </w:pPr>
            <w:r>
              <w:rPr>
                <w:rFonts w:ascii="Liberation Sans Narrow" w:hAnsi="Liberation Sans Narrow"/>
                <w:sz w:val="18"/>
              </w:rPr>
              <w:t xml:space="preserve">A ausência de intimação pessoal do defensor público, com vista dos autos, para a apresentação de alegações finais, especialmente quando há demonstração concreta de prejuízo à parte, causa nulidade dos atos decisórios posteriores. Agravo interno provido.</w:t>
            </w:r>
          </w:p>
        </w:tc>
      </w:tr>
    </w:tbl>
    <w:p>
      <w:pPr>
        <w:pStyle w:val="BodyText"/>
        <w:spacing w:after="80"/>
        <w:jc w:val="both"/>
      </w:pPr>
      <w:r>
        <w:t xml:space="preserve">§ 1º Havendo litisconsorte ou terceiro interveniente, o prazo, que formará com o da prorrogação um só todo, dividir-se-á entre os do mesmo grupo, se não convencionarem de modo diverso.</w:t>
      </w:r>
    </w:p>
    <w:p>
      <w:pPr>
        <w:pStyle w:val="BodyText"/>
        <w:keepNext/>
        <w:spacing w:after="80"/>
        <w:jc w:val="both"/>
      </w:pPr>
      <w:r>
        <w:t xml:space="preserve">§ 2º Quando a causa apresentar questões complexas de fato ou de direito, o debate oral poderá ser substituído por razões finais escritas, que serão apresentadas pelo autor e pelo réu, bem como pelo Ministério Público, se for o caso de sua intervenção, em prazos sucessivos de 15 (quinze) dias, assegurada vista dos autos.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28"/>
        <w:gridCol w:w="2770"/>
        <w:gridCol w:w="4856"/>
      </w:tblGrid>
      <w:tr>
        <w:trPr>
          <w:tblHeader w:val="on"/>
          <w:cantSplit/>
          <w:tblHeader/>
        </w:trPr>
        <w:tc>
          <w:tcPr>
            <w:tcW w:type="dxa" w:w="1729"/>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7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5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729"/>
          </w:tcPr>
          <w:p>
            <w:pPr>
              <w:pStyle w:val="Compact"/>
              <w:spacing w:line="276" w:lineRule="auto" w:before="40" w:after="40"/>
            </w:pPr>
            <w:r>
              <w:rPr>
                <w:rFonts w:ascii="Liberation Sans Narrow" w:hAnsi="Liberation Sans Narrow"/>
                <w:sz w:val="18"/>
              </w:rPr>
              <w:t xml:space="preserve">Art. 364, § 2º: memoriais finais e julgamento antecipado</w:t>
            </w:r>
          </w:p>
        </w:tc>
        <w:tc>
          <w:tcPr>
            <w:tcW w:type="dxa" w:w="2770"/>
          </w:tcPr>
          <w:p>
            <w:pPr>
              <w:pStyle w:val="Compact"/>
              <w:spacing w:line="276" w:lineRule="auto" w:before="40" w:after="40"/>
            </w:pPr>
            <w:r>
              <w:rPr>
                <w:rFonts w:ascii="Liberation Sans Narrow" w:hAnsi="Liberation Sans Narrow"/>
                <w:sz w:val="18"/>
              </w:rPr>
              <w:t xml:space="preserve">STJ, AgInt no AREsp 3.086.128, Quarta Turma, relator Min. Raul Araújo, julgado em 08/06/2026, DJEN de 12/06/2026</w:t>
            </w:r>
          </w:p>
        </w:tc>
        <w:tc>
          <w:tcPr>
            <w:tcW w:type="dxa" w:w="4856"/>
          </w:tcPr>
          <w:p>
            <w:pPr>
              <w:pStyle w:val="Compact"/>
              <w:spacing w:line="276" w:lineRule="auto" w:before="40" w:after="40"/>
            </w:pPr>
            <w:r>
              <w:rPr>
                <w:rFonts w:ascii="Liberation Sans Narrow" w:hAnsi="Liberation Sans Narrow"/>
                <w:sz w:val="18"/>
              </w:rPr>
              <w:t xml:space="preserve">A fase de memoriais finais do art. 364, § 2º, pressupõe a realização de audiência; no julgamento antecipado do mérito (art. 355, I), é desnecessária a audiência e, por conseguinte, inexiste obrigação de abertura de prazo para memoriais, não havendo nulidade. Agravo interno desprovido.</w:t>
            </w:r>
          </w:p>
        </w:tc>
      </w:tr>
    </w:tbl>
    <w:bookmarkEnd w:id="81"/>
    <w:bookmarkStart w:id="82" w:name="art.-365"/>
    <w:p>
      <w:pPr>
        <w:pStyle w:val="Heading6"/>
        <w:pBdr>
          <w:left w:val="single" w:sz="36" w:space="4" w:color="2E75B6"/>
        </w:pBdr>
        <w:shd w:val="clear" w:color="auto" w:fill="E3EEF9"/>
        <w:spacing w:before="200" w:after="80"/>
        <w:ind w:left="85"/>
      </w:pPr>
      <w:r>
        <w:rPr>
          <w:i w:val="0"/>
          <w:color w:val="1F3A5F"/>
          <w:sz w:val="23"/>
        </w:rPr>
        <w:t xml:space="preserve">Art. 365</w:t>
      </w:r>
    </w:p>
    <w:p>
      <w:pPr>
        <w:pStyle w:val="FirstParagraph"/>
        <w:spacing w:after="80"/>
        <w:jc w:val="both"/>
      </w:pPr>
      <w:r>
        <w:rPr>
          <w:b/>
          <w:bCs/>
        </w:rPr>
        <w:t xml:space="preserve">Art. 365.</w:t>
      </w:r>
      <w:r>
        <w:t xml:space="preserve"> </w:t>
      </w:r>
      <w:r>
        <w:t xml:space="preserve">A audiência é una e contínua, podendo ser excepcional e justificadamente cindida na ausência de perito ou de testemunha, desde que haja concordância das partes.</w:t>
      </w:r>
    </w:p>
    <w:p>
      <w:pPr>
        <w:pStyle w:val="BodyText"/>
        <w:spacing w:after="80"/>
        <w:jc w:val="both"/>
      </w:pPr>
      <w:r>
        <w:t xml:space="preserve">Parágrafo único. Diante da impossibilidade de realização da instrução, do debate e do julgamento no mesmo dia, o juiz marcará seu prosseguimento para a data mais próxima possível, em pauta preferencial.</w:t>
      </w:r>
    </w:p>
    <w:bookmarkEnd w:id="82"/>
    <w:bookmarkStart w:id="83" w:name="art.-366"/>
    <w:p>
      <w:pPr>
        <w:pStyle w:val="Heading6"/>
        <w:pBdr>
          <w:left w:val="single" w:sz="36" w:space="4" w:color="2E75B6"/>
        </w:pBdr>
        <w:shd w:val="clear" w:color="auto" w:fill="E3EEF9"/>
        <w:spacing w:before="200" w:after="80"/>
        <w:ind w:left="85"/>
      </w:pPr>
      <w:r>
        <w:rPr>
          <w:i w:val="0"/>
          <w:color w:val="1F3A5F"/>
          <w:sz w:val="23"/>
        </w:rPr>
        <w:t xml:space="preserve">Art. 366</w:t>
      </w:r>
    </w:p>
    <w:p>
      <w:pPr>
        <w:pStyle w:val="FirstParagraph"/>
        <w:spacing w:after="80"/>
        <w:jc w:val="both"/>
      </w:pPr>
      <w:r>
        <w:rPr>
          <w:b/>
          <w:bCs/>
        </w:rPr>
        <w:t xml:space="preserve">Art. 366.</w:t>
      </w:r>
      <w:r>
        <w:t xml:space="preserve"> </w:t>
      </w:r>
      <w:r>
        <w:t xml:space="preserve">Encerrado o debate ou oferecidas as razões finais, o juiz proferirá sentença em audiência ou no prazo de 30 (trinta) dias.</w:t>
      </w:r>
    </w:p>
    <w:bookmarkEnd w:id="83"/>
    <w:bookmarkStart w:id="84" w:name="art.-367"/>
    <w:p>
      <w:pPr>
        <w:pStyle w:val="Heading6"/>
        <w:pBdr>
          <w:left w:val="single" w:sz="36" w:space="4" w:color="2E75B6"/>
        </w:pBdr>
        <w:shd w:val="clear" w:color="auto" w:fill="E3EEF9"/>
        <w:spacing w:before="200" w:after="80"/>
        <w:ind w:left="85"/>
      </w:pPr>
      <w:r>
        <w:rPr>
          <w:i w:val="0"/>
          <w:color w:val="1F3A5F"/>
          <w:sz w:val="23"/>
        </w:rPr>
        <w:t xml:space="preserve">Art. 367</w:t>
      </w:r>
    </w:p>
    <w:p>
      <w:pPr>
        <w:pStyle w:val="FirstParagraph"/>
        <w:spacing w:after="80"/>
        <w:jc w:val="both"/>
      </w:pPr>
      <w:r>
        <w:rPr>
          <w:b/>
          <w:bCs/>
        </w:rPr>
        <w:t xml:space="preserve">Art. 367.</w:t>
      </w:r>
      <w:r>
        <w:t xml:space="preserve"> </w:t>
      </w:r>
      <w:r>
        <w:t xml:space="preserve">O servidor lavrará, sob ditado do juiz, termo que conterá, em resumo, o ocorrido na audiência, bem como, por extenso, os despachos, as decisões e a sentença, se proferida no ato.</w:t>
      </w:r>
    </w:p>
    <w:p>
      <w:pPr>
        <w:pStyle w:val="BodyText"/>
        <w:spacing w:after="80"/>
        <w:jc w:val="both"/>
      </w:pPr>
      <w:r>
        <w:t xml:space="preserve">§ 1º Quando o termo não for registrado em meio eletrônico, o juiz rubricar-lhe-á as folhas, que serão encadernadas em volume próprio.</w:t>
      </w:r>
    </w:p>
    <w:p>
      <w:pPr>
        <w:pStyle w:val="BodyText"/>
        <w:spacing w:after="80"/>
        <w:jc w:val="both"/>
      </w:pPr>
      <w:r>
        <w:t xml:space="preserve">§ 2º Subscreverão o termo o juiz, os advogados, o membro do Ministério Público e o escrivão ou chefe de secretaria, dispensadas as partes, exceto quando houver ato de disposição para cuja prática os advogados não tenham poderes.</w:t>
      </w:r>
    </w:p>
    <w:p>
      <w:pPr>
        <w:pStyle w:val="BodyText"/>
        <w:spacing w:after="80"/>
        <w:jc w:val="both"/>
      </w:pPr>
      <w:r>
        <w:t xml:space="preserve">§ 3º O escrivão ou chefe de secretaria trasladará para os autos cópia autêntica do termo de audiência.</w:t>
      </w:r>
    </w:p>
    <w:p>
      <w:pPr>
        <w:pStyle w:val="BodyText"/>
        <w:spacing w:after="80"/>
        <w:jc w:val="both"/>
      </w:pPr>
      <w:r>
        <w:t xml:space="preserve">§ 4º Tratando-se de autos eletrônicos, observar-se-á o disposto neste Código, em legislação específica e nas normas internas dos tribunais.</w:t>
      </w:r>
    </w:p>
    <w:p>
      <w:pPr>
        <w:pStyle w:val="BodyText"/>
        <w:spacing w:after="80"/>
        <w:jc w:val="both"/>
      </w:pPr>
      <w:r>
        <w:t xml:space="preserve">§ 5º A audiência poderá ser integralmente gravada em imagem e em áudio, em meio digital ou analógico, desde que assegure o rápido acesso das partes e dos órgãos julgadores, observada a legislação específica.</w:t>
      </w:r>
    </w:p>
    <w:p>
      <w:pPr>
        <w:pStyle w:val="BodyText"/>
        <w:spacing w:after="80"/>
        <w:jc w:val="both"/>
      </w:pPr>
      <w:r>
        <w:t xml:space="preserve">§ 6º A gravação a que se refere o § 5º também pode ser realizada diretamente por qualquer das partes, independentemente de autorização judicial.</w:t>
      </w:r>
    </w:p>
    <w:bookmarkEnd w:id="84"/>
    <w:bookmarkStart w:id="85" w:name="art.-368"/>
    <w:p>
      <w:pPr>
        <w:pStyle w:val="Heading6"/>
        <w:pBdr>
          <w:left w:val="single" w:sz="36" w:space="4" w:color="2E75B6"/>
        </w:pBdr>
        <w:shd w:val="clear" w:color="auto" w:fill="E3EEF9"/>
        <w:spacing w:before="200" w:after="80"/>
        <w:ind w:left="85"/>
      </w:pPr>
      <w:r>
        <w:rPr>
          <w:i w:val="0"/>
          <w:color w:val="1F3A5F"/>
          <w:sz w:val="23"/>
        </w:rPr>
        <w:t xml:space="preserve">Art. 368</w:t>
      </w:r>
    </w:p>
    <w:p>
      <w:pPr>
        <w:pStyle w:val="FirstParagraph"/>
        <w:spacing w:after="80"/>
        <w:jc w:val="both"/>
      </w:pPr>
      <w:r>
        <w:rPr>
          <w:b/>
          <w:bCs/>
        </w:rPr>
        <w:t xml:space="preserve">Art. 368.</w:t>
      </w:r>
      <w:r>
        <w:t xml:space="preserve"> </w:t>
      </w:r>
      <w:r>
        <w:t xml:space="preserve">A audiência será pública, ressalvadas as exceções legais.</w:t>
      </w:r>
    </w:p>
    <w:bookmarkEnd w:id="85"/>
    <w:bookmarkEnd w:id="86"/>
    <w:bookmarkStart w:id="214" w:name="capítulo-xii-das-provas-arts.-369-a-484"/>
    <w:p>
      <w:pPr>
        <w:pStyle w:val="Heading4"/>
        <w:spacing w:before="160" w:after="40"/>
      </w:pPr>
      <w:r>
        <w:rPr>
          <w:smallCaps/>
          <w:color w:val="2E75B6"/>
        </w:rPr>
        <w:t xml:space="preserve">Capítulo XII: das provas (arts. 369 a 484)</w:t>
      </w:r>
    </w:p>
    <w:bookmarkStart w:id="99" w:name="X1b7b80c99663c228642b6d1a2f945392dcf23f9"/>
    <w:p>
      <w:pPr>
        <w:pStyle w:val="Heading5"/>
        <w:spacing w:before="140" w:after="20"/>
      </w:pPr>
      <w:r>
        <w:rPr>
          <w:i/>
          <w:color w:val="595959"/>
        </w:rPr>
        <w:t xml:space="preserve">Seção I: disposições gerais (arts. 369 a 380)</w:t>
      </w:r>
    </w:p>
    <w:bookmarkStart w:id="87" w:name="art.-369"/>
    <w:p>
      <w:pPr>
        <w:pStyle w:val="Heading6"/>
        <w:pBdr>
          <w:left w:val="single" w:sz="36" w:space="4" w:color="2E75B6"/>
        </w:pBdr>
        <w:shd w:val="clear" w:color="auto" w:fill="E3EEF9"/>
        <w:spacing w:before="200" w:after="80"/>
        <w:ind w:left="85"/>
      </w:pPr>
      <w:r>
        <w:rPr>
          <w:i w:val="0"/>
          <w:color w:val="1F3A5F"/>
          <w:sz w:val="23"/>
        </w:rPr>
        <w:t xml:space="preserve">Art. 369</w:t>
      </w:r>
    </w:p>
    <w:p>
      <w:pPr>
        <w:pStyle w:val="FirstParagraph"/>
        <w:keepNext/>
        <w:spacing w:after="80"/>
        <w:jc w:val="both"/>
      </w:pPr>
      <w:r>
        <w:rPr>
          <w:b/>
          <w:bCs/>
        </w:rPr>
        <w:t xml:space="preserve">Art. 369.</w:t>
      </w:r>
      <w:r>
        <w:t xml:space="preserve"> </w:t>
      </w:r>
      <w:r>
        <w:t xml:space="preserve">As partes têm o direito de empregar todos os meios legais, bem como os moralmente legítimos, ainda que não especificados neste Código, para provar a verdade dos fatos em que se funda o pedido ou a defesa e influir eficazmente na convicção do juiz.</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11"/>
        <w:gridCol w:w="3098"/>
        <w:gridCol w:w="4045"/>
      </w:tblGrid>
      <w:tr>
        <w:trPr>
          <w:tblHeader w:val="on"/>
          <w:cantSplit/>
          <w:tblHeader/>
        </w:trPr>
        <w:tc>
          <w:tcPr>
            <w:tcW w:type="dxa" w:w="221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09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04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11"/>
          </w:tcPr>
          <w:p>
            <w:pPr>
              <w:pStyle w:val="Compact"/>
              <w:spacing w:line="276" w:lineRule="auto" w:before="40" w:after="40"/>
            </w:pPr>
            <w:r>
              <w:rPr>
                <w:rFonts w:ascii="Liberation Sans Narrow" w:hAnsi="Liberation Sans Narrow"/>
                <w:sz w:val="18"/>
              </w:rPr>
              <w:t xml:space="preserve">Art. 369: julgamento antecipado fundado na suficiência da prova documental</w:t>
            </w:r>
          </w:p>
        </w:tc>
        <w:tc>
          <w:tcPr>
            <w:tcW w:type="dxa" w:w="3099"/>
          </w:tcPr>
          <w:p>
            <w:pPr>
              <w:pStyle w:val="Compact"/>
              <w:spacing w:line="276" w:lineRule="auto" w:before="40" w:after="40"/>
            </w:pPr>
            <w:r>
              <w:rPr>
                <w:rFonts w:ascii="Liberation Sans Narrow" w:hAnsi="Liberation Sans Narrow"/>
                <w:sz w:val="18"/>
              </w:rPr>
              <w:t xml:space="preserve">STJ, AREsp 3.145.151, Quarta Turma, relator Min. João Otávio de Noronha, DJe de 02/10/2026</w:t>
            </w:r>
          </w:p>
        </w:tc>
        <w:tc>
          <w:tcPr>
            <w:tcW w:type="dxa" w:w="4045"/>
          </w:tcPr>
          <w:p>
            <w:pPr>
              <w:pStyle w:val="Compact"/>
              <w:spacing w:line="276" w:lineRule="auto" w:before="40" w:after="40"/>
            </w:pPr>
            <w:r>
              <w:rPr>
                <w:rFonts w:ascii="Liberation Sans Narrow" w:hAnsi="Liberation Sans Narrow"/>
                <w:sz w:val="18"/>
              </w:rPr>
              <w:t xml:space="preserve">Tese de julgamento transcrita na ementa: incide a Súmula 7/STJ para obstar o reexame da suficiência do conjunto probatório quanto à necessidade de produção de outras provas, e inexiste violação ao art. 369 quando o julgamento antecipado se funda na suficiência da prova documental e no convencimento motivado do magistrado. Agravo desprovido.</w:t>
            </w:r>
          </w:p>
        </w:tc>
      </w:tr>
      <w:tr>
        <w:trPr>
          <w:cantSplit/>
        </w:trPr>
        <w:tc>
          <w:tcPr>
            <w:tcW w:type="dxa" w:w="2211"/>
          </w:tcPr>
          <w:p>
            <w:pPr>
              <w:pStyle w:val="Compact"/>
              <w:spacing w:line="276" w:lineRule="auto" w:before="40" w:after="40"/>
            </w:pPr>
            <w:r>
              <w:rPr>
                <w:rFonts w:ascii="Liberation Sans Narrow" w:hAnsi="Liberation Sans Narrow"/>
                <w:sz w:val="18"/>
              </w:rPr>
              <w:t xml:space="preserve">Art. 369: livre admissibilidade da prova e indeferimento das inúteis ou protelatórias</w:t>
            </w:r>
          </w:p>
        </w:tc>
        <w:tc>
          <w:tcPr>
            <w:tcW w:type="dxa" w:w="3099"/>
          </w:tcPr>
          <w:p>
            <w:pPr>
              <w:pStyle w:val="Compact"/>
              <w:spacing w:line="276" w:lineRule="auto" w:before="40" w:after="40"/>
            </w:pPr>
            <w:r>
              <w:rPr>
                <w:rFonts w:ascii="Liberation Sans Narrow" w:hAnsi="Liberation Sans Narrow"/>
                <w:sz w:val="18"/>
              </w:rPr>
              <w:t xml:space="preserve">STJ, AgInt no AgInt no AREsp 3.094.331, Segunda Turma, relator Min. Marco Aurélio Bellizze, julgado em 19/08/2026, DJEN de 24/08/2026</w:t>
            </w:r>
          </w:p>
        </w:tc>
        <w:tc>
          <w:tcPr>
            <w:tcW w:type="dxa" w:w="4045"/>
          </w:tcPr>
          <w:p>
            <w:pPr>
              <w:pStyle w:val="Compact"/>
              <w:spacing w:line="276" w:lineRule="auto" w:before="40" w:after="40"/>
            </w:pPr>
            <w:r>
              <w:rPr>
                <w:rFonts w:ascii="Liberation Sans Narrow" w:hAnsi="Liberation Sans Narrow"/>
                <w:sz w:val="18"/>
              </w:rPr>
              <w:t xml:space="preserve">O indeferimento de nova perícia ou de novo complemento tem respaldo na jurisprudência: conforme os princípios da livre admissibilidade da prova e do livre convencimento, o juiz pode, nos termos do art. 369, determinar as provas que entende necessárias e indeferir as que considerar inúteis ou protelatórias (Súmula 83/STJ). Agravo interno desprovido.</w:t>
            </w:r>
          </w:p>
        </w:tc>
      </w:tr>
      <w:tr>
        <w:trPr>
          <w:cantSplit/>
        </w:trPr>
        <w:tc>
          <w:tcPr>
            <w:tcW w:type="dxa" w:w="2211"/>
          </w:tcPr>
          <w:p>
            <w:pPr>
              <w:pStyle w:val="Compact"/>
              <w:spacing w:line="276" w:lineRule="auto" w:before="40" w:after="40"/>
            </w:pPr>
            <w:r>
              <w:rPr>
                <w:rFonts w:ascii="Liberation Sans Narrow" w:hAnsi="Liberation Sans Narrow"/>
                <w:sz w:val="18"/>
              </w:rPr>
              <w:t xml:space="preserve">Art. 369: prova digital e eletrônica como meio legítimo</w:t>
            </w:r>
          </w:p>
        </w:tc>
        <w:tc>
          <w:tcPr>
            <w:tcW w:type="dxa" w:w="3099"/>
          </w:tcPr>
          <w:p>
            <w:pPr>
              <w:pStyle w:val="Compact"/>
              <w:spacing w:line="276" w:lineRule="auto" w:before="40" w:after="40"/>
            </w:pPr>
            <w:r>
              <w:rPr>
                <w:rFonts w:ascii="Liberation Sans Narrow" w:hAnsi="Liberation Sans Narrow"/>
                <w:sz w:val="18"/>
              </w:rPr>
              <w:t xml:space="preserve">STJ, REsp 2.179.441, Segunda Turma, relatora Min. Maria Thereza de Assis Moura, julgado em 10/03/2026, DJEN de 18/03/2026</w:t>
            </w:r>
          </w:p>
        </w:tc>
        <w:tc>
          <w:tcPr>
            <w:tcW w:type="dxa" w:w="4045"/>
          </w:tcPr>
          <w:p>
            <w:pPr>
              <w:pStyle w:val="Compact"/>
              <w:spacing w:line="276" w:lineRule="auto" w:before="40" w:after="40"/>
            </w:pPr>
            <w:r>
              <w:rPr>
                <w:rFonts w:ascii="Liberation Sans Narrow" w:hAnsi="Liberation Sans Narrow"/>
                <w:sz w:val="18"/>
              </w:rPr>
              <w:t xml:space="preserve">Os arts. 369 e 422 do CPC, em consonância com a Lei 11.419/2006, recepcionaram a admissibilidade da prova digital e eletrônica no processo judicial, sendo as telas sistêmicas de informações da Administração Pública meios legítimos de prova; elas gozam de presunção relativa de veracidade e a parte adversa deve impugná-las especificamente. Recurso especial conhecido e parcialmente provido.</w:t>
            </w:r>
          </w:p>
        </w:tc>
      </w:tr>
      <w:tr>
        <w:trPr>
          <w:cantSplit/>
        </w:trPr>
        <w:tc>
          <w:tcPr>
            <w:tcW w:type="dxa" w:w="2211"/>
          </w:tcPr>
          <w:p>
            <w:pPr>
              <w:pStyle w:val="Compact"/>
              <w:spacing w:line="276" w:lineRule="auto" w:before="40" w:after="40"/>
            </w:pPr>
            <w:r>
              <w:rPr>
                <w:rFonts w:ascii="Liberation Sans Narrow" w:hAnsi="Liberation Sans Narrow"/>
                <w:sz w:val="18"/>
              </w:rPr>
              <w:t xml:space="preserve">Art. 369: indeferimento de prova quando os autos já bastam</w:t>
            </w:r>
          </w:p>
        </w:tc>
        <w:tc>
          <w:tcPr>
            <w:tcW w:type="dxa" w:w="3099"/>
          </w:tcPr>
          <w:p>
            <w:pPr>
              <w:pStyle w:val="Compact"/>
              <w:spacing w:line="276" w:lineRule="auto" w:before="40" w:after="40"/>
            </w:pPr>
            <w:r>
              <w:rPr>
                <w:rFonts w:ascii="Liberation Sans Narrow" w:hAnsi="Liberation Sans Narrow"/>
                <w:sz w:val="18"/>
              </w:rPr>
              <w:t xml:space="preserve">STJ, AREsp 2.742.161, Quarta Turma, relator Min. Raul Araújo, DJe de 29/10/2025</w:t>
            </w:r>
          </w:p>
        </w:tc>
        <w:tc>
          <w:tcPr>
            <w:tcW w:type="dxa" w:w="4045"/>
          </w:tcPr>
          <w:p>
            <w:pPr>
              <w:pStyle w:val="Compact"/>
              <w:spacing w:line="276" w:lineRule="auto" w:before="40" w:after="40"/>
            </w:pPr>
            <w:r>
              <w:rPr>
                <w:rFonts w:ascii="Liberation Sans Narrow" w:hAnsi="Liberation Sans Narrow"/>
                <w:sz w:val="18"/>
              </w:rPr>
              <w:t xml:space="preserve">Não se configura cerceamento de defesa quando o magistrado, constatando provas suficientes nos autos, indefere a produção de outras, em atenção aos arts. 369 e 370; a documentação era suficiente e dispensava a perícia. Agravo conhecido para negar provimento ao recurso especial.</w:t>
            </w:r>
          </w:p>
        </w:tc>
      </w:tr>
    </w:tbl>
    <w:bookmarkEnd w:id="87"/>
    <w:bookmarkStart w:id="88" w:name="art.-370"/>
    <w:p>
      <w:pPr>
        <w:pStyle w:val="Heading6"/>
        <w:pBdr>
          <w:left w:val="single" w:sz="36" w:space="4" w:color="2E75B6"/>
        </w:pBdr>
        <w:shd w:val="clear" w:color="auto" w:fill="E3EEF9"/>
        <w:spacing w:before="200" w:after="80"/>
        <w:ind w:left="85"/>
      </w:pPr>
      <w:r>
        <w:rPr>
          <w:i w:val="0"/>
          <w:color w:val="1F3A5F"/>
          <w:sz w:val="23"/>
        </w:rPr>
        <w:t xml:space="preserve">Art. 370</w:t>
      </w:r>
    </w:p>
    <w:p>
      <w:pPr>
        <w:pStyle w:val="FirstParagraph"/>
        <w:keepNext/>
        <w:spacing w:after="80"/>
        <w:jc w:val="both"/>
      </w:pPr>
      <w:r>
        <w:rPr>
          <w:b/>
          <w:bCs/>
        </w:rPr>
        <w:t xml:space="preserve">Art. 370.</w:t>
      </w:r>
      <w:r>
        <w:t xml:space="preserve"> </w:t>
      </w:r>
      <w:r>
        <w:t xml:space="preserve">Caberá ao juiz, de ofício ou a requerimento da parte, determinar as provas necessárias ao julgamento do mérito.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841"/>
        <w:gridCol w:w="2741"/>
        <w:gridCol w:w="4772"/>
      </w:tblGrid>
      <w:tr>
        <w:trPr>
          <w:tblHeader w:val="on"/>
          <w:cantSplit/>
          <w:tblHeader/>
        </w:trPr>
        <w:tc>
          <w:tcPr>
            <w:tcW w:type="dxa" w:w="184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4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7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842"/>
          </w:tcPr>
          <w:p>
            <w:pPr>
              <w:pStyle w:val="Compact"/>
              <w:spacing w:line="276" w:lineRule="auto" w:before="40" w:after="40"/>
            </w:pPr>
            <w:r>
              <w:rPr>
                <w:rFonts w:ascii="Liberation Sans Narrow" w:hAnsi="Liberation Sans Narrow"/>
                <w:sz w:val="18"/>
              </w:rPr>
              <w:t xml:space="preserve">Poderes instrutórios (arts. 370 e 371): reabertura da instrução</w:t>
            </w:r>
          </w:p>
        </w:tc>
        <w:tc>
          <w:tcPr>
            <w:tcW w:type="dxa" w:w="2741"/>
          </w:tcPr>
          <w:p>
            <w:pPr>
              <w:pStyle w:val="Compact"/>
              <w:spacing w:line="276" w:lineRule="auto" w:before="40" w:after="40"/>
            </w:pPr>
            <w:r>
              <w:rPr>
                <w:rFonts w:ascii="Liberation Sans Narrow" w:hAnsi="Liberation Sans Narrow"/>
                <w:sz w:val="18"/>
              </w:rPr>
              <w:t xml:space="preserve">STJ, REsp 2.120.904, Quarta Turma, relator Min. João Otávio de Noronha, julgado em 09/03/2026, DJEN de 12/03/2026</w:t>
            </w:r>
          </w:p>
        </w:tc>
        <w:tc>
          <w:tcPr>
            <w:tcW w:type="dxa" w:w="4772"/>
          </w:tcPr>
          <w:p>
            <w:pPr>
              <w:pStyle w:val="Compact"/>
              <w:spacing w:line="276" w:lineRule="auto" w:before="40" w:after="40"/>
            </w:pPr>
            <w:r>
              <w:rPr>
                <w:rFonts w:ascii="Liberation Sans Narrow" w:hAnsi="Liberation Sans Narrow"/>
                <w:sz w:val="18"/>
              </w:rPr>
              <w:t xml:space="preserve">O tribunal de origem anulou a sentença, de ofício, por cerceamento de defesa e determinou a reabertura da instrução em embargos de terceiro; o STJ, nos limites dos poderes instrutórios do juiz (arts. 370 e 371), afastou julgamento extra petita e afronta aos arts. 492 e 1.013. Recurso especial conhecido em parte e desprovido.</w:t>
            </w:r>
          </w:p>
        </w:tc>
      </w:tr>
    </w:tbl>
    <w:p>
      <w:pPr>
        <w:pStyle w:val="BodyText"/>
        <w:keepNext/>
        <w:spacing w:after="80"/>
        <w:jc w:val="both"/>
      </w:pPr>
      <w:r>
        <w:t xml:space="preserve">Parágrafo único. O juiz indeferirá, em decisão fundamentada, as diligências inúteis ou meramente protelatórias.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73"/>
        <w:gridCol w:w="2979"/>
        <w:gridCol w:w="4402"/>
      </w:tblGrid>
      <w:tr>
        <w:trPr>
          <w:tblHeader w:val="on"/>
          <w:cantSplit/>
          <w:tblHeader/>
        </w:trPr>
        <w:tc>
          <w:tcPr>
            <w:tcW w:type="dxa" w:w="1973"/>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97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40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73"/>
          </w:tcPr>
          <w:p>
            <w:pPr>
              <w:pStyle w:val="Compact"/>
              <w:spacing w:line="276" w:lineRule="auto" w:before="40" w:after="40"/>
            </w:pPr>
            <w:r>
              <w:rPr>
                <w:rFonts w:ascii="Liberation Sans Narrow" w:hAnsi="Liberation Sans Narrow"/>
                <w:sz w:val="18"/>
              </w:rPr>
              <w:t xml:space="preserve">Art. 370, parágrafo único: juiz como destinatário da prova</w:t>
            </w:r>
          </w:p>
        </w:tc>
        <w:tc>
          <w:tcPr>
            <w:tcW w:type="dxa" w:w="2979"/>
          </w:tcPr>
          <w:p>
            <w:pPr>
              <w:pStyle w:val="Compact"/>
              <w:spacing w:line="276" w:lineRule="auto" w:before="40" w:after="40"/>
            </w:pPr>
            <w:r>
              <w:rPr>
                <w:rFonts w:ascii="Liberation Sans Narrow" w:hAnsi="Liberation Sans Narrow"/>
                <w:sz w:val="18"/>
              </w:rPr>
              <w:t xml:space="preserve">STJ, REsp 2.231.202, Quarta Turma, relatora Min. Maria Isabel Gallotti, julgado em 16/03/2026, DJEN de 19/03/2026</w:t>
            </w:r>
          </w:p>
        </w:tc>
        <w:tc>
          <w:tcPr>
            <w:tcW w:type="dxa" w:w="4402"/>
          </w:tcPr>
          <w:p>
            <w:pPr>
              <w:pStyle w:val="Compact"/>
              <w:spacing w:line="276" w:lineRule="auto" w:before="40" w:after="40"/>
            </w:pPr>
            <w:r>
              <w:rPr>
                <w:rFonts w:ascii="Liberation Sans Narrow" w:hAnsi="Liberation Sans Narrow"/>
                <w:sz w:val="18"/>
              </w:rPr>
              <w:t xml:space="preserve">O magistrado é o destinatário final da prova e lhe cabe avaliar a necessidade de produzi-la e indeferir diligências inúteis ou meramente protelatórias (art. 370); não há cerceamento de defesa quando os autos têm elementos suficientes para o convencimento. Rever a suficiência das provas e a necessidade de nova perícia esbarra na Súmula 7/STJ.</w:t>
            </w:r>
          </w:p>
        </w:tc>
      </w:tr>
      <w:tr>
        <w:trPr>
          <w:cantSplit/>
        </w:trPr>
        <w:tc>
          <w:tcPr>
            <w:tcW w:type="dxa" w:w="1973"/>
          </w:tcPr>
          <w:p>
            <w:pPr>
              <w:pStyle w:val="Compact"/>
              <w:spacing w:line="276" w:lineRule="auto" w:before="40" w:after="40"/>
            </w:pPr>
            <w:r>
              <w:rPr>
                <w:rFonts w:ascii="Liberation Sans Narrow" w:hAnsi="Liberation Sans Narrow"/>
                <w:sz w:val="18"/>
              </w:rPr>
              <w:t xml:space="preserve">Art. 370, parágrafo único: posição reiterada em agravos internos</w:t>
            </w:r>
          </w:p>
        </w:tc>
        <w:tc>
          <w:tcPr>
            <w:tcW w:type="dxa" w:w="2979"/>
          </w:tcPr>
          <w:p>
            <w:pPr>
              <w:pStyle w:val="Compact"/>
              <w:spacing w:line="276" w:lineRule="auto" w:before="40" w:after="40"/>
            </w:pPr>
            <w:r>
              <w:rPr>
                <w:rFonts w:ascii="Liberation Sans Narrow" w:hAnsi="Liberation Sans Narrow"/>
                <w:sz w:val="18"/>
              </w:rPr>
              <w:t xml:space="preserve">STJ, AgInt no AREsp 2.622.648, Terceira Turma, relator Min. Marco Aurélio Bellizze, DJe de 28/08/2024</w:t>
            </w:r>
          </w:p>
        </w:tc>
        <w:tc>
          <w:tcPr>
            <w:tcW w:type="dxa" w:w="4402"/>
          </w:tcPr>
          <w:p>
            <w:pPr>
              <w:pStyle w:val="Compact"/>
              <w:spacing w:line="276" w:lineRule="auto" w:before="40" w:after="40"/>
            </w:pPr>
            <w:r>
              <w:rPr>
                <w:rFonts w:ascii="Liberation Sans Narrow" w:hAnsi="Liberation Sans Narrow"/>
                <w:sz w:val="18"/>
              </w:rPr>
              <w:t xml:space="preserve">Cita o AgInt no REsp 1.931.678/SP (Terceira Turma, rel. Min. Nancy Andrighi, 21/11/2023): o destinatário final da prova é o juiz, e a parte final do art. 370 permite indeferir diligências inúteis ou protelatórias; não há cerceamento se o julgador já dispõe de elementos suficientes. Agravo interno desprovido (Súmula 7/STJ).</w:t>
            </w:r>
          </w:p>
        </w:tc>
      </w:tr>
    </w:tbl>
    <w:bookmarkEnd w:id="88"/>
    <w:bookmarkStart w:id="89" w:name="art.-371"/>
    <w:p>
      <w:pPr>
        <w:pStyle w:val="Heading6"/>
        <w:pBdr>
          <w:left w:val="single" w:sz="36" w:space="4" w:color="2E75B6"/>
        </w:pBdr>
        <w:shd w:val="clear" w:color="auto" w:fill="E3EEF9"/>
        <w:spacing w:before="200" w:after="80"/>
        <w:ind w:left="85"/>
      </w:pPr>
      <w:r>
        <w:rPr>
          <w:i w:val="0"/>
          <w:color w:val="1F3A5F"/>
          <w:sz w:val="23"/>
        </w:rPr>
        <w:t xml:space="preserve">Art. 371</w:t>
      </w:r>
    </w:p>
    <w:p>
      <w:pPr>
        <w:pStyle w:val="FirstParagraph"/>
        <w:keepNext/>
        <w:spacing w:after="80"/>
        <w:jc w:val="both"/>
      </w:pPr>
      <w:r>
        <w:rPr>
          <w:b/>
          <w:bCs/>
        </w:rPr>
        <w:t xml:space="preserve">Art. 371.</w:t>
      </w:r>
      <w:r>
        <w:t xml:space="preserve"> </w:t>
      </w:r>
      <w:r>
        <w:t xml:space="preserve">O juiz apreciará a prova constante dos autos, independentemente do sujeito que a tiver promovido, e indicará na decisão as razões da formação de seu convencimento.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54"/>
        <w:gridCol w:w="3144"/>
        <w:gridCol w:w="4056"/>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14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05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54"/>
          </w:tcPr>
          <w:p>
            <w:pPr>
              <w:pStyle w:val="Compact"/>
              <w:spacing w:line="276" w:lineRule="auto" w:before="40" w:after="40"/>
            </w:pPr>
            <w:r>
              <w:rPr>
                <w:rFonts w:ascii="Liberation Sans Narrow" w:hAnsi="Liberation Sans Narrow"/>
                <w:sz w:val="18"/>
              </w:rPr>
              <w:t xml:space="preserve">Art. 371: avaliação de imóvel penhorado</w:t>
            </w:r>
          </w:p>
        </w:tc>
        <w:tc>
          <w:tcPr>
            <w:tcW w:type="dxa" w:w="3144"/>
          </w:tcPr>
          <w:p>
            <w:pPr>
              <w:pStyle w:val="Compact"/>
              <w:spacing w:line="276" w:lineRule="auto" w:before="40" w:after="40"/>
            </w:pPr>
            <w:r>
              <w:rPr>
                <w:rFonts w:ascii="Liberation Sans Narrow" w:hAnsi="Liberation Sans Narrow"/>
                <w:sz w:val="18"/>
              </w:rPr>
              <w:t xml:space="preserve">STJ, AgInt no AREsp 2.954.640, Quarta Turma, relator Min. Raul Araújo, julgado em 22/06/2026, DJEN de 29/06/2026</w:t>
            </w:r>
          </w:p>
        </w:tc>
        <w:tc>
          <w:tcPr>
            <w:tcW w:type="dxa" w:w="4056"/>
          </w:tcPr>
          <w:p>
            <w:pPr>
              <w:pStyle w:val="Compact"/>
              <w:spacing w:line="276" w:lineRule="auto" w:before="40" w:after="40"/>
            </w:pPr>
            <w:r>
              <w:rPr>
                <w:rFonts w:ascii="Liberation Sans Narrow" w:hAnsi="Liberation Sans Narrow"/>
                <w:sz w:val="18"/>
              </w:rPr>
              <w:t xml:space="preserve">O juiz não é compelido a acolher o parecer do assistente técnico em lugar do laudo judicial, se motivou o convencimento nos autos. A</w:t>
            </w:r>
            <w:r>
              <w:rPr>
                <w:rFonts w:ascii="Liberation Sans Narrow" w:hAnsi="Liberation Sans Narrow"/>
                <w:sz w:val="18"/>
              </w:rPr>
              <w:t xml:space="preserve"> </w:t>
            </w:r>
            <w:r>
              <w:rPr>
                <w:rFonts w:ascii="Liberation Sans Narrow" w:hAnsi="Liberation Sans Narrow"/>
                <w:sz w:val="18"/>
              </w:rPr>
              <w:t xml:space="preserve">“errônea valoração jurídica da prova”</w:t>
            </w:r>
            <w:r>
              <w:rPr>
                <w:rFonts w:ascii="Liberation Sans Narrow" w:hAnsi="Liberation Sans Narrow"/>
                <w:sz w:val="18"/>
              </w:rPr>
              <w:t xml:space="preserve"> </w:t>
            </w:r>
            <w:r>
              <w:rPr>
                <w:rFonts w:ascii="Liberation Sans Narrow" w:hAnsi="Liberation Sans Narrow"/>
                <w:sz w:val="18"/>
              </w:rPr>
              <w:t xml:space="preserve">que autoriza a atuação do STJ é a de má aplicação de regra ou princípio do campo probatório, não o inconformismo com conclusões fáticas.</w:t>
            </w:r>
          </w:p>
        </w:tc>
      </w:tr>
      <w:tr>
        <w:trPr>
          <w:cantSplit/>
        </w:trPr>
        <w:tc>
          <w:tcPr>
            <w:tcW w:type="dxa" w:w="2154"/>
          </w:tcPr>
          <w:p>
            <w:pPr>
              <w:pStyle w:val="Compact"/>
              <w:spacing w:line="276" w:lineRule="auto" w:before="40" w:after="40"/>
            </w:pPr>
            <w:r>
              <w:rPr>
                <w:rFonts w:ascii="Liberation Sans Narrow" w:hAnsi="Liberation Sans Narrow"/>
                <w:sz w:val="18"/>
              </w:rPr>
              <w:t xml:space="preserve">Livre convencimento, necessidade de outras provas e de esclarecimentos do perito</w:t>
            </w:r>
          </w:p>
        </w:tc>
        <w:tc>
          <w:tcPr>
            <w:tcW w:type="dxa" w:w="3144"/>
          </w:tcPr>
          <w:p>
            <w:pPr>
              <w:pStyle w:val="Compact"/>
              <w:spacing w:line="276" w:lineRule="auto" w:before="40" w:after="40"/>
            </w:pPr>
            <w:r>
              <w:rPr>
                <w:rFonts w:ascii="Liberation Sans Narrow" w:hAnsi="Liberation Sans Narrow"/>
                <w:sz w:val="18"/>
              </w:rPr>
              <w:t xml:space="preserve">STJ, AREsp 3.135.885, Terceira Turma, relator Min. Ricardo Villas Bôas Cueva, DJe de 27/04/2026</w:t>
            </w:r>
          </w:p>
        </w:tc>
        <w:tc>
          <w:tcPr>
            <w:tcW w:type="dxa" w:w="4056"/>
          </w:tcPr>
          <w:p>
            <w:pPr>
              <w:pStyle w:val="Compact"/>
              <w:spacing w:line="276" w:lineRule="auto" w:before="40" w:after="40"/>
            </w:pPr>
            <w:r>
              <w:rPr>
                <w:rFonts w:ascii="Liberation Sans Narrow" w:hAnsi="Liberation Sans Narrow"/>
                <w:sz w:val="18"/>
              </w:rPr>
              <w:t xml:space="preserve">O juiz pode formar a convicção em qualquer elemento de prova disponível, bastando indicar os motivos; a decisão das instâncias ordinárias sobre a necessidade de outras provas e de esclarecimentos do perito não se revê em recurso especial (Súmula 7/STJ).</w:t>
            </w:r>
          </w:p>
        </w:tc>
      </w:tr>
      <w:tr>
        <w:trPr>
          <w:cantSplit/>
        </w:trPr>
        <w:tc>
          <w:tcPr>
            <w:tcW w:type="dxa" w:w="2154"/>
          </w:tcPr>
          <w:p>
            <w:pPr>
              <w:pStyle w:val="Compact"/>
              <w:spacing w:line="276" w:lineRule="auto" w:before="40" w:after="40"/>
            </w:pPr>
            <w:r>
              <w:rPr>
                <w:rFonts w:ascii="Liberation Sans Narrow" w:hAnsi="Liberation Sans Narrow"/>
                <w:sz w:val="18"/>
              </w:rPr>
              <w:t xml:space="preserve">Limite do livre convencimento diante de laudo pericial</w:t>
            </w:r>
          </w:p>
        </w:tc>
        <w:tc>
          <w:tcPr>
            <w:tcW w:type="dxa" w:w="3144"/>
          </w:tcPr>
          <w:p>
            <w:pPr>
              <w:pStyle w:val="Compact"/>
              <w:spacing w:line="276" w:lineRule="auto" w:before="40" w:after="40"/>
            </w:pPr>
            <w:r>
              <w:rPr>
                <w:rFonts w:ascii="Liberation Sans Narrow" w:hAnsi="Liberation Sans Narrow"/>
                <w:sz w:val="18"/>
              </w:rPr>
              <w:t xml:space="preserve">STJ, AgInt no AREsp 2.773.143, Quarta Turma, relator Min. João Otávio de Noronha, julgado em 14/04/2026, DJEN de 24/04/2026</w:t>
            </w:r>
          </w:p>
        </w:tc>
        <w:tc>
          <w:tcPr>
            <w:tcW w:type="dxa" w:w="4056"/>
          </w:tcPr>
          <w:p>
            <w:pPr>
              <w:pStyle w:val="Compact"/>
              <w:spacing w:line="276" w:lineRule="auto" w:before="40" w:after="40"/>
            </w:pPr>
            <w:r>
              <w:rPr>
                <w:rFonts w:ascii="Liberation Sans Narrow" w:hAnsi="Liberation Sans Narrow"/>
                <w:sz w:val="18"/>
              </w:rPr>
              <w:t xml:space="preserve">Responsabilidade civil médica. Agravo interno provido: a desconsideração do laudo pericial, em matéria de alta complexidade, sem contraprova técnica e fundamentação idônea ofende os arts. 375 e 479, hipótese em que não incide a Súmula 7/STJ, restabelecida a sentença.</w:t>
            </w:r>
          </w:p>
        </w:tc>
      </w:tr>
      <w:tr>
        <w:trPr>
          <w:cantSplit/>
        </w:trPr>
        <w:tc>
          <w:tcPr>
            <w:tcW w:type="dxa" w:w="2154"/>
          </w:tcPr>
          <w:p>
            <w:pPr>
              <w:pStyle w:val="Compact"/>
              <w:spacing w:line="276" w:lineRule="auto" w:before="40" w:after="40"/>
            </w:pPr>
            <w:r>
              <w:rPr>
                <w:rFonts w:ascii="Liberation Sans Narrow" w:hAnsi="Liberation Sans Narrow"/>
                <w:sz w:val="18"/>
              </w:rPr>
              <w:t xml:space="preserve">Art. 371: o julgador forma a convicção livremente, com fundamentação</w:t>
            </w:r>
          </w:p>
        </w:tc>
        <w:tc>
          <w:tcPr>
            <w:tcW w:type="dxa" w:w="3144"/>
          </w:tcPr>
          <w:p>
            <w:pPr>
              <w:pStyle w:val="Compact"/>
              <w:spacing w:line="276" w:lineRule="auto" w:before="40" w:after="40"/>
            </w:pPr>
            <w:r>
              <w:rPr>
                <w:rFonts w:ascii="Liberation Sans Narrow" w:hAnsi="Liberation Sans Narrow"/>
                <w:sz w:val="18"/>
              </w:rPr>
              <w:t xml:space="preserve">STJ, AgInt no AREsp 2.229.945, Quarta Turma, relatora Min. Maria Isabel Gallotti, DJe de 16/10/2023</w:t>
            </w:r>
          </w:p>
        </w:tc>
        <w:tc>
          <w:tcPr>
            <w:tcW w:type="dxa" w:w="4056"/>
          </w:tcPr>
          <w:p>
            <w:pPr>
              <w:pStyle w:val="Compact"/>
              <w:spacing w:line="276" w:lineRule="auto" w:before="40" w:after="40"/>
            </w:pPr>
            <w:r>
              <w:rPr>
                <w:rFonts w:ascii="Liberation Sans Narrow" w:hAnsi="Liberation Sans Narrow"/>
                <w:sz w:val="18"/>
              </w:rPr>
              <w:t xml:space="preserve">No sistema da persuasão racional, o julgador examina livremente as provas e forma a convicção, desde que indique de forma fundamentada os elementos do convencimento; não se pode compeli-lo a acolher uma prova em detrimento de outras. A verificação de parcialidade ou de erro de critério do perito exige reexame de provas (Súmula 7/STJ).</w:t>
            </w:r>
          </w:p>
        </w:tc>
      </w:tr>
      <w:tr>
        <w:trPr>
          <w:cantSplit/>
        </w:trPr>
        <w:tc>
          <w:tcPr>
            <w:tcW w:type="dxa" w:w="2154"/>
          </w:tcPr>
          <w:p>
            <w:pPr>
              <w:pStyle w:val="Compact"/>
              <w:spacing w:line="276" w:lineRule="auto" w:before="40" w:after="40"/>
            </w:pPr>
            <w:r>
              <w:rPr>
                <w:rFonts w:ascii="Liberation Sans Narrow" w:hAnsi="Liberation Sans Narrow"/>
                <w:sz w:val="18"/>
              </w:rPr>
              <w:t xml:space="preserve">Arts. 370 e 371 juntos</w:t>
            </w:r>
          </w:p>
        </w:tc>
        <w:tc>
          <w:tcPr>
            <w:tcW w:type="dxa" w:w="3144"/>
          </w:tcPr>
          <w:p>
            <w:pPr>
              <w:pStyle w:val="Compact"/>
              <w:spacing w:line="276" w:lineRule="auto" w:before="40" w:after="40"/>
            </w:pPr>
            <w:r>
              <w:rPr>
                <w:rFonts w:ascii="Liberation Sans Narrow" w:hAnsi="Liberation Sans Narrow"/>
                <w:sz w:val="18"/>
              </w:rPr>
              <w:t xml:space="preserve">STJ, AgInt no AREsp 2.350.898, Segunda Turma, relator Min. Herman Benjamin, DJe de 21/09/2023</w:t>
            </w:r>
          </w:p>
        </w:tc>
        <w:tc>
          <w:tcPr>
            <w:tcW w:type="dxa" w:w="4056"/>
          </w:tcPr>
          <w:p>
            <w:pPr>
              <w:pStyle w:val="Compact"/>
              <w:spacing w:line="276" w:lineRule="auto" w:before="40" w:after="40"/>
            </w:pPr>
            <w:r>
              <w:rPr>
                <w:rFonts w:ascii="Liberation Sans Narrow" w:hAnsi="Liberation Sans Narrow"/>
                <w:sz w:val="18"/>
              </w:rPr>
              <w:t xml:space="preserve">O juiz, destinatário final da prova, avalia a pertinência das diligências e pode afastar as inúteis ou protelatórias, ou se já firmou a convicção (arts. 370 e 371), com remissão ao AgInt no AREsp 1.816.381/SP (Segunda Turma, 2021).</w:t>
            </w:r>
          </w:p>
        </w:tc>
      </w:tr>
    </w:tbl>
    <w:bookmarkEnd w:id="89"/>
    <w:bookmarkStart w:id="90" w:name="art.-372"/>
    <w:p>
      <w:pPr>
        <w:pStyle w:val="Heading6"/>
        <w:pBdr>
          <w:left w:val="single" w:sz="36" w:space="4" w:color="2E75B6"/>
        </w:pBdr>
        <w:shd w:val="clear" w:color="auto" w:fill="E3EEF9"/>
        <w:spacing w:before="200" w:after="80"/>
        <w:ind w:left="85"/>
      </w:pPr>
      <w:r>
        <w:rPr>
          <w:i w:val="0"/>
          <w:color w:val="1F3A5F"/>
          <w:sz w:val="23"/>
        </w:rPr>
        <w:t xml:space="preserve">Art. 372</w:t>
      </w:r>
    </w:p>
    <w:p>
      <w:pPr>
        <w:pStyle w:val="FirstParagraph"/>
        <w:keepNext/>
        <w:spacing w:after="80"/>
        <w:jc w:val="both"/>
      </w:pPr>
      <w:r>
        <w:rPr>
          <w:b/>
          <w:bCs/>
        </w:rPr>
        <w:t xml:space="preserve">Art. 372.</w:t>
      </w:r>
      <w:r>
        <w:t xml:space="preserve"> </w:t>
      </w:r>
      <w:r>
        <w:t xml:space="preserve">O juiz poderá admitir a utilização de prova produzida em outro processo, atribuindo-lhe o valor que considerar adequado, observado o contraditório.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80"/>
        <w:gridCol w:w="3105"/>
        <w:gridCol w:w="4069"/>
      </w:tblGrid>
      <w:tr>
        <w:trPr>
          <w:tblHeader w:val="on"/>
          <w:cantSplit/>
          <w:tblHeader/>
        </w:trPr>
        <w:tc>
          <w:tcPr>
            <w:tcW w:type="dxa" w:w="218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10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06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80"/>
          </w:tcPr>
          <w:p>
            <w:pPr>
              <w:pStyle w:val="Compact"/>
              <w:spacing w:line="276" w:lineRule="auto" w:before="40" w:after="40"/>
            </w:pPr>
            <w:r>
              <w:rPr>
                <w:rFonts w:ascii="Liberation Sans Narrow" w:hAnsi="Liberation Sans Narrow"/>
                <w:sz w:val="18"/>
              </w:rPr>
              <w:t xml:space="preserve">Prova emprestada no processo administrativo disciplinar</w:t>
            </w:r>
          </w:p>
        </w:tc>
        <w:tc>
          <w:tcPr>
            <w:tcW w:type="dxa" w:w="3105"/>
          </w:tcPr>
          <w:p>
            <w:pPr>
              <w:pStyle w:val="Compact"/>
              <w:spacing w:line="276" w:lineRule="auto" w:before="40" w:after="40"/>
            </w:pPr>
            <w:r>
              <w:rPr>
                <w:rFonts w:ascii="Liberation Sans Narrow" w:hAnsi="Liberation Sans Narrow"/>
                <w:sz w:val="18"/>
              </w:rPr>
              <w:t xml:space="preserve">STJ, MS 22.280, Primeira Seção, relator Min. Gurgel de Faria, DJe de 25/11/2021</w:t>
            </w:r>
          </w:p>
        </w:tc>
        <w:tc>
          <w:tcPr>
            <w:tcW w:type="dxa" w:w="4069"/>
          </w:tcPr>
          <w:p>
            <w:pPr>
              <w:pStyle w:val="Compact"/>
              <w:spacing w:line="276" w:lineRule="auto" w:before="40" w:after="40"/>
            </w:pPr>
            <w:r>
              <w:rPr>
                <w:rFonts w:ascii="Liberation Sans Narrow" w:hAnsi="Liberation Sans Narrow"/>
                <w:sz w:val="18"/>
              </w:rPr>
              <w:t xml:space="preserve">É possível a prova emprestada no processo disciplinar, desde que atendidos os requisitos legais e assegurado o contraditório ao acusado.</w:t>
            </w:r>
          </w:p>
        </w:tc>
      </w:tr>
      <w:tr>
        <w:trPr>
          <w:cantSplit/>
        </w:trPr>
        <w:tc>
          <w:tcPr>
            <w:tcW w:type="dxa" w:w="2180"/>
          </w:tcPr>
          <w:p>
            <w:pPr>
              <w:pStyle w:val="Compact"/>
              <w:spacing w:line="276" w:lineRule="auto" w:before="40" w:after="40"/>
            </w:pPr>
            <w:r>
              <w:rPr>
                <w:rFonts w:ascii="Liberation Sans Narrow" w:hAnsi="Liberation Sans Narrow"/>
                <w:sz w:val="18"/>
              </w:rPr>
              <w:t xml:space="preserve">Admissão da prova emprestada e rejeição de nova perícia</w:t>
            </w:r>
          </w:p>
        </w:tc>
        <w:tc>
          <w:tcPr>
            <w:tcW w:type="dxa" w:w="3105"/>
          </w:tcPr>
          <w:p>
            <w:pPr>
              <w:pStyle w:val="Compact"/>
              <w:spacing w:line="276" w:lineRule="auto" w:before="40" w:after="40"/>
            </w:pPr>
            <w:r>
              <w:rPr>
                <w:rFonts w:ascii="Liberation Sans Narrow" w:hAnsi="Liberation Sans Narrow"/>
                <w:sz w:val="18"/>
              </w:rPr>
              <w:t xml:space="preserve">STJ, AREsp 3.160.766, Quarta Turma, relator Min. João Otávio de Noronha, julgado em 24/08/2026, DJEN de 27/08/2026</w:t>
            </w:r>
          </w:p>
        </w:tc>
        <w:tc>
          <w:tcPr>
            <w:tcW w:type="dxa" w:w="4069"/>
          </w:tcPr>
          <w:p>
            <w:pPr>
              <w:pStyle w:val="Compact"/>
              <w:spacing w:line="276" w:lineRule="auto" w:before="40" w:after="40"/>
            </w:pPr>
            <w:r>
              <w:rPr>
                <w:rFonts w:ascii="Liberation Sans Narrow" w:hAnsi="Liberation Sans Narrow"/>
                <w:sz w:val="18"/>
              </w:rPr>
              <w:t xml:space="preserve">A origem admitiu a prova emprestada com observância do contraditório (art. 372) e entendeu desnecessária nova perícia por ausência de fato novo; a suficiência do laudo emprestado e a necessidade de nova perícia exigem reexame de provas (Súmula 7/STJ).</w:t>
            </w:r>
          </w:p>
        </w:tc>
      </w:tr>
      <w:tr>
        <w:trPr>
          <w:cantSplit/>
        </w:trPr>
        <w:tc>
          <w:tcPr>
            <w:tcW w:type="dxa" w:w="2180"/>
          </w:tcPr>
          <w:p>
            <w:pPr>
              <w:pStyle w:val="Compact"/>
              <w:spacing w:line="276" w:lineRule="auto" w:before="40" w:after="40"/>
            </w:pPr>
            <w:r>
              <w:rPr>
                <w:rFonts w:ascii="Liberation Sans Narrow" w:hAnsi="Liberation Sans Narrow"/>
                <w:sz w:val="18"/>
              </w:rPr>
              <w:t xml:space="preserve">Contraditório com acesso aos autos de origem (improbidade)</w:t>
            </w:r>
          </w:p>
        </w:tc>
        <w:tc>
          <w:tcPr>
            <w:tcW w:type="dxa" w:w="3105"/>
          </w:tcPr>
          <w:p>
            <w:pPr>
              <w:pStyle w:val="Compact"/>
              <w:spacing w:line="276" w:lineRule="auto" w:before="40" w:after="40"/>
            </w:pPr>
            <w:r>
              <w:rPr>
                <w:rFonts w:ascii="Liberation Sans Narrow" w:hAnsi="Liberation Sans Narrow"/>
                <w:sz w:val="18"/>
              </w:rPr>
              <w:t xml:space="preserve">STJ, AgInt no REsp 2.169.344, Segunda Turma, relator Min. Teodoro Silva Santos, julgado em 12/05/2026, DJEN de 22/05/2026</w:t>
            </w:r>
          </w:p>
        </w:tc>
        <w:tc>
          <w:tcPr>
            <w:tcW w:type="dxa" w:w="4069"/>
          </w:tcPr>
          <w:p>
            <w:pPr>
              <w:pStyle w:val="Compact"/>
              <w:spacing w:line="276" w:lineRule="auto" w:before="40" w:after="40"/>
            </w:pPr>
            <w:r>
              <w:rPr>
                <w:rFonts w:ascii="Liberation Sans Narrow" w:hAnsi="Liberation Sans Narrow"/>
                <w:sz w:val="18"/>
              </w:rPr>
              <w:t xml:space="preserve">A prova emprestada foi admitida sob o crivo do contraditório, nos termos do art. 372, com acesso das partes aos autos de origem e manifestação prévia.</w:t>
            </w:r>
          </w:p>
        </w:tc>
      </w:tr>
      <w:tr>
        <w:trPr>
          <w:cantSplit/>
        </w:trPr>
        <w:tc>
          <w:tcPr>
            <w:tcW w:type="dxa" w:w="2180"/>
          </w:tcPr>
          <w:p>
            <w:pPr>
              <w:pStyle w:val="Compact"/>
              <w:spacing w:line="276" w:lineRule="auto" w:before="40" w:after="40"/>
            </w:pPr>
            <w:r>
              <w:rPr>
                <w:rFonts w:ascii="Liberation Sans Narrow" w:hAnsi="Liberation Sans Narrow"/>
                <w:sz w:val="18"/>
              </w:rPr>
              <w:t xml:space="preserve">Parte que pediu o empréstimo não pode alegar nulidade; trânsito em julgado dispensável</w:t>
            </w:r>
          </w:p>
        </w:tc>
        <w:tc>
          <w:tcPr>
            <w:tcW w:type="dxa" w:w="3105"/>
          </w:tcPr>
          <w:p>
            <w:pPr>
              <w:pStyle w:val="Compact"/>
              <w:spacing w:line="276" w:lineRule="auto" w:before="40" w:after="40"/>
            </w:pPr>
            <w:r>
              <w:rPr>
                <w:rFonts w:ascii="Liberation Sans Narrow" w:hAnsi="Liberation Sans Narrow"/>
                <w:sz w:val="18"/>
              </w:rPr>
              <w:t xml:space="preserve">STJ, AREsp 2.972.657, Quarta Turma, relator Min. Raul Araújo, julgado em 16/03/2026, DJEN de 23/03/2026</w:t>
            </w:r>
          </w:p>
        </w:tc>
        <w:tc>
          <w:tcPr>
            <w:tcW w:type="dxa" w:w="4069"/>
          </w:tcPr>
          <w:p>
            <w:pPr>
              <w:pStyle w:val="Compact"/>
              <w:spacing w:line="276" w:lineRule="auto" w:before="40" w:after="40"/>
            </w:pPr>
            <w:r>
              <w:rPr>
                <w:rFonts w:ascii="Liberation Sans Narrow" w:hAnsi="Liberation Sans Narrow"/>
                <w:sz w:val="18"/>
              </w:rPr>
              <w:t xml:space="preserve">A vedação ao comportamento contraditório impede a parte de alegar nulidade ou</w:t>
            </w:r>
            <w:r>
              <w:rPr>
                <w:rFonts w:ascii="Liberation Sans Narrow" w:hAnsi="Liberation Sans Narrow"/>
                <w:sz w:val="18"/>
              </w:rPr>
              <w:t xml:space="preserve"> </w:t>
            </w:r>
            <w:r>
              <w:rPr>
                <w:rFonts w:ascii="Liberation Sans Narrow" w:hAnsi="Liberation Sans Narrow"/>
                <w:sz w:val="18"/>
              </w:rPr>
              <w:t xml:space="preserve">“decisão surpresa”</w:t>
            </w:r>
            <w:r>
              <w:rPr>
                <w:rFonts w:ascii="Liberation Sans Narrow" w:hAnsi="Liberation Sans Narrow"/>
                <w:sz w:val="18"/>
              </w:rPr>
              <w:t xml:space="preserve"> </w:t>
            </w:r>
            <w:r>
              <w:rPr>
                <w:rFonts w:ascii="Liberation Sans Narrow" w:hAnsi="Liberation Sans Narrow"/>
                <w:sz w:val="18"/>
              </w:rPr>
              <w:t xml:space="preserve">sobre prova emprestada que ela mesma requereu. A prova emprestada ingressa como documento e independe do trânsito em julgado da decisão homologatória na origem, desde que assegurado o contraditório substancial.</w:t>
            </w:r>
          </w:p>
        </w:tc>
      </w:tr>
      <w:tr>
        <w:trPr>
          <w:cantSplit/>
        </w:trPr>
        <w:tc>
          <w:tcPr>
            <w:tcW w:type="dxa" w:w="2180"/>
          </w:tcPr>
          <w:p>
            <w:pPr>
              <w:pStyle w:val="Compact"/>
              <w:spacing w:line="276" w:lineRule="auto" w:before="40" w:after="40"/>
            </w:pPr>
            <w:r>
              <w:rPr>
                <w:rFonts w:ascii="Liberation Sans Narrow" w:hAnsi="Liberation Sans Narrow"/>
                <w:sz w:val="18"/>
              </w:rPr>
              <w:t xml:space="preserve">Contraditório como requisito; identidade de partes dispensável</w:t>
            </w:r>
          </w:p>
        </w:tc>
        <w:tc>
          <w:tcPr>
            <w:tcW w:type="dxa" w:w="3105"/>
          </w:tcPr>
          <w:p>
            <w:pPr>
              <w:pStyle w:val="Compact"/>
              <w:spacing w:line="276" w:lineRule="auto" w:before="40" w:after="40"/>
            </w:pPr>
            <w:r>
              <w:rPr>
                <w:rFonts w:ascii="Liberation Sans Narrow" w:hAnsi="Liberation Sans Narrow"/>
                <w:sz w:val="18"/>
              </w:rPr>
              <w:t xml:space="preserve">STJ, AgInt no REsp 2.040.456, Quarta Turma, relator Min. Raul Araújo, DJe de 01/09/2023</w:t>
            </w:r>
          </w:p>
        </w:tc>
        <w:tc>
          <w:tcPr>
            <w:tcW w:type="dxa" w:w="4069"/>
          </w:tcPr>
          <w:p>
            <w:pPr>
              <w:pStyle w:val="Compact"/>
              <w:spacing w:line="276" w:lineRule="auto" w:before="40" w:after="40"/>
            </w:pPr>
            <w:r>
              <w:rPr>
                <w:rFonts w:ascii="Liberation Sans Narrow" w:hAnsi="Liberation Sans Narrow"/>
                <w:sz w:val="18"/>
              </w:rPr>
              <w:t xml:space="preserve">Independentemente de haver identidade de partes, o contraditório é o requisito primordial para o aproveitamento da prova emprestada: assegurado o direito de se insurgir contra a prova e refutá-la, o empréstimo é válido (cita o EREsp 617.428/SP, Corte Especial, de 2014).</w:t>
            </w:r>
          </w:p>
        </w:tc>
      </w:tr>
      <w:tr>
        <w:trPr>
          <w:cantSplit/>
        </w:trPr>
        <w:tc>
          <w:tcPr>
            <w:tcW w:type="dxa" w:w="2180"/>
          </w:tcPr>
          <w:p>
            <w:pPr>
              <w:pStyle w:val="Compact"/>
              <w:spacing w:line="276" w:lineRule="auto" w:before="40" w:after="40"/>
            </w:pPr>
            <w:r>
              <w:rPr>
                <w:rFonts w:ascii="Liberation Sans Narrow" w:hAnsi="Liberation Sans Narrow"/>
                <w:sz w:val="18"/>
              </w:rPr>
              <w:t xml:space="preserve">Mesmo sentido, prova testemunhal emprestada da esfera penal</w:t>
            </w:r>
          </w:p>
        </w:tc>
        <w:tc>
          <w:tcPr>
            <w:tcW w:type="dxa" w:w="3105"/>
          </w:tcPr>
          <w:p>
            <w:pPr>
              <w:pStyle w:val="Compact"/>
              <w:spacing w:line="276" w:lineRule="auto" w:before="40" w:after="40"/>
            </w:pPr>
            <w:r>
              <w:rPr>
                <w:rFonts w:ascii="Liberation Sans Narrow" w:hAnsi="Liberation Sans Narrow"/>
                <w:sz w:val="18"/>
              </w:rPr>
              <w:t xml:space="preserve">STJ, AgInt no RMS 62.819, Segunda Turma, relator Min. Herman Benjamin, DJe de 15/04/2021</w:t>
            </w:r>
          </w:p>
        </w:tc>
        <w:tc>
          <w:tcPr>
            <w:tcW w:type="dxa" w:w="4069"/>
          </w:tcPr>
          <w:p>
            <w:pPr>
              <w:pStyle w:val="Compact"/>
              <w:spacing w:line="276" w:lineRule="auto" w:before="40" w:after="40"/>
            </w:pPr>
            <w:r>
              <w:rPr>
                <w:rFonts w:ascii="Liberation Sans Narrow" w:hAnsi="Liberation Sans Narrow"/>
                <w:sz w:val="18"/>
              </w:rPr>
              <w:t xml:space="preserve">A prova emprestada não se restringe a processos com partes idênticas; preserva-se o contraditório quando os litigantes podem insurgir-se contra o material e refutá-lo, ainda que o contraditório seja diferido (ação civil pública com prova testemunhal oriunda da esfera penal).</w:t>
            </w:r>
          </w:p>
        </w:tc>
      </w:tr>
    </w:tbl>
    <w:bookmarkEnd w:id="90"/>
    <w:bookmarkStart w:id="91" w:name="art.-373"/>
    <w:p>
      <w:pPr>
        <w:pStyle w:val="Heading6"/>
        <w:pBdr>
          <w:left w:val="single" w:sz="36" w:space="4" w:color="2E75B6"/>
        </w:pBdr>
        <w:shd w:val="clear" w:color="auto" w:fill="E3EEF9"/>
        <w:spacing w:before="200" w:after="80"/>
        <w:ind w:left="85"/>
      </w:pPr>
      <w:r>
        <w:rPr>
          <w:i w:val="0"/>
          <w:color w:val="1F3A5F"/>
          <w:sz w:val="23"/>
        </w:rPr>
        <w:t xml:space="preserve">Art. 373</w:t>
      </w:r>
    </w:p>
    <w:p>
      <w:pPr>
        <w:pStyle w:val="FirstParagraph"/>
        <w:spacing w:after="80"/>
        <w:jc w:val="both"/>
      </w:pPr>
      <w:r>
        <w:rPr>
          <w:b/>
          <w:bCs/>
        </w:rPr>
        <w:t xml:space="preserve">Art. 373.</w:t>
      </w:r>
      <w:r>
        <w:t xml:space="preserve"> </w:t>
      </w:r>
      <w:r>
        <w:t xml:space="preserve">O ônus da prova incumbe:</w:t>
      </w:r>
    </w:p>
    <w:p>
      <w:pPr>
        <w:pStyle w:val="BodyText"/>
        <w:spacing w:after="80"/>
        <w:jc w:val="both"/>
      </w:pPr>
      <w:r>
        <w:t xml:space="preserve">I - ao autor, quanto ao fato constitutivo de seu direito;</w:t>
      </w:r>
    </w:p>
    <w:p>
      <w:pPr>
        <w:pStyle w:val="BodyText"/>
        <w:spacing w:after="80"/>
        <w:jc w:val="both"/>
      </w:pPr>
      <w:r>
        <w:t xml:space="preserve">II - ao réu, quanto à existência de fato impeditivo, modificativo ou extintivo do direito do autor.</w:t>
      </w:r>
    </w:p>
    <w:p>
      <w:pPr>
        <w:pStyle w:val="BodyText"/>
        <w:keepNext/>
        <w:spacing w:after="80"/>
        <w:jc w:val="both"/>
      </w:pPr>
      <w:r>
        <w:t xml:space="preserve">§ 1º Nos casos previstos em lei ou diante de peculiaridades da causa relacionadas à impossibilidade ou à excessiva dificuldade de cumprir o encargo nos termos do caput ou à maior facilidade de obtenção da prova do fato contrário, poderá o juiz atribuir o ônus da prova de modo diverso, desde que o faça por decisão fundamentada, caso em que deverá dar à parte a oportunidade de se desincumbir do ônus que lhe foi atribuído.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48"/>
        <w:gridCol w:w="2999"/>
        <w:gridCol w:w="4107"/>
      </w:tblGrid>
      <w:tr>
        <w:trPr>
          <w:tblHeader w:val="on"/>
          <w:cantSplit/>
          <w:tblHeader/>
        </w:trPr>
        <w:tc>
          <w:tcPr>
            <w:tcW w:type="dxa" w:w="2248"/>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99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107"/>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48"/>
          </w:tcPr>
          <w:p>
            <w:pPr>
              <w:pStyle w:val="Compact"/>
              <w:spacing w:line="276" w:lineRule="auto" w:before="40" w:after="40"/>
            </w:pPr>
            <w:r>
              <w:rPr>
                <w:rFonts w:ascii="Liberation Sans Narrow" w:hAnsi="Liberation Sans Narrow"/>
                <w:sz w:val="18"/>
              </w:rPr>
              <w:t xml:space="preserve">§ 1º: inversão do ônus em relação de consumo e cabimento do agravo de instrumento</w:t>
            </w:r>
          </w:p>
        </w:tc>
        <w:tc>
          <w:tcPr>
            <w:tcW w:type="dxa" w:w="2999"/>
          </w:tcPr>
          <w:p>
            <w:pPr>
              <w:pStyle w:val="Compact"/>
              <w:spacing w:line="276" w:lineRule="auto" w:before="40" w:after="40"/>
            </w:pPr>
            <w:r>
              <w:rPr>
                <w:rFonts w:ascii="Liberation Sans Narrow" w:hAnsi="Liberation Sans Narrow"/>
                <w:sz w:val="18"/>
              </w:rPr>
              <w:t xml:space="preserve">STJ, AREsp 2.249.352, Quarta Turma, relator Min. Raul Araújo, julgado em 13/10/2025, DJEN de 20/10/2025</w:t>
            </w:r>
          </w:p>
        </w:tc>
        <w:tc>
          <w:tcPr>
            <w:tcW w:type="dxa" w:w="4107"/>
          </w:tcPr>
          <w:p>
            <w:pPr>
              <w:pStyle w:val="Compact"/>
              <w:spacing w:line="276" w:lineRule="auto" w:before="40" w:after="40"/>
            </w:pPr>
            <w:r>
              <w:rPr>
                <w:rFonts w:ascii="Liberation Sans Narrow" w:hAnsi="Liberation Sans Narrow"/>
                <w:sz w:val="18"/>
              </w:rPr>
              <w:t xml:space="preserve">A decisão que versa sobre inversão do ônus da prova em relação de consumo é impugnável por agravo de instrumento, em entendimento consolidado no STJ, porque o art. 1.015, XI, deve ser lido com o art. 373, § 1º, e a decisão pode influenciar diretamente o julgamento do mérito.</w:t>
            </w:r>
          </w:p>
        </w:tc>
      </w:tr>
      <w:tr>
        <w:trPr>
          <w:cantSplit/>
        </w:trPr>
        <w:tc>
          <w:tcPr>
            <w:tcW w:type="dxa" w:w="2248"/>
          </w:tcPr>
          <w:p>
            <w:pPr>
              <w:pStyle w:val="Compact"/>
              <w:spacing w:line="276" w:lineRule="auto" w:before="40" w:after="40"/>
            </w:pPr>
            <w:r>
              <w:rPr>
                <w:rFonts w:ascii="Liberation Sans Narrow" w:hAnsi="Liberation Sans Narrow"/>
                <w:sz w:val="18"/>
              </w:rPr>
              <w:t xml:space="preserve">§ 1º: decisão que indefere a modificação do ônus da prova</w:t>
            </w:r>
          </w:p>
        </w:tc>
        <w:tc>
          <w:tcPr>
            <w:tcW w:type="dxa" w:w="2999"/>
          </w:tcPr>
          <w:p>
            <w:pPr>
              <w:pStyle w:val="Compact"/>
              <w:spacing w:line="276" w:lineRule="auto" w:before="40" w:after="40"/>
            </w:pPr>
            <w:r>
              <w:rPr>
                <w:rFonts w:ascii="Liberation Sans Narrow" w:hAnsi="Liberation Sans Narrow"/>
                <w:sz w:val="18"/>
              </w:rPr>
              <w:t xml:space="preserve">STJ, REsp 1.802.025, Terceira Turma, relatora Min. Nancy Andrighi, julgado em 17/09/2019, DJe de 20/09/2019</w:t>
            </w:r>
          </w:p>
        </w:tc>
        <w:tc>
          <w:tcPr>
            <w:tcW w:type="dxa" w:w="4107"/>
          </w:tcPr>
          <w:p>
            <w:pPr>
              <w:pStyle w:val="Compact"/>
              <w:spacing w:line="276" w:lineRule="auto" w:before="40" w:after="40"/>
            </w:pPr>
            <w:r>
              <w:rPr>
                <w:rFonts w:ascii="Liberation Sans Narrow" w:hAnsi="Liberation Sans Narrow"/>
                <w:sz w:val="18"/>
              </w:rPr>
              <w:t xml:space="preserve">As decisões interlocutórias que deferem e as que indeferem a modificação judicial do ônus da prova são imediatamente recorríveis por agravo de instrumento, seja na inversão autorizada pelo legislador (art. 6º, VIII, do CDC, com o art. 373, § 1º, primeira parte), seja na distribuição dinâmica (§ 1º, segunda parte), por serem regras de instrução.</w:t>
            </w:r>
          </w:p>
        </w:tc>
      </w:tr>
      <w:tr>
        <w:trPr>
          <w:cantSplit/>
        </w:trPr>
        <w:tc>
          <w:tcPr>
            <w:tcW w:type="dxa" w:w="2248"/>
          </w:tcPr>
          <w:p>
            <w:pPr>
              <w:pStyle w:val="Compact"/>
              <w:spacing w:line="276" w:lineRule="auto" w:before="40" w:after="40"/>
            </w:pPr>
            <w:r>
              <w:rPr>
                <w:rFonts w:ascii="Liberation Sans Narrow" w:hAnsi="Liberation Sans Narrow"/>
                <w:sz w:val="18"/>
              </w:rPr>
              <w:t xml:space="preserve">§ 1º: distribuição dinâmica e inversão do ônus da prova; agravo de instrumento</w:t>
            </w:r>
          </w:p>
        </w:tc>
        <w:tc>
          <w:tcPr>
            <w:tcW w:type="dxa" w:w="2999"/>
          </w:tcPr>
          <w:p>
            <w:pPr>
              <w:pStyle w:val="Compact"/>
              <w:spacing w:line="276" w:lineRule="auto" w:before="40" w:after="40"/>
            </w:pPr>
            <w:r>
              <w:rPr>
                <w:rFonts w:ascii="Liberation Sans Narrow" w:hAnsi="Liberation Sans Narrow"/>
                <w:sz w:val="18"/>
              </w:rPr>
              <w:t xml:space="preserve">STJ, REsp 1.729.110, Terceira Turma, relatora Min. Nancy Andrighi, julgado em 02/04/2019, DJe de 04/04/2019</w:t>
            </w:r>
          </w:p>
        </w:tc>
        <w:tc>
          <w:tcPr>
            <w:tcW w:type="dxa" w:w="4107"/>
          </w:tcPr>
          <w:p>
            <w:pPr>
              <w:pStyle w:val="Compact"/>
              <w:spacing w:line="276" w:lineRule="auto" w:before="40" w:after="40"/>
            </w:pPr>
            <w:r>
              <w:rPr>
                <w:rFonts w:ascii="Liberation Sans Narrow" w:hAnsi="Liberation Sans Narrow"/>
                <w:sz w:val="18"/>
              </w:rPr>
              <w:t xml:space="preserve">O agravo de instrumento é cabível contra a decisão sobre distribuição dinâmica ou inversão do ônus da prova (art. 1.015, XI, interpretado com o art. 373, § 1º). Os institutos são distintos, mas semelhantes quanto à natureza, à justificativa, ao momento de aplicação e aos efeitos, e é indispensável permitir à parte desincumbir-se do ônus que lhe foi imposto no curso do processo.</w:t>
            </w:r>
          </w:p>
        </w:tc>
      </w:tr>
    </w:tbl>
    <w:p>
      <w:pPr>
        <w:pStyle w:val="BodyText"/>
        <w:spacing w:after="80"/>
        <w:jc w:val="both"/>
      </w:pPr>
      <w:r>
        <w:t xml:space="preserve">§ 2º A decisão prevista no § 1º deste artigo não pode gerar situação em que a desincumbência do encargo pela parte seja impossível ou excessivamente difícil.</w:t>
      </w:r>
    </w:p>
    <w:p>
      <w:pPr>
        <w:pStyle w:val="BodyText"/>
        <w:spacing w:after="80"/>
        <w:jc w:val="both"/>
      </w:pPr>
      <w:r>
        <w:t xml:space="preserve">§ 3º A distribuição diversa do ônus da prova também pode ocorrer por convenção das partes, salvo quando:</w:t>
      </w:r>
    </w:p>
    <w:p>
      <w:pPr>
        <w:pStyle w:val="BodyText"/>
        <w:spacing w:after="80"/>
        <w:jc w:val="both"/>
      </w:pPr>
      <w:r>
        <w:t xml:space="preserve">I - recair sobre direito indisponível da parte;</w:t>
      </w:r>
    </w:p>
    <w:p>
      <w:pPr>
        <w:pStyle w:val="BodyText"/>
        <w:spacing w:after="80"/>
        <w:jc w:val="both"/>
      </w:pPr>
      <w:r>
        <w:t xml:space="preserve">II - tornar excessivamente difícil a uma parte o exercício do direito.</w:t>
      </w:r>
    </w:p>
    <w:p>
      <w:pPr>
        <w:pStyle w:val="BodyText"/>
        <w:spacing w:after="80"/>
        <w:jc w:val="both"/>
      </w:pPr>
      <w:r>
        <w:t xml:space="preserve">§ 4º A convenção de que trata o § 3º pode ser celebrada antes ou durante o processo.</w:t>
      </w:r>
    </w:p>
    <w:bookmarkEnd w:id="91"/>
    <w:bookmarkStart w:id="92" w:name="art.-374"/>
    <w:p>
      <w:pPr>
        <w:pStyle w:val="Heading6"/>
        <w:pBdr>
          <w:left w:val="single" w:sz="36" w:space="4" w:color="2E75B6"/>
        </w:pBdr>
        <w:shd w:val="clear" w:color="auto" w:fill="E3EEF9"/>
        <w:spacing w:before="200" w:after="80"/>
        <w:ind w:left="85"/>
      </w:pPr>
      <w:r>
        <w:rPr>
          <w:i w:val="0"/>
          <w:color w:val="1F3A5F"/>
          <w:sz w:val="23"/>
        </w:rPr>
        <w:t xml:space="preserve">Art. 374</w:t>
      </w:r>
    </w:p>
    <w:p>
      <w:pPr>
        <w:pStyle w:val="FirstParagraph"/>
        <w:spacing w:after="80"/>
        <w:jc w:val="both"/>
      </w:pPr>
      <w:r>
        <w:rPr>
          <w:b/>
          <w:bCs/>
        </w:rPr>
        <w:t xml:space="preserve">Art. 374.</w:t>
      </w:r>
      <w:r>
        <w:t xml:space="preserve"> </w:t>
      </w:r>
      <w:r>
        <w:t xml:space="preserve">Não dependem de prova os fatos:</w:t>
      </w:r>
    </w:p>
    <w:p>
      <w:pPr>
        <w:pStyle w:val="BodyText"/>
        <w:keepNext/>
        <w:spacing w:after="80"/>
        <w:jc w:val="both"/>
      </w:pPr>
      <w:r>
        <w:t xml:space="preserve">I - notórios;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61"/>
        <w:gridCol w:w="3099"/>
        <w:gridCol w:w="3894"/>
      </w:tblGrid>
      <w:tr>
        <w:trPr>
          <w:tblHeader w:val="on"/>
          <w:cantSplit/>
          <w:tblHeader/>
        </w:trPr>
        <w:tc>
          <w:tcPr>
            <w:tcW w:type="dxa" w:w="236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09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389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361"/>
          </w:tcPr>
          <w:p>
            <w:pPr>
              <w:pStyle w:val="Compact"/>
              <w:spacing w:line="276" w:lineRule="auto" w:before="40" w:after="40"/>
            </w:pPr>
            <w:r>
              <w:rPr>
                <w:rFonts w:ascii="Liberation Sans Narrow" w:hAnsi="Liberation Sans Narrow"/>
                <w:sz w:val="18"/>
              </w:rPr>
              <w:t xml:space="preserve">Art. 374, I: fato notório não dispensa a prova do nexo causal</w:t>
            </w:r>
          </w:p>
        </w:tc>
        <w:tc>
          <w:tcPr>
            <w:tcW w:type="dxa" w:w="3099"/>
          </w:tcPr>
          <w:p>
            <w:pPr>
              <w:pStyle w:val="Compact"/>
              <w:spacing w:line="276" w:lineRule="auto" w:before="40" w:after="40"/>
            </w:pPr>
            <w:r>
              <w:rPr>
                <w:rFonts w:ascii="Liberation Sans Narrow" w:hAnsi="Liberation Sans Narrow"/>
                <w:sz w:val="18"/>
              </w:rPr>
              <w:t xml:space="preserve">STJ, EDcl no AREsp 2.995.889, Terceira Turma, relator Min. Moura Ribeiro, julgado em 30/06/2026, DJEN de 03/07/2026</w:t>
            </w:r>
          </w:p>
        </w:tc>
        <w:tc>
          <w:tcPr>
            <w:tcW w:type="dxa" w:w="3894"/>
          </w:tcPr>
          <w:p>
            <w:pPr>
              <w:pStyle w:val="Compact"/>
              <w:spacing w:line="276" w:lineRule="auto" w:before="40" w:after="40"/>
            </w:pPr>
            <w:r>
              <w:rPr>
                <w:rFonts w:ascii="Liberation Sans Narrow" w:hAnsi="Liberation Sans Narrow"/>
                <w:sz w:val="18"/>
              </w:rPr>
              <w:t xml:space="preserve">“O fato notório não dispensa demonstração do nexo causal e a inversão do ônus da prova não afasta a necessidade de prova mínima do fato constitutivo. A responsabilidade objetiva pressupõe nexo causal.”</w:t>
            </w:r>
            <w:r>
              <w:rPr>
                <w:rFonts w:ascii="Liberation Sans Narrow" w:hAnsi="Liberation Sans Narrow"/>
                <w:sz w:val="18"/>
              </w:rPr>
              <w:t xml:space="preserve"> </w:t>
            </w:r>
            <w:r>
              <w:rPr>
                <w:rFonts w:ascii="Liberation Sans Narrow" w:hAnsi="Liberation Sans Narrow"/>
                <w:sz w:val="18"/>
              </w:rPr>
              <w:t xml:space="preserve">O recall do veículo é notório, mas a causa do incêndio dependia de prova, e a revisão da insuficiência probatória esbarra na Súmula 7.</w:t>
            </w:r>
          </w:p>
        </w:tc>
      </w:tr>
      <w:tr>
        <w:trPr>
          <w:cantSplit/>
        </w:trPr>
        <w:tc>
          <w:tcPr>
            <w:tcW w:type="dxa" w:w="2361"/>
          </w:tcPr>
          <w:p>
            <w:pPr>
              <w:pStyle w:val="Compact"/>
              <w:spacing w:line="276" w:lineRule="auto" w:before="40" w:after="40"/>
            </w:pPr>
            <w:r>
              <w:rPr>
                <w:rFonts w:ascii="Liberation Sans Narrow" w:hAnsi="Liberation Sans Narrow"/>
                <w:sz w:val="18"/>
              </w:rPr>
              <w:t xml:space="preserve">Art. 374, I: suspensão de expediente determinada pelo próprio tribunal é fato notório</w:t>
            </w:r>
          </w:p>
        </w:tc>
        <w:tc>
          <w:tcPr>
            <w:tcW w:type="dxa" w:w="3099"/>
          </w:tcPr>
          <w:p>
            <w:pPr>
              <w:pStyle w:val="Compact"/>
              <w:spacing w:line="276" w:lineRule="auto" w:before="40" w:after="40"/>
            </w:pPr>
            <w:r>
              <w:rPr>
                <w:rFonts w:ascii="Liberation Sans Narrow" w:hAnsi="Liberation Sans Narrow"/>
                <w:sz w:val="18"/>
              </w:rPr>
              <w:t xml:space="preserve">STJ, REsp 2.193.462, Quarta Turma, relator Min. João Otávio de Noronha, julgado em 22/06/2026, DJEN de 26/06/2026</w:t>
            </w:r>
          </w:p>
        </w:tc>
        <w:tc>
          <w:tcPr>
            <w:tcW w:type="dxa" w:w="3894"/>
          </w:tcPr>
          <w:p>
            <w:pPr>
              <w:pStyle w:val="Compact"/>
              <w:spacing w:line="276" w:lineRule="auto" w:before="40" w:after="40"/>
            </w:pPr>
            <w:r>
              <w:rPr>
                <w:rFonts w:ascii="Liberation Sans Narrow" w:hAnsi="Liberation Sans Narrow"/>
                <w:sz w:val="18"/>
              </w:rPr>
              <w:t xml:space="preserve">Tese expressa:</w:t>
            </w:r>
            <w:r>
              <w:rPr>
                <w:rFonts w:ascii="Liberation Sans Narrow" w:hAnsi="Liberation Sans Narrow"/>
                <w:sz w:val="18"/>
              </w:rPr>
              <w:t xml:space="preserve"> </w:t>
            </w:r>
            <w:r>
              <w:rPr>
                <w:rFonts w:ascii="Liberation Sans Narrow" w:hAnsi="Liberation Sans Narrow"/>
                <w:sz w:val="18"/>
              </w:rPr>
              <w:t xml:space="preserve">“Aplica-se o art. 374, I, do CPC quando a suspensão de expediente forense decorre de ato normativo do próprio Tribunal, por se tratar de fato notório que dispensa comprovação”</w:t>
            </w:r>
            <w:r>
              <w:rPr>
                <w:rFonts w:ascii="Liberation Sans Narrow" w:hAnsi="Liberation Sans Narrow"/>
                <w:sz w:val="18"/>
              </w:rPr>
              <w:t xml:space="preserve">. A ausência de expediente determinada por aviso conjunto do tribunal não precisa ser provada no ato de interposição; afasta-se o art. 1.003, § 6º, e reconhece-se a tempestividade da apelação.</w:t>
            </w:r>
          </w:p>
        </w:tc>
      </w:tr>
      <w:tr>
        <w:trPr>
          <w:cantSplit/>
        </w:trPr>
        <w:tc>
          <w:tcPr>
            <w:tcW w:type="dxa" w:w="2361"/>
          </w:tcPr>
          <w:p>
            <w:pPr>
              <w:pStyle w:val="Compact"/>
              <w:spacing w:line="276" w:lineRule="auto" w:before="40" w:after="40"/>
            </w:pPr>
            <w:r>
              <w:rPr>
                <w:rFonts w:ascii="Liberation Sans Narrow" w:hAnsi="Liberation Sans Narrow"/>
                <w:sz w:val="18"/>
              </w:rPr>
              <w:t xml:space="preserve">Art. 374, I: suspensão de expediente e ônus de comprovar (entendimento anterior, em sentido diverso)</w:t>
            </w:r>
          </w:p>
        </w:tc>
        <w:tc>
          <w:tcPr>
            <w:tcW w:type="dxa" w:w="3099"/>
          </w:tcPr>
          <w:p>
            <w:pPr>
              <w:pStyle w:val="Compact"/>
              <w:spacing w:line="276" w:lineRule="auto" w:before="40" w:after="40"/>
            </w:pPr>
            <w:r>
              <w:rPr>
                <w:rFonts w:ascii="Liberation Sans Narrow" w:hAnsi="Liberation Sans Narrow"/>
                <w:sz w:val="18"/>
              </w:rPr>
              <w:t xml:space="preserve">STJ, AgInt no AREsp 2.377.676, Segunda Turma, relator Min. Mauro Campbell Marques, DJe de 22/08/2024</w:t>
            </w:r>
          </w:p>
        </w:tc>
        <w:tc>
          <w:tcPr>
            <w:tcW w:type="dxa" w:w="3894"/>
          </w:tcPr>
          <w:p>
            <w:pPr>
              <w:pStyle w:val="Compact"/>
              <w:spacing w:line="276" w:lineRule="auto" w:before="40" w:after="40"/>
            </w:pPr>
            <w:r>
              <w:rPr>
                <w:rFonts w:ascii="Liberation Sans Narrow" w:hAnsi="Liberation Sans Narrow"/>
                <w:sz w:val="18"/>
              </w:rPr>
              <w:t xml:space="preserve">“A necessidade de comprovação do feriado local ou mesmo da suspensão do expediente, no âmbito do Tribunal a quo, no ato da interposição do recurso, por meio de documento idôneo”</w:t>
            </w:r>
            <w:r>
              <w:rPr>
                <w:rFonts w:ascii="Liberation Sans Narrow" w:hAnsi="Liberation Sans Narrow"/>
                <w:sz w:val="18"/>
              </w:rPr>
              <w:t xml:space="preserve"> </w:t>
            </w:r>
            <w:r>
              <w:rPr>
                <w:rFonts w:ascii="Liberation Sans Narrow" w:hAnsi="Liberation Sans Narrow"/>
                <w:sz w:val="18"/>
              </w:rPr>
              <w:t xml:space="preserve">foi reafirmada pela Corte Especial, e incumbe à parte comprovar as contingências</w:t>
            </w:r>
            <w:r>
              <w:rPr>
                <w:rFonts w:ascii="Liberation Sans Narrow" w:hAnsi="Liberation Sans Narrow"/>
                <w:sz w:val="18"/>
              </w:rPr>
              <w:t xml:space="preserve"> </w:t>
            </w:r>
            <w:r>
              <w:rPr>
                <w:rFonts w:ascii="Liberation Sans Narrow" w:hAnsi="Liberation Sans Narrow"/>
                <w:sz w:val="18"/>
              </w:rPr>
              <w:t xml:space="preserve">“independentemente de se tratar de fato notório incorporado ao sistema eletrônico do Tribunal local”</w:t>
            </w:r>
            <w:r>
              <w:rPr>
                <w:rFonts w:ascii="Liberation Sans Narrow" w:hAnsi="Liberation Sans Narrow"/>
                <w:sz w:val="18"/>
              </w:rPr>
              <w:t xml:space="preserve">.</w:t>
            </w:r>
          </w:p>
        </w:tc>
      </w:tr>
      <w:tr>
        <w:trPr>
          <w:cantSplit/>
        </w:trPr>
        <w:tc>
          <w:tcPr>
            <w:tcW w:type="dxa" w:w="2361"/>
          </w:tcPr>
          <w:p>
            <w:pPr>
              <w:pStyle w:val="Compact"/>
              <w:spacing w:line="276" w:lineRule="auto" w:before="40" w:after="40"/>
            </w:pPr>
            <w:r>
              <w:rPr>
                <w:rFonts w:ascii="Liberation Sans Narrow" w:hAnsi="Liberation Sans Narrow"/>
                <w:sz w:val="18"/>
              </w:rPr>
              <w:t xml:space="preserve">Art. 374, I: dano ao pavimento por excesso de peso é fato notório</w:t>
            </w:r>
          </w:p>
        </w:tc>
        <w:tc>
          <w:tcPr>
            <w:tcW w:type="dxa" w:w="3099"/>
          </w:tcPr>
          <w:p>
            <w:pPr>
              <w:pStyle w:val="Compact"/>
              <w:spacing w:line="276" w:lineRule="auto" w:before="40" w:after="40"/>
            </w:pPr>
            <w:r>
              <w:rPr>
                <w:rFonts w:ascii="Liberation Sans Narrow" w:hAnsi="Liberation Sans Narrow"/>
                <w:sz w:val="18"/>
              </w:rPr>
              <w:t xml:space="preserve">STJ, AgInt no AREsp 1.716.133, Segunda Turma, relator Min. Herman Benjamin, julgado em 31/05/2021, DJe de 01/07/2021</w:t>
            </w:r>
          </w:p>
        </w:tc>
        <w:tc>
          <w:tcPr>
            <w:tcW w:type="dxa" w:w="3894"/>
          </w:tcPr>
          <w:p>
            <w:pPr>
              <w:pStyle w:val="Compact"/>
              <w:spacing w:line="276" w:lineRule="auto" w:before="40" w:after="40"/>
            </w:pPr>
            <w:r>
              <w:rPr>
                <w:rFonts w:ascii="Liberation Sans Narrow" w:hAnsi="Liberation Sans Narrow"/>
                <w:sz w:val="18"/>
              </w:rPr>
              <w:t xml:space="preserve">“É fato notório (art. 374, I, do CPC) que o tráfego de veículos com excesso de peso provoca sérios danos materiais às vias públicas”</w:t>
            </w:r>
            <w:r>
              <w:rPr>
                <w:rFonts w:ascii="Liberation Sans Narrow" w:hAnsi="Liberation Sans Narrow"/>
                <w:sz w:val="18"/>
              </w:rPr>
              <w:t xml:space="preserve">, com deterioração do pavimento e ampliação dos custos de manutenção. Por se tratar de contexto fático incontroverso, o STJ pode revalorar os critérios jurídicos, sem ofensa à Súmula 7.</w:t>
            </w:r>
          </w:p>
        </w:tc>
      </w:tr>
    </w:tbl>
    <w:p>
      <w:pPr>
        <w:pStyle w:val="BodyText"/>
        <w:keepNext/>
        <w:spacing w:after="80"/>
        <w:jc w:val="both"/>
      </w:pPr>
      <w:r>
        <w:t xml:space="preserve">II - afirmados por uma parte e confessados pela parte contrária;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96"/>
        <w:gridCol w:w="2238"/>
        <w:gridCol w:w="4820"/>
      </w:tblGrid>
      <w:tr>
        <w:trPr>
          <w:tblHeader w:val="on"/>
          <w:cantSplit/>
          <w:tblHeader/>
        </w:trPr>
        <w:tc>
          <w:tcPr>
            <w:tcW w:type="dxa" w:w="2296"/>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23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2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96"/>
          </w:tcPr>
          <w:p>
            <w:pPr>
              <w:pStyle w:val="Compact"/>
              <w:spacing w:line="276" w:lineRule="auto" w:before="40" w:after="40"/>
            </w:pPr>
            <w:r>
              <w:rPr>
                <w:rFonts w:ascii="Liberation Sans Narrow" w:hAnsi="Liberation Sans Narrow"/>
                <w:sz w:val="18"/>
              </w:rPr>
              <w:t xml:space="preserve">Art. 374, II e III: a controvérsia sobre o fato afasta a incontrovérsia e a confissão</w:t>
            </w:r>
          </w:p>
        </w:tc>
        <w:tc>
          <w:tcPr>
            <w:tcW w:type="dxa" w:w="2238"/>
          </w:tcPr>
          <w:p>
            <w:pPr>
              <w:pStyle w:val="Compact"/>
              <w:spacing w:line="276" w:lineRule="auto" w:before="40" w:after="40"/>
            </w:pPr>
            <w:r>
              <w:rPr>
                <w:rFonts w:ascii="Liberation Sans Narrow" w:hAnsi="Liberation Sans Narrow"/>
                <w:sz w:val="18"/>
              </w:rPr>
              <w:t xml:space="preserve">STJ, REsp 2.198.361, Terceira Turma, relator Min. Humberto Martins, DJe de 16/10/2025</w:t>
            </w:r>
          </w:p>
        </w:tc>
        <w:tc>
          <w:tcPr>
            <w:tcW w:type="dxa" w:w="4820"/>
          </w:tcPr>
          <w:p>
            <w:pPr>
              <w:pStyle w:val="Compact"/>
              <w:spacing w:line="276" w:lineRule="auto" w:before="40" w:after="40"/>
            </w:pPr>
            <w:r>
              <w:rPr>
                <w:rFonts w:ascii="Liberation Sans Narrow" w:hAnsi="Liberation Sans Narrow"/>
                <w:sz w:val="18"/>
              </w:rPr>
              <w:t xml:space="preserve">“Não se pode considerar como fato incontroverso ou confessado a titularidade da propriedade rural ou a origem dos semoventes, pois as instâncias ordinárias reconheceram a ausência de prova segura quanto a tais afirmações.”</w:t>
            </w:r>
            <w:r>
              <w:rPr>
                <w:rFonts w:ascii="Liberation Sans Narrow" w:hAnsi="Liberation Sans Narrow"/>
                <w:sz w:val="18"/>
              </w:rPr>
              <w:t xml:space="preserve"> </w:t>
            </w:r>
            <w:r>
              <w:rPr>
                <w:rFonts w:ascii="Liberation Sans Narrow" w:hAnsi="Liberation Sans Narrow"/>
                <w:sz w:val="18"/>
              </w:rPr>
              <w:t xml:space="preserve">Os poderes instrutórios do art. 370 são facultativos e não substituem o ônus do art. 373; a revisão do acervo probatório é barrada pela Súmula 7.</w:t>
            </w:r>
          </w:p>
        </w:tc>
      </w:tr>
    </w:tbl>
    <w:p>
      <w:pPr>
        <w:pStyle w:val="BodyText"/>
        <w:spacing w:after="80"/>
        <w:jc w:val="both"/>
      </w:pPr>
      <w:r>
        <w:t xml:space="preserve">III - admitidos no processo como incontroversos;</w:t>
      </w:r>
    </w:p>
    <w:p>
      <w:pPr>
        <w:pStyle w:val="BodyText"/>
        <w:spacing w:after="80"/>
        <w:jc w:val="both"/>
      </w:pPr>
      <w:r>
        <w:t xml:space="preserve">IV - em cujo favor milita presunção legal de existência ou de veracidade.</w:t>
      </w:r>
    </w:p>
    <w:bookmarkEnd w:id="92"/>
    <w:bookmarkStart w:id="93" w:name="art.-375"/>
    <w:p>
      <w:pPr>
        <w:pStyle w:val="Heading6"/>
        <w:pBdr>
          <w:left w:val="single" w:sz="36" w:space="4" w:color="2E75B6"/>
        </w:pBdr>
        <w:shd w:val="clear" w:color="auto" w:fill="E3EEF9"/>
        <w:spacing w:before="200" w:after="80"/>
        <w:ind w:left="85"/>
      </w:pPr>
      <w:r>
        <w:rPr>
          <w:i w:val="0"/>
          <w:color w:val="1F3A5F"/>
          <w:sz w:val="23"/>
        </w:rPr>
        <w:t xml:space="preserve">Art. 375</w:t>
      </w:r>
    </w:p>
    <w:p>
      <w:pPr>
        <w:pStyle w:val="FirstParagraph"/>
        <w:keepNext/>
        <w:spacing w:after="80"/>
        <w:jc w:val="both"/>
      </w:pPr>
      <w:r>
        <w:rPr>
          <w:b/>
          <w:bCs/>
        </w:rPr>
        <w:t xml:space="preserve">Art. 375.</w:t>
      </w:r>
      <w:r>
        <w:t xml:space="preserve"> </w:t>
      </w:r>
      <w:r>
        <w:t xml:space="preserve">O juiz aplicará as regras de experiência comum subministradas pela observação do que ordinariamente acontece e, ainda, as regras de experiência técnica, ressalvado, quanto a estas, o exame pericial.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504"/>
        <w:gridCol w:w="2883"/>
        <w:gridCol w:w="3968"/>
      </w:tblGrid>
      <w:tr>
        <w:trPr>
          <w:tblHeader w:val="on"/>
          <w:cantSplit/>
          <w:tblHeader/>
        </w:trPr>
        <w:tc>
          <w:tcPr>
            <w:tcW w:type="dxa" w:w="2504"/>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8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3968"/>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504"/>
          </w:tcPr>
          <w:p>
            <w:pPr>
              <w:pStyle w:val="Compact"/>
              <w:spacing w:line="276" w:lineRule="auto" w:before="40" w:after="40"/>
            </w:pPr>
            <w:r>
              <w:rPr>
                <w:rFonts w:ascii="Liberation Sans Narrow" w:hAnsi="Liberation Sans Narrow"/>
                <w:sz w:val="18"/>
              </w:rPr>
              <w:t xml:space="preserve">Art. 375: uso das regras de experiência comum para fixar o lapso indenizável</w:t>
            </w:r>
          </w:p>
        </w:tc>
        <w:tc>
          <w:tcPr>
            <w:tcW w:type="dxa" w:w="2883"/>
          </w:tcPr>
          <w:p>
            <w:pPr>
              <w:pStyle w:val="Compact"/>
              <w:spacing w:line="276" w:lineRule="auto" w:before="40" w:after="40"/>
            </w:pPr>
            <w:r>
              <w:rPr>
                <w:rFonts w:ascii="Liberation Sans Narrow" w:hAnsi="Liberation Sans Narrow"/>
                <w:sz w:val="18"/>
              </w:rPr>
              <w:t xml:space="preserve">STJ, AREsp 3.141.923, Terceira Turma, relator Min. Moura Ribeiro, julgado em 30/06/2026, DJEN de 03/07/2026</w:t>
            </w:r>
          </w:p>
        </w:tc>
        <w:tc>
          <w:tcPr>
            <w:tcW w:type="dxa" w:w="3968"/>
          </w:tcPr>
          <w:p>
            <w:pPr>
              <w:pStyle w:val="Compact"/>
              <w:spacing w:line="276" w:lineRule="auto" w:before="40" w:after="40"/>
            </w:pPr>
            <w:r>
              <w:rPr>
                <w:rFonts w:ascii="Liberation Sans Narrow" w:hAnsi="Liberation Sans Narrow"/>
                <w:sz w:val="18"/>
              </w:rPr>
              <w:t xml:space="preserve">O colegiado pode fixar o período indenizável observando</w:t>
            </w:r>
            <w:r>
              <w:rPr>
                <w:rFonts w:ascii="Liberation Sans Narrow" w:hAnsi="Liberation Sans Narrow"/>
                <w:sz w:val="18"/>
              </w:rPr>
              <w:t xml:space="preserve"> </w:t>
            </w:r>
            <w:r>
              <w:rPr>
                <w:rFonts w:ascii="Liberation Sans Narrow" w:hAnsi="Liberation Sans Narrow"/>
                <w:sz w:val="18"/>
              </w:rPr>
              <w:t xml:space="preserve">“o que ordinariamente acontece e as circunstâncias do caso concreto”</w:t>
            </w:r>
            <w:r>
              <w:rPr>
                <w:rFonts w:ascii="Liberation Sans Narrow" w:hAnsi="Liberation Sans Narrow"/>
                <w:sz w:val="18"/>
              </w:rPr>
              <w:t xml:space="preserve">, com base nas regras de experiência comum e técnica do art. 375. Em padrão epistêmico adequado,</w:t>
            </w:r>
            <w:r>
              <w:rPr>
                <w:rFonts w:ascii="Liberation Sans Narrow" w:hAnsi="Liberation Sans Narrow"/>
                <w:sz w:val="18"/>
              </w:rPr>
              <w:t xml:space="preserve"> </w:t>
            </w:r>
            <w:r>
              <w:rPr>
                <w:rFonts w:ascii="Liberation Sans Narrow" w:hAnsi="Liberation Sans Narrow"/>
                <w:sz w:val="18"/>
              </w:rPr>
              <w:t xml:space="preserve">“afirmações que divergem do esperado, do comum, do ordinário exigem demonstração reforçada”</w:t>
            </w:r>
            <w:r>
              <w:rPr>
                <w:rFonts w:ascii="Liberation Sans Narrow" w:hAnsi="Liberation Sans Narrow"/>
                <w:sz w:val="18"/>
              </w:rPr>
              <w:t xml:space="preserve">; a pretensão de vincular o prazo ao contrato esbarra nas Súmulas 5 e 7.</w:t>
            </w:r>
          </w:p>
        </w:tc>
      </w:tr>
      <w:tr>
        <w:trPr>
          <w:cantSplit/>
        </w:trPr>
        <w:tc>
          <w:tcPr>
            <w:tcW w:type="dxa" w:w="2504"/>
          </w:tcPr>
          <w:p>
            <w:pPr>
              <w:pStyle w:val="Compact"/>
              <w:spacing w:line="276" w:lineRule="auto" w:before="40" w:after="40"/>
            </w:pPr>
            <w:r>
              <w:rPr>
                <w:rFonts w:ascii="Liberation Sans Narrow" w:hAnsi="Liberation Sans Narrow"/>
                <w:sz w:val="18"/>
              </w:rPr>
              <w:t xml:space="preserve">Art. 375: a ressalva do exame pericial afasta as regras de experiência quando a matéria é técnica</w:t>
            </w:r>
          </w:p>
        </w:tc>
        <w:tc>
          <w:tcPr>
            <w:tcW w:type="dxa" w:w="2883"/>
          </w:tcPr>
          <w:p>
            <w:pPr>
              <w:pStyle w:val="Compact"/>
              <w:spacing w:line="276" w:lineRule="auto" w:before="40" w:after="40"/>
            </w:pPr>
            <w:r>
              <w:rPr>
                <w:rFonts w:ascii="Liberation Sans Narrow" w:hAnsi="Liberation Sans Narrow"/>
                <w:sz w:val="18"/>
              </w:rPr>
              <w:t xml:space="preserve">STJ, AREsp 2.749.084, Quarta Turma, relator Min. Raul Araújo, julgado em 04/05/2026, DJEN de 12/05/2026</w:t>
            </w:r>
          </w:p>
        </w:tc>
        <w:tc>
          <w:tcPr>
            <w:tcW w:type="dxa" w:w="3968"/>
          </w:tcPr>
          <w:p>
            <w:pPr>
              <w:pStyle w:val="Compact"/>
              <w:spacing w:line="276" w:lineRule="auto" w:before="40" w:after="40"/>
            </w:pPr>
            <w:r>
              <w:rPr>
                <w:rFonts w:ascii="Liberation Sans Narrow" w:hAnsi="Liberation Sans Narrow"/>
                <w:sz w:val="18"/>
              </w:rPr>
              <w:t xml:space="preserve">“Nos termos do art. 375 do CPC/2015 (art. 355 do CPC/73), as regras de experiência não podem ser aplicadas pelo julgador quando a solução da lide demandar conhecimentos técnicos sobre o tema.”</w:t>
            </w:r>
            <w:r>
              <w:rPr>
                <w:rFonts w:ascii="Liberation Sans Narrow" w:hAnsi="Liberation Sans Narrow"/>
                <w:sz w:val="18"/>
              </w:rPr>
              <w:t xml:space="preserve"> </w:t>
            </w:r>
            <w:r>
              <w:rPr>
                <w:rFonts w:ascii="Liberation Sans Narrow" w:hAnsi="Liberation Sans Narrow"/>
                <w:sz w:val="18"/>
              </w:rPr>
              <w:t xml:space="preserve">O juiz não está adstrito ao laudo, mas a desconsideração da perícia que atestou invalidez parcial permanente, substituída por enquadramento distinto sem força probante, afronta o sistema de valoração das provas (arts. 371 e 479). Recurso parcialmente provido.</w:t>
            </w:r>
          </w:p>
        </w:tc>
      </w:tr>
      <w:tr>
        <w:trPr>
          <w:cantSplit/>
        </w:trPr>
        <w:tc>
          <w:tcPr>
            <w:tcW w:type="dxa" w:w="2504"/>
          </w:tcPr>
          <w:p>
            <w:pPr>
              <w:pStyle w:val="Compact"/>
              <w:spacing w:line="276" w:lineRule="auto" w:before="40" w:after="40"/>
            </w:pPr>
            <w:r>
              <w:rPr>
                <w:rFonts w:ascii="Liberation Sans Narrow" w:hAnsi="Liberation Sans Narrow"/>
                <w:sz w:val="18"/>
              </w:rPr>
              <w:t xml:space="preserve">Art. 375: regras de experiência não se confundem com o conhecimento pessoal do julgador</w:t>
            </w:r>
          </w:p>
        </w:tc>
        <w:tc>
          <w:tcPr>
            <w:tcW w:type="dxa" w:w="2883"/>
          </w:tcPr>
          <w:p>
            <w:pPr>
              <w:pStyle w:val="Compact"/>
              <w:spacing w:line="276" w:lineRule="auto" w:before="40" w:after="40"/>
            </w:pPr>
            <w:r>
              <w:rPr>
                <w:rFonts w:ascii="Liberation Sans Narrow" w:hAnsi="Liberation Sans Narrow"/>
                <w:sz w:val="18"/>
              </w:rPr>
              <w:t xml:space="preserve">STJ, REsp 1.786.046, Terceira Turma, relator Min. Moura Ribeiro, julgado em 09/05/2023, DJe de 11/05/2023</w:t>
            </w:r>
          </w:p>
        </w:tc>
        <w:tc>
          <w:tcPr>
            <w:tcW w:type="dxa" w:w="3968"/>
          </w:tcPr>
          <w:p>
            <w:pPr>
              <w:pStyle w:val="Compact"/>
              <w:spacing w:line="276" w:lineRule="auto" w:before="40" w:after="40"/>
            </w:pPr>
            <w:r>
              <w:rPr>
                <w:rFonts w:ascii="Liberation Sans Narrow" w:hAnsi="Liberation Sans Narrow"/>
                <w:sz w:val="18"/>
              </w:rPr>
              <w:t xml:space="preserve">As regras ou máximas de experiência são juízos que o homem médio formula a partir do que normalmente acontece e</w:t>
            </w:r>
            <w:r>
              <w:rPr>
                <w:rFonts w:ascii="Liberation Sans Narrow" w:hAnsi="Liberation Sans Narrow"/>
                <w:sz w:val="18"/>
              </w:rPr>
              <w:t xml:space="preserve"> </w:t>
            </w:r>
            <w:r>
              <w:rPr>
                <w:rFonts w:ascii="Liberation Sans Narrow" w:hAnsi="Liberation Sans Narrow"/>
                <w:sz w:val="18"/>
              </w:rPr>
              <w:t xml:space="preserve">“não se confundem com o conhecimento pessoal que ele tem a respeito de algum fato concreto, em relação ao qual, exige-se, de qualquer forma, a produção de prova específica, sob o crivo do contraditório”</w:t>
            </w:r>
            <w:r>
              <w:rPr>
                <w:rFonts w:ascii="Liberation Sans Narrow" w:hAnsi="Liberation Sans Narrow"/>
                <w:sz w:val="18"/>
              </w:rPr>
              <w:t xml:space="preserve">. Saber o valor de mercado de imóvel penhorado não é informação de conhecimento público: a avaliação exige perícia, e não cabe ao julgador fixá-la com base no art. 375. Recurso especial provido.</w:t>
            </w:r>
          </w:p>
        </w:tc>
      </w:tr>
    </w:tbl>
    <w:bookmarkEnd w:id="93"/>
    <w:bookmarkStart w:id="94" w:name="art.-376"/>
    <w:p>
      <w:pPr>
        <w:pStyle w:val="Heading6"/>
        <w:pBdr>
          <w:left w:val="single" w:sz="36" w:space="4" w:color="2E75B6"/>
        </w:pBdr>
        <w:shd w:val="clear" w:color="auto" w:fill="E3EEF9"/>
        <w:spacing w:before="200" w:after="80"/>
        <w:ind w:left="85"/>
      </w:pPr>
      <w:r>
        <w:rPr>
          <w:i w:val="0"/>
          <w:color w:val="1F3A5F"/>
          <w:sz w:val="23"/>
        </w:rPr>
        <w:t xml:space="preserve">Art. 376</w:t>
      </w:r>
    </w:p>
    <w:p>
      <w:pPr>
        <w:pStyle w:val="FirstParagraph"/>
        <w:keepNext/>
        <w:spacing w:after="80"/>
        <w:jc w:val="both"/>
      </w:pPr>
      <w:r>
        <w:rPr>
          <w:b/>
          <w:bCs/>
        </w:rPr>
        <w:t xml:space="preserve">Art. 376.</w:t>
      </w:r>
      <w:r>
        <w:t xml:space="preserve"> </w:t>
      </w:r>
      <w:r>
        <w:t xml:space="preserve">A parte que alegar direito municipal, estadual, estrangeiro ou consuetudinário provar-lhe-á o teor e a vigência, se assim o juiz determinar.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2717"/>
        <w:gridCol w:w="4731"/>
      </w:tblGrid>
      <w:tr>
        <w:trPr>
          <w:tblHeader w:val="on"/>
          <w:cantSplit/>
          <w:tblHeader/>
        </w:trPr>
        <w:tc>
          <w:tcPr>
            <w:tcW w:type="dxa" w:w="1906"/>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1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3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06"/>
          </w:tcPr>
          <w:p>
            <w:pPr>
              <w:pStyle w:val="Compact"/>
              <w:spacing w:line="276" w:lineRule="auto" w:before="40" w:after="40"/>
            </w:pPr>
            <w:r>
              <w:rPr>
                <w:rFonts w:ascii="Liberation Sans Narrow" w:hAnsi="Liberation Sans Narrow"/>
                <w:sz w:val="18"/>
              </w:rPr>
              <w:t xml:space="preserve">Art. 376: ônus de provar o teor e a vigência do direito estrangeiro</w:t>
            </w:r>
          </w:p>
        </w:tc>
        <w:tc>
          <w:tcPr>
            <w:tcW w:type="dxa" w:w="2717"/>
          </w:tcPr>
          <w:p>
            <w:pPr>
              <w:pStyle w:val="Compact"/>
              <w:spacing w:line="276" w:lineRule="auto" w:before="40" w:after="40"/>
            </w:pPr>
            <w:r>
              <w:rPr>
                <w:rFonts w:ascii="Liberation Sans Narrow" w:hAnsi="Liberation Sans Narrow"/>
                <w:sz w:val="18"/>
              </w:rPr>
              <w:t xml:space="preserve">STJ, REsp 1.691.771, Segunda Turma, relator Min. Mauro Campbell Marques, julgado em 13/12/2022, DJe de 15/12/2022</w:t>
            </w:r>
          </w:p>
        </w:tc>
        <w:tc>
          <w:tcPr>
            <w:tcW w:type="dxa" w:w="4731"/>
          </w:tcPr>
          <w:p>
            <w:pPr>
              <w:pStyle w:val="Compact"/>
              <w:spacing w:line="276" w:lineRule="auto" w:before="40" w:after="40"/>
            </w:pPr>
            <w:r>
              <w:rPr>
                <w:rFonts w:ascii="Liberation Sans Narrow" w:hAnsi="Liberation Sans Narrow"/>
                <w:sz w:val="18"/>
              </w:rPr>
              <w:t xml:space="preserve">A prova da vigência de norma estrangeira que assegure a reciprocidade de tratamento do art. 5º da Lei 4.862/65 cabe ao contribuinte, na forma do art. 376 do CPC/2015, cujo texto a ementa transcreve: a parte que alegar direito municipal, estadual, estrangeiro ou consuetudinário provar-lhe-á o teor e a vigência, se assim o juiz determinar. A Corte de origem, ao subtrair a oportunidade de produzir essa prova e ao silenciar-se, em embargos de declaração, sobre sua necessidade e relevância, incidiu em omissão relevante (art. 535 do CPC/1973, atual art. 1.022 do CPC/2015). Recurso especial provido para que a origem oportunize ao contribuinte demonstrar a vigência da norma estrangeira.</w:t>
            </w:r>
          </w:p>
        </w:tc>
      </w:tr>
    </w:tbl>
    <w:bookmarkEnd w:id="94"/>
    <w:bookmarkStart w:id="95" w:name="art.-377"/>
    <w:p>
      <w:pPr>
        <w:pStyle w:val="Heading6"/>
        <w:pBdr>
          <w:left w:val="single" w:sz="36" w:space="4" w:color="2E75B6"/>
        </w:pBdr>
        <w:shd w:val="clear" w:color="auto" w:fill="E3EEF9"/>
        <w:spacing w:before="200" w:after="80"/>
        <w:ind w:left="85"/>
      </w:pPr>
      <w:r>
        <w:rPr>
          <w:i w:val="0"/>
          <w:color w:val="1F3A5F"/>
          <w:sz w:val="23"/>
        </w:rPr>
        <w:t xml:space="preserve">Art. 377</w:t>
      </w:r>
    </w:p>
    <w:p>
      <w:pPr>
        <w:pStyle w:val="FirstParagraph"/>
        <w:spacing w:after="80"/>
        <w:jc w:val="both"/>
      </w:pPr>
      <w:r>
        <w:rPr>
          <w:b/>
          <w:bCs/>
        </w:rPr>
        <w:t xml:space="preserve">Art. 377.</w:t>
      </w:r>
      <w:r>
        <w:t xml:space="preserve"> </w:t>
      </w:r>
      <w:r>
        <w:t xml:space="preserve">A carta precatória, a carta rogatória e o auxílio direto suspenderão o julgamento da causa no caso previsto no art. 313, inciso V, alínea “b”, quando, tendo sido requeridos antes da decisão de saneamento, a prova neles solicitada for imprescindível.</w:t>
      </w:r>
    </w:p>
    <w:p>
      <w:pPr>
        <w:pStyle w:val="BodyText"/>
        <w:spacing w:after="80"/>
        <w:jc w:val="both"/>
      </w:pPr>
      <w:r>
        <w:t xml:space="preserve">Parágrafo único. A carta precatória e a carta rogatória não devolvidas no prazo ou concedidas sem efeito suspensivo poderão ser juntadas aos autos a qualquer momento.</w:t>
      </w:r>
    </w:p>
    <w:bookmarkEnd w:id="95"/>
    <w:bookmarkStart w:id="96" w:name="art.-378"/>
    <w:p>
      <w:pPr>
        <w:pStyle w:val="Heading6"/>
        <w:pBdr>
          <w:left w:val="single" w:sz="36" w:space="4" w:color="2E75B6"/>
        </w:pBdr>
        <w:shd w:val="clear" w:color="auto" w:fill="E3EEF9"/>
        <w:spacing w:before="200" w:after="80"/>
        <w:ind w:left="85"/>
      </w:pPr>
      <w:r>
        <w:rPr>
          <w:i w:val="0"/>
          <w:color w:val="1F3A5F"/>
          <w:sz w:val="23"/>
        </w:rPr>
        <w:t xml:space="preserve">Art. 378</w:t>
      </w:r>
    </w:p>
    <w:p>
      <w:pPr>
        <w:pStyle w:val="FirstParagraph"/>
        <w:keepNext/>
        <w:spacing w:after="80"/>
        <w:jc w:val="both"/>
      </w:pPr>
      <w:r>
        <w:rPr>
          <w:b/>
          <w:bCs/>
        </w:rPr>
        <w:t xml:space="preserve">Art. 378.</w:t>
      </w:r>
      <w:r>
        <w:t xml:space="preserve"> </w:t>
      </w:r>
      <w:r>
        <w:t xml:space="preserve">Ninguém se exime do dever de colaborar com o Poder Judiciário para o descobrimento da verdade.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2"/>
        <w:gridCol w:w="2558"/>
        <w:gridCol w:w="4775"/>
      </w:tblGrid>
      <w:tr>
        <w:trPr>
          <w:tblHeader w:val="on"/>
          <w:cantSplit/>
          <w:tblHeader/>
        </w:trPr>
        <w:tc>
          <w:tcPr>
            <w:tcW w:type="dxa" w:w="202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5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7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22"/>
          </w:tcPr>
          <w:p>
            <w:pPr>
              <w:pStyle w:val="Compact"/>
              <w:spacing w:line="276" w:lineRule="auto" w:before="40" w:after="40"/>
            </w:pPr>
            <w:r>
              <w:rPr>
                <w:rFonts w:ascii="Liberation Sans Narrow" w:hAnsi="Liberation Sans Narrow"/>
                <w:sz w:val="18"/>
              </w:rPr>
              <w:t xml:space="preserve">Art. 378: dever de colaboração como fundamento da exibição de documentos</w:t>
            </w:r>
          </w:p>
        </w:tc>
        <w:tc>
          <w:tcPr>
            <w:tcW w:type="dxa" w:w="2558"/>
          </w:tcPr>
          <w:p>
            <w:pPr>
              <w:pStyle w:val="Compact"/>
              <w:spacing w:line="276" w:lineRule="auto" w:before="40" w:after="40"/>
            </w:pPr>
            <w:r>
              <w:rPr>
                <w:rFonts w:ascii="Liberation Sans Narrow" w:hAnsi="Liberation Sans Narrow"/>
                <w:sz w:val="18"/>
              </w:rPr>
              <w:t xml:space="preserve">STJ, AREsp 2.770.186, Quarta Turma, relator Min. Raul Araújo, julgado em 02/03/2026, DJEN de 11/03/2026</w:t>
            </w:r>
          </w:p>
        </w:tc>
        <w:tc>
          <w:tcPr>
            <w:tcW w:type="dxa" w:w="4774"/>
          </w:tcPr>
          <w:p>
            <w:pPr>
              <w:pStyle w:val="Compact"/>
              <w:spacing w:line="276" w:lineRule="auto" w:before="40" w:after="40"/>
            </w:pPr>
            <w:r>
              <w:rPr>
                <w:rFonts w:ascii="Liberation Sans Narrow" w:hAnsi="Liberation Sans Narrow"/>
                <w:sz w:val="18"/>
              </w:rPr>
              <w:t xml:space="preserve">A decisão que determinou a exibição de extratos da</w:t>
            </w:r>
            <w:r>
              <w:rPr>
                <w:rFonts w:ascii="Liberation Sans Narrow" w:hAnsi="Liberation Sans Narrow"/>
                <w:sz w:val="18"/>
              </w:rPr>
              <w:t xml:space="preserve"> </w:t>
            </w:r>
            <w:r>
              <w:rPr>
                <w:rFonts w:ascii="Liberation Sans Narrow" w:hAnsi="Liberation Sans Narrow"/>
                <w:sz w:val="18"/>
              </w:rPr>
              <w:t xml:space="preserve">“conta centralizadora”</w:t>
            </w:r>
            <w:r>
              <w:rPr>
                <w:rFonts w:ascii="Liberation Sans Narrow" w:hAnsi="Liberation Sans Narrow"/>
                <w:sz w:val="18"/>
              </w:rPr>
              <w:t xml:space="preserve"> </w:t>
            </w:r>
            <w:r>
              <w:rPr>
                <w:rFonts w:ascii="Liberation Sans Narrow" w:hAnsi="Liberation Sans Narrow"/>
                <w:sz w:val="18"/>
              </w:rPr>
              <w:t xml:space="preserve">de operação de securitização</w:t>
            </w:r>
            <w:r>
              <w:rPr>
                <w:rFonts w:ascii="Liberation Sans Narrow" w:hAnsi="Liberation Sans Narrow"/>
                <w:sz w:val="18"/>
              </w:rPr>
              <w:t xml:space="preserve"> </w:t>
            </w:r>
            <w:r>
              <w:rPr>
                <w:rFonts w:ascii="Liberation Sans Narrow" w:hAnsi="Liberation Sans Narrow"/>
                <w:sz w:val="18"/>
              </w:rPr>
              <w:t xml:space="preserve">“está fundamentada no dever de colaboração processual e na possibilidade de intimação de terceiro para apresentação de documentos relacionados ao objeto da execução, conforme os arts. 378, 380 e 772, III, do CPC”</w:t>
            </w:r>
            <w:r>
              <w:rPr>
                <w:rFonts w:ascii="Liberation Sans Narrow" w:hAnsi="Liberation Sans Narrow"/>
                <w:sz w:val="18"/>
              </w:rPr>
              <w:t xml:space="preserve">. A medida</w:t>
            </w:r>
            <w:r>
              <w:rPr>
                <w:rFonts w:ascii="Liberation Sans Narrow" w:hAnsi="Liberation Sans Narrow"/>
                <w:sz w:val="18"/>
              </w:rPr>
              <w:t xml:space="preserve"> </w:t>
            </w:r>
            <w:r>
              <w:rPr>
                <w:rFonts w:ascii="Liberation Sans Narrow" w:hAnsi="Liberation Sans Narrow"/>
                <w:sz w:val="18"/>
              </w:rPr>
              <w:t xml:space="preserve">“não configura quebra de sigilo bancário, pois se refere a informações da própria devedora”</w:t>
            </w:r>
            <w:r>
              <w:rPr>
                <w:rFonts w:ascii="Liberation Sans Narrow" w:hAnsi="Liberation Sans Narrow"/>
                <w:sz w:val="18"/>
              </w:rPr>
              <w:t xml:space="preserve">, sendo providência excepcional para satisfação do crédito. Agravo conhecido para negar provimento ao recurso especial, também por incidência da Súmula 126/STJ.</w:t>
            </w:r>
          </w:p>
        </w:tc>
      </w:tr>
    </w:tbl>
    <w:bookmarkEnd w:id="96"/>
    <w:bookmarkStart w:id="97" w:name="art.-379"/>
    <w:p>
      <w:pPr>
        <w:pStyle w:val="Heading6"/>
        <w:pBdr>
          <w:left w:val="single" w:sz="36" w:space="4" w:color="2E75B6"/>
        </w:pBdr>
        <w:shd w:val="clear" w:color="auto" w:fill="E3EEF9"/>
        <w:spacing w:before="200" w:after="80"/>
        <w:ind w:left="85"/>
      </w:pPr>
      <w:r>
        <w:rPr>
          <w:i w:val="0"/>
          <w:color w:val="1F3A5F"/>
          <w:sz w:val="23"/>
        </w:rPr>
        <w:t xml:space="preserve">Art. 379</w:t>
      </w:r>
    </w:p>
    <w:p>
      <w:pPr>
        <w:pStyle w:val="FirstParagraph"/>
        <w:spacing w:after="80"/>
        <w:jc w:val="both"/>
      </w:pPr>
      <w:r>
        <w:rPr>
          <w:b/>
          <w:bCs/>
        </w:rPr>
        <w:t xml:space="preserve">Art. 379.</w:t>
      </w:r>
      <w:r>
        <w:t xml:space="preserve"> </w:t>
      </w:r>
      <w:r>
        <w:t xml:space="preserve">Preservado o direito de não produzir prova contra si própria, incumbe à parte:</w:t>
      </w:r>
    </w:p>
    <w:p>
      <w:pPr>
        <w:pStyle w:val="BodyText"/>
        <w:spacing w:after="80"/>
        <w:jc w:val="both"/>
      </w:pPr>
      <w:r>
        <w:t xml:space="preserve">I - comparecer em juízo, respondendo ao que lhe for interrogado;</w:t>
      </w:r>
    </w:p>
    <w:p>
      <w:pPr>
        <w:pStyle w:val="BodyText"/>
        <w:spacing w:after="80"/>
        <w:jc w:val="both"/>
      </w:pPr>
      <w:r>
        <w:t xml:space="preserve">II - colaborar com o juízo na realização de inspeção judicial que for considerada necessária;</w:t>
      </w:r>
    </w:p>
    <w:p>
      <w:pPr>
        <w:pStyle w:val="BodyText"/>
        <w:spacing w:after="80"/>
        <w:jc w:val="both"/>
      </w:pPr>
      <w:r>
        <w:t xml:space="preserve">III - praticar o ato que lhe for determinado.</w:t>
      </w:r>
    </w:p>
    <w:bookmarkEnd w:id="97"/>
    <w:bookmarkStart w:id="98" w:name="art.-380"/>
    <w:p>
      <w:pPr>
        <w:pStyle w:val="Heading6"/>
        <w:pBdr>
          <w:left w:val="single" w:sz="36" w:space="4" w:color="2E75B6"/>
        </w:pBdr>
        <w:shd w:val="clear" w:color="auto" w:fill="E3EEF9"/>
        <w:spacing w:before="200" w:after="80"/>
        <w:ind w:left="85"/>
      </w:pPr>
      <w:r>
        <w:rPr>
          <w:i w:val="0"/>
          <w:color w:val="1F3A5F"/>
          <w:sz w:val="23"/>
        </w:rPr>
        <w:t xml:space="preserve">Art. 380</w:t>
      </w:r>
    </w:p>
    <w:p>
      <w:pPr>
        <w:pStyle w:val="FirstParagraph"/>
        <w:spacing w:after="80"/>
        <w:jc w:val="both"/>
      </w:pPr>
      <w:r>
        <w:rPr>
          <w:b/>
          <w:bCs/>
        </w:rPr>
        <w:t xml:space="preserve">Art. 380.</w:t>
      </w:r>
      <w:r>
        <w:t xml:space="preserve"> </w:t>
      </w:r>
      <w:r>
        <w:t xml:space="preserve">Incumbe ao terceiro, em relação a qualquer causa:</w:t>
      </w:r>
    </w:p>
    <w:p>
      <w:pPr>
        <w:pStyle w:val="BodyText"/>
        <w:spacing w:after="80"/>
        <w:jc w:val="both"/>
      </w:pPr>
      <w:r>
        <w:t xml:space="preserve">I - informar ao juiz os fatos e as circunstâncias de que tenha conhecimento;</w:t>
      </w:r>
    </w:p>
    <w:p>
      <w:pPr>
        <w:pStyle w:val="BodyText"/>
        <w:spacing w:after="80"/>
        <w:jc w:val="both"/>
      </w:pPr>
      <w:r>
        <w:t xml:space="preserve">II - exibir coisa ou documento que esteja em seu poder.</w:t>
      </w:r>
    </w:p>
    <w:p>
      <w:pPr>
        <w:pStyle w:val="BodyText"/>
        <w:keepNext/>
        <w:spacing w:after="80"/>
        <w:jc w:val="both"/>
      </w:pPr>
      <w:r>
        <w:t xml:space="preserve">Parágrafo único. Poderá o juiz, em caso de descumprimento, determinar, além da imposição de multa, outras medidas indutivas, coercitivas, mandamentais ou sub-rogatórias.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628"/>
        <w:gridCol w:w="2083"/>
        <w:gridCol w:w="4643"/>
      </w:tblGrid>
      <w:tr>
        <w:trPr>
          <w:tblHeader w:val="on"/>
          <w:cantSplit/>
          <w:tblHeader/>
        </w:trPr>
        <w:tc>
          <w:tcPr>
            <w:tcW w:type="dxa" w:w="2629"/>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08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64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629"/>
          </w:tcPr>
          <w:p>
            <w:pPr>
              <w:pStyle w:val="Compact"/>
              <w:spacing w:line="276" w:lineRule="auto" w:before="40" w:after="40"/>
            </w:pPr>
            <w:r>
              <w:rPr>
                <w:rFonts w:ascii="Liberation Sans Narrow" w:hAnsi="Liberation Sans Narrow"/>
                <w:sz w:val="18"/>
              </w:rPr>
              <w:t xml:space="preserve">Parágrafo único: medidas necessárias para que o terceiro cumpra o dever de colaborar com o Judiciário</w:t>
            </w:r>
          </w:p>
        </w:tc>
        <w:tc>
          <w:tcPr>
            <w:tcW w:type="dxa" w:w="2083"/>
          </w:tcPr>
          <w:p>
            <w:pPr>
              <w:pStyle w:val="Compact"/>
              <w:spacing w:line="276" w:lineRule="auto" w:before="40" w:after="40"/>
            </w:pPr>
            <w:r>
              <w:rPr>
                <w:rFonts w:ascii="Liberation Sans Narrow" w:hAnsi="Liberation Sans Narrow"/>
                <w:sz w:val="18"/>
              </w:rPr>
              <w:t xml:space="preserve">STF, ADI 5.941, Tribunal Pleno, relator Min. Luiz Fux, julgado em 09/02/2023</w:t>
            </w:r>
          </w:p>
        </w:tc>
        <w:tc>
          <w:tcPr>
            <w:tcW w:type="dxa" w:w="4643"/>
          </w:tcPr>
          <w:p>
            <w:pPr>
              <w:pStyle w:val="Compact"/>
              <w:spacing w:line="276" w:lineRule="auto" w:before="40" w:after="40"/>
            </w:pPr>
            <w:r>
              <w:rPr>
                <w:rFonts w:ascii="Liberation Sans Narrow" w:hAnsi="Liberation Sans Narrow"/>
                <w:sz w:val="18"/>
              </w:rPr>
              <w:t xml:space="preserve">Julgada improcedente: não há inconstitucionalidade a priori nos meios executivos atípicos, cuja adequação, necessidade e proporcionalidade em sentido estrito se aferem no caso concreto, com controle pelo sistema recursal.</w:t>
            </w:r>
          </w:p>
        </w:tc>
      </w:tr>
    </w:tbl>
    <w:bookmarkEnd w:id="98"/>
    <w:bookmarkEnd w:id="99"/>
    <w:bookmarkStart w:id="103" w:name="Xe8bcdf2452351349d7c4e958a0cd2f27016f060"/>
    <w:p>
      <w:pPr>
        <w:pStyle w:val="Heading5"/>
        <w:spacing w:before="140" w:after="20"/>
      </w:pPr>
      <w:r>
        <w:rPr>
          <w:i/>
          <w:color w:val="595959"/>
        </w:rPr>
        <w:t xml:space="preserve">Seção II: da produção antecipada da prova (arts. 381 a 383)</w:t>
      </w:r>
    </w:p>
    <w:bookmarkStart w:id="100" w:name="art.-381"/>
    <w:p>
      <w:pPr>
        <w:pStyle w:val="Heading6"/>
        <w:pBdr>
          <w:left w:val="single" w:sz="36" w:space="4" w:color="2E75B6"/>
        </w:pBdr>
        <w:shd w:val="clear" w:color="auto" w:fill="E3EEF9"/>
        <w:spacing w:before="200" w:after="80"/>
        <w:ind w:left="85"/>
      </w:pPr>
      <w:r>
        <w:rPr>
          <w:i w:val="0"/>
          <w:color w:val="1F3A5F"/>
          <w:sz w:val="23"/>
        </w:rPr>
        <w:t xml:space="preserve">Art. 381</w:t>
      </w:r>
    </w:p>
    <w:p>
      <w:pPr>
        <w:pStyle w:val="FirstParagraph"/>
        <w:keepNext/>
        <w:spacing w:after="80"/>
        <w:jc w:val="both"/>
      </w:pPr>
      <w:r>
        <w:rPr>
          <w:b/>
          <w:bCs/>
        </w:rPr>
        <w:t xml:space="preserve">Art. 381.</w:t>
      </w:r>
      <w:r>
        <w:t xml:space="preserve"> </w:t>
      </w:r>
      <w:r>
        <w:t xml:space="preserve">A produção antecipada da prova será admitida nos casos em que: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55"/>
        <w:gridCol w:w="3037"/>
        <w:gridCol w:w="4362"/>
      </w:tblGrid>
      <w:tr>
        <w:trPr>
          <w:tblHeader w:val="on"/>
          <w:cantSplit/>
          <w:tblHeader/>
        </w:trPr>
        <w:tc>
          <w:tcPr>
            <w:tcW w:type="dxa" w:w="195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03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36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55"/>
          </w:tcPr>
          <w:p>
            <w:pPr>
              <w:pStyle w:val="Compact"/>
              <w:spacing w:line="276" w:lineRule="auto" w:before="40" w:after="40"/>
            </w:pPr>
            <w:r>
              <w:rPr>
                <w:rFonts w:ascii="Liberation Sans Narrow" w:hAnsi="Liberation Sans Narrow"/>
                <w:sz w:val="18"/>
              </w:rPr>
              <w:t xml:space="preserve">Art. 381: exame dos requisitos e honorários em caso de resistência</w:t>
            </w:r>
          </w:p>
        </w:tc>
        <w:tc>
          <w:tcPr>
            <w:tcW w:type="dxa" w:w="3037"/>
          </w:tcPr>
          <w:p>
            <w:pPr>
              <w:pStyle w:val="Compact"/>
              <w:spacing w:line="276" w:lineRule="auto" w:before="40" w:after="40"/>
            </w:pPr>
            <w:r>
              <w:rPr>
                <w:rFonts w:ascii="Liberation Sans Narrow" w:hAnsi="Liberation Sans Narrow"/>
                <w:sz w:val="18"/>
              </w:rPr>
              <w:t xml:space="preserve">STJ, REsp 2.220.046, Quarta Turma, relator Min. João Otávio de Noronha, julgado em 30/03/2026, DJEN de 08/04/2026</w:t>
            </w:r>
          </w:p>
        </w:tc>
        <w:tc>
          <w:tcPr>
            <w:tcW w:type="dxa" w:w="4362"/>
          </w:tcPr>
          <w:p>
            <w:pPr>
              <w:pStyle w:val="Compact"/>
              <w:spacing w:line="276" w:lineRule="auto" w:before="40" w:after="40"/>
            </w:pPr>
            <w:r>
              <w:rPr>
                <w:rFonts w:ascii="Liberation Sans Narrow" w:hAnsi="Liberation Sans Narrow"/>
                <w:sz w:val="18"/>
              </w:rPr>
              <w:t xml:space="preserve">Teses: é possível a manifestação judicial sobre a presença dos requisitos da ação de produção antecipada de provas,</w:t>
            </w:r>
            <w:r>
              <w:rPr>
                <w:rFonts w:ascii="Liberation Sans Narrow" w:hAnsi="Liberation Sans Narrow"/>
                <w:sz w:val="18"/>
              </w:rPr>
              <w:t xml:space="preserve"> </w:t>
            </w:r>
            <w:r>
              <w:rPr>
                <w:rFonts w:ascii="Liberation Sans Narrow" w:hAnsi="Liberation Sans Narrow"/>
                <w:sz w:val="18"/>
              </w:rPr>
              <w:t xml:space="preserve">“inclusive o interesse processual”</w:t>
            </w:r>
            <w:r>
              <w:rPr>
                <w:rFonts w:ascii="Liberation Sans Narrow" w:hAnsi="Liberation Sans Narrow"/>
                <w:sz w:val="18"/>
              </w:rPr>
              <w:t xml:space="preserve"> </w:t>
            </w:r>
            <w:r>
              <w:rPr>
                <w:rFonts w:ascii="Liberation Sans Narrow" w:hAnsi="Liberation Sans Narrow"/>
                <w:sz w:val="18"/>
              </w:rPr>
              <w:t xml:space="preserve">e a legitimidade; e</w:t>
            </w:r>
            <w:r>
              <w:rPr>
                <w:rFonts w:ascii="Liberation Sans Narrow" w:hAnsi="Liberation Sans Narrow"/>
                <w:sz w:val="18"/>
              </w:rPr>
              <w:t xml:space="preserve"> </w:t>
            </w:r>
            <w:r>
              <w:rPr>
                <w:rFonts w:ascii="Liberation Sans Narrow" w:hAnsi="Liberation Sans Narrow"/>
                <w:sz w:val="18"/>
              </w:rPr>
              <w:t xml:space="preserve">“os honorários sucumbenciais, no procedimento de produção antecipada de provas, são cabíveis quando houver resistência”</w:t>
            </w:r>
            <w:r>
              <w:rPr>
                <w:rFonts w:ascii="Liberation Sans Narrow" w:hAnsi="Liberation Sans Narrow"/>
                <w:sz w:val="18"/>
              </w:rPr>
              <w:t xml:space="preserve"> </w:t>
            </w:r>
            <w:r>
              <w:rPr>
                <w:rFonts w:ascii="Liberation Sans Narrow" w:hAnsi="Liberation Sans Narrow"/>
                <w:sz w:val="18"/>
              </w:rPr>
              <w:t xml:space="preserve">(Súmula 83/STJ em ambos os pontos). Recurso especial não conhecido.</w:t>
            </w:r>
          </w:p>
        </w:tc>
      </w:tr>
      <w:tr>
        <w:trPr>
          <w:cantSplit/>
        </w:trPr>
        <w:tc>
          <w:tcPr>
            <w:tcW w:type="dxa" w:w="1955"/>
          </w:tcPr>
          <w:p>
            <w:pPr>
              <w:pStyle w:val="Compact"/>
              <w:spacing w:line="276" w:lineRule="auto" w:before="40" w:after="40"/>
            </w:pPr>
            <w:r>
              <w:rPr>
                <w:rFonts w:ascii="Liberation Sans Narrow" w:hAnsi="Liberation Sans Narrow"/>
                <w:sz w:val="18"/>
              </w:rPr>
              <w:t xml:space="preserve">Art. 381: natureza de jurisdição voluntária e honorários</w:t>
            </w:r>
          </w:p>
        </w:tc>
        <w:tc>
          <w:tcPr>
            <w:tcW w:type="dxa" w:w="3037"/>
          </w:tcPr>
          <w:p>
            <w:pPr>
              <w:pStyle w:val="Compact"/>
              <w:spacing w:line="276" w:lineRule="auto" w:before="40" w:after="40"/>
            </w:pPr>
            <w:r>
              <w:rPr>
                <w:rFonts w:ascii="Liberation Sans Narrow" w:hAnsi="Liberation Sans Narrow"/>
                <w:sz w:val="18"/>
              </w:rPr>
              <w:t xml:space="preserve">STJ, REsp 2.115.471, Terceira Turma, relator Min. Humberto Martins, julgado em 09/03/2026, DJEN de 12/03/2026</w:t>
            </w:r>
          </w:p>
        </w:tc>
        <w:tc>
          <w:tcPr>
            <w:tcW w:type="dxa" w:w="4362"/>
          </w:tcPr>
          <w:p>
            <w:pPr>
              <w:pStyle w:val="Compact"/>
              <w:spacing w:line="276" w:lineRule="auto" w:before="40" w:after="40"/>
            </w:pPr>
            <w:r>
              <w:rPr>
                <w:rFonts w:ascii="Liberation Sans Narrow" w:hAnsi="Liberation Sans Narrow"/>
                <w:sz w:val="18"/>
              </w:rPr>
              <w:t xml:space="preserve">“A produção antecipada de provas, conforme o art. 381 do CPC, é procedimento de jurisdição voluntária, no qual não há litigiosidade, sendo descabida a condenação em honorários advocatícios.”</w:t>
            </w:r>
            <w:r>
              <w:rPr>
                <w:rFonts w:ascii="Liberation Sans Narrow" w:hAnsi="Liberation Sans Narrow"/>
                <w:sz w:val="18"/>
              </w:rPr>
              <w:t xml:space="preserve"> </w:t>
            </w:r>
            <w:r>
              <w:rPr>
                <w:rFonts w:ascii="Liberation Sans Narrow" w:hAnsi="Liberation Sans Narrow"/>
                <w:sz w:val="18"/>
              </w:rPr>
              <w:t xml:space="preserve">A jurisprudência só os admite</w:t>
            </w:r>
            <w:r>
              <w:rPr>
                <w:rFonts w:ascii="Liberation Sans Narrow" w:hAnsi="Liberation Sans Narrow"/>
                <w:sz w:val="18"/>
              </w:rPr>
              <w:t xml:space="preserve"> </w:t>
            </w:r>
            <w:r>
              <w:rPr>
                <w:rFonts w:ascii="Liberation Sans Narrow" w:hAnsi="Liberation Sans Narrow"/>
                <w:sz w:val="18"/>
              </w:rPr>
              <w:t xml:space="preserve">“quando há resistência da parte requerida ao atendimento do pedido”</w:t>
            </w:r>
            <w:r>
              <w:rPr>
                <w:rFonts w:ascii="Liberation Sans Narrow" w:hAnsi="Liberation Sans Narrow"/>
                <w:sz w:val="18"/>
              </w:rPr>
              <w:t xml:space="preserve">; a análise da resistência administrativa exigiria reexame de provas (Súmula 7). Recurso especial não conhecido.</w:t>
            </w:r>
          </w:p>
        </w:tc>
      </w:tr>
    </w:tbl>
    <w:p>
      <w:pPr>
        <w:pStyle w:val="BodyText"/>
        <w:spacing w:after="80"/>
        <w:jc w:val="both"/>
      </w:pPr>
      <w:r>
        <w:t xml:space="preserve">I - haja fundado receio de que venha a tornar-se impossível ou muito difícil a verificação de certos fatos na pendência da ação;</w:t>
      </w:r>
    </w:p>
    <w:p>
      <w:pPr>
        <w:pStyle w:val="BodyText"/>
        <w:keepNext/>
        <w:spacing w:after="80"/>
        <w:jc w:val="both"/>
      </w:pPr>
      <w:r>
        <w:t xml:space="preserve">II - a prova a ser produzida seja suscetível de viabilizar a autocomposição ou outro meio adequado de solução de conflito;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00"/>
        <w:gridCol w:w="2566"/>
        <w:gridCol w:w="4688"/>
      </w:tblGrid>
      <w:tr>
        <w:trPr>
          <w:tblHeader w:val="on"/>
          <w:cantSplit/>
          <w:tblHeader/>
        </w:trPr>
        <w:tc>
          <w:tcPr>
            <w:tcW w:type="dxa" w:w="210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6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688"/>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01"/>
          </w:tcPr>
          <w:p>
            <w:pPr>
              <w:pStyle w:val="Compact"/>
              <w:spacing w:line="276" w:lineRule="auto" w:before="40" w:after="40"/>
            </w:pPr>
            <w:r>
              <w:rPr>
                <w:rFonts w:ascii="Liberation Sans Narrow" w:hAnsi="Liberation Sans Narrow"/>
                <w:sz w:val="18"/>
              </w:rPr>
              <w:t xml:space="preserve">Art. 381, II e III: produção antecipada sem urgência e convenção de arbitragem</w:t>
            </w:r>
          </w:p>
        </w:tc>
        <w:tc>
          <w:tcPr>
            <w:tcW w:type="dxa" w:w="2566"/>
          </w:tcPr>
          <w:p>
            <w:pPr>
              <w:pStyle w:val="Compact"/>
              <w:spacing w:line="276" w:lineRule="auto" w:before="40" w:after="40"/>
            </w:pPr>
            <w:r>
              <w:rPr>
                <w:rFonts w:ascii="Liberation Sans Narrow" w:hAnsi="Liberation Sans Narrow"/>
                <w:sz w:val="18"/>
              </w:rPr>
              <w:t xml:space="preserve">STJ, REsp 2.161.191, Terceira Turma, relator Min. Moura Ribeiro, julgado em 08/06/2026, DJEN de 11/06/2026</w:t>
            </w:r>
          </w:p>
        </w:tc>
        <w:tc>
          <w:tcPr>
            <w:tcW w:type="dxa" w:w="4688"/>
          </w:tcPr>
          <w:p>
            <w:pPr>
              <w:pStyle w:val="Compact"/>
              <w:spacing w:line="276" w:lineRule="auto" w:before="40" w:after="40"/>
            </w:pPr>
            <w:r>
              <w:rPr>
                <w:rFonts w:ascii="Liberation Sans Narrow" w:hAnsi="Liberation Sans Narrow"/>
                <w:sz w:val="18"/>
              </w:rPr>
              <w:t xml:space="preserve">“A competência exclusiva do juízo arbitral não se projeta sobre partes não signatárias da convenção nem sobre instrumentos sem cláusula compromissória, subsistindo a jurisdição estatal para a ação probatória autônoma sem urgência, quando a prova tem por finalidade a autocomposição e o prévio conhecimento dos fatos.”</w:t>
            </w:r>
            <w:r>
              <w:rPr>
                <w:rFonts w:ascii="Liberation Sans Narrow" w:hAnsi="Liberation Sans Narrow"/>
                <w:sz w:val="18"/>
              </w:rPr>
              <w:t xml:space="preserve"> </w:t>
            </w:r>
            <w:r>
              <w:rPr>
                <w:rFonts w:ascii="Liberation Sans Narrow" w:hAnsi="Liberation Sans Narrow"/>
                <w:sz w:val="18"/>
              </w:rPr>
              <w:t xml:space="preserve">Distinção do REsp 2.023.615/SP, que tratava de contratos com convenção arbitral entre signatários; a utilidade da prova testemunhal não se revê pela Súmula 7. Recurso conhecido em parte e, nessa extensão, não provido.</w:t>
            </w:r>
          </w:p>
        </w:tc>
      </w:tr>
    </w:tbl>
    <w:p>
      <w:pPr>
        <w:pStyle w:val="BodyText"/>
        <w:keepNext/>
        <w:spacing w:after="80"/>
        <w:jc w:val="both"/>
      </w:pPr>
      <w:r>
        <w:t xml:space="preserve">III - o prévio conhecimento dos fatos possa justificar ou evitar o ajuizamento de 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91"/>
        <w:gridCol w:w="2796"/>
        <w:gridCol w:w="4868"/>
      </w:tblGrid>
      <w:tr>
        <w:trPr>
          <w:tblHeader w:val="on"/>
          <w:cantSplit/>
          <w:tblHeader/>
        </w:trPr>
        <w:tc>
          <w:tcPr>
            <w:tcW w:type="dxa" w:w="169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9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68"/>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91"/>
          </w:tcPr>
          <w:p>
            <w:pPr>
              <w:pStyle w:val="Compact"/>
              <w:spacing w:line="276" w:lineRule="auto" w:before="40" w:after="40"/>
            </w:pPr>
            <w:r>
              <w:rPr>
                <w:rFonts w:ascii="Liberation Sans Narrow" w:hAnsi="Liberation Sans Narrow"/>
                <w:sz w:val="18"/>
              </w:rPr>
              <w:t xml:space="preserve">Art. 381, III: ação autônoma de exibição de documentos</w:t>
            </w:r>
          </w:p>
        </w:tc>
        <w:tc>
          <w:tcPr>
            <w:tcW w:type="dxa" w:w="2796"/>
          </w:tcPr>
          <w:p>
            <w:pPr>
              <w:pStyle w:val="Compact"/>
              <w:spacing w:line="276" w:lineRule="auto" w:before="40" w:after="40"/>
            </w:pPr>
            <w:r>
              <w:rPr>
                <w:rFonts w:ascii="Liberation Sans Narrow" w:hAnsi="Liberation Sans Narrow"/>
                <w:sz w:val="18"/>
              </w:rPr>
              <w:t xml:space="preserve">STJ, REsp 2.174.791, Quarta Turma, relator Min. João Otávio de Noronha, julgado em 04/05/2026, DJEN de 07/05/2026</w:t>
            </w:r>
          </w:p>
        </w:tc>
        <w:tc>
          <w:tcPr>
            <w:tcW w:type="dxa" w:w="4868"/>
          </w:tcPr>
          <w:p>
            <w:pPr>
              <w:pStyle w:val="Compact"/>
              <w:spacing w:line="276" w:lineRule="auto" w:before="40" w:after="40"/>
            </w:pPr>
            <w:r>
              <w:rPr>
                <w:rFonts w:ascii="Liberation Sans Narrow" w:hAnsi="Liberation Sans Narrow"/>
                <w:sz w:val="18"/>
              </w:rPr>
              <w:t xml:space="preserve">Tese expressa:</w:t>
            </w:r>
            <w:r>
              <w:rPr>
                <w:rFonts w:ascii="Liberation Sans Narrow" w:hAnsi="Liberation Sans Narrow"/>
                <w:sz w:val="18"/>
              </w:rPr>
              <w:t xml:space="preserve"> </w:t>
            </w:r>
            <w:r>
              <w:rPr>
                <w:rFonts w:ascii="Liberation Sans Narrow" w:hAnsi="Liberation Sans Narrow"/>
                <w:sz w:val="18"/>
              </w:rPr>
              <w:t xml:space="preserve">“Admite-se a ação autônoma de exibição de documentos pelo procedimento comum (art. 318 do Código de Processo Civil) ou pela via da produção antecipada de provas (arts. 381, III, e 396 do Código de Processo Civil).”</w:t>
            </w:r>
            <w:r>
              <w:rPr>
                <w:rFonts w:ascii="Liberation Sans Narrow" w:hAnsi="Liberation Sans Narrow"/>
                <w:sz w:val="18"/>
              </w:rPr>
              <w:t xml:space="preserve"> </w:t>
            </w:r>
            <w:r>
              <w:rPr>
                <w:rFonts w:ascii="Liberation Sans Narrow" w:hAnsi="Liberation Sans Narrow"/>
                <w:sz w:val="18"/>
              </w:rPr>
              <w:t xml:space="preserve">A negativa de acesso a documentos necessários à verificação da viabilidade de demanda futura caracteriza negativa de jurisdição, impondo o retorno dos autos ao primeiro grau. Recurso especial conhecido e provido.</w:t>
            </w:r>
          </w:p>
        </w:tc>
      </w:tr>
    </w:tbl>
    <w:p>
      <w:pPr>
        <w:pStyle w:val="BodyText"/>
        <w:spacing w:after="80"/>
        <w:jc w:val="both"/>
      </w:pPr>
      <w:r>
        <w:t xml:space="preserve">§ 1º O arrolamento de bens observará o disposto nesta Seção quando tiver por finalidade apenas a realização de documentação e não a prática de atos de apreensão.</w:t>
      </w:r>
    </w:p>
    <w:p>
      <w:pPr>
        <w:pStyle w:val="BodyText"/>
        <w:spacing w:after="80"/>
        <w:jc w:val="both"/>
      </w:pPr>
      <w:r>
        <w:t xml:space="preserve">§ 2º A produção antecipada da prova é da competência do juízo do foro onde esta deva ser produzida ou do foro de domicílio do réu.</w:t>
      </w:r>
    </w:p>
    <w:p>
      <w:pPr>
        <w:pStyle w:val="BodyText"/>
        <w:spacing w:after="80"/>
        <w:jc w:val="both"/>
      </w:pPr>
      <w:r>
        <w:t xml:space="preserve">§ 3º A produção antecipada da prova não previne a competência do juízo para a ação que venha a ser proposta.</w:t>
      </w:r>
    </w:p>
    <w:p>
      <w:pPr>
        <w:pStyle w:val="BodyText"/>
        <w:spacing w:after="80"/>
        <w:jc w:val="both"/>
      </w:pPr>
      <w:r>
        <w:t xml:space="preserve">§ 4º O juízo estadual tem competência para produção antecipada de prova requerida em face da União, de entidade autárquica ou de empresa pública federal se, na localidade, não houver vara federal.</w:t>
      </w:r>
    </w:p>
    <w:p>
      <w:pPr>
        <w:pStyle w:val="BodyText"/>
        <w:spacing w:after="80"/>
        <w:jc w:val="both"/>
      </w:pPr>
      <w:r>
        <w:t xml:space="preserve">§ 5º Aplica-se o disposto nesta Seção àquele que pretender justificar a existência de algum fato ou relação jurídica para simples documento e sem caráter contencioso, que exporá, em petição circunstanciada, a sua intenção.</w:t>
      </w:r>
    </w:p>
    <w:bookmarkEnd w:id="100"/>
    <w:bookmarkStart w:id="101" w:name="art.-382"/>
    <w:p>
      <w:pPr>
        <w:pStyle w:val="Heading6"/>
        <w:pBdr>
          <w:left w:val="single" w:sz="36" w:space="4" w:color="2E75B6"/>
        </w:pBdr>
        <w:shd w:val="clear" w:color="auto" w:fill="E3EEF9"/>
        <w:spacing w:before="200" w:after="80"/>
        <w:ind w:left="85"/>
      </w:pPr>
      <w:r>
        <w:rPr>
          <w:i w:val="0"/>
          <w:color w:val="1F3A5F"/>
          <w:sz w:val="23"/>
        </w:rPr>
        <w:t xml:space="preserve">Art. 382</w:t>
      </w:r>
    </w:p>
    <w:p>
      <w:pPr>
        <w:pStyle w:val="FirstParagraph"/>
        <w:keepNext/>
        <w:spacing w:after="80"/>
        <w:jc w:val="both"/>
      </w:pPr>
      <w:r>
        <w:rPr>
          <w:b/>
          <w:bCs/>
        </w:rPr>
        <w:t xml:space="preserve">Art. 382.</w:t>
      </w:r>
      <w:r>
        <w:t xml:space="preserve"> </w:t>
      </w:r>
      <w:r>
        <w:t xml:space="preserve">Na petição, o requerente apresentará as razões que justificam a necessidade de antecipação da prova e mencionará com precisão os fatos sobre os quais a prova há de recair.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84"/>
        <w:gridCol w:w="2855"/>
        <w:gridCol w:w="4115"/>
      </w:tblGrid>
      <w:tr>
        <w:trPr>
          <w:tblHeader w:val="on"/>
          <w:cantSplit/>
          <w:tblHeader/>
        </w:trPr>
        <w:tc>
          <w:tcPr>
            <w:tcW w:type="dxa" w:w="2384"/>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5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11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384"/>
          </w:tcPr>
          <w:p>
            <w:pPr>
              <w:pStyle w:val="Compact"/>
              <w:spacing w:line="276" w:lineRule="auto" w:before="40" w:after="40"/>
            </w:pPr>
            <w:r>
              <w:rPr>
                <w:rFonts w:ascii="Liberation Sans Narrow" w:hAnsi="Liberation Sans Narrow"/>
                <w:sz w:val="18"/>
              </w:rPr>
              <w:t xml:space="preserve">Produção antecipada de prova (§ 4º): inviabilidade de recurso contra o deferimento</w:t>
            </w:r>
          </w:p>
        </w:tc>
        <w:tc>
          <w:tcPr>
            <w:tcW w:type="dxa" w:w="2855"/>
          </w:tcPr>
          <w:p>
            <w:pPr>
              <w:pStyle w:val="Compact"/>
              <w:spacing w:line="276" w:lineRule="auto" w:before="40" w:after="40"/>
            </w:pPr>
            <w:r>
              <w:rPr>
                <w:rFonts w:ascii="Liberation Sans Narrow" w:hAnsi="Liberation Sans Narrow"/>
                <w:sz w:val="18"/>
              </w:rPr>
              <w:t xml:space="preserve">STJ, AREsp 2.962.979, Terceira Turma, relatora Min. Nancy Andrighi, julgado em 17/11/2025, DJEN de 25/11/2025</w:t>
            </w:r>
          </w:p>
        </w:tc>
        <w:tc>
          <w:tcPr>
            <w:tcW w:type="dxa" w:w="4115"/>
          </w:tcPr>
          <w:p>
            <w:pPr>
              <w:pStyle w:val="Compact"/>
              <w:spacing w:line="276" w:lineRule="auto" w:before="40" w:after="40"/>
            </w:pPr>
            <w:r>
              <w:rPr>
                <w:rFonts w:ascii="Liberation Sans Narrow" w:hAnsi="Liberation Sans Narrow"/>
                <w:sz w:val="18"/>
              </w:rPr>
              <w:t xml:space="preserve">Nos procedimentos de produção antecipada de prova, a impugnação só é cabível quando a decisão denega o pleito formulado (art. 382, § 4º).</w:t>
            </w:r>
          </w:p>
        </w:tc>
      </w:tr>
      <w:tr>
        <w:trPr>
          <w:cantSplit/>
        </w:trPr>
        <w:tc>
          <w:tcPr>
            <w:tcW w:type="dxa" w:w="2384"/>
          </w:tcPr>
          <w:p>
            <w:pPr>
              <w:pStyle w:val="Compact"/>
              <w:spacing w:line="276" w:lineRule="auto" w:before="40" w:after="40"/>
            </w:pPr>
            <w:r>
              <w:rPr>
                <w:rFonts w:ascii="Liberation Sans Narrow" w:hAnsi="Liberation Sans Narrow"/>
                <w:sz w:val="18"/>
              </w:rPr>
              <w:t xml:space="preserve">Produção antecipada de prova (§ 4º): contraditório e recurso contra a decisão que a defere</w:t>
            </w:r>
          </w:p>
        </w:tc>
        <w:tc>
          <w:tcPr>
            <w:tcW w:type="dxa" w:w="2855"/>
          </w:tcPr>
          <w:p>
            <w:pPr>
              <w:pStyle w:val="Compact"/>
              <w:spacing w:line="276" w:lineRule="auto" w:before="40" w:after="40"/>
            </w:pPr>
            <w:r>
              <w:rPr>
                <w:rFonts w:ascii="Liberation Sans Narrow" w:hAnsi="Liberation Sans Narrow"/>
                <w:sz w:val="18"/>
              </w:rPr>
              <w:t xml:space="preserve">STJ, REsp 2.043.440, Quarta Turma, relatora Min. Maria Isabel Gallotti, julgado em 29/11/2023, DJe de 23/01/2024</w:t>
            </w:r>
          </w:p>
        </w:tc>
        <w:tc>
          <w:tcPr>
            <w:tcW w:type="dxa" w:w="4115"/>
          </w:tcPr>
          <w:p>
            <w:pPr>
              <w:pStyle w:val="Compact"/>
              <w:spacing w:line="276" w:lineRule="auto" w:before="40" w:after="40"/>
            </w:pPr>
            <w:r>
              <w:rPr>
                <w:rFonts w:ascii="Liberation Sans Narrow" w:hAnsi="Liberation Sans Narrow"/>
                <w:sz w:val="18"/>
              </w:rPr>
              <w:t xml:space="preserve">A melhor interpretação do § 4º não veda em absoluto a resistência à decisão que defere a produção antecipada de provas: admite-se afastar a limitação de recorribilidade quando a parte atingida questiona a presença dos requisitos que autorizam a ação.</w:t>
            </w:r>
          </w:p>
        </w:tc>
      </w:tr>
    </w:tbl>
    <w:p>
      <w:pPr>
        <w:pStyle w:val="BodyText"/>
        <w:spacing w:after="80"/>
        <w:jc w:val="both"/>
      </w:pPr>
      <w:r>
        <w:t xml:space="preserve">§ 1º O juiz determinará, de ofício ou a requerimento da parte, a citação de interessados na produção da prova ou no fato a ser provado, salvo se inexistente caráter contencioso.</w:t>
      </w:r>
    </w:p>
    <w:p>
      <w:pPr>
        <w:pStyle w:val="BodyText"/>
        <w:keepNext/>
        <w:spacing w:after="80"/>
        <w:jc w:val="both"/>
      </w:pPr>
      <w:r>
        <w:t xml:space="preserve">§ 2º O juiz não se pronunciará sobre a ocorrência ou a inocorrência do fato, nem sobre as respectivas consequências jurídicas.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819"/>
        <w:gridCol w:w="2719"/>
        <w:gridCol w:w="4816"/>
      </w:tblGrid>
      <w:tr>
        <w:trPr>
          <w:tblHeader w:val="on"/>
          <w:cantSplit/>
          <w:tblHeader/>
        </w:trPr>
        <w:tc>
          <w:tcPr>
            <w:tcW w:type="dxa" w:w="1819"/>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1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1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819"/>
          </w:tcPr>
          <w:p>
            <w:pPr>
              <w:pStyle w:val="Compact"/>
              <w:spacing w:line="276" w:lineRule="auto" w:before="40" w:after="40"/>
            </w:pPr>
            <w:r>
              <w:rPr>
                <w:rFonts w:ascii="Liberation Sans Narrow" w:hAnsi="Liberation Sans Narrow"/>
                <w:sz w:val="18"/>
              </w:rPr>
              <w:t xml:space="preserve">§ 2º — vedação de valoração da prova na produção antecipada</w:t>
            </w:r>
          </w:p>
        </w:tc>
        <w:tc>
          <w:tcPr>
            <w:tcW w:type="dxa" w:w="2719"/>
          </w:tcPr>
          <w:p>
            <w:pPr>
              <w:pStyle w:val="Compact"/>
              <w:spacing w:line="276" w:lineRule="auto" w:before="40" w:after="40"/>
            </w:pPr>
            <w:r>
              <w:rPr>
                <w:rFonts w:ascii="Liberation Sans Narrow" w:hAnsi="Liberation Sans Narrow"/>
                <w:sz w:val="18"/>
              </w:rPr>
              <w:t xml:space="preserve">STJ, AREsp 2.628.736, Terceira Turma, relator Min. Moura Ribeiro, julgado em 13/10/2025, DJEN de 17/10/2025</w:t>
            </w:r>
          </w:p>
        </w:tc>
        <w:tc>
          <w:tcPr>
            <w:tcW w:type="dxa" w:w="4816"/>
          </w:tcPr>
          <w:p>
            <w:pPr>
              <w:pStyle w:val="Compact"/>
              <w:spacing w:line="276" w:lineRule="auto" w:before="40" w:after="40"/>
            </w:pPr>
            <w:r>
              <w:rPr>
                <w:rFonts w:ascii="Liberation Sans Narrow" w:hAnsi="Liberation Sans Narrow"/>
                <w:sz w:val="18"/>
              </w:rPr>
              <w:t xml:space="preserve">A ação de produção antecipada de provas não se presta à valoração ou à complementação do laudo pericial, mas apenas à sua colheita; eventuais questionamentos sobre o mérito da prova técnica devem ser deduzidos na ação principal.</w:t>
            </w:r>
          </w:p>
        </w:tc>
      </w:tr>
    </w:tbl>
    <w:p>
      <w:pPr>
        <w:pStyle w:val="BodyText"/>
        <w:spacing w:after="80"/>
        <w:jc w:val="both"/>
      </w:pPr>
      <w:r>
        <w:t xml:space="preserve">§ 3º Os interessados poderão requerer a produção de qualquer prova no mesmo procedimento, desde que relacionada ao mesmo fato, salvo se a sua produção conjunta acarretar excessiva demora.</w:t>
      </w:r>
    </w:p>
    <w:p>
      <w:pPr>
        <w:pStyle w:val="BodyText"/>
        <w:spacing w:after="80"/>
        <w:jc w:val="both"/>
      </w:pPr>
      <w:r>
        <w:t xml:space="preserve">§ 4º Neste procedimento, não se admitirá defesa ou recurso, salvo contra decisão que indeferir totalmente a produção da prova pleiteada pelo requerente originário.</w:t>
      </w:r>
    </w:p>
    <w:bookmarkEnd w:id="101"/>
    <w:bookmarkStart w:id="102" w:name="art.-383"/>
    <w:p>
      <w:pPr>
        <w:pStyle w:val="Heading6"/>
        <w:pBdr>
          <w:left w:val="single" w:sz="36" w:space="4" w:color="2E75B6"/>
        </w:pBdr>
        <w:shd w:val="clear" w:color="auto" w:fill="E3EEF9"/>
        <w:spacing w:before="200" w:after="80"/>
        <w:ind w:left="85"/>
      </w:pPr>
      <w:r>
        <w:rPr>
          <w:i w:val="0"/>
          <w:color w:val="1F3A5F"/>
          <w:sz w:val="23"/>
        </w:rPr>
        <w:t xml:space="preserve">Art. 383</w:t>
      </w:r>
    </w:p>
    <w:p>
      <w:pPr>
        <w:pStyle w:val="FirstParagraph"/>
        <w:spacing w:after="80"/>
        <w:jc w:val="both"/>
      </w:pPr>
      <w:r>
        <w:rPr>
          <w:b/>
          <w:bCs/>
        </w:rPr>
        <w:t xml:space="preserve">Art. 383.</w:t>
      </w:r>
      <w:r>
        <w:t xml:space="preserve"> </w:t>
      </w:r>
      <w:r>
        <w:t xml:space="preserve">Os autos permanecerão em cartório durante 1 (um) mês para extração de cópias e certidões pelos interessados.</w:t>
      </w:r>
    </w:p>
    <w:p>
      <w:pPr>
        <w:pStyle w:val="BodyText"/>
        <w:spacing w:after="80"/>
        <w:jc w:val="both"/>
      </w:pPr>
      <w:r>
        <w:t xml:space="preserve">Parágrafo único. Findo o prazo, os autos serão entregues ao promovente da medida.</w:t>
      </w:r>
    </w:p>
    <w:bookmarkEnd w:id="102"/>
    <w:bookmarkEnd w:id="103"/>
    <w:bookmarkStart w:id="105" w:name="seção-iii-da-ata-notarial-arts.-384"/>
    <w:p>
      <w:pPr>
        <w:pStyle w:val="Heading5"/>
        <w:spacing w:before="140" w:after="20"/>
      </w:pPr>
      <w:r>
        <w:rPr>
          <w:i/>
          <w:color w:val="595959"/>
        </w:rPr>
        <w:t xml:space="preserve">Seção III: da ata notarial (arts. 384)</w:t>
      </w:r>
    </w:p>
    <w:bookmarkStart w:id="104" w:name="art.-384"/>
    <w:p>
      <w:pPr>
        <w:pStyle w:val="Heading6"/>
        <w:pBdr>
          <w:left w:val="single" w:sz="36" w:space="4" w:color="2E75B6"/>
        </w:pBdr>
        <w:shd w:val="clear" w:color="auto" w:fill="E3EEF9"/>
        <w:spacing w:before="200" w:after="80"/>
        <w:ind w:left="85"/>
      </w:pPr>
      <w:r>
        <w:rPr>
          <w:i w:val="0"/>
          <w:color w:val="1F3A5F"/>
          <w:sz w:val="23"/>
        </w:rPr>
        <w:t xml:space="preserve">Art. 384</w:t>
      </w:r>
    </w:p>
    <w:p>
      <w:pPr>
        <w:pStyle w:val="FirstParagraph"/>
        <w:spacing w:after="80"/>
        <w:jc w:val="both"/>
      </w:pPr>
      <w:r>
        <w:rPr>
          <w:b/>
          <w:bCs/>
        </w:rPr>
        <w:t xml:space="preserve">Art. 384.</w:t>
      </w:r>
      <w:r>
        <w:t xml:space="preserve"> </w:t>
      </w:r>
      <w:r>
        <w:t xml:space="preserve">A existência e o modo de existir de algum fato podem ser atestados ou documentados, a requerimento do interessado, mediante ata lavrada por tabelião.</w:t>
      </w:r>
    </w:p>
    <w:p>
      <w:pPr>
        <w:pStyle w:val="BodyText"/>
        <w:spacing w:after="80"/>
        <w:jc w:val="both"/>
      </w:pPr>
      <w:r>
        <w:t xml:space="preserve">Parágrafo único. Dados representados por imagem ou som gravados em arquivos eletrônicos poderão constar da ata notarial.</w:t>
      </w:r>
    </w:p>
    <w:bookmarkEnd w:id="104"/>
    <w:bookmarkEnd w:id="105"/>
    <w:bookmarkStart w:id="110" w:name="X5df5e29b468afcacdf955e4c79f646d5cad798d"/>
    <w:p>
      <w:pPr>
        <w:pStyle w:val="Heading5"/>
        <w:spacing w:before="140" w:after="20"/>
      </w:pPr>
      <w:r>
        <w:rPr>
          <w:i/>
          <w:color w:val="595959"/>
        </w:rPr>
        <w:t xml:space="preserve">Seção IV: do depoimento pessoal (arts. 385 a 388)</w:t>
      </w:r>
    </w:p>
    <w:bookmarkStart w:id="106" w:name="art.-385"/>
    <w:p>
      <w:pPr>
        <w:pStyle w:val="Heading6"/>
        <w:pBdr>
          <w:left w:val="single" w:sz="36" w:space="4" w:color="2E75B6"/>
        </w:pBdr>
        <w:shd w:val="clear" w:color="auto" w:fill="E3EEF9"/>
        <w:spacing w:before="200" w:after="80"/>
        <w:ind w:left="85"/>
      </w:pPr>
      <w:r>
        <w:rPr>
          <w:i w:val="0"/>
          <w:color w:val="1F3A5F"/>
          <w:sz w:val="23"/>
        </w:rPr>
        <w:t xml:space="preserve">Art. 385</w:t>
      </w:r>
    </w:p>
    <w:p>
      <w:pPr>
        <w:pStyle w:val="FirstParagraph"/>
        <w:keepNext/>
        <w:spacing w:after="80"/>
        <w:jc w:val="both"/>
      </w:pPr>
      <w:r>
        <w:rPr>
          <w:b/>
          <w:bCs/>
        </w:rPr>
        <w:t xml:space="preserve">Art. 385.</w:t>
      </w:r>
      <w:r>
        <w:t xml:space="preserve"> </w:t>
      </w:r>
      <w:r>
        <w:t xml:space="preserve">Cabe à parte requerer o depoimento pessoal da outra parte, a fim de que esta seja interrogada na audiência de instrução e julgamento, sem prejuízo do poder do juiz de ordená-lo de ofício.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84"/>
        <w:gridCol w:w="2487"/>
        <w:gridCol w:w="4783"/>
      </w:tblGrid>
      <w:tr>
        <w:trPr>
          <w:tblHeader w:val="on"/>
          <w:cantSplit/>
          <w:tblHeader/>
        </w:trPr>
        <w:tc>
          <w:tcPr>
            <w:tcW w:type="dxa" w:w="208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48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8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85"/>
          </w:tcPr>
          <w:p>
            <w:pPr>
              <w:pStyle w:val="Compact"/>
              <w:spacing w:line="276" w:lineRule="auto" w:before="40" w:after="40"/>
            </w:pPr>
            <w:r>
              <w:rPr>
                <w:rFonts w:ascii="Liberation Sans Narrow" w:hAnsi="Liberation Sans Narrow"/>
                <w:sz w:val="18"/>
              </w:rPr>
              <w:t xml:space="preserve">Art. 385, caput: requerimento de depoimento pessoal e julgamento antecipado</w:t>
            </w:r>
          </w:p>
        </w:tc>
        <w:tc>
          <w:tcPr>
            <w:tcW w:type="dxa" w:w="2487"/>
          </w:tcPr>
          <w:p>
            <w:pPr>
              <w:pStyle w:val="Compact"/>
              <w:spacing w:line="276" w:lineRule="auto" w:before="40" w:after="40"/>
            </w:pPr>
            <w:r>
              <w:rPr>
                <w:rFonts w:ascii="Liberation Sans Narrow" w:hAnsi="Liberation Sans Narrow"/>
                <w:sz w:val="18"/>
              </w:rPr>
              <w:t xml:space="preserve">STJ, AgInt no REsp 1.924.583, Quarta Turma, relator Min. Antonio Carlos Ferreira, DJe de 30/09/2022</w:t>
            </w:r>
          </w:p>
        </w:tc>
        <w:tc>
          <w:tcPr>
            <w:tcW w:type="dxa" w:w="4782"/>
          </w:tcPr>
          <w:p>
            <w:pPr>
              <w:pStyle w:val="Compact"/>
              <w:spacing w:line="276" w:lineRule="auto" w:before="40" w:after="40"/>
            </w:pPr>
            <w:r>
              <w:rPr>
                <w:rFonts w:ascii="Liberation Sans Narrow" w:hAnsi="Liberation Sans Narrow"/>
                <w:sz w:val="18"/>
              </w:rPr>
              <w:t xml:space="preserve">Configura-se o cerceamento de defesa quando, subsistindo controvérsia sobre matéria de fato e diante do expresso requerimento da parte para a dilação probatória, o juiz dá o julgamento antecipado da lide com solução de mérito contrária àquele que pretendia ouvir testemunhas e o depoimento pessoal do coautor.</w:t>
            </w:r>
          </w:p>
        </w:tc>
      </w:tr>
    </w:tbl>
    <w:p>
      <w:pPr>
        <w:pStyle w:val="BodyText"/>
        <w:keepNext/>
        <w:spacing w:after="80"/>
        <w:jc w:val="both"/>
      </w:pPr>
      <w:r>
        <w:t xml:space="preserve">§ 1º Se a parte, pessoalmente intimada para prestar depoimento pessoal e advertida da pena de confesso, não comparecer ou, comparecendo, se recusar a depor, o juiz aplicar-lhe-á a pena.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871"/>
        <w:gridCol w:w="3007"/>
        <w:gridCol w:w="4476"/>
      </w:tblGrid>
      <w:tr>
        <w:trPr>
          <w:tblHeader w:val="on"/>
          <w:cantSplit/>
          <w:tblHeader/>
        </w:trPr>
        <w:tc>
          <w:tcPr>
            <w:tcW w:type="dxa" w:w="187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00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47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871"/>
          </w:tcPr>
          <w:p>
            <w:pPr>
              <w:pStyle w:val="Compact"/>
              <w:spacing w:line="276" w:lineRule="auto" w:before="40" w:after="40"/>
            </w:pPr>
            <w:r>
              <w:rPr>
                <w:rFonts w:ascii="Liberation Sans Narrow" w:hAnsi="Liberation Sans Narrow"/>
                <w:sz w:val="18"/>
              </w:rPr>
              <w:t xml:space="preserve">Art. 385, § 1º: eficácia relativa da pena de confissão</w:t>
            </w:r>
          </w:p>
        </w:tc>
        <w:tc>
          <w:tcPr>
            <w:tcW w:type="dxa" w:w="3007"/>
          </w:tcPr>
          <w:p>
            <w:pPr>
              <w:pStyle w:val="Compact"/>
              <w:spacing w:line="276" w:lineRule="auto" w:before="40" w:after="40"/>
            </w:pPr>
            <w:r>
              <w:rPr>
                <w:rFonts w:ascii="Liberation Sans Narrow" w:hAnsi="Liberation Sans Narrow"/>
                <w:sz w:val="18"/>
              </w:rPr>
              <w:t xml:space="preserve">STJ, REsp 2.256.830, Terceira Turma, relator Min. Humberto Martins, julgado em 08/06/2026, DJEN de 11/06/2026</w:t>
            </w:r>
          </w:p>
        </w:tc>
        <w:tc>
          <w:tcPr>
            <w:tcW w:type="dxa" w:w="4476"/>
          </w:tcPr>
          <w:p>
            <w:pPr>
              <w:pStyle w:val="Compact"/>
              <w:spacing w:line="276" w:lineRule="auto" w:before="40" w:after="40"/>
            </w:pPr>
            <w:r>
              <w:rPr>
                <w:rFonts w:ascii="Liberation Sans Narrow" w:hAnsi="Liberation Sans Narrow"/>
                <w:sz w:val="18"/>
              </w:rPr>
              <w:t xml:space="preserve">A aplicação da pena de confissão pelo não comparecimento ao depoimento pessoal (art. 385, § 1º, do CPC) é faculdade do magistrado e possui eficácia relativa, devendo ser sopesada com o restante do acervo probatório; é inviável impor conclusão automática favorável à parte que a invoca. Reconhecidas a posse anterior, a turbação ou ameaça e o justo receio com apoio em laudo, memorial descritivo e depoimentos, a revisão exigiria reexame de fatos e provas (Súmula 7/STJ).</w:t>
            </w:r>
          </w:p>
        </w:tc>
      </w:tr>
      <w:tr>
        <w:trPr>
          <w:cantSplit/>
        </w:trPr>
        <w:tc>
          <w:tcPr>
            <w:tcW w:type="dxa" w:w="1871"/>
          </w:tcPr>
          <w:p>
            <w:pPr>
              <w:pStyle w:val="Compact"/>
              <w:spacing w:line="276" w:lineRule="auto" w:before="40" w:after="40"/>
            </w:pPr>
            <w:r>
              <w:rPr>
                <w:rFonts w:ascii="Liberation Sans Narrow" w:hAnsi="Liberation Sans Narrow"/>
                <w:sz w:val="18"/>
              </w:rPr>
              <w:t xml:space="preserve">Art. 385, § 1º: pena de confissão exige intimação pessoal</w:t>
            </w:r>
          </w:p>
        </w:tc>
        <w:tc>
          <w:tcPr>
            <w:tcW w:type="dxa" w:w="3007"/>
          </w:tcPr>
          <w:p>
            <w:pPr>
              <w:pStyle w:val="Compact"/>
              <w:spacing w:line="276" w:lineRule="auto" w:before="40" w:after="40"/>
            </w:pPr>
            <w:r>
              <w:rPr>
                <w:rFonts w:ascii="Liberation Sans Narrow" w:hAnsi="Liberation Sans Narrow"/>
                <w:sz w:val="18"/>
              </w:rPr>
              <w:t xml:space="preserve">STJ, AREsp 2.726.055, Quarta Turma, relator Min. Raul Araújo, julgado em 09/03/2026, DJEN de 16/03/2026</w:t>
            </w:r>
          </w:p>
        </w:tc>
        <w:tc>
          <w:tcPr>
            <w:tcW w:type="dxa" w:w="4476"/>
          </w:tcPr>
          <w:p>
            <w:pPr>
              <w:pStyle w:val="Compact"/>
              <w:spacing w:line="276" w:lineRule="auto" w:before="40" w:after="40"/>
            </w:pPr>
            <w:r>
              <w:rPr>
                <w:rFonts w:ascii="Liberation Sans Narrow" w:hAnsi="Liberation Sans Narrow"/>
                <w:sz w:val="18"/>
              </w:rPr>
              <w:t xml:space="preserve">A impossibilidade de colher o depoimento pessoal do representante legal da embargada, por seu paradeiro desconhecido, não configura cerceamento de defesa, pois a controvérsia poderia ser provada pela via documental. A aplicação da pena de confissão exige a intimação pessoal da parte, conforme o art. 385, § 1º, do CPC, requisito inviabilizado no caso concreto; a reforma demandaria reexame fático-probatório, óbice da Súmula 7/STJ.</w:t>
            </w:r>
          </w:p>
        </w:tc>
      </w:tr>
    </w:tbl>
    <w:p>
      <w:pPr>
        <w:pStyle w:val="BodyText"/>
        <w:spacing w:after="80"/>
        <w:jc w:val="both"/>
      </w:pPr>
      <w:r>
        <w:t xml:space="preserve">§ 2º É vedado a quem ainda não depôs assistir ao interrogatório da outra parte.</w:t>
      </w:r>
    </w:p>
    <w:p>
      <w:pPr>
        <w:pStyle w:val="BodyText"/>
        <w:spacing w:after="80"/>
        <w:jc w:val="both"/>
      </w:pPr>
      <w:r>
        <w:t xml:space="preserve">§ 3º O depoimento pessoal da parte que residir em comarca, seção ou subseção judiciária diversa daquela onde tramita o processo poderá ser colhido por meio de videoconferência ou outro recurso tecnológico de transmissão de sons e imagens em tempo real, o que poderá ocorrer, inclusive, durante a realização da audiência de instrução e julgamento.</w:t>
      </w:r>
    </w:p>
    <w:bookmarkEnd w:id="106"/>
    <w:bookmarkStart w:id="107" w:name="art.-386"/>
    <w:p>
      <w:pPr>
        <w:pStyle w:val="Heading6"/>
        <w:pBdr>
          <w:left w:val="single" w:sz="36" w:space="4" w:color="2E75B6"/>
        </w:pBdr>
        <w:shd w:val="clear" w:color="auto" w:fill="E3EEF9"/>
        <w:spacing w:before="200" w:after="80"/>
        <w:ind w:left="85"/>
      </w:pPr>
      <w:r>
        <w:rPr>
          <w:i w:val="0"/>
          <w:color w:val="1F3A5F"/>
          <w:sz w:val="23"/>
        </w:rPr>
        <w:t xml:space="preserve">Art. 386</w:t>
      </w:r>
    </w:p>
    <w:p>
      <w:pPr>
        <w:pStyle w:val="FirstParagraph"/>
        <w:spacing w:after="80"/>
        <w:jc w:val="both"/>
      </w:pPr>
      <w:r>
        <w:rPr>
          <w:b/>
          <w:bCs/>
        </w:rPr>
        <w:t xml:space="preserve">Art. 386.</w:t>
      </w:r>
      <w:r>
        <w:t xml:space="preserve"> </w:t>
      </w:r>
      <w:r>
        <w:t xml:space="preserve">Quando a parte, sem motivo justificado, deixar de responder ao que lhe for perguntado ou empregar evasivas, o juiz, apreciando as demais circunstâncias e os elementos de prova, declarará, na sentença, se houve recusa de depor.</w:t>
      </w:r>
    </w:p>
    <w:bookmarkEnd w:id="107"/>
    <w:bookmarkStart w:id="108" w:name="art.-387"/>
    <w:p>
      <w:pPr>
        <w:pStyle w:val="Heading6"/>
        <w:pBdr>
          <w:left w:val="single" w:sz="36" w:space="4" w:color="2E75B6"/>
        </w:pBdr>
        <w:shd w:val="clear" w:color="auto" w:fill="E3EEF9"/>
        <w:spacing w:before="200" w:after="80"/>
        <w:ind w:left="85"/>
      </w:pPr>
      <w:r>
        <w:rPr>
          <w:i w:val="0"/>
          <w:color w:val="1F3A5F"/>
          <w:sz w:val="23"/>
        </w:rPr>
        <w:t xml:space="preserve">Art. 387</w:t>
      </w:r>
    </w:p>
    <w:p>
      <w:pPr>
        <w:pStyle w:val="FirstParagraph"/>
        <w:spacing w:after="80"/>
        <w:jc w:val="both"/>
      </w:pPr>
      <w:r>
        <w:rPr>
          <w:b/>
          <w:bCs/>
        </w:rPr>
        <w:t xml:space="preserve">Art. 387.</w:t>
      </w:r>
      <w:r>
        <w:t xml:space="preserve"> </w:t>
      </w:r>
      <w:r>
        <w:t xml:space="preserve">A parte responderá pessoalmente sobre os fatos articulados, não podendo servir-se de escritos anteriormente preparados, permitindo-lhe o juiz, todavia, a consulta a notas breves, desde que objetivem completar esclarecimentos.</w:t>
      </w:r>
    </w:p>
    <w:bookmarkEnd w:id="108"/>
    <w:bookmarkStart w:id="109" w:name="art.-388"/>
    <w:p>
      <w:pPr>
        <w:pStyle w:val="Heading6"/>
        <w:pBdr>
          <w:left w:val="single" w:sz="36" w:space="4" w:color="2E75B6"/>
        </w:pBdr>
        <w:shd w:val="clear" w:color="auto" w:fill="E3EEF9"/>
        <w:spacing w:before="200" w:after="80"/>
        <w:ind w:left="85"/>
      </w:pPr>
      <w:r>
        <w:rPr>
          <w:i w:val="0"/>
          <w:color w:val="1F3A5F"/>
          <w:sz w:val="23"/>
        </w:rPr>
        <w:t xml:space="preserve">Art. 388</w:t>
      </w:r>
    </w:p>
    <w:p>
      <w:pPr>
        <w:pStyle w:val="FirstParagraph"/>
        <w:spacing w:after="80"/>
        <w:jc w:val="both"/>
      </w:pPr>
      <w:r>
        <w:rPr>
          <w:b/>
          <w:bCs/>
        </w:rPr>
        <w:t xml:space="preserve">Art. 388.</w:t>
      </w:r>
      <w:r>
        <w:t xml:space="preserve"> </w:t>
      </w:r>
      <w:r>
        <w:t xml:space="preserve">A parte não é obrigada a depor sobre fatos:</w:t>
      </w:r>
    </w:p>
    <w:p>
      <w:pPr>
        <w:pStyle w:val="BodyText"/>
        <w:spacing w:after="80"/>
        <w:jc w:val="both"/>
      </w:pPr>
      <w:r>
        <w:t xml:space="preserve">I - criminosos ou torpes que lhe forem imputados;</w:t>
      </w:r>
    </w:p>
    <w:p>
      <w:pPr>
        <w:pStyle w:val="BodyText"/>
        <w:spacing w:after="80"/>
        <w:jc w:val="both"/>
      </w:pPr>
      <w:r>
        <w:t xml:space="preserve">II - a cujo respeito, por estado ou profissão, deva guardar sigilo;</w:t>
      </w:r>
    </w:p>
    <w:p>
      <w:pPr>
        <w:pStyle w:val="BodyText"/>
        <w:spacing w:after="80"/>
        <w:jc w:val="both"/>
      </w:pPr>
      <w:r>
        <w:t xml:space="preserve">III - acerca dos quais não possa responder sem desonra própria, de seu cônjuge, de seu companheiro ou de parente em grau sucessível;</w:t>
      </w:r>
    </w:p>
    <w:p>
      <w:pPr>
        <w:pStyle w:val="BodyText"/>
        <w:spacing w:after="80"/>
        <w:jc w:val="both"/>
      </w:pPr>
      <w:r>
        <w:t xml:space="preserve">IV - que coloquem em perigo a vida do depoente ou das pessoas referidas no inciso III.</w:t>
      </w:r>
    </w:p>
    <w:p>
      <w:pPr>
        <w:pStyle w:val="BodyText"/>
        <w:spacing w:after="80"/>
        <w:jc w:val="both"/>
      </w:pPr>
      <w:r>
        <w:t xml:space="preserve">Parágrafo único. Esta disposição não se aplica às ações de estado e de família.</w:t>
      </w:r>
    </w:p>
    <w:bookmarkEnd w:id="109"/>
    <w:bookmarkEnd w:id="110"/>
    <w:bookmarkStart w:id="118" w:name="seção-v-da-confissão-arts.-389-a-395"/>
    <w:p>
      <w:pPr>
        <w:pStyle w:val="Heading5"/>
        <w:spacing w:before="140" w:after="20"/>
      </w:pPr>
      <w:r>
        <w:rPr>
          <w:i/>
          <w:color w:val="595959"/>
        </w:rPr>
        <w:t xml:space="preserve">Seção V: da confissão (arts. 389 a 395)</w:t>
      </w:r>
    </w:p>
    <w:bookmarkStart w:id="111" w:name="art.-389"/>
    <w:p>
      <w:pPr>
        <w:pStyle w:val="Heading6"/>
        <w:pBdr>
          <w:left w:val="single" w:sz="36" w:space="4" w:color="2E75B6"/>
        </w:pBdr>
        <w:shd w:val="clear" w:color="auto" w:fill="E3EEF9"/>
        <w:spacing w:before="200" w:after="80"/>
        <w:ind w:left="85"/>
      </w:pPr>
      <w:r>
        <w:rPr>
          <w:i w:val="0"/>
          <w:color w:val="1F3A5F"/>
          <w:sz w:val="23"/>
        </w:rPr>
        <w:t xml:space="preserve">Art. 389</w:t>
      </w:r>
    </w:p>
    <w:p>
      <w:pPr>
        <w:pStyle w:val="FirstParagraph"/>
        <w:keepNext/>
        <w:spacing w:after="80"/>
        <w:jc w:val="both"/>
      </w:pPr>
      <w:r>
        <w:rPr>
          <w:b/>
          <w:bCs/>
        </w:rPr>
        <w:t xml:space="preserve">Art. 389.</w:t>
      </w:r>
      <w:r>
        <w:t xml:space="preserve"> </w:t>
      </w:r>
      <w:r>
        <w:t xml:space="preserve">Há confissão, judicial ou extrajudicial, quando a parte admite a verdade de fato contrário ao seu interesse e favorável ao do adversário.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59"/>
        <w:gridCol w:w="2625"/>
        <w:gridCol w:w="4570"/>
      </w:tblGrid>
      <w:tr>
        <w:trPr>
          <w:tblHeader w:val="on"/>
          <w:cantSplit/>
          <w:tblHeader/>
        </w:trPr>
        <w:tc>
          <w:tcPr>
            <w:tcW w:type="dxa" w:w="2159"/>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2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57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59"/>
          </w:tcPr>
          <w:p>
            <w:pPr>
              <w:pStyle w:val="Compact"/>
              <w:spacing w:line="276" w:lineRule="auto" w:before="40" w:after="40"/>
            </w:pPr>
            <w:r>
              <w:rPr>
                <w:rFonts w:ascii="Liberation Sans Narrow" w:hAnsi="Liberation Sans Narrow"/>
                <w:sz w:val="18"/>
              </w:rPr>
              <w:t xml:space="preserve">Art. 389, caput: requisitos da confissão extrajudicial e do reconhecimento do pedido</w:t>
            </w:r>
          </w:p>
        </w:tc>
        <w:tc>
          <w:tcPr>
            <w:tcW w:type="dxa" w:w="2625"/>
          </w:tcPr>
          <w:p>
            <w:pPr>
              <w:pStyle w:val="Compact"/>
              <w:spacing w:line="276" w:lineRule="auto" w:before="40" w:after="40"/>
            </w:pPr>
            <w:r>
              <w:rPr>
                <w:rFonts w:ascii="Liberation Sans Narrow" w:hAnsi="Liberation Sans Narrow"/>
                <w:sz w:val="18"/>
              </w:rPr>
              <w:t xml:space="preserve">STJ, REsp 1.918.105, Quarta Turma, relator Min. João Otávio de Noronha, julgado em 09/02/2026, DJEN de 13/02/2026</w:t>
            </w:r>
          </w:p>
        </w:tc>
        <w:tc>
          <w:tcPr>
            <w:tcW w:type="dxa" w:w="4570"/>
          </w:tcPr>
          <w:p>
            <w:pPr>
              <w:pStyle w:val="Compact"/>
              <w:spacing w:line="276" w:lineRule="auto" w:before="40" w:after="40"/>
            </w:pPr>
            <w:r>
              <w:rPr>
                <w:rFonts w:ascii="Liberation Sans Narrow" w:hAnsi="Liberation Sans Narrow"/>
                <w:sz w:val="18"/>
              </w:rPr>
              <w:t xml:space="preserve">Tese: não configura confissão extrajudicial, para os fins do art. 389 do CPC, a menção genérica, em acordo coletivo, a eventuais acordos judiciais, quando o objeto do pacto não guarda relação com os pedidos da demanda. O reconhecimento jurídico do pedido pressupõe manifestação inequívoca e específica da parte contrária sobre os exatos termos do pedido judicial, o que não se verifica quando há divergência temporal e material entre os fundamentos invocados.</w:t>
            </w:r>
          </w:p>
        </w:tc>
      </w:tr>
    </w:tbl>
    <w:bookmarkEnd w:id="111"/>
    <w:bookmarkStart w:id="112" w:name="art.-390"/>
    <w:p>
      <w:pPr>
        <w:pStyle w:val="Heading6"/>
        <w:pBdr>
          <w:left w:val="single" w:sz="36" w:space="4" w:color="2E75B6"/>
        </w:pBdr>
        <w:shd w:val="clear" w:color="auto" w:fill="E3EEF9"/>
        <w:spacing w:before="200" w:after="80"/>
        <w:ind w:left="85"/>
      </w:pPr>
      <w:r>
        <w:rPr>
          <w:i w:val="0"/>
          <w:color w:val="1F3A5F"/>
          <w:sz w:val="23"/>
        </w:rPr>
        <w:t xml:space="preserve">Art. 390</w:t>
      </w:r>
    </w:p>
    <w:p>
      <w:pPr>
        <w:pStyle w:val="FirstParagraph"/>
        <w:spacing w:after="80"/>
        <w:jc w:val="both"/>
      </w:pPr>
      <w:r>
        <w:rPr>
          <w:b/>
          <w:bCs/>
        </w:rPr>
        <w:t xml:space="preserve">Art. 390.</w:t>
      </w:r>
      <w:r>
        <w:t xml:space="preserve"> </w:t>
      </w:r>
      <w:r>
        <w:t xml:space="preserve">A confissão judicial pode ser espontânea ou provocada.</w:t>
      </w:r>
    </w:p>
    <w:p>
      <w:pPr>
        <w:pStyle w:val="BodyText"/>
        <w:keepNext/>
        <w:spacing w:after="80"/>
        <w:jc w:val="both"/>
      </w:pPr>
      <w:r>
        <w:t xml:space="preserve">§ 1º A confissão espontânea pode ser feita pela própria parte ou por representante com poder especial.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91"/>
        <w:gridCol w:w="2213"/>
        <w:gridCol w:w="4850"/>
      </w:tblGrid>
      <w:tr>
        <w:trPr>
          <w:tblHeader w:val="on"/>
          <w:cantSplit/>
          <w:tblHeader/>
        </w:trPr>
        <w:tc>
          <w:tcPr>
            <w:tcW w:type="dxa" w:w="229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21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5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91"/>
          </w:tcPr>
          <w:p>
            <w:pPr>
              <w:pStyle w:val="Compact"/>
              <w:spacing w:line="276" w:lineRule="auto" w:before="40" w:after="40"/>
            </w:pPr>
            <w:r>
              <w:rPr>
                <w:rFonts w:ascii="Liberation Sans Narrow" w:hAnsi="Liberation Sans Narrow"/>
                <w:sz w:val="18"/>
              </w:rPr>
              <w:t xml:space="preserve">Art. 390, § 1º: confissão espontânea por representante e exigência de poder especial</w:t>
            </w:r>
          </w:p>
        </w:tc>
        <w:tc>
          <w:tcPr>
            <w:tcW w:type="dxa" w:w="2213"/>
          </w:tcPr>
          <w:p>
            <w:pPr>
              <w:pStyle w:val="Compact"/>
              <w:spacing w:line="276" w:lineRule="auto" w:before="40" w:after="40"/>
            </w:pPr>
            <w:r>
              <w:rPr>
                <w:rFonts w:ascii="Liberation Sans Narrow" w:hAnsi="Liberation Sans Narrow"/>
                <w:sz w:val="18"/>
              </w:rPr>
              <w:t xml:space="preserve">STJ, AREsp 2.661.032, Terceira Turma, relator Min. Moura Ribeiro, DJe de 17/10/2025</w:t>
            </w:r>
          </w:p>
        </w:tc>
        <w:tc>
          <w:tcPr>
            <w:tcW w:type="dxa" w:w="4850"/>
          </w:tcPr>
          <w:p>
            <w:pPr>
              <w:pStyle w:val="Compact"/>
              <w:spacing w:line="276" w:lineRule="auto" w:before="40" w:after="40"/>
            </w:pPr>
            <w:r>
              <w:rPr>
                <w:rFonts w:ascii="Liberation Sans Narrow" w:hAnsi="Liberation Sans Narrow"/>
                <w:sz w:val="18"/>
              </w:rPr>
              <w:t xml:space="preserve">Em ação reivindicatória, a parte vencida sustentou, no recurso especial, a nulidade da confissão judicial porque o procurador não teria poderes especiais (art. 390 do CPC). O STJ não anulou a confissão: assentou que a extensão dos poderes conferidos ao mandatário só se apura pela interpretação das cláusulas do mandato e pelo exame do instrumento juntado aos autos, providências vedadas pela Súmula 5/STJ. A improcedência da reivindicatória foi mantida com base no acervo probatório (Súmula 7) e na orientação consolidada sobre a admissão da usucapião como matéria de defesa (Súmula 83).</w:t>
            </w:r>
          </w:p>
        </w:tc>
      </w:tr>
    </w:tbl>
    <w:p>
      <w:pPr>
        <w:pStyle w:val="BodyText"/>
        <w:spacing w:after="80"/>
        <w:jc w:val="both"/>
      </w:pPr>
      <w:r>
        <w:t xml:space="preserve">§ 2º A confissão provocada constará do termo de depoimento pessoal.</w:t>
      </w:r>
    </w:p>
    <w:bookmarkEnd w:id="112"/>
    <w:bookmarkStart w:id="113" w:name="art.-391"/>
    <w:p>
      <w:pPr>
        <w:pStyle w:val="Heading6"/>
        <w:pBdr>
          <w:left w:val="single" w:sz="36" w:space="4" w:color="2E75B6"/>
        </w:pBdr>
        <w:shd w:val="clear" w:color="auto" w:fill="E3EEF9"/>
        <w:spacing w:before="200" w:after="80"/>
        <w:ind w:left="85"/>
      </w:pPr>
      <w:r>
        <w:rPr>
          <w:i w:val="0"/>
          <w:color w:val="1F3A5F"/>
          <w:sz w:val="23"/>
        </w:rPr>
        <w:t xml:space="preserve">Art. 391</w:t>
      </w:r>
    </w:p>
    <w:p>
      <w:pPr>
        <w:pStyle w:val="FirstParagraph"/>
        <w:keepNext/>
        <w:spacing w:after="80"/>
        <w:jc w:val="both"/>
      </w:pPr>
      <w:r>
        <w:rPr>
          <w:b/>
          <w:bCs/>
        </w:rPr>
        <w:t xml:space="preserve">Art. 391.</w:t>
      </w:r>
      <w:r>
        <w:t xml:space="preserve"> </w:t>
      </w:r>
      <w:r>
        <w:t xml:space="preserve">A confissão judicial faz prova contra o confitente, não prejudicando, todavia, os litisconsortes.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99"/>
        <w:gridCol w:w="2705"/>
        <w:gridCol w:w="5050"/>
      </w:tblGrid>
      <w:tr>
        <w:trPr>
          <w:tblHeader w:val="on"/>
          <w:cantSplit/>
          <w:tblHeader/>
        </w:trPr>
        <w:tc>
          <w:tcPr>
            <w:tcW w:type="dxa" w:w="1599"/>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0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05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99"/>
          </w:tcPr>
          <w:p>
            <w:pPr>
              <w:pStyle w:val="Compact"/>
              <w:spacing w:line="276" w:lineRule="auto" w:before="40" w:after="40"/>
            </w:pPr>
            <w:r>
              <w:rPr>
                <w:rFonts w:ascii="Liberation Sans Narrow" w:hAnsi="Liberation Sans Narrow"/>
                <w:sz w:val="18"/>
              </w:rPr>
              <w:t xml:space="preserve">Art. 391, caput: eficácia da confissão judicial</w:t>
            </w:r>
          </w:p>
        </w:tc>
        <w:tc>
          <w:tcPr>
            <w:tcW w:type="dxa" w:w="2705"/>
          </w:tcPr>
          <w:p>
            <w:pPr>
              <w:pStyle w:val="Compact"/>
              <w:spacing w:line="276" w:lineRule="auto" w:before="40" w:after="40"/>
            </w:pPr>
            <w:r>
              <w:rPr>
                <w:rFonts w:ascii="Liberation Sans Narrow" w:hAnsi="Liberation Sans Narrow"/>
                <w:sz w:val="18"/>
              </w:rPr>
              <w:t xml:space="preserve">STJ, AREsp 2.739.264, Quarta Turma, relator Min. Raul Araújo, julgado em 02/03/2026, DJEN de 11/03/2026</w:t>
            </w:r>
          </w:p>
        </w:tc>
        <w:tc>
          <w:tcPr>
            <w:tcW w:type="dxa" w:w="5050"/>
          </w:tcPr>
          <w:p>
            <w:pPr>
              <w:pStyle w:val="Compact"/>
              <w:spacing w:line="276" w:lineRule="auto" w:before="40" w:after="40"/>
            </w:pPr>
            <w:r>
              <w:rPr>
                <w:rFonts w:ascii="Liberation Sans Narrow" w:hAnsi="Liberation Sans Narrow"/>
                <w:sz w:val="18"/>
              </w:rPr>
              <w:t xml:space="preserve">A confissão judicial do recorrido não foi suficiente para comprovar os fatos constitutivos do direito da autora, que deveria apresentar provas adequadas e seguras; a ausência dos documentos solicitados pelo perito e a base unilateral das planilhas configuram descumprimento do art. 373, I, do CPC. A questão foi posta como violação dos arts. 5º, 6º, 373, II, 389 e 391 do CPC, quanto ao ônus da prova e à consideração da confissão judicial como prova bastante para a condenação; os agravos foram conhecidos para negar provimento aos recursos especiais e a cobrança da multa contratual foi afastada.</w:t>
            </w:r>
          </w:p>
        </w:tc>
      </w:tr>
    </w:tbl>
    <w:p>
      <w:pPr>
        <w:pStyle w:val="BodyText"/>
        <w:spacing w:after="80"/>
        <w:jc w:val="both"/>
      </w:pPr>
      <w:r>
        <w:t xml:space="preserve">Parágrafo único. Nas ações que versarem sobre bens imóveis ou direitos reais sobre imóveis alheios, a confissão de um cônjuge ou companheiro não valerá sem a do outro, salvo se o regime de casamento for o de separação absoluta de bens.</w:t>
      </w:r>
    </w:p>
    <w:bookmarkEnd w:id="113"/>
    <w:bookmarkStart w:id="114" w:name="art.-392"/>
    <w:p>
      <w:pPr>
        <w:pStyle w:val="Heading6"/>
        <w:pBdr>
          <w:left w:val="single" w:sz="36" w:space="4" w:color="2E75B6"/>
        </w:pBdr>
        <w:shd w:val="clear" w:color="auto" w:fill="E3EEF9"/>
        <w:spacing w:before="200" w:after="80"/>
        <w:ind w:left="85"/>
      </w:pPr>
      <w:r>
        <w:rPr>
          <w:i w:val="0"/>
          <w:color w:val="1F3A5F"/>
          <w:sz w:val="23"/>
        </w:rPr>
        <w:t xml:space="preserve">Art. 392</w:t>
      </w:r>
    </w:p>
    <w:p>
      <w:pPr>
        <w:pStyle w:val="FirstParagraph"/>
        <w:keepNext/>
        <w:spacing w:after="80"/>
        <w:jc w:val="both"/>
      </w:pPr>
      <w:r>
        <w:rPr>
          <w:b/>
          <w:bCs/>
        </w:rPr>
        <w:t xml:space="preserve">Art. 392.</w:t>
      </w:r>
      <w:r>
        <w:t xml:space="preserve"> </w:t>
      </w:r>
      <w:r>
        <w:t xml:space="preserve">Não vale como confissão a admissão, em juízo, de fatos relativos a direitos indisponíveis.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2451"/>
        <w:gridCol w:w="499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45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998"/>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Art. 392, caput: direitos indisponíveis e confissão</w:t>
            </w:r>
          </w:p>
        </w:tc>
        <w:tc>
          <w:tcPr>
            <w:tcW w:type="dxa" w:w="2451"/>
          </w:tcPr>
          <w:p>
            <w:pPr>
              <w:pStyle w:val="Compact"/>
              <w:spacing w:line="276" w:lineRule="auto" w:before="40" w:after="40"/>
            </w:pPr>
            <w:r>
              <w:rPr>
                <w:rFonts w:ascii="Liberation Sans Narrow" w:hAnsi="Liberation Sans Narrow"/>
                <w:sz w:val="18"/>
              </w:rPr>
              <w:t xml:space="preserve">STJ, AgInt no AREsp 1.613.420, Segunda Turma, relator Min. Francisco Falcão, DJe de 31/05/2023</w:t>
            </w:r>
          </w:p>
        </w:tc>
        <w:tc>
          <w:tcPr>
            <w:tcW w:type="dxa" w:w="4998"/>
          </w:tcPr>
          <w:p>
            <w:pPr>
              <w:pStyle w:val="Compact"/>
              <w:spacing w:line="276" w:lineRule="auto" w:before="40" w:after="40"/>
            </w:pPr>
            <w:r>
              <w:rPr>
                <w:rFonts w:ascii="Liberation Sans Narrow" w:hAnsi="Liberation Sans Narrow"/>
                <w:sz w:val="18"/>
              </w:rPr>
              <w:t xml:space="preserve">O acórdão recorrido estava em consonância com a jurisprudência do STJ segundo a qual não se aplica à Fazenda Pública o efeito material da revelia nem é admissível, quanto aos fatos que lhe dizem respeito, a confissão, pois os bens e direitos são considerados indisponíveis. O agravo interno não foi provido porque a parte deixou de impugnar, de modo específico, os óbices da decisão agravada (Súmulas 7 e 83 do STJ e ausência de prequestionamento).</w:t>
            </w:r>
          </w:p>
        </w:tc>
      </w:tr>
    </w:tbl>
    <w:p>
      <w:pPr>
        <w:pStyle w:val="BodyText"/>
        <w:spacing w:after="80"/>
        <w:jc w:val="both"/>
      </w:pPr>
      <w:r>
        <w:t xml:space="preserve">§ 1º A confissão será ineficaz se feita por quem não for capaz de dispor do direito a que se referem os fatos confessados.</w:t>
      </w:r>
    </w:p>
    <w:p>
      <w:pPr>
        <w:pStyle w:val="BodyText"/>
        <w:spacing w:after="80"/>
        <w:jc w:val="both"/>
      </w:pPr>
      <w:r>
        <w:t xml:space="preserve">§ 2º A confissão feita por um representante somente é eficaz nos limites em que este pode vincular o representado.</w:t>
      </w:r>
    </w:p>
    <w:bookmarkEnd w:id="114"/>
    <w:bookmarkStart w:id="115" w:name="art.-393"/>
    <w:p>
      <w:pPr>
        <w:pStyle w:val="Heading6"/>
        <w:pBdr>
          <w:left w:val="single" w:sz="36" w:space="4" w:color="2E75B6"/>
        </w:pBdr>
        <w:shd w:val="clear" w:color="auto" w:fill="E3EEF9"/>
        <w:spacing w:before="200" w:after="80"/>
        <w:ind w:left="85"/>
      </w:pPr>
      <w:r>
        <w:rPr>
          <w:i w:val="0"/>
          <w:color w:val="1F3A5F"/>
          <w:sz w:val="23"/>
        </w:rPr>
        <w:t xml:space="preserve">Art. 393</w:t>
      </w:r>
    </w:p>
    <w:p>
      <w:pPr>
        <w:pStyle w:val="FirstParagraph"/>
        <w:spacing w:after="80"/>
        <w:jc w:val="both"/>
      </w:pPr>
      <w:r>
        <w:rPr>
          <w:b/>
          <w:bCs/>
        </w:rPr>
        <w:t xml:space="preserve">Art. 393.</w:t>
      </w:r>
      <w:r>
        <w:t xml:space="preserve"> </w:t>
      </w:r>
      <w:r>
        <w:t xml:space="preserve">A confissão é irrevogável, mas pode ser anulada se decorreu de erro de fato ou de coação.</w:t>
      </w:r>
    </w:p>
    <w:p>
      <w:pPr>
        <w:pStyle w:val="BodyText"/>
        <w:spacing w:after="80"/>
        <w:jc w:val="both"/>
      </w:pPr>
      <w:r>
        <w:t xml:space="preserve">Parágrafo único. A legitimidade para a ação prevista no caput é exclusiva do confitente e pode ser transferida a seus herdeiros se ele falecer após a propositura.</w:t>
      </w:r>
    </w:p>
    <w:bookmarkEnd w:id="115"/>
    <w:bookmarkStart w:id="116" w:name="art.-394"/>
    <w:p>
      <w:pPr>
        <w:pStyle w:val="Heading6"/>
        <w:pBdr>
          <w:left w:val="single" w:sz="36" w:space="4" w:color="2E75B6"/>
        </w:pBdr>
        <w:shd w:val="clear" w:color="auto" w:fill="E3EEF9"/>
        <w:spacing w:before="200" w:after="80"/>
        <w:ind w:left="85"/>
      </w:pPr>
      <w:r>
        <w:rPr>
          <w:i w:val="0"/>
          <w:color w:val="1F3A5F"/>
          <w:sz w:val="23"/>
        </w:rPr>
        <w:t xml:space="preserve">Art. 394</w:t>
      </w:r>
    </w:p>
    <w:p>
      <w:pPr>
        <w:pStyle w:val="FirstParagraph"/>
        <w:spacing w:after="80"/>
        <w:jc w:val="both"/>
      </w:pPr>
      <w:r>
        <w:rPr>
          <w:b/>
          <w:bCs/>
        </w:rPr>
        <w:t xml:space="preserve">Art. 394.</w:t>
      </w:r>
      <w:r>
        <w:t xml:space="preserve"> </w:t>
      </w:r>
      <w:r>
        <w:t xml:space="preserve">A confissão extrajudicial, quando feita oralmente, só terá eficácia nos casos em que a lei não exija prova literal.</w:t>
      </w:r>
    </w:p>
    <w:bookmarkEnd w:id="116"/>
    <w:bookmarkStart w:id="117" w:name="art.-395"/>
    <w:p>
      <w:pPr>
        <w:pStyle w:val="Heading6"/>
        <w:pBdr>
          <w:left w:val="single" w:sz="36" w:space="4" w:color="2E75B6"/>
        </w:pBdr>
        <w:shd w:val="clear" w:color="auto" w:fill="E3EEF9"/>
        <w:spacing w:before="200" w:after="80"/>
        <w:ind w:left="85"/>
      </w:pPr>
      <w:r>
        <w:rPr>
          <w:i w:val="0"/>
          <w:color w:val="1F3A5F"/>
          <w:sz w:val="23"/>
        </w:rPr>
        <w:t xml:space="preserve">Art. 395</w:t>
      </w:r>
    </w:p>
    <w:p>
      <w:pPr>
        <w:pStyle w:val="FirstParagraph"/>
        <w:spacing w:after="80"/>
        <w:jc w:val="both"/>
      </w:pPr>
      <w:r>
        <w:rPr>
          <w:b/>
          <w:bCs/>
        </w:rPr>
        <w:t xml:space="preserve">Art. 395.</w:t>
      </w:r>
      <w:r>
        <w:t xml:space="preserve"> </w:t>
      </w:r>
      <w:r>
        <w:t xml:space="preserve">A confissão é, em regra, indivisível, não podendo a parte que a quiser invocar como prova aceitá-la no tópico que a beneficiar e rejeitá-la no que lhe for desfavorável, porém cindir-se-á quando o confitente a ela aduzir fatos novos, capazes de constituir fundamento de defesa de direito material ou de reconvenção.</w:t>
      </w:r>
    </w:p>
    <w:bookmarkEnd w:id="117"/>
    <w:bookmarkEnd w:id="118"/>
    <w:bookmarkStart w:id="128" w:name="Xb5fa7b84aab7bbade8a821dabb42b85b799666a"/>
    <w:p>
      <w:pPr>
        <w:pStyle w:val="Heading5"/>
        <w:spacing w:before="140" w:after="20"/>
      </w:pPr>
      <w:r>
        <w:rPr>
          <w:i/>
          <w:color w:val="595959"/>
        </w:rPr>
        <w:t xml:space="preserve">Seção VI: da exibição de documento ou coisa (arts. 396 a 404)</w:t>
      </w:r>
    </w:p>
    <w:bookmarkStart w:id="119" w:name="art.-396"/>
    <w:p>
      <w:pPr>
        <w:pStyle w:val="Heading6"/>
        <w:pBdr>
          <w:left w:val="single" w:sz="36" w:space="4" w:color="2E75B6"/>
        </w:pBdr>
        <w:shd w:val="clear" w:color="auto" w:fill="E3EEF9"/>
        <w:spacing w:before="200" w:after="80"/>
        <w:ind w:left="85"/>
      </w:pPr>
      <w:r>
        <w:rPr>
          <w:i w:val="0"/>
          <w:color w:val="1F3A5F"/>
          <w:sz w:val="23"/>
        </w:rPr>
        <w:t xml:space="preserve">Art. 396</w:t>
      </w:r>
    </w:p>
    <w:p>
      <w:pPr>
        <w:pStyle w:val="FirstParagraph"/>
        <w:keepNext/>
        <w:spacing w:after="80"/>
        <w:jc w:val="both"/>
      </w:pPr>
      <w:r>
        <w:rPr>
          <w:b/>
          <w:bCs/>
        </w:rPr>
        <w:t xml:space="preserve">Art. 396.</w:t>
      </w:r>
      <w:r>
        <w:t xml:space="preserve"> </w:t>
      </w:r>
      <w:r>
        <w:t xml:space="preserve">O juiz pode ordenar que a parte exiba documento ou coisa que se encontre em seu poder.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64"/>
        <w:gridCol w:w="2707"/>
        <w:gridCol w:w="4683"/>
      </w:tblGrid>
      <w:tr>
        <w:trPr>
          <w:tblHeader w:val="on"/>
          <w:cantSplit/>
          <w:tblHeader/>
        </w:trPr>
        <w:tc>
          <w:tcPr>
            <w:tcW w:type="dxa" w:w="1964"/>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0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68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64"/>
          </w:tcPr>
          <w:p>
            <w:pPr>
              <w:pStyle w:val="Compact"/>
              <w:spacing w:line="276" w:lineRule="auto" w:before="40" w:after="40"/>
            </w:pPr>
            <w:r>
              <w:rPr>
                <w:rFonts w:ascii="Liberation Sans Narrow" w:hAnsi="Liberation Sans Narrow"/>
                <w:sz w:val="18"/>
              </w:rPr>
              <w:t xml:space="preserve">Ação autônoma de exibição de documento ou coisa pelo procedimento comum</w:t>
            </w:r>
          </w:p>
        </w:tc>
        <w:tc>
          <w:tcPr>
            <w:tcW w:type="dxa" w:w="2708"/>
          </w:tcPr>
          <w:p>
            <w:pPr>
              <w:pStyle w:val="Compact"/>
              <w:spacing w:line="276" w:lineRule="auto" w:before="40" w:after="40"/>
            </w:pPr>
            <w:r>
              <w:rPr>
                <w:rFonts w:ascii="Liberation Sans Narrow" w:hAnsi="Liberation Sans Narrow"/>
                <w:sz w:val="18"/>
              </w:rPr>
              <w:t xml:space="preserve">STJ, REsp 1.803.251, Terceira Turma, relator Min. Marco Aurélio Bellizze, julgado em 22/10/2019, DJe de 08/11/2019</w:t>
            </w:r>
          </w:p>
        </w:tc>
        <w:tc>
          <w:tcPr>
            <w:tcW w:type="dxa" w:w="4683"/>
          </w:tcPr>
          <w:p>
            <w:pPr>
              <w:pStyle w:val="Compact"/>
              <w:spacing w:line="276" w:lineRule="auto" w:before="40" w:after="40"/>
            </w:pPr>
            <w:r>
              <w:rPr>
                <w:rFonts w:ascii="Liberation Sans Narrow" w:hAnsi="Liberation Sans Narrow"/>
                <w:sz w:val="18"/>
              </w:rPr>
              <w:t xml:space="preserve">É cabível a ação probatória autônoma de exibição de documento ou coisa, de caráter satisfativo e sem exigência de urgência, pelo procedimento comum (art. 318), com aplicação, no que couber, dos arts. 396 e seguintes. A pretensão se exaure na apresentação do documento, sem presunção de veracidade em caso de não exibição, preservadas as medidas coercitivas; há interesse de agir, inclusive quanto à adequação da via.</w:t>
            </w:r>
          </w:p>
        </w:tc>
      </w:tr>
    </w:tbl>
    <w:bookmarkEnd w:id="119"/>
    <w:bookmarkStart w:id="120" w:name="art.-397"/>
    <w:p>
      <w:pPr>
        <w:pStyle w:val="Heading6"/>
        <w:pBdr>
          <w:left w:val="single" w:sz="36" w:space="4" w:color="2E75B6"/>
        </w:pBdr>
        <w:shd w:val="clear" w:color="auto" w:fill="E3EEF9"/>
        <w:spacing w:before="200" w:after="80"/>
        <w:ind w:left="85"/>
      </w:pPr>
      <w:r>
        <w:rPr>
          <w:i w:val="0"/>
          <w:color w:val="1F3A5F"/>
          <w:sz w:val="23"/>
        </w:rPr>
        <w:t xml:space="preserve">Art. 397</w:t>
      </w:r>
    </w:p>
    <w:p>
      <w:pPr>
        <w:pStyle w:val="FirstParagraph"/>
        <w:keepNext/>
        <w:spacing w:after="80"/>
        <w:jc w:val="both"/>
      </w:pPr>
      <w:r>
        <w:rPr>
          <w:b/>
          <w:bCs/>
        </w:rPr>
        <w:t xml:space="preserve">Art. 397.</w:t>
      </w:r>
      <w:r>
        <w:t xml:space="preserve"> </w:t>
      </w:r>
      <w:r>
        <w:t xml:space="preserve">O pedido formulado pela parte conterá:</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429"/>
        <w:gridCol w:w="2579"/>
        <w:gridCol w:w="4346"/>
      </w:tblGrid>
      <w:tr>
        <w:trPr>
          <w:tblHeader w:val="on"/>
          <w:cantSplit/>
          <w:tblHeader/>
        </w:trPr>
        <w:tc>
          <w:tcPr>
            <w:tcW w:type="dxa" w:w="2429"/>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7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34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429"/>
          </w:tcPr>
          <w:p>
            <w:pPr>
              <w:pStyle w:val="Compact"/>
              <w:spacing w:line="276" w:lineRule="auto" w:before="40" w:after="40"/>
            </w:pPr>
            <w:r>
              <w:rPr>
                <w:rFonts w:ascii="Liberation Sans Narrow" w:hAnsi="Liberation Sans Narrow"/>
                <w:sz w:val="18"/>
              </w:rPr>
              <w:t xml:space="preserve">Art. 397, caput (incisos I e II): indicação individualizada do documento e demonstração de sua pertinência</w:t>
            </w:r>
          </w:p>
        </w:tc>
        <w:tc>
          <w:tcPr>
            <w:tcW w:type="dxa" w:w="2579"/>
          </w:tcPr>
          <w:p>
            <w:pPr>
              <w:pStyle w:val="Compact"/>
              <w:spacing w:line="276" w:lineRule="auto" w:before="40" w:after="40"/>
            </w:pPr>
            <w:r>
              <w:rPr>
                <w:rFonts w:ascii="Liberation Sans Narrow" w:hAnsi="Liberation Sans Narrow"/>
                <w:sz w:val="18"/>
              </w:rPr>
              <w:t xml:space="preserve">STJ, AgInt na CR 14.548, Corte Especial, relator Min. João Otávio de Noronha, julgado em 07/04/2020, DJe de 16/04/2020</w:t>
            </w:r>
          </w:p>
        </w:tc>
        <w:tc>
          <w:tcPr>
            <w:tcW w:type="dxa" w:w="4346"/>
          </w:tcPr>
          <w:p>
            <w:pPr>
              <w:pStyle w:val="Compact"/>
              <w:spacing w:line="276" w:lineRule="auto" w:before="40" w:after="40"/>
            </w:pPr>
            <w:r>
              <w:rPr>
                <w:rFonts w:ascii="Liberation Sans Narrow" w:hAnsi="Liberation Sans Narrow"/>
                <w:sz w:val="18"/>
              </w:rPr>
              <w:t xml:space="preserve">“A indicação individualizada de documentos cuja produção é objeto de diligência rogada e a demonstração de sua pertinência para a instrução de demanda em trâmite na Justiça rogante, quando feitas da forma mais completa possível (art. 397 do CPC), não geram nulidade da comissão.”</w:t>
            </w:r>
            <w:r>
              <w:rPr>
                <w:rFonts w:ascii="Liberation Sans Narrow" w:hAnsi="Liberation Sans Narrow"/>
                <w:sz w:val="18"/>
              </w:rPr>
              <w:t xml:space="preserve"> </w:t>
            </w:r>
            <w:r>
              <w:rPr>
                <w:rFonts w:ascii="Liberation Sans Narrow" w:hAnsi="Liberation Sans Narrow"/>
                <w:sz w:val="18"/>
              </w:rPr>
              <w:t xml:space="preserve">O julgado completa que a ninguém é dado eximir-se do dever de colaborar com o Poder Judiciário, cabendo ao terceiro exibir coisa ou documento em seu poder, observado o direito de não se autoincriminar (arts. 378, 379 e 380, II, do CPC).</w:t>
            </w:r>
          </w:p>
        </w:tc>
      </w:tr>
    </w:tbl>
    <w:p>
      <w:pPr>
        <w:pStyle w:val="BodyText"/>
        <w:spacing w:after="80"/>
        <w:jc w:val="both"/>
      </w:pPr>
      <w:r>
        <w:t xml:space="preserve">I - a descrição, tão completa quanto possível, do documento ou da coisa, ou das categorias de documentos ou de coisas buscados; (Redação dada pela Lei nº 14.195, de 2021)</w:t>
      </w:r>
    </w:p>
    <w:p>
      <w:pPr>
        <w:pStyle w:val="BodyText"/>
        <w:spacing w:after="80"/>
        <w:jc w:val="both"/>
      </w:pPr>
      <w:r>
        <w:t xml:space="preserve">II - a finalidade da prova, com indicação dos fatos que se relacionam com o documento ou com a coisa, ou com suas categorias; (Redação dada pela Lei nº 14.195, de 2021)</w:t>
      </w:r>
    </w:p>
    <w:p>
      <w:pPr>
        <w:pStyle w:val="BodyText"/>
        <w:keepNext/>
        <w:spacing w:after="80"/>
        <w:jc w:val="both"/>
      </w:pPr>
      <w:r>
        <w:t xml:space="preserve">III - as circunstâncias em que se funda o requerente para afirmar que o documento ou a coisa existe, ainda que a referência seja a categoria de documentos ou de coisas, e se acha em poder da parte contrária. (Redação dada pela Lei nº 14.195, de 2021)</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12"/>
        <w:gridCol w:w="2645"/>
        <w:gridCol w:w="4798"/>
      </w:tblGrid>
      <w:tr>
        <w:trPr>
          <w:tblHeader w:val="on"/>
          <w:cantSplit/>
          <w:tblHeader/>
        </w:trPr>
        <w:tc>
          <w:tcPr>
            <w:tcW w:type="dxa" w:w="191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4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98"/>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12"/>
          </w:tcPr>
          <w:p>
            <w:pPr>
              <w:pStyle w:val="Compact"/>
              <w:spacing w:line="276" w:lineRule="auto" w:before="40" w:after="40"/>
            </w:pPr>
            <w:r>
              <w:rPr>
                <w:rFonts w:ascii="Liberation Sans Narrow" w:hAnsi="Liberation Sans Narrow"/>
                <w:sz w:val="18"/>
              </w:rPr>
              <w:t xml:space="preserve">Art. 397, III: premissa da posse do documento pela parte requerida</w:t>
            </w:r>
          </w:p>
        </w:tc>
        <w:tc>
          <w:tcPr>
            <w:tcW w:type="dxa" w:w="2645"/>
          </w:tcPr>
          <w:p>
            <w:pPr>
              <w:pStyle w:val="Compact"/>
              <w:spacing w:line="276" w:lineRule="auto" w:before="40" w:after="40"/>
            </w:pPr>
            <w:r>
              <w:rPr>
                <w:rFonts w:ascii="Liberation Sans Narrow" w:hAnsi="Liberation Sans Narrow"/>
                <w:sz w:val="18"/>
              </w:rPr>
              <w:t xml:space="preserve">STJ, AREsp 2.668.540, Terceira Turma, relator Min. Moura Ribeiro, julgado em 09/02/2026, DJEN de 13/02/2026</w:t>
            </w:r>
          </w:p>
        </w:tc>
        <w:tc>
          <w:tcPr>
            <w:tcW w:type="dxa" w:w="4798"/>
          </w:tcPr>
          <w:p>
            <w:pPr>
              <w:pStyle w:val="Compact"/>
              <w:spacing w:line="276" w:lineRule="auto" w:before="40" w:after="40"/>
            </w:pPr>
            <w:r>
              <w:rPr>
                <w:rFonts w:ascii="Liberation Sans Narrow" w:hAnsi="Liberation Sans Narrow"/>
                <w:sz w:val="18"/>
              </w:rPr>
              <w:t xml:space="preserve">Reconhecida a negativa de prestação jurisdicional (arts. 489, § 1º, IV, e 1.022, II, do CPC): o tribunal de origem, ao rejeitar os embargos de declaração, não enfrentou o argumento de que as folhas de pagamento anteriores a 1997 foram emitidas pelo Banco do Brasil, e não pela entidade de previdência, o que afeta</w:t>
            </w:r>
            <w:r>
              <w:rPr>
                <w:rFonts w:ascii="Liberation Sans Narrow" w:hAnsi="Liberation Sans Narrow"/>
                <w:sz w:val="18"/>
              </w:rPr>
              <w:t xml:space="preserve"> </w:t>
            </w:r>
            <w:r>
              <w:rPr>
                <w:rFonts w:ascii="Liberation Sans Narrow" w:hAnsi="Liberation Sans Narrow"/>
                <w:sz w:val="18"/>
              </w:rPr>
              <w:t xml:space="preserve">“a premissa da posse (art. 397, III, do CPC)”</w:t>
            </w:r>
            <w:r>
              <w:rPr>
                <w:rFonts w:ascii="Liberation Sans Narrow" w:hAnsi="Liberation Sans Narrow"/>
                <w:sz w:val="18"/>
              </w:rPr>
              <w:t xml:space="preserve"> </w:t>
            </w:r>
            <w:r>
              <w:rPr>
                <w:rFonts w:ascii="Liberation Sans Narrow" w:hAnsi="Liberation Sans Narrow"/>
                <w:sz w:val="18"/>
              </w:rPr>
              <w:t xml:space="preserve">e caracteriza prova diabólica (art. 373, § 2º); sendo ponto relevante para a viabilidade da prova, exigia manifestação expressa.</w:t>
            </w:r>
          </w:p>
        </w:tc>
      </w:tr>
    </w:tbl>
    <w:bookmarkEnd w:id="120"/>
    <w:bookmarkStart w:id="121" w:name="art.-398"/>
    <w:p>
      <w:pPr>
        <w:pStyle w:val="Heading6"/>
        <w:pBdr>
          <w:left w:val="single" w:sz="36" w:space="4" w:color="2E75B6"/>
        </w:pBdr>
        <w:shd w:val="clear" w:color="auto" w:fill="E3EEF9"/>
        <w:spacing w:before="200" w:after="80"/>
        <w:ind w:left="85"/>
      </w:pPr>
      <w:r>
        <w:rPr>
          <w:i w:val="0"/>
          <w:color w:val="1F3A5F"/>
          <w:sz w:val="23"/>
        </w:rPr>
        <w:t xml:space="preserve">Art. 398</w:t>
      </w:r>
    </w:p>
    <w:p>
      <w:pPr>
        <w:pStyle w:val="FirstParagraph"/>
        <w:spacing w:after="80"/>
        <w:jc w:val="both"/>
      </w:pPr>
      <w:r>
        <w:rPr>
          <w:b/>
          <w:bCs/>
        </w:rPr>
        <w:t xml:space="preserve">Art. 398.</w:t>
      </w:r>
      <w:r>
        <w:t xml:space="preserve"> </w:t>
      </w:r>
      <w:r>
        <w:t xml:space="preserve">O requerido dará sua resposta nos 5 (cinco) dias subsequentes à sua intimação.</w:t>
      </w:r>
    </w:p>
    <w:p>
      <w:pPr>
        <w:pStyle w:val="BodyText"/>
        <w:spacing w:after="80"/>
        <w:jc w:val="both"/>
      </w:pPr>
      <w:r>
        <w:t xml:space="preserve">Parágrafo único. Se o requerido afirmar que não possui o documento ou a coisa, o juiz permitirá que o requerente prove, por qualquer meio, que a declaração não corresponde à verdade.</w:t>
      </w:r>
    </w:p>
    <w:bookmarkEnd w:id="121"/>
    <w:bookmarkStart w:id="122" w:name="art.-399"/>
    <w:p>
      <w:pPr>
        <w:pStyle w:val="Heading6"/>
        <w:pBdr>
          <w:left w:val="single" w:sz="36" w:space="4" w:color="2E75B6"/>
        </w:pBdr>
        <w:shd w:val="clear" w:color="auto" w:fill="E3EEF9"/>
        <w:spacing w:before="200" w:after="80"/>
        <w:ind w:left="85"/>
      </w:pPr>
      <w:r>
        <w:rPr>
          <w:i w:val="0"/>
          <w:color w:val="1F3A5F"/>
          <w:sz w:val="23"/>
        </w:rPr>
        <w:t xml:space="preserve">Art. 399</w:t>
      </w:r>
    </w:p>
    <w:p>
      <w:pPr>
        <w:pStyle w:val="FirstParagraph"/>
        <w:spacing w:after="80"/>
        <w:jc w:val="both"/>
      </w:pPr>
      <w:r>
        <w:rPr>
          <w:b/>
          <w:bCs/>
        </w:rPr>
        <w:t xml:space="preserve">Art. 399.</w:t>
      </w:r>
      <w:r>
        <w:t xml:space="preserve"> </w:t>
      </w:r>
      <w:r>
        <w:t xml:space="preserve">O juiz não admitirá a recusa se:</w:t>
      </w:r>
    </w:p>
    <w:p>
      <w:pPr>
        <w:pStyle w:val="BodyText"/>
        <w:spacing w:after="80"/>
        <w:jc w:val="both"/>
      </w:pPr>
      <w:r>
        <w:t xml:space="preserve">I - o requerido tiver obrigação legal de exibir;</w:t>
      </w:r>
    </w:p>
    <w:p>
      <w:pPr>
        <w:pStyle w:val="BodyText"/>
        <w:spacing w:after="80"/>
        <w:jc w:val="both"/>
      </w:pPr>
      <w:r>
        <w:t xml:space="preserve">II - o requerido tiver aludido ao documento ou à coisa, no processo, com o intuito de constituir prova;</w:t>
      </w:r>
    </w:p>
    <w:p>
      <w:pPr>
        <w:pStyle w:val="BodyText"/>
        <w:keepNext/>
        <w:spacing w:after="80"/>
        <w:jc w:val="both"/>
      </w:pPr>
      <w:r>
        <w:t xml:space="preserve">III - o documento, por seu conteúdo, for comum às partes.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16"/>
        <w:gridCol w:w="2640"/>
        <w:gridCol w:w="4598"/>
      </w:tblGrid>
      <w:tr>
        <w:trPr>
          <w:tblHeader w:val="on"/>
          <w:cantSplit/>
          <w:tblHeader/>
        </w:trPr>
        <w:tc>
          <w:tcPr>
            <w:tcW w:type="dxa" w:w="2116"/>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4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597"/>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16"/>
          </w:tcPr>
          <w:p>
            <w:pPr>
              <w:pStyle w:val="Compact"/>
              <w:spacing w:line="276" w:lineRule="auto" w:before="40" w:after="40"/>
            </w:pPr>
            <w:r>
              <w:rPr>
                <w:rFonts w:ascii="Liberation Sans Narrow" w:hAnsi="Liberation Sans Narrow"/>
                <w:sz w:val="18"/>
              </w:rPr>
              <w:t xml:space="preserve">Art. 399, III (e II): recusa de exibição de documento comum ou de interesse comum</w:t>
            </w:r>
          </w:p>
        </w:tc>
        <w:tc>
          <w:tcPr>
            <w:tcW w:type="dxa" w:w="2641"/>
          </w:tcPr>
          <w:p>
            <w:pPr>
              <w:pStyle w:val="Compact"/>
              <w:spacing w:line="276" w:lineRule="auto" w:before="40" w:after="40"/>
            </w:pPr>
            <w:r>
              <w:rPr>
                <w:rFonts w:ascii="Liberation Sans Narrow" w:hAnsi="Liberation Sans Narrow"/>
                <w:sz w:val="18"/>
              </w:rPr>
              <w:t xml:space="preserve">STJ, REsp 2.001.188, Quarta Turma, relator Min. João Otávio de Noronha, julgado em 08/06/2026, DJEN de 11/06/2026</w:t>
            </w:r>
          </w:p>
        </w:tc>
        <w:tc>
          <w:tcPr>
            <w:tcW w:type="dxa" w:w="4597"/>
          </w:tcPr>
          <w:p>
            <w:pPr>
              <w:pStyle w:val="Compact"/>
              <w:spacing w:line="276" w:lineRule="auto" w:before="40" w:after="40"/>
            </w:pPr>
            <w:r>
              <w:rPr>
                <w:rFonts w:ascii="Liberation Sans Narrow" w:hAnsi="Liberation Sans Narrow"/>
                <w:sz w:val="18"/>
              </w:rPr>
              <w:t xml:space="preserve">“O conceito de documento comum abrange aquele de interesse comum das partes, justificando a exibição das planilhas de evolução do saldo devedor e dos custos de captação quando guardem relação direta com a relação jurídica material e a verificação de eventual abusividade.”</w:t>
            </w:r>
            <w:r>
              <w:rPr>
                <w:rFonts w:ascii="Liberation Sans Narrow" w:hAnsi="Liberation Sans Narrow"/>
                <w:sz w:val="18"/>
              </w:rPr>
              <w:t xml:space="preserve"> </w:t>
            </w:r>
            <w:r>
              <w:rPr>
                <w:rFonts w:ascii="Liberation Sans Narrow" w:hAnsi="Liberation Sans Narrow"/>
                <w:sz w:val="18"/>
              </w:rPr>
              <w:t xml:space="preserve">A ementa enquadra a hipótese no art. 358, II e III, do CPC/1973 e no correspondente art. 399 do CPC/2015 (grafado</w:t>
            </w:r>
            <w:r>
              <w:rPr>
                <w:rFonts w:ascii="Liberation Sans Narrow" w:hAnsi="Liberation Sans Narrow"/>
                <w:sz w:val="18"/>
              </w:rPr>
              <w:t xml:space="preserve"> </w:t>
            </w:r>
            <w:r>
              <w:rPr>
                <w:rFonts w:ascii="Liberation Sans Narrow" w:hAnsi="Liberation Sans Narrow"/>
                <w:sz w:val="18"/>
              </w:rPr>
              <w:t xml:space="preserve">“art. 399, II e II”</w:t>
            </w:r>
            <w:r>
              <w:rPr>
                <w:rFonts w:ascii="Liberation Sans Narrow" w:hAnsi="Liberation Sans Narrow"/>
                <w:sz w:val="18"/>
              </w:rPr>
              <w:t xml:space="preserve">) e conclui que a negativa de exibição de documentos de interesse comum ofende esse dispositivo, impondo-se a apresentação das planilhas e dos custos ligados à relação contratual; recurso especial provido em parte.</w:t>
            </w:r>
          </w:p>
        </w:tc>
      </w:tr>
    </w:tbl>
    <w:bookmarkEnd w:id="122"/>
    <w:bookmarkStart w:id="123" w:name="art.-400"/>
    <w:p>
      <w:pPr>
        <w:pStyle w:val="Heading6"/>
        <w:pBdr>
          <w:left w:val="single" w:sz="36" w:space="4" w:color="2E75B6"/>
        </w:pBdr>
        <w:shd w:val="clear" w:color="auto" w:fill="E3EEF9"/>
        <w:spacing w:before="200" w:after="80"/>
        <w:ind w:left="85"/>
      </w:pPr>
      <w:r>
        <w:rPr>
          <w:i w:val="0"/>
          <w:color w:val="1F3A5F"/>
          <w:sz w:val="23"/>
        </w:rPr>
        <w:t xml:space="preserve">Art. 400</w:t>
      </w:r>
    </w:p>
    <w:p>
      <w:pPr>
        <w:pStyle w:val="FirstParagraph"/>
        <w:keepNext/>
        <w:spacing w:after="80"/>
        <w:jc w:val="both"/>
      </w:pPr>
      <w:r>
        <w:rPr>
          <w:b/>
          <w:bCs/>
        </w:rPr>
        <w:t xml:space="preserve">Art. 400.</w:t>
      </w:r>
      <w:r>
        <w:t xml:space="preserve"> </w:t>
      </w:r>
      <w:r>
        <w:t xml:space="preserve">Ao decidir o pedido, o juiz admitirá como verdadeiros os fatos que, por meio do documento ou da coisa, a parte pretendia provar se: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2993"/>
        <w:gridCol w:w="445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99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45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Exibição de documento: multa (astreintes) para compelir a parte contrária</w:t>
            </w:r>
          </w:p>
        </w:tc>
        <w:tc>
          <w:tcPr>
            <w:tcW w:type="dxa" w:w="2994"/>
          </w:tcPr>
          <w:p>
            <w:pPr>
              <w:pStyle w:val="Compact"/>
              <w:spacing w:line="276" w:lineRule="auto" w:before="40" w:after="40"/>
            </w:pPr>
            <w:r>
              <w:rPr>
                <w:rFonts w:ascii="Liberation Sans Narrow" w:hAnsi="Liberation Sans Narrow"/>
                <w:sz w:val="18"/>
              </w:rPr>
              <w:t xml:space="preserve">STJ, Tema Repetitivo 1000, REsp 1.763.462, Segunda Seção, relator Min. Paulo de Tarso Sanseverino, julgado em 09/06/2021, DJe de 01/07/2021</w:t>
            </w:r>
          </w:p>
        </w:tc>
        <w:tc>
          <w:tcPr>
            <w:tcW w:type="dxa" w:w="4455"/>
          </w:tcPr>
          <w:p>
            <w:pPr>
              <w:pStyle w:val="Compact"/>
              <w:spacing w:line="276" w:lineRule="auto" w:before="40" w:after="40"/>
            </w:pPr>
            <w:r>
              <w:rPr>
                <w:rFonts w:ascii="Liberation Sans Narrow" w:hAnsi="Liberation Sans Narrow"/>
                <w:sz w:val="18"/>
              </w:rPr>
              <w:t xml:space="preserve">Desde que prováveis a existência da relação jurídica entre as partes e de documento ou coisa que se pretende seja exibido, apurada em contraditório prévio, poderá o juiz, após tentativa de busca e apreensão ou outra medida coercitiva, determinar sua exibição sob pena de multa com base no art. 400, parágrafo único, do CPC/2015.</w:t>
            </w:r>
          </w:p>
        </w:tc>
      </w:tr>
    </w:tbl>
    <w:p>
      <w:pPr>
        <w:pStyle w:val="BodyText"/>
        <w:spacing w:after="80"/>
        <w:jc w:val="both"/>
      </w:pPr>
      <w:r>
        <w:t xml:space="preserve">I - o requerido não efetuar a exibição nem fizer nenhuma declaração no prazo do art. 398;</w:t>
      </w:r>
    </w:p>
    <w:p>
      <w:pPr>
        <w:pStyle w:val="BodyText"/>
        <w:spacing w:after="80"/>
        <w:jc w:val="both"/>
      </w:pPr>
      <w:r>
        <w:t xml:space="preserve">II - a recusa for havida por ilegítima.</w:t>
      </w:r>
    </w:p>
    <w:p>
      <w:pPr>
        <w:pStyle w:val="BodyText"/>
        <w:keepNext/>
        <w:spacing w:after="80"/>
        <w:jc w:val="both"/>
      </w:pPr>
      <w:r>
        <w:t xml:space="preserve">Parágrafo único. Sendo necessário, o juiz pode adotar medidas indutivas, coercitivas, mandamentais ou sub-rogatórias para que o documento seja exibido.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786"/>
        <w:gridCol w:w="2034"/>
        <w:gridCol w:w="4534"/>
      </w:tblGrid>
      <w:tr>
        <w:trPr>
          <w:tblHeader w:val="on"/>
          <w:cantSplit/>
          <w:tblHeader/>
        </w:trPr>
        <w:tc>
          <w:tcPr>
            <w:tcW w:type="dxa" w:w="2787"/>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03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53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787"/>
          </w:tcPr>
          <w:p>
            <w:pPr>
              <w:pStyle w:val="Compact"/>
              <w:spacing w:line="276" w:lineRule="auto" w:before="40" w:after="40"/>
            </w:pPr>
            <w:r>
              <w:rPr>
                <w:rFonts w:ascii="Liberation Sans Narrow" w:hAnsi="Liberation Sans Narrow"/>
                <w:sz w:val="18"/>
              </w:rPr>
              <w:t xml:space="preserve">Parágrafo único: medidas indutivas, coercitivas, mandamentais ou sub-rogatórias na exibição de documento ou coisa</w:t>
            </w:r>
          </w:p>
        </w:tc>
        <w:tc>
          <w:tcPr>
            <w:tcW w:type="dxa" w:w="2034"/>
          </w:tcPr>
          <w:p>
            <w:pPr>
              <w:pStyle w:val="Compact"/>
              <w:spacing w:line="276" w:lineRule="auto" w:before="40" w:after="40"/>
            </w:pPr>
            <w:r>
              <w:rPr>
                <w:rFonts w:ascii="Liberation Sans Narrow" w:hAnsi="Liberation Sans Narrow"/>
                <w:sz w:val="18"/>
              </w:rPr>
              <w:t xml:space="preserve">STF, ADI 5.941, Tribunal Pleno, relator Min. Luiz Fux, julgado em 09/02/2023</w:t>
            </w:r>
          </w:p>
        </w:tc>
        <w:tc>
          <w:tcPr>
            <w:tcW w:type="dxa" w:w="4533"/>
          </w:tcPr>
          <w:p>
            <w:pPr>
              <w:pStyle w:val="Compact"/>
              <w:spacing w:line="276" w:lineRule="auto" w:before="40" w:after="40"/>
            </w:pPr>
            <w:r>
              <w:rPr>
                <w:rFonts w:ascii="Liberation Sans Narrow" w:hAnsi="Liberation Sans Narrow"/>
                <w:sz w:val="18"/>
              </w:rPr>
              <w:t xml:space="preserve">Julgada improcedente: não há inconstitucionalidade a priori nos meios executivos atípicos, cuja adequação, necessidade e proporcionalidade em sentido estrito se aferem no caso concreto, com controle pelo sistema recursal.</w:t>
            </w:r>
          </w:p>
        </w:tc>
      </w:tr>
    </w:tbl>
    <w:bookmarkEnd w:id="123"/>
    <w:bookmarkStart w:id="124" w:name="art.-401"/>
    <w:p>
      <w:pPr>
        <w:pStyle w:val="Heading6"/>
        <w:pBdr>
          <w:left w:val="single" w:sz="36" w:space="4" w:color="2E75B6"/>
        </w:pBdr>
        <w:shd w:val="clear" w:color="auto" w:fill="E3EEF9"/>
        <w:spacing w:before="200" w:after="80"/>
        <w:ind w:left="85"/>
      </w:pPr>
      <w:r>
        <w:rPr>
          <w:i w:val="0"/>
          <w:color w:val="1F3A5F"/>
          <w:sz w:val="23"/>
        </w:rPr>
        <w:t xml:space="preserve">Art. 401</w:t>
      </w:r>
    </w:p>
    <w:p>
      <w:pPr>
        <w:pStyle w:val="FirstParagraph"/>
        <w:keepNext/>
        <w:spacing w:after="80"/>
        <w:jc w:val="both"/>
      </w:pPr>
      <w:r>
        <w:rPr>
          <w:b/>
          <w:bCs/>
        </w:rPr>
        <w:t xml:space="preserve">Art. 401.</w:t>
      </w:r>
      <w:r>
        <w:t xml:space="preserve"> </w:t>
      </w:r>
      <w:r>
        <w:t xml:space="preserve">Quando o documento ou a coisa estiver em poder de terceiro, o juiz ordenará sua citação para responder no prazo de 15 (quinze) dias.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37"/>
        <w:gridCol w:w="2956"/>
        <w:gridCol w:w="4261"/>
      </w:tblGrid>
      <w:tr>
        <w:trPr>
          <w:tblHeader w:val="on"/>
          <w:cantSplit/>
          <w:tblHeader/>
        </w:trPr>
        <w:tc>
          <w:tcPr>
            <w:tcW w:type="dxa" w:w="2137"/>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95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26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37"/>
          </w:tcPr>
          <w:p>
            <w:pPr>
              <w:pStyle w:val="Compact"/>
              <w:spacing w:line="276" w:lineRule="auto" w:before="40" w:after="40"/>
            </w:pPr>
            <w:r>
              <w:rPr>
                <w:rFonts w:ascii="Liberation Sans Narrow" w:hAnsi="Liberation Sans Narrow"/>
                <w:sz w:val="18"/>
              </w:rPr>
              <w:t xml:space="preserve">Art. 401: exibição por terceiro, por simples requerimento, sem incidente processual</w:t>
            </w:r>
          </w:p>
        </w:tc>
        <w:tc>
          <w:tcPr>
            <w:tcW w:type="dxa" w:w="2956"/>
          </w:tcPr>
          <w:p>
            <w:pPr>
              <w:pStyle w:val="Compact"/>
              <w:spacing w:line="276" w:lineRule="auto" w:before="40" w:after="40"/>
            </w:pPr>
            <w:r>
              <w:rPr>
                <w:rFonts w:ascii="Liberation Sans Narrow" w:hAnsi="Liberation Sans Narrow"/>
                <w:sz w:val="18"/>
              </w:rPr>
              <w:t xml:space="preserve">STJ, AREsp 2.840.956, Quarta Turma, relator Min. João Otávio de Noronha, julgado em 16/03/2026, DJEN de 19/03/2026</w:t>
            </w:r>
          </w:p>
        </w:tc>
        <w:tc>
          <w:tcPr>
            <w:tcW w:type="dxa" w:w="4260"/>
          </w:tcPr>
          <w:p>
            <w:pPr>
              <w:pStyle w:val="Compact"/>
              <w:spacing w:line="276" w:lineRule="auto" w:before="40" w:after="40"/>
            </w:pPr>
            <w:r>
              <w:rPr>
                <w:rFonts w:ascii="Liberation Sans Narrow" w:hAnsi="Liberation Sans Narrow"/>
                <w:sz w:val="18"/>
              </w:rPr>
              <w:t xml:space="preserve">“Incide a Súmula n. 83 do STJ quanto ao art. 401 do CPC, porque é admitida a intimação de terceiro, por simples requerimento, para exibição de documentos, independentemente de instauração de incidente processual; além disso, a nulidade exige demonstração de prejuízo concreto.”</w:t>
            </w:r>
            <w:r>
              <w:rPr>
                <w:rFonts w:ascii="Liberation Sans Narrow" w:hAnsi="Liberation Sans Narrow"/>
                <w:sz w:val="18"/>
              </w:rPr>
              <w:t xml:space="preserve"> </w:t>
            </w:r>
            <w:r>
              <w:rPr>
                <w:rFonts w:ascii="Liberation Sans Narrow" w:hAnsi="Liberation Sans Narrow"/>
                <w:sz w:val="18"/>
              </w:rPr>
              <w:t xml:space="preserve">O caso é de exibição, por securitizadora, de documentos de operação de securitização no cumprimento de sentença; o sigilo da Lei nº 105/2001 não impediu a ordem, com observação de sigilo nos autos.</w:t>
            </w:r>
          </w:p>
        </w:tc>
      </w:tr>
      <w:tr>
        <w:trPr>
          <w:cantSplit/>
        </w:trPr>
        <w:tc>
          <w:tcPr>
            <w:tcW w:type="dxa" w:w="2137"/>
          </w:tcPr>
          <w:p>
            <w:pPr>
              <w:pStyle w:val="Compact"/>
              <w:spacing w:line="276" w:lineRule="auto" w:before="40" w:after="40"/>
            </w:pPr>
            <w:r>
              <w:rPr>
                <w:rFonts w:ascii="Liberation Sans Narrow" w:hAnsi="Liberation Sans Narrow"/>
                <w:sz w:val="18"/>
              </w:rPr>
              <w:t xml:space="preserve">Art. 401: dispensa do rito quando o terceiro cumpre a ordem</w:t>
            </w:r>
          </w:p>
        </w:tc>
        <w:tc>
          <w:tcPr>
            <w:tcW w:type="dxa" w:w="2956"/>
          </w:tcPr>
          <w:p>
            <w:pPr>
              <w:pStyle w:val="Compact"/>
              <w:spacing w:line="276" w:lineRule="auto" w:before="40" w:after="40"/>
            </w:pPr>
            <w:r>
              <w:rPr>
                <w:rFonts w:ascii="Liberation Sans Narrow" w:hAnsi="Liberation Sans Narrow"/>
                <w:sz w:val="18"/>
              </w:rPr>
              <w:t xml:space="preserve">STJ, AREsp 2.999.990, Terceira Turma, relator Min. Moura Ribeiro, julgado em 09/02/2026, DJEN de 18/02/2026</w:t>
            </w:r>
          </w:p>
        </w:tc>
        <w:tc>
          <w:tcPr>
            <w:tcW w:type="dxa" w:w="4260"/>
          </w:tcPr>
          <w:p>
            <w:pPr>
              <w:pStyle w:val="Compact"/>
              <w:spacing w:line="276" w:lineRule="auto" w:before="40" w:after="40"/>
            </w:pPr>
            <w:r>
              <w:rPr>
                <w:rFonts w:ascii="Liberation Sans Narrow" w:hAnsi="Liberation Sans Narrow"/>
                <w:sz w:val="18"/>
              </w:rPr>
              <w:t xml:space="preserve">“A exibição de documentos por terceiro não exige o rito dos arts. 401 a 403 do CPC quando a ordem específica é cumprida e o alargamento pretendido se mostra inviável e desconectado da controvérsia útil, inexistindo resistência relevante que justifique medidas coercitivas.”</w:t>
            </w:r>
            <w:r>
              <w:rPr>
                <w:rFonts w:ascii="Liberation Sans Narrow" w:hAnsi="Liberation Sans Narrow"/>
                <w:sz w:val="18"/>
              </w:rPr>
              <w:t xml:space="preserve"> </w:t>
            </w:r>
            <w:r>
              <w:rPr>
                <w:rFonts w:ascii="Liberation Sans Narrow" w:hAnsi="Liberation Sans Narrow"/>
                <w:sz w:val="18"/>
              </w:rPr>
              <w:t xml:space="preserve">Acrescenta que o juiz, destinatário da prova, pode indeferir diligências inúteis ou protelatórias, sem cerceamento de defesa.</w:t>
            </w:r>
          </w:p>
        </w:tc>
      </w:tr>
    </w:tbl>
    <w:bookmarkEnd w:id="124"/>
    <w:bookmarkStart w:id="125" w:name="art.-402"/>
    <w:p>
      <w:pPr>
        <w:pStyle w:val="Heading6"/>
        <w:pBdr>
          <w:left w:val="single" w:sz="36" w:space="4" w:color="2E75B6"/>
        </w:pBdr>
        <w:shd w:val="clear" w:color="auto" w:fill="E3EEF9"/>
        <w:spacing w:before="200" w:after="80"/>
        <w:ind w:left="85"/>
      </w:pPr>
      <w:r>
        <w:rPr>
          <w:i w:val="0"/>
          <w:color w:val="1F3A5F"/>
          <w:sz w:val="23"/>
        </w:rPr>
        <w:t xml:space="preserve">Art. 402</w:t>
      </w:r>
    </w:p>
    <w:p>
      <w:pPr>
        <w:pStyle w:val="FirstParagraph"/>
        <w:keepNext/>
        <w:spacing w:after="80"/>
        <w:jc w:val="both"/>
      </w:pPr>
      <w:r>
        <w:rPr>
          <w:b/>
          <w:bCs/>
        </w:rPr>
        <w:t xml:space="preserve">Art. 402.</w:t>
      </w:r>
      <w:r>
        <w:t xml:space="preserve"> </w:t>
      </w:r>
      <w:r>
        <w:t xml:space="preserve">Se o terceiro negar a obrigação de exibir ou a posse do documento ou da coisa, o juiz designará audiência especial, tomando-lhe o depoimento, bem como o das partes e, se necessário, o de testemunhas, e em seguida proferirá decisão.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11"/>
        <w:gridCol w:w="2574"/>
        <w:gridCol w:w="4669"/>
      </w:tblGrid>
      <w:tr>
        <w:trPr>
          <w:tblHeader w:val="on"/>
          <w:cantSplit/>
          <w:tblHeader/>
        </w:trPr>
        <w:tc>
          <w:tcPr>
            <w:tcW w:type="dxa" w:w="211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7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66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11"/>
          </w:tcPr>
          <w:p>
            <w:pPr>
              <w:pStyle w:val="Compact"/>
              <w:spacing w:line="276" w:lineRule="auto" w:before="40" w:after="40"/>
            </w:pPr>
            <w:r>
              <w:rPr>
                <w:rFonts w:ascii="Liberation Sans Narrow" w:hAnsi="Liberation Sans Narrow"/>
                <w:sz w:val="18"/>
              </w:rPr>
              <w:t xml:space="preserve">Art. 402: rito dos arts. 401 a 403 dispensável quando o terceiro cumpre a ordem</w:t>
            </w:r>
          </w:p>
        </w:tc>
        <w:tc>
          <w:tcPr>
            <w:tcW w:type="dxa" w:w="2574"/>
          </w:tcPr>
          <w:p>
            <w:pPr>
              <w:pStyle w:val="Compact"/>
              <w:spacing w:line="276" w:lineRule="auto" w:before="40" w:after="40"/>
            </w:pPr>
            <w:r>
              <w:rPr>
                <w:rFonts w:ascii="Liberation Sans Narrow" w:hAnsi="Liberation Sans Narrow"/>
                <w:sz w:val="18"/>
              </w:rPr>
              <w:t xml:space="preserve">STJ, AREsp 2.999.990, Terceira Turma, relator Min. Moura Ribeiro, julgado em 09/02/2026, DJEN de 18/02/2026</w:t>
            </w:r>
          </w:p>
        </w:tc>
        <w:tc>
          <w:tcPr>
            <w:tcW w:type="dxa" w:w="4669"/>
          </w:tcPr>
          <w:p>
            <w:pPr>
              <w:pStyle w:val="Compact"/>
              <w:spacing w:line="276" w:lineRule="auto" w:before="40" w:after="40"/>
            </w:pPr>
            <w:r>
              <w:rPr>
                <w:rFonts w:ascii="Liberation Sans Narrow" w:hAnsi="Liberation Sans Narrow"/>
                <w:sz w:val="18"/>
              </w:rPr>
              <w:t xml:space="preserve">“A exibição de documentos por terceiro não exige o rito dos arts. 401 a 403 do CPC quando a ordem específica é cumprida e o alargamento pretendido se mostra inviável e desconectado da controvérsia útil, inexistindo resistência relevante que justifique medidas coercitivas.”</w:t>
            </w:r>
            <w:r>
              <w:rPr>
                <w:rFonts w:ascii="Liberation Sans Narrow" w:hAnsi="Liberation Sans Narrow"/>
                <w:sz w:val="18"/>
              </w:rPr>
              <w:t xml:space="preserve"> </w:t>
            </w:r>
            <w:r>
              <w:rPr>
                <w:rFonts w:ascii="Liberation Sans Narrow" w:hAnsi="Liberation Sans Narrow"/>
                <w:sz w:val="18"/>
              </w:rPr>
              <w:t xml:space="preserve">No caso, a ordem de exibição já havia sido atendida por terceiro, e o alargamento pretendido foi tido por genérico e desvinculado dos pontos controvertidos; o juiz pode indeferir diligências inúteis ou protelatórias, sem cerceamento de defesa.</w:t>
            </w:r>
          </w:p>
        </w:tc>
      </w:tr>
    </w:tbl>
    <w:bookmarkEnd w:id="125"/>
    <w:bookmarkStart w:id="126" w:name="art.-403"/>
    <w:p>
      <w:pPr>
        <w:pStyle w:val="Heading6"/>
        <w:pBdr>
          <w:left w:val="single" w:sz="36" w:space="4" w:color="2E75B6"/>
        </w:pBdr>
        <w:shd w:val="clear" w:color="auto" w:fill="E3EEF9"/>
        <w:spacing w:before="200" w:after="80"/>
        <w:ind w:left="85"/>
      </w:pPr>
      <w:r>
        <w:rPr>
          <w:i w:val="0"/>
          <w:color w:val="1F3A5F"/>
          <w:sz w:val="23"/>
        </w:rPr>
        <w:t xml:space="preserve">Art. 403</w:t>
      </w:r>
    </w:p>
    <w:p>
      <w:pPr>
        <w:pStyle w:val="FirstParagraph"/>
        <w:spacing w:after="80"/>
        <w:jc w:val="both"/>
      </w:pPr>
      <w:r>
        <w:rPr>
          <w:b/>
          <w:bCs/>
        </w:rPr>
        <w:t xml:space="preserve">Art. 403.</w:t>
      </w:r>
      <w:r>
        <w:t xml:space="preserve"> </w:t>
      </w:r>
      <w:r>
        <w:t xml:space="preserve">Se o terceiro, sem justo motivo, se recusar a efetuar a exibição, o juiz ordenar-lhe-á que proceda ao respectivo depósito em cartório ou em outro lugar designado, no prazo de 5 (cinco) dias, impondo ao requerente que o ressarça pelas despesas que tiver.</w:t>
      </w:r>
    </w:p>
    <w:p>
      <w:pPr>
        <w:pStyle w:val="BodyText"/>
        <w:keepNext/>
        <w:spacing w:after="80"/>
        <w:jc w:val="both"/>
      </w:pPr>
      <w:r>
        <w:t xml:space="preserve">Parágrafo único. Se o terceiro descumprir a ordem, o juiz expedirá mandado de apreensão, requisitando, se necessário, força policial, sem prejuízo da responsabilidade por crime de desobediência, pagamento de multa e outras medidas indutivas, coercitivas, mandamentais ou sub-rogatórias necessárias para assegurar a efetivação da decisão.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665"/>
        <w:gridCol w:w="2508"/>
        <w:gridCol w:w="4182"/>
      </w:tblGrid>
      <w:tr>
        <w:trPr>
          <w:tblHeader w:val="on"/>
          <w:cantSplit/>
          <w:tblHeader/>
        </w:trPr>
        <w:tc>
          <w:tcPr>
            <w:tcW w:type="dxa" w:w="266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0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18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665"/>
          </w:tcPr>
          <w:p>
            <w:pPr>
              <w:pStyle w:val="Compact"/>
              <w:spacing w:line="276" w:lineRule="auto" w:before="40" w:after="40"/>
            </w:pPr>
            <w:r>
              <w:rPr>
                <w:rFonts w:ascii="Liberation Sans Narrow" w:hAnsi="Liberation Sans Narrow"/>
                <w:sz w:val="18"/>
              </w:rPr>
              <w:t xml:space="preserve">Parágrafo único: medidas coercitivas contra o terceiro que se recusa a exibir documento ou coisa</w:t>
            </w:r>
          </w:p>
        </w:tc>
        <w:tc>
          <w:tcPr>
            <w:tcW w:type="dxa" w:w="2508"/>
          </w:tcPr>
          <w:p>
            <w:pPr>
              <w:pStyle w:val="Compact"/>
              <w:spacing w:line="276" w:lineRule="auto" w:before="40" w:after="40"/>
            </w:pPr>
            <w:r>
              <w:rPr>
                <w:rFonts w:ascii="Liberation Sans Narrow" w:hAnsi="Liberation Sans Narrow"/>
                <w:sz w:val="18"/>
              </w:rPr>
              <w:t xml:space="preserve">STF, ADI 5.941, Tribunal Pleno, relator Min. Luiz Fux, julgado em 09/02/2023</w:t>
            </w:r>
          </w:p>
        </w:tc>
        <w:tc>
          <w:tcPr>
            <w:tcW w:type="dxa" w:w="4182"/>
          </w:tcPr>
          <w:p>
            <w:pPr>
              <w:pStyle w:val="Compact"/>
              <w:spacing w:line="276" w:lineRule="auto" w:before="40" w:after="40"/>
            </w:pPr>
            <w:r>
              <w:rPr>
                <w:rFonts w:ascii="Liberation Sans Narrow" w:hAnsi="Liberation Sans Narrow"/>
                <w:sz w:val="18"/>
              </w:rPr>
              <w:t xml:space="preserve">Julgada improcedente: não há inconstitucionalidade a priori nos meios executivos atípicos, cuja adequação, necessidade e proporcionalidade em sentido estrito se aferem no caso concreto, com controle pelo sistema recursal.</w:t>
            </w:r>
          </w:p>
        </w:tc>
      </w:tr>
      <w:tr>
        <w:trPr>
          <w:cantSplit/>
        </w:trPr>
        <w:tc>
          <w:tcPr>
            <w:tcW w:type="dxa" w:w="2665"/>
          </w:tcPr>
          <w:p>
            <w:pPr>
              <w:pStyle w:val="Compact"/>
              <w:spacing w:line="276" w:lineRule="auto" w:before="40" w:after="40"/>
            </w:pPr>
            <w:r>
              <w:rPr>
                <w:rFonts w:ascii="Liberation Sans Narrow" w:hAnsi="Liberation Sans Narrow"/>
                <w:sz w:val="18"/>
              </w:rPr>
              <w:t xml:space="preserve">Art. 403, parágrafo único: medidas coercitivas contra o terceiro só diante de resistência relevante</w:t>
            </w:r>
          </w:p>
        </w:tc>
        <w:tc>
          <w:tcPr>
            <w:tcW w:type="dxa" w:w="2508"/>
          </w:tcPr>
          <w:p>
            <w:pPr>
              <w:pStyle w:val="Compact"/>
              <w:spacing w:line="276" w:lineRule="auto" w:before="40" w:after="40"/>
            </w:pPr>
            <w:r>
              <w:rPr>
                <w:rFonts w:ascii="Liberation Sans Narrow" w:hAnsi="Liberation Sans Narrow"/>
                <w:sz w:val="18"/>
              </w:rPr>
              <w:t xml:space="preserve">STJ, AREsp 2.999.990, Terceira Turma, relator Min. Moura Ribeiro, julgado em 09/02/2026, DJEN de 18/02/2026</w:t>
            </w:r>
          </w:p>
        </w:tc>
        <w:tc>
          <w:tcPr>
            <w:tcW w:type="dxa" w:w="4182"/>
          </w:tcPr>
          <w:p>
            <w:pPr>
              <w:pStyle w:val="Compact"/>
              <w:spacing w:line="276" w:lineRule="auto" w:before="40" w:after="40"/>
            </w:pPr>
            <w:r>
              <w:rPr>
                <w:rFonts w:ascii="Liberation Sans Narrow" w:hAnsi="Liberation Sans Narrow"/>
                <w:sz w:val="18"/>
              </w:rPr>
              <w:t xml:space="preserve">“A exibição de documentos por terceiro não exige o rito dos arts. 401 a 403 do CPC quando a ordem específica é cumprida e o alargamento pretendido se mostra inviável e desconectado da controvérsia útil, inexistindo resistência relevante que justifique medidas coercitivas.”</w:t>
            </w:r>
            <w:r>
              <w:rPr>
                <w:rFonts w:ascii="Liberation Sans Narrow" w:hAnsi="Liberation Sans Narrow"/>
                <w:sz w:val="18"/>
              </w:rPr>
              <w:t xml:space="preserve"> </w:t>
            </w:r>
            <w:r>
              <w:rPr>
                <w:rFonts w:ascii="Liberation Sans Narrow" w:hAnsi="Liberation Sans Narrow"/>
                <w:sz w:val="18"/>
              </w:rPr>
              <w:t xml:space="preserve">O juiz, destinatário da prova, pode indeferir diligências inúteis ou protelatórias, sem cerceamento de defesa; o efeito suspensivo não se justifica sem demonstração concreta de dano grave e irreparável.</w:t>
            </w:r>
          </w:p>
        </w:tc>
      </w:tr>
    </w:tbl>
    <w:bookmarkEnd w:id="126"/>
    <w:bookmarkStart w:id="127" w:name="art.-404"/>
    <w:p>
      <w:pPr>
        <w:pStyle w:val="Heading6"/>
        <w:pBdr>
          <w:left w:val="single" w:sz="36" w:space="4" w:color="2E75B6"/>
        </w:pBdr>
        <w:shd w:val="clear" w:color="auto" w:fill="E3EEF9"/>
        <w:spacing w:before="200" w:after="80"/>
        <w:ind w:left="85"/>
      </w:pPr>
      <w:r>
        <w:rPr>
          <w:i w:val="0"/>
          <w:color w:val="1F3A5F"/>
          <w:sz w:val="23"/>
        </w:rPr>
        <w:t xml:space="preserve">Art. 404</w:t>
      </w:r>
    </w:p>
    <w:p>
      <w:pPr>
        <w:pStyle w:val="FirstParagraph"/>
        <w:spacing w:after="80"/>
        <w:jc w:val="both"/>
      </w:pPr>
      <w:r>
        <w:rPr>
          <w:b/>
          <w:bCs/>
        </w:rPr>
        <w:t xml:space="preserve">Art. 404.</w:t>
      </w:r>
      <w:r>
        <w:t xml:space="preserve"> </w:t>
      </w:r>
      <w:r>
        <w:t xml:space="preserve">A parte e o terceiro se escusam de exibir, em juízo, o documento ou a coisa se:</w:t>
      </w:r>
    </w:p>
    <w:p>
      <w:pPr>
        <w:pStyle w:val="BodyText"/>
        <w:spacing w:after="80"/>
        <w:jc w:val="both"/>
      </w:pPr>
      <w:r>
        <w:t xml:space="preserve">I - concernente a negócios da própria vida da família;</w:t>
      </w:r>
    </w:p>
    <w:p>
      <w:pPr>
        <w:pStyle w:val="BodyText"/>
        <w:spacing w:after="80"/>
        <w:jc w:val="both"/>
      </w:pPr>
      <w:r>
        <w:t xml:space="preserve">II - sua apresentação puder violar dever de honra;</w:t>
      </w:r>
    </w:p>
    <w:p>
      <w:pPr>
        <w:pStyle w:val="BodyText"/>
        <w:spacing w:after="80"/>
        <w:jc w:val="both"/>
      </w:pPr>
      <w:r>
        <w:t xml:space="preserve">III - sua publicidade redundar em desonra à parte ou ao terceiro, bem como a seus parentes consanguíneos ou afins até o terceiro grau, ou lhes representar perigo de ação penal;</w:t>
      </w:r>
    </w:p>
    <w:p>
      <w:pPr>
        <w:pStyle w:val="BodyText"/>
        <w:spacing w:after="80"/>
        <w:jc w:val="both"/>
      </w:pPr>
      <w:r>
        <w:t xml:space="preserve">IV - sua exibição acarretar a divulgação de fatos a cujo respeito, por estado ou profissão, devam guardar segredo;</w:t>
      </w:r>
    </w:p>
    <w:p>
      <w:pPr>
        <w:pStyle w:val="BodyText"/>
        <w:spacing w:after="80"/>
        <w:jc w:val="both"/>
      </w:pPr>
      <w:r>
        <w:t xml:space="preserve">V - subsistirem outros motivos graves que, segundo o prudente arbítrio do juiz, justifiquem a recusa da exibição;</w:t>
      </w:r>
    </w:p>
    <w:p>
      <w:pPr>
        <w:pStyle w:val="BodyText"/>
        <w:spacing w:after="80"/>
        <w:jc w:val="both"/>
      </w:pPr>
      <w:r>
        <w:t xml:space="preserve">VI - houver disposição legal que justifique a recusa da exibição.</w:t>
      </w:r>
    </w:p>
    <w:p>
      <w:pPr>
        <w:pStyle w:val="BodyText"/>
        <w:spacing w:after="80"/>
        <w:jc w:val="both"/>
      </w:pPr>
      <w:r>
        <w:t xml:space="preserve">Parágrafo único. Se os motivos de que tratam os incisos I a VI do caput disserem respeito a apenas uma parcela do documento, a parte ou o terceiro exibirá a outra em cartório, para dela ser extraída cópia reprográfica, de tudo sendo lavrado auto circunstanciado.</w:t>
      </w:r>
    </w:p>
    <w:bookmarkEnd w:id="127"/>
    <w:bookmarkEnd w:id="128"/>
    <w:bookmarkStart w:id="163" w:name="X707c5e82b88e1d274b22444eb3faee110ff322e"/>
    <w:p>
      <w:pPr>
        <w:pStyle w:val="Heading5"/>
        <w:spacing w:before="140" w:after="20"/>
      </w:pPr>
      <w:r>
        <w:rPr>
          <w:i/>
          <w:color w:val="595959"/>
        </w:rPr>
        <w:t xml:space="preserve">Seção VII: da prova documental (arts. 405 a 438)</w:t>
      </w:r>
    </w:p>
    <w:bookmarkStart w:id="129" w:name="art.-405"/>
    <w:p>
      <w:pPr>
        <w:pStyle w:val="Heading6"/>
        <w:pBdr>
          <w:left w:val="single" w:sz="36" w:space="4" w:color="2E75B6"/>
        </w:pBdr>
        <w:shd w:val="clear" w:color="auto" w:fill="E3EEF9"/>
        <w:spacing w:before="200" w:after="80"/>
        <w:ind w:left="85"/>
      </w:pPr>
      <w:r>
        <w:rPr>
          <w:i w:val="0"/>
          <w:color w:val="1F3A5F"/>
          <w:sz w:val="23"/>
        </w:rPr>
        <w:t xml:space="preserve">Art. 405</w:t>
      </w:r>
    </w:p>
    <w:p>
      <w:pPr>
        <w:pStyle w:val="FirstParagraph"/>
        <w:keepNext/>
        <w:spacing w:after="80"/>
        <w:jc w:val="both"/>
      </w:pPr>
      <w:r>
        <w:rPr>
          <w:b/>
          <w:bCs/>
        </w:rPr>
        <w:t xml:space="preserve">Art. 405.</w:t>
      </w:r>
      <w:r>
        <w:t xml:space="preserve"> </w:t>
      </w:r>
      <w:r>
        <w:t xml:space="preserve">O documento público faz prova não só da sua formação, mas também dos fatos que o escrivão, o chefe de secretaria, o tabelião ou o servidor declarar que ocorreram em sua presença.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08"/>
        <w:gridCol w:w="3110"/>
        <w:gridCol w:w="4137"/>
      </w:tblGrid>
      <w:tr>
        <w:trPr>
          <w:tblHeader w:val="on"/>
          <w:cantSplit/>
          <w:tblHeader/>
        </w:trPr>
        <w:tc>
          <w:tcPr>
            <w:tcW w:type="dxa" w:w="2108"/>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11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137"/>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08"/>
          </w:tcPr>
          <w:p>
            <w:pPr>
              <w:pStyle w:val="Compact"/>
              <w:spacing w:line="276" w:lineRule="auto" w:before="40" w:after="40"/>
            </w:pPr>
            <w:r>
              <w:rPr>
                <w:rFonts w:ascii="Liberation Sans Narrow" w:hAnsi="Liberation Sans Narrow"/>
                <w:sz w:val="18"/>
              </w:rPr>
              <w:t xml:space="preserve">Art. 405: força probante do documento público e presunção relativa</w:t>
            </w:r>
          </w:p>
        </w:tc>
        <w:tc>
          <w:tcPr>
            <w:tcW w:type="dxa" w:w="3110"/>
          </w:tcPr>
          <w:p>
            <w:pPr>
              <w:pStyle w:val="Compact"/>
              <w:spacing w:line="276" w:lineRule="auto" w:before="40" w:after="40"/>
            </w:pPr>
            <w:r>
              <w:rPr>
                <w:rFonts w:ascii="Liberation Sans Narrow" w:hAnsi="Liberation Sans Narrow"/>
                <w:sz w:val="18"/>
              </w:rPr>
              <w:t xml:space="preserve">STJ, AgInt no AREsp 2.993.026, Quarta Turma, relator Min. Luís Carlos Gambogi (Desembargador Convocado do Tjmg), julgado em 01/06/2026, DJEN de 08/06/2026</w:t>
            </w:r>
          </w:p>
        </w:tc>
        <w:tc>
          <w:tcPr>
            <w:tcW w:type="dxa" w:w="4137"/>
          </w:tcPr>
          <w:p>
            <w:pPr>
              <w:pStyle w:val="Compact"/>
              <w:spacing w:line="276" w:lineRule="auto" w:before="40" w:after="40"/>
            </w:pPr>
            <w:r>
              <w:rPr>
                <w:rFonts w:ascii="Liberation Sans Narrow" w:hAnsi="Liberation Sans Narrow"/>
                <w:sz w:val="18"/>
              </w:rPr>
              <w:t xml:space="preserve">A força probante do documento público (matrícula de imóvel) não foi desconsiderada: as declarações prestadas ao notário e o documento público por ele elaborado gozam de presunção relativa de veracidade, admitindo prova em contrário, o que afasta a tese de presunção absoluta da data ali indicada quanto à posse. A data da imissão na posse foi fixada por outras provas; revertê-la exigiria reexame de fatos (Súmula 7), e o acórdão estava conforme a orientação do STJ (Súmula 83).</w:t>
            </w:r>
          </w:p>
        </w:tc>
      </w:tr>
      <w:tr>
        <w:trPr>
          <w:cantSplit/>
        </w:trPr>
        <w:tc>
          <w:tcPr>
            <w:tcW w:type="dxa" w:w="2108"/>
          </w:tcPr>
          <w:p>
            <w:pPr>
              <w:pStyle w:val="Compact"/>
              <w:spacing w:line="276" w:lineRule="auto" w:before="40" w:after="40"/>
            </w:pPr>
            <w:r>
              <w:rPr>
                <w:rFonts w:ascii="Liberation Sans Narrow" w:hAnsi="Liberation Sans Narrow"/>
                <w:sz w:val="18"/>
              </w:rPr>
              <w:t xml:space="preserve">Art. 405: extensão da presunção — formação do documento e declaração de vontade</w:t>
            </w:r>
          </w:p>
        </w:tc>
        <w:tc>
          <w:tcPr>
            <w:tcW w:type="dxa" w:w="3110"/>
          </w:tcPr>
          <w:p>
            <w:pPr>
              <w:pStyle w:val="Compact"/>
              <w:spacing w:line="276" w:lineRule="auto" w:before="40" w:after="40"/>
            </w:pPr>
            <w:r>
              <w:rPr>
                <w:rFonts w:ascii="Liberation Sans Narrow" w:hAnsi="Liberation Sans Narrow"/>
                <w:sz w:val="18"/>
              </w:rPr>
              <w:t xml:space="preserve">STJ, AgInt no REsp 2.114.142, Terceira Turma, relator Min. Moura Ribeiro, DJe de 15/08/2025</w:t>
            </w:r>
          </w:p>
        </w:tc>
        <w:tc>
          <w:tcPr>
            <w:tcW w:type="dxa" w:w="4137"/>
          </w:tcPr>
          <w:p>
            <w:pPr>
              <w:pStyle w:val="Compact"/>
              <w:spacing w:line="276" w:lineRule="auto" w:before="40" w:after="40"/>
            </w:pPr>
            <w:r>
              <w:rPr>
                <w:rFonts w:ascii="Liberation Sans Narrow" w:hAnsi="Liberation Sans Narrow"/>
                <w:sz w:val="18"/>
              </w:rPr>
              <w:t xml:space="preserve">A presunção de veracidade do documento público é considerada em relação às condições de sua formação, podendo ser infirmada a declaração de vontade nele manifestada. No caso, a discussão era a natureza solene da doação, que exige escritura pública ou instrumento particular, salvo bens móveis de pequeno valor (art. 541, parágrafo único, do Código Civil); o recurso foi rejeitado também pela deficiência de fundamentação (Súmula 284 do STF).</w:t>
            </w:r>
          </w:p>
        </w:tc>
      </w:tr>
    </w:tbl>
    <w:bookmarkEnd w:id="129"/>
    <w:bookmarkStart w:id="130" w:name="art.-406"/>
    <w:p>
      <w:pPr>
        <w:pStyle w:val="Heading6"/>
        <w:pBdr>
          <w:left w:val="single" w:sz="36" w:space="4" w:color="2E75B6"/>
        </w:pBdr>
        <w:shd w:val="clear" w:color="auto" w:fill="E3EEF9"/>
        <w:spacing w:before="200" w:after="80"/>
        <w:ind w:left="85"/>
      </w:pPr>
      <w:r>
        <w:rPr>
          <w:i w:val="0"/>
          <w:color w:val="1F3A5F"/>
          <w:sz w:val="23"/>
        </w:rPr>
        <w:t xml:space="preserve">Art. 406</w:t>
      </w:r>
    </w:p>
    <w:p>
      <w:pPr>
        <w:pStyle w:val="FirstParagraph"/>
        <w:spacing w:after="80"/>
        <w:jc w:val="both"/>
      </w:pPr>
      <w:r>
        <w:rPr>
          <w:b/>
          <w:bCs/>
        </w:rPr>
        <w:t xml:space="preserve">Art. 406.</w:t>
      </w:r>
      <w:r>
        <w:t xml:space="preserve"> </w:t>
      </w:r>
      <w:r>
        <w:t xml:space="preserve">Quando a lei exigir instrumento público como da substância do ato, nenhuma outra prova, por mais especial que seja, pode suprir-lhe a falta.</w:t>
      </w:r>
    </w:p>
    <w:bookmarkEnd w:id="130"/>
    <w:bookmarkStart w:id="131" w:name="art.-407"/>
    <w:p>
      <w:pPr>
        <w:pStyle w:val="Heading6"/>
        <w:pBdr>
          <w:left w:val="single" w:sz="36" w:space="4" w:color="2E75B6"/>
        </w:pBdr>
        <w:shd w:val="clear" w:color="auto" w:fill="E3EEF9"/>
        <w:spacing w:before="200" w:after="80"/>
        <w:ind w:left="85"/>
      </w:pPr>
      <w:r>
        <w:rPr>
          <w:i w:val="0"/>
          <w:color w:val="1F3A5F"/>
          <w:sz w:val="23"/>
        </w:rPr>
        <w:t xml:space="preserve">Art. 407</w:t>
      </w:r>
    </w:p>
    <w:p>
      <w:pPr>
        <w:pStyle w:val="FirstParagraph"/>
        <w:spacing w:after="80"/>
        <w:jc w:val="both"/>
      </w:pPr>
      <w:r>
        <w:rPr>
          <w:b/>
          <w:bCs/>
        </w:rPr>
        <w:t xml:space="preserve">Art. 407.</w:t>
      </w:r>
      <w:r>
        <w:t xml:space="preserve"> </w:t>
      </w:r>
      <w:r>
        <w:t xml:space="preserve">O documento feito por oficial público incompetente ou sem a observância das formalidades legais, sendo subscrito pelas partes, tem a mesma eficácia probatória do documento particular.</w:t>
      </w:r>
    </w:p>
    <w:bookmarkEnd w:id="131"/>
    <w:bookmarkStart w:id="132" w:name="art.-408"/>
    <w:p>
      <w:pPr>
        <w:pStyle w:val="Heading6"/>
        <w:pBdr>
          <w:left w:val="single" w:sz="36" w:space="4" w:color="2E75B6"/>
        </w:pBdr>
        <w:shd w:val="clear" w:color="auto" w:fill="E3EEF9"/>
        <w:spacing w:before="200" w:after="80"/>
        <w:ind w:left="85"/>
      </w:pPr>
      <w:r>
        <w:rPr>
          <w:i w:val="0"/>
          <w:color w:val="1F3A5F"/>
          <w:sz w:val="23"/>
        </w:rPr>
        <w:t xml:space="preserve">Art. 408</w:t>
      </w:r>
    </w:p>
    <w:p>
      <w:pPr>
        <w:pStyle w:val="FirstParagraph"/>
        <w:keepNext/>
        <w:spacing w:after="80"/>
        <w:jc w:val="both"/>
      </w:pPr>
      <w:r>
        <w:rPr>
          <w:b/>
          <w:bCs/>
        </w:rPr>
        <w:t xml:space="preserve">Art. 408.</w:t>
      </w:r>
      <w:r>
        <w:t xml:space="preserve"> </w:t>
      </w:r>
      <w:r>
        <w:t xml:space="preserve">As declarações constantes do documento particular escrito e assinado ou somente assinado presumem-se verdadeiras em relação ao signatário.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33"/>
        <w:gridCol w:w="2666"/>
        <w:gridCol w:w="4355"/>
      </w:tblGrid>
      <w:tr>
        <w:trPr>
          <w:tblHeader w:val="on"/>
          <w:cantSplit/>
          <w:tblHeader/>
        </w:trPr>
        <w:tc>
          <w:tcPr>
            <w:tcW w:type="dxa" w:w="2333"/>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6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35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333"/>
          </w:tcPr>
          <w:p>
            <w:pPr>
              <w:pStyle w:val="Compact"/>
              <w:spacing w:line="276" w:lineRule="auto" w:before="40" w:after="40"/>
            </w:pPr>
            <w:r>
              <w:rPr>
                <w:rFonts w:ascii="Liberation Sans Narrow" w:hAnsi="Liberation Sans Narrow"/>
                <w:sz w:val="18"/>
              </w:rPr>
              <w:t xml:space="preserve">Art. 408: presunção de veracidade do documento particular diante de alegação genérica de fraude</w:t>
            </w:r>
          </w:p>
        </w:tc>
        <w:tc>
          <w:tcPr>
            <w:tcW w:type="dxa" w:w="2667"/>
          </w:tcPr>
          <w:p>
            <w:pPr>
              <w:pStyle w:val="Compact"/>
              <w:spacing w:line="276" w:lineRule="auto" w:before="40" w:after="40"/>
            </w:pPr>
            <w:r>
              <w:rPr>
                <w:rFonts w:ascii="Liberation Sans Narrow" w:hAnsi="Liberation Sans Narrow"/>
                <w:sz w:val="18"/>
              </w:rPr>
              <w:t xml:space="preserve">STJ, AREsp 3.089.012, Quarta Turma, relator Min. Raul Araújo, julgado em 13/04/2026, DJEN de 22/04/2026</w:t>
            </w:r>
          </w:p>
        </w:tc>
        <w:tc>
          <w:tcPr>
            <w:tcW w:type="dxa" w:w="4355"/>
          </w:tcPr>
          <w:p>
            <w:pPr>
              <w:pStyle w:val="Compact"/>
              <w:spacing w:line="276" w:lineRule="auto" w:before="40" w:after="40"/>
            </w:pPr>
            <w:r>
              <w:rPr>
                <w:rFonts w:ascii="Liberation Sans Narrow" w:hAnsi="Liberation Sans Narrow"/>
                <w:sz w:val="18"/>
              </w:rPr>
              <w:t xml:space="preserve">Alegações genéricas de fraude não afastam a presunção de veracidade do documento particular (art. 408) nem a presunção de legitimidade da contratação: o contrato de empréstimo assinado e o comprovante de transferência do valor bastam quando a autora não impugnou o recebimento nem indicou irregularidade específica. O Tema 1.061/STJ atribui à instituição financeira o ônus de provar a autenticidade da assinatura e a regularidade da contratação quando impugnadas, mas não impõe, em todos os casos, perícia grafotécnica ou documentoscópica; rever a suficiência da prova documental e a necessidade da perícia demandaria reexame de provas e interpretação de cláusulas (Súmulas 5 e 7).</w:t>
            </w:r>
          </w:p>
        </w:tc>
      </w:tr>
      <w:tr>
        <w:trPr>
          <w:cantSplit/>
        </w:trPr>
        <w:tc>
          <w:tcPr>
            <w:tcW w:type="dxa" w:w="2333"/>
          </w:tcPr>
          <w:p>
            <w:pPr>
              <w:pStyle w:val="Compact"/>
              <w:spacing w:line="276" w:lineRule="auto" w:before="40" w:after="40"/>
            </w:pPr>
            <w:r>
              <w:rPr>
                <w:rFonts w:ascii="Liberation Sans Narrow" w:hAnsi="Liberation Sans Narrow"/>
                <w:sz w:val="18"/>
              </w:rPr>
              <w:t xml:space="preserve">Art. 408: presunção relativa e prova dos fatos constitutivos</w:t>
            </w:r>
          </w:p>
        </w:tc>
        <w:tc>
          <w:tcPr>
            <w:tcW w:type="dxa" w:w="2667"/>
          </w:tcPr>
          <w:p>
            <w:pPr>
              <w:pStyle w:val="Compact"/>
              <w:spacing w:line="276" w:lineRule="auto" w:before="40" w:after="40"/>
            </w:pPr>
            <w:r>
              <w:rPr>
                <w:rFonts w:ascii="Liberation Sans Narrow" w:hAnsi="Liberation Sans Narrow"/>
                <w:sz w:val="18"/>
              </w:rPr>
              <w:t xml:space="preserve">STJ, REsp 2.221.778, Terceira Turma, relator Min. Humberto Martins, DJe de 16/10/2025</w:t>
            </w:r>
          </w:p>
        </w:tc>
        <w:tc>
          <w:tcPr>
            <w:tcW w:type="dxa" w:w="4355"/>
          </w:tcPr>
          <w:p>
            <w:pPr>
              <w:pStyle w:val="Compact"/>
              <w:spacing w:line="276" w:lineRule="auto" w:before="40" w:after="40"/>
            </w:pPr>
            <w:r>
              <w:rPr>
                <w:rFonts w:ascii="Liberation Sans Narrow" w:hAnsi="Liberation Sans Narrow"/>
                <w:sz w:val="18"/>
              </w:rPr>
              <w:t xml:space="preserve">Os documentos particulares apresentados gozam de presunção relativa de veracidade, mas não foram suficientes para comprovar os fatos constitutivos do direito alegado; a pretensão de reavaliar o conjunto probatório esbarra na Súmula 7. A ementa examina especificamente a alegação de afronta aos arts. 408 e 411, III, do CPC, ao afastar a força probante de documentos particulares não impugnados pela parte contrária.</w:t>
            </w:r>
          </w:p>
        </w:tc>
      </w:tr>
    </w:tbl>
    <w:p>
      <w:pPr>
        <w:pStyle w:val="BodyText"/>
        <w:spacing w:after="80"/>
        <w:jc w:val="both"/>
      </w:pPr>
      <w:r>
        <w:t xml:space="preserve">Parágrafo único. Quando, todavia, contiver declaração de ciência de determinado fato, o documento particular prova a ciência, mas não o fato em si, incumbindo o ônus de prová-lo ao interessado em sua veracidade.</w:t>
      </w:r>
    </w:p>
    <w:bookmarkEnd w:id="132"/>
    <w:bookmarkStart w:id="133" w:name="art.-409"/>
    <w:p>
      <w:pPr>
        <w:pStyle w:val="Heading6"/>
        <w:pBdr>
          <w:left w:val="single" w:sz="36" w:space="4" w:color="2E75B6"/>
        </w:pBdr>
        <w:shd w:val="clear" w:color="auto" w:fill="E3EEF9"/>
        <w:spacing w:before="200" w:after="80"/>
        <w:ind w:left="85"/>
      </w:pPr>
      <w:r>
        <w:rPr>
          <w:i w:val="0"/>
          <w:color w:val="1F3A5F"/>
          <w:sz w:val="23"/>
        </w:rPr>
        <w:t xml:space="preserve">Art. 409</w:t>
      </w:r>
    </w:p>
    <w:p>
      <w:pPr>
        <w:pStyle w:val="FirstParagraph"/>
        <w:spacing w:after="80"/>
        <w:jc w:val="both"/>
      </w:pPr>
      <w:r>
        <w:rPr>
          <w:b/>
          <w:bCs/>
        </w:rPr>
        <w:t xml:space="preserve">Art. 409.</w:t>
      </w:r>
      <w:r>
        <w:t xml:space="preserve"> </w:t>
      </w:r>
      <w:r>
        <w:t xml:space="preserve">A data do documento particular, quando a seu respeito surgir dúvida ou impugnação entre os litigantes, provar-se-á por todos os meios de direito.</w:t>
      </w:r>
    </w:p>
    <w:p>
      <w:pPr>
        <w:pStyle w:val="BodyText"/>
        <w:spacing w:after="80"/>
        <w:jc w:val="both"/>
      </w:pPr>
      <w:r>
        <w:t xml:space="preserve">Parágrafo único. Em relação a terceiros, considerar-se-á datado o documento particular:</w:t>
      </w:r>
    </w:p>
    <w:p>
      <w:pPr>
        <w:pStyle w:val="BodyText"/>
        <w:spacing w:after="80"/>
        <w:jc w:val="both"/>
      </w:pPr>
      <w:r>
        <w:t xml:space="preserve">I - no dia em que foi registrado;</w:t>
      </w:r>
    </w:p>
    <w:p>
      <w:pPr>
        <w:pStyle w:val="BodyText"/>
        <w:spacing w:after="80"/>
        <w:jc w:val="both"/>
      </w:pPr>
      <w:r>
        <w:t xml:space="preserve">II - desde a morte de algum dos signatários;</w:t>
      </w:r>
    </w:p>
    <w:p>
      <w:pPr>
        <w:pStyle w:val="BodyText"/>
        <w:spacing w:after="80"/>
        <w:jc w:val="both"/>
      </w:pPr>
      <w:r>
        <w:t xml:space="preserve">III - a partir da impossibilidade física que sobreveio a qualquer dos signatários;</w:t>
      </w:r>
    </w:p>
    <w:p>
      <w:pPr>
        <w:pStyle w:val="BodyText"/>
        <w:spacing w:after="80"/>
        <w:jc w:val="both"/>
      </w:pPr>
      <w:r>
        <w:t xml:space="preserve">IV - da sua apresentação em repartição pública ou em juízo;</w:t>
      </w:r>
    </w:p>
    <w:p>
      <w:pPr>
        <w:pStyle w:val="BodyText"/>
        <w:spacing w:after="80"/>
        <w:jc w:val="both"/>
      </w:pPr>
      <w:r>
        <w:t xml:space="preserve">V - do ato ou do fato que estabeleça, de modo certo, a anterioridade da formação do documento.</w:t>
      </w:r>
    </w:p>
    <w:bookmarkEnd w:id="133"/>
    <w:bookmarkStart w:id="134" w:name="art.-410"/>
    <w:p>
      <w:pPr>
        <w:pStyle w:val="Heading6"/>
        <w:pBdr>
          <w:left w:val="single" w:sz="36" w:space="4" w:color="2E75B6"/>
        </w:pBdr>
        <w:shd w:val="clear" w:color="auto" w:fill="E3EEF9"/>
        <w:spacing w:before="200" w:after="80"/>
        <w:ind w:left="85"/>
      </w:pPr>
      <w:r>
        <w:rPr>
          <w:i w:val="0"/>
          <w:color w:val="1F3A5F"/>
          <w:sz w:val="23"/>
        </w:rPr>
        <w:t xml:space="preserve">Art. 410</w:t>
      </w:r>
    </w:p>
    <w:p>
      <w:pPr>
        <w:pStyle w:val="FirstParagraph"/>
        <w:spacing w:after="80"/>
        <w:jc w:val="both"/>
      </w:pPr>
      <w:r>
        <w:rPr>
          <w:b/>
          <w:bCs/>
        </w:rPr>
        <w:t xml:space="preserve">Art. 410.</w:t>
      </w:r>
      <w:r>
        <w:t xml:space="preserve"> </w:t>
      </w:r>
      <w:r>
        <w:t xml:space="preserve">Considera-se autor do documento particular:</w:t>
      </w:r>
    </w:p>
    <w:p>
      <w:pPr>
        <w:pStyle w:val="BodyText"/>
        <w:spacing w:after="80"/>
        <w:jc w:val="both"/>
      </w:pPr>
      <w:r>
        <w:t xml:space="preserve">I - aquele que o fez e o assinou;</w:t>
      </w:r>
    </w:p>
    <w:p>
      <w:pPr>
        <w:pStyle w:val="BodyText"/>
        <w:spacing w:after="80"/>
        <w:jc w:val="both"/>
      </w:pPr>
      <w:r>
        <w:t xml:space="preserve">II - aquele por conta de quem ele foi feito, estando assinado;</w:t>
      </w:r>
    </w:p>
    <w:p>
      <w:pPr>
        <w:pStyle w:val="BodyText"/>
        <w:spacing w:after="80"/>
        <w:jc w:val="both"/>
      </w:pPr>
      <w:r>
        <w:t xml:space="preserve">III - aquele que, mandando compô-lo, não o firmou porque, conforme a experiência comum, não se costuma assinar, como livros empresariais e assentos domésticos.</w:t>
      </w:r>
    </w:p>
    <w:bookmarkEnd w:id="134"/>
    <w:bookmarkStart w:id="135" w:name="art.-411"/>
    <w:p>
      <w:pPr>
        <w:pStyle w:val="Heading6"/>
        <w:pBdr>
          <w:left w:val="single" w:sz="36" w:space="4" w:color="2E75B6"/>
        </w:pBdr>
        <w:shd w:val="clear" w:color="auto" w:fill="E3EEF9"/>
        <w:spacing w:before="200" w:after="80"/>
        <w:ind w:left="85"/>
      </w:pPr>
      <w:r>
        <w:rPr>
          <w:i w:val="0"/>
          <w:color w:val="1F3A5F"/>
          <w:sz w:val="23"/>
        </w:rPr>
        <w:t xml:space="preserve">Art. 411</w:t>
      </w:r>
    </w:p>
    <w:p>
      <w:pPr>
        <w:pStyle w:val="FirstParagraph"/>
        <w:spacing w:after="80"/>
        <w:jc w:val="both"/>
      </w:pPr>
      <w:r>
        <w:rPr>
          <w:b/>
          <w:bCs/>
        </w:rPr>
        <w:t xml:space="preserve">Art. 411.</w:t>
      </w:r>
      <w:r>
        <w:t xml:space="preserve"> </w:t>
      </w:r>
      <w:r>
        <w:t xml:space="preserve">Considera-se autêntico o documento quando:</w:t>
      </w:r>
    </w:p>
    <w:p>
      <w:pPr>
        <w:pStyle w:val="BodyText"/>
        <w:spacing w:after="80"/>
        <w:jc w:val="both"/>
      </w:pPr>
      <w:r>
        <w:t xml:space="preserve">I - o tabelião reconhecer a firma do signatário;</w:t>
      </w:r>
    </w:p>
    <w:p>
      <w:pPr>
        <w:pStyle w:val="BodyText"/>
        <w:keepNext/>
        <w:spacing w:after="80"/>
        <w:jc w:val="both"/>
      </w:pPr>
      <w:r>
        <w:t xml:space="preserve">II - a autoria estiver identificada por qualquer outro meio legal de certificação, inclusive eletrônico, nos termos da lei;</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619"/>
        <w:gridCol w:w="2457"/>
        <w:gridCol w:w="4278"/>
      </w:tblGrid>
      <w:tr>
        <w:trPr>
          <w:tblHeader w:val="on"/>
          <w:cantSplit/>
          <w:tblHeader/>
        </w:trPr>
        <w:tc>
          <w:tcPr>
            <w:tcW w:type="dxa" w:w="2619"/>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45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278"/>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619"/>
          </w:tcPr>
          <w:p>
            <w:pPr>
              <w:pStyle w:val="Compact"/>
              <w:spacing w:line="276" w:lineRule="auto" w:before="40" w:after="40"/>
            </w:pPr>
            <w:r>
              <w:rPr>
                <w:rFonts w:ascii="Liberation Sans Narrow" w:hAnsi="Liberation Sans Narrow"/>
                <w:sz w:val="18"/>
              </w:rPr>
              <w:t xml:space="preserve">Art. 411, II: assinatura eletrônica e exigência de confirmação da autenticidade diante de indícios de litigância abusiva</w:t>
            </w:r>
          </w:p>
        </w:tc>
        <w:tc>
          <w:tcPr>
            <w:tcW w:type="dxa" w:w="2457"/>
          </w:tcPr>
          <w:p>
            <w:pPr>
              <w:pStyle w:val="Compact"/>
              <w:spacing w:line="276" w:lineRule="auto" w:before="40" w:after="40"/>
            </w:pPr>
            <w:r>
              <w:rPr>
                <w:rFonts w:ascii="Liberation Sans Narrow" w:hAnsi="Liberation Sans Narrow"/>
                <w:sz w:val="18"/>
              </w:rPr>
              <w:t xml:space="preserve">STJ, REsp 2.243.438, Quarta Turma, relator Min. João Otávio de Noronha, julgado em 22/06/2026, DJEN de 26/06/2026</w:t>
            </w:r>
          </w:p>
        </w:tc>
        <w:tc>
          <w:tcPr>
            <w:tcW w:type="dxa" w:w="4278"/>
          </w:tcPr>
          <w:p>
            <w:pPr>
              <w:pStyle w:val="Compact"/>
              <w:spacing w:line="276" w:lineRule="auto" w:before="40" w:after="40"/>
            </w:pPr>
            <w:r>
              <w:rPr>
                <w:rFonts w:ascii="Liberation Sans Narrow" w:hAnsi="Liberation Sans Narrow"/>
                <w:sz w:val="18"/>
              </w:rPr>
              <w:t xml:space="preserve">Na tese de julgamento (item 2), o STJ assentou que, constatados indícios de litigância abusiva, o art. 139, III, do CPC legitima exigências proporcionais voltadas à confirmação da autenticidade da representação, sem afastar, em tese, a validade de assinatura eletrônica. A controvérsia era a procuração assinada eletronicamente (art. 411, II, e Medida Provisória 2.200-2/2001): não se declara a invalidade da assinatura eletrônica em tese, mas se admite cautela adicional no caso concreto. A presunção de hipossuficiência do art. 99, § 3º, é relativa (Tema 1.178/STJ).</w:t>
            </w:r>
          </w:p>
        </w:tc>
      </w:tr>
    </w:tbl>
    <w:p>
      <w:pPr>
        <w:pStyle w:val="BodyText"/>
        <w:keepNext/>
        <w:spacing w:after="80"/>
        <w:jc w:val="both"/>
      </w:pPr>
      <w:r>
        <w:t xml:space="preserve">III - não houver impugnação da parte contra quem foi produzido o documento.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496"/>
        <w:gridCol w:w="2512"/>
        <w:gridCol w:w="4346"/>
      </w:tblGrid>
      <w:tr>
        <w:trPr>
          <w:tblHeader w:val="on"/>
          <w:cantSplit/>
          <w:tblHeader/>
        </w:trPr>
        <w:tc>
          <w:tcPr>
            <w:tcW w:type="dxa" w:w="2496"/>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1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34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496"/>
          </w:tcPr>
          <w:p>
            <w:pPr>
              <w:pStyle w:val="Compact"/>
              <w:spacing w:line="276" w:lineRule="auto" w:before="40" w:after="40"/>
            </w:pPr>
            <w:r>
              <w:rPr>
                <w:rFonts w:ascii="Liberation Sans Narrow" w:hAnsi="Liberation Sans Narrow"/>
                <w:sz w:val="18"/>
              </w:rPr>
              <w:t xml:space="preserve">Art. 411, III: documento não impugnado tem-se por autêntico, mas a autenticidade não equivale a força probante</w:t>
            </w:r>
          </w:p>
        </w:tc>
        <w:tc>
          <w:tcPr>
            <w:tcW w:type="dxa" w:w="2513"/>
          </w:tcPr>
          <w:p>
            <w:pPr>
              <w:pStyle w:val="Compact"/>
              <w:spacing w:line="276" w:lineRule="auto" w:before="40" w:after="40"/>
            </w:pPr>
            <w:r>
              <w:rPr>
                <w:rFonts w:ascii="Liberation Sans Narrow" w:hAnsi="Liberation Sans Narrow"/>
                <w:sz w:val="18"/>
              </w:rPr>
              <w:t xml:space="preserve">STJ, AREsp 3.029.971, Quarta Turma, relator Min. João Otávio de Noronha, julgado em 09/02/2026, DJEN de 13/02/2026</w:t>
            </w:r>
          </w:p>
        </w:tc>
        <w:tc>
          <w:tcPr>
            <w:tcW w:type="dxa" w:w="4346"/>
          </w:tcPr>
          <w:p>
            <w:pPr>
              <w:pStyle w:val="Compact"/>
              <w:spacing w:line="276" w:lineRule="auto" w:before="40" w:after="40"/>
            </w:pPr>
            <w:r>
              <w:rPr>
                <w:rFonts w:ascii="Liberation Sans Narrow" w:hAnsi="Liberation Sans Narrow"/>
                <w:sz w:val="18"/>
              </w:rPr>
              <w:t xml:space="preserve">Tese de julgamento, item 3:</w:t>
            </w:r>
            <w:r>
              <w:rPr>
                <w:rFonts w:ascii="Liberation Sans Narrow" w:hAnsi="Liberation Sans Narrow"/>
                <w:sz w:val="18"/>
              </w:rPr>
              <w:t xml:space="preserve"> </w:t>
            </w:r>
            <w:r>
              <w:rPr>
                <w:rFonts w:ascii="Liberation Sans Narrow" w:hAnsi="Liberation Sans Narrow"/>
                <w:sz w:val="18"/>
              </w:rPr>
              <w:t xml:space="preserve">“A duplicata sem aceite exige prova da entrega; a presunção de autenticidade do art. 411, III, do CPC não supre a falta de aceite”</w:t>
            </w:r>
            <w:r>
              <w:rPr>
                <w:rFonts w:ascii="Liberation Sans Narrow" w:hAnsi="Liberation Sans Narrow"/>
                <w:sz w:val="18"/>
              </w:rPr>
              <w:t xml:space="preserve">. A autenticidade documental não se confunde com força probante suficiente para comprovar o aceite; a ausência da causa debendi retira a força executiva do título e é oponível ao cessionário, ainda que de boa-fé. Rever essas conclusões exigiria reexame de fatos e provas (Súmula 7/STJ).</w:t>
            </w:r>
          </w:p>
        </w:tc>
      </w:tr>
    </w:tbl>
    <w:bookmarkEnd w:id="135"/>
    <w:bookmarkStart w:id="136" w:name="art.-412"/>
    <w:p>
      <w:pPr>
        <w:pStyle w:val="Heading6"/>
        <w:pBdr>
          <w:left w:val="single" w:sz="36" w:space="4" w:color="2E75B6"/>
        </w:pBdr>
        <w:shd w:val="clear" w:color="auto" w:fill="E3EEF9"/>
        <w:spacing w:before="200" w:after="80"/>
        <w:ind w:left="85"/>
      </w:pPr>
      <w:r>
        <w:rPr>
          <w:i w:val="0"/>
          <w:color w:val="1F3A5F"/>
          <w:sz w:val="23"/>
        </w:rPr>
        <w:t xml:space="preserve">Art. 412</w:t>
      </w:r>
    </w:p>
    <w:p>
      <w:pPr>
        <w:pStyle w:val="FirstParagraph"/>
        <w:spacing w:after="80"/>
        <w:jc w:val="both"/>
      </w:pPr>
      <w:r>
        <w:rPr>
          <w:b/>
          <w:bCs/>
        </w:rPr>
        <w:t xml:space="preserve">Art. 412.</w:t>
      </w:r>
      <w:r>
        <w:t xml:space="preserve"> </w:t>
      </w:r>
      <w:r>
        <w:t xml:space="preserve">O documento particular de cuja autenticidade não se duvida prova que o seu autor fez a declaração que lhe é atribuída.</w:t>
      </w:r>
    </w:p>
    <w:p>
      <w:pPr>
        <w:pStyle w:val="BodyText"/>
        <w:spacing w:after="80"/>
        <w:jc w:val="both"/>
      </w:pPr>
      <w:r>
        <w:t xml:space="preserve">Parágrafo único. O documento particular admitido expressa ou tacitamente é indivisível, sendo vedado à parte que pretende utilizar-se dele aceitar os fatos que lhe são favoráveis e recusar os que são contrários ao seu interesse, salvo se provar que estes não ocorreram.</w:t>
      </w:r>
    </w:p>
    <w:bookmarkEnd w:id="136"/>
    <w:bookmarkStart w:id="137" w:name="art.-413"/>
    <w:p>
      <w:pPr>
        <w:pStyle w:val="Heading6"/>
        <w:pBdr>
          <w:left w:val="single" w:sz="36" w:space="4" w:color="2E75B6"/>
        </w:pBdr>
        <w:shd w:val="clear" w:color="auto" w:fill="E3EEF9"/>
        <w:spacing w:before="200" w:after="80"/>
        <w:ind w:left="85"/>
      </w:pPr>
      <w:r>
        <w:rPr>
          <w:i w:val="0"/>
          <w:color w:val="1F3A5F"/>
          <w:sz w:val="23"/>
        </w:rPr>
        <w:t xml:space="preserve">Art. 413</w:t>
      </w:r>
    </w:p>
    <w:p>
      <w:pPr>
        <w:pStyle w:val="FirstParagraph"/>
        <w:spacing w:after="80"/>
        <w:jc w:val="both"/>
      </w:pPr>
      <w:r>
        <w:rPr>
          <w:b/>
          <w:bCs/>
        </w:rPr>
        <w:t xml:space="preserve">Art. 413.</w:t>
      </w:r>
      <w:r>
        <w:t xml:space="preserve"> </w:t>
      </w:r>
      <w:r>
        <w:t xml:space="preserve">O telegrama, o radiograma ou qualquer outro meio de transmissão tem a mesma força probatória do documento particular se o original constante da estação expedidora tiver sido assinado pelo remetente.</w:t>
      </w:r>
    </w:p>
    <w:p>
      <w:pPr>
        <w:pStyle w:val="BodyText"/>
        <w:spacing w:after="80"/>
        <w:jc w:val="both"/>
      </w:pPr>
      <w:r>
        <w:t xml:space="preserve">Parágrafo único. A firma do remetente poderá ser reconhecida pelo tabelião, declarando-se essa circunstância no original depositado na estação expedidora.</w:t>
      </w:r>
    </w:p>
    <w:bookmarkEnd w:id="137"/>
    <w:bookmarkStart w:id="138" w:name="art.-414"/>
    <w:p>
      <w:pPr>
        <w:pStyle w:val="Heading6"/>
        <w:pBdr>
          <w:left w:val="single" w:sz="36" w:space="4" w:color="2E75B6"/>
        </w:pBdr>
        <w:shd w:val="clear" w:color="auto" w:fill="E3EEF9"/>
        <w:spacing w:before="200" w:after="80"/>
        <w:ind w:left="85"/>
      </w:pPr>
      <w:r>
        <w:rPr>
          <w:i w:val="0"/>
          <w:color w:val="1F3A5F"/>
          <w:sz w:val="23"/>
        </w:rPr>
        <w:t xml:space="preserve">Art. 414</w:t>
      </w:r>
    </w:p>
    <w:p>
      <w:pPr>
        <w:pStyle w:val="FirstParagraph"/>
        <w:spacing w:after="80"/>
        <w:jc w:val="both"/>
      </w:pPr>
      <w:r>
        <w:rPr>
          <w:b/>
          <w:bCs/>
        </w:rPr>
        <w:t xml:space="preserve">Art. 414.</w:t>
      </w:r>
      <w:r>
        <w:t xml:space="preserve"> </w:t>
      </w:r>
      <w:r>
        <w:t xml:space="preserve">O telegrama ou o radiograma presume-se conforme com o original, provando as datas de sua expedição e de seu recebimento pelo destinatário.</w:t>
      </w:r>
    </w:p>
    <w:bookmarkEnd w:id="138"/>
    <w:bookmarkStart w:id="139" w:name="art.-415"/>
    <w:p>
      <w:pPr>
        <w:pStyle w:val="Heading6"/>
        <w:pBdr>
          <w:left w:val="single" w:sz="36" w:space="4" w:color="2E75B6"/>
        </w:pBdr>
        <w:shd w:val="clear" w:color="auto" w:fill="E3EEF9"/>
        <w:spacing w:before="200" w:after="80"/>
        <w:ind w:left="85"/>
      </w:pPr>
      <w:r>
        <w:rPr>
          <w:i w:val="0"/>
          <w:color w:val="1F3A5F"/>
          <w:sz w:val="23"/>
        </w:rPr>
        <w:t xml:space="preserve">Art. 415</w:t>
      </w:r>
    </w:p>
    <w:p>
      <w:pPr>
        <w:pStyle w:val="FirstParagraph"/>
        <w:spacing w:after="80"/>
        <w:jc w:val="both"/>
      </w:pPr>
      <w:r>
        <w:rPr>
          <w:b/>
          <w:bCs/>
        </w:rPr>
        <w:t xml:space="preserve">Art. 415.</w:t>
      </w:r>
      <w:r>
        <w:t xml:space="preserve"> </w:t>
      </w:r>
      <w:r>
        <w:t xml:space="preserve">As cartas e os registros domésticos provam contra quem os escreveu quando:</w:t>
      </w:r>
    </w:p>
    <w:p>
      <w:pPr>
        <w:pStyle w:val="BodyText"/>
        <w:spacing w:after="80"/>
        <w:jc w:val="both"/>
      </w:pPr>
      <w:r>
        <w:t xml:space="preserve">I - enunciam o recebimento de um crédito;</w:t>
      </w:r>
    </w:p>
    <w:p>
      <w:pPr>
        <w:pStyle w:val="BodyText"/>
        <w:spacing w:after="80"/>
        <w:jc w:val="both"/>
      </w:pPr>
      <w:r>
        <w:t xml:space="preserve">II - contêm anotação que visa a suprir a falta de título em favor de quem é apontado como credor;</w:t>
      </w:r>
    </w:p>
    <w:p>
      <w:pPr>
        <w:pStyle w:val="BodyText"/>
        <w:spacing w:after="80"/>
        <w:jc w:val="both"/>
      </w:pPr>
      <w:r>
        <w:t xml:space="preserve">III - expressam conhecimento de fatos para os quais não se exija determinada prova.</w:t>
      </w:r>
    </w:p>
    <w:bookmarkEnd w:id="139"/>
    <w:bookmarkStart w:id="140" w:name="art.-416"/>
    <w:p>
      <w:pPr>
        <w:pStyle w:val="Heading6"/>
        <w:pBdr>
          <w:left w:val="single" w:sz="36" w:space="4" w:color="2E75B6"/>
        </w:pBdr>
        <w:shd w:val="clear" w:color="auto" w:fill="E3EEF9"/>
        <w:spacing w:before="200" w:after="80"/>
        <w:ind w:left="85"/>
      </w:pPr>
      <w:r>
        <w:rPr>
          <w:i w:val="0"/>
          <w:color w:val="1F3A5F"/>
          <w:sz w:val="23"/>
        </w:rPr>
        <w:t xml:space="preserve">Art. 416</w:t>
      </w:r>
    </w:p>
    <w:p>
      <w:pPr>
        <w:pStyle w:val="FirstParagraph"/>
        <w:spacing w:after="80"/>
        <w:jc w:val="both"/>
      </w:pPr>
      <w:r>
        <w:rPr>
          <w:b/>
          <w:bCs/>
        </w:rPr>
        <w:t xml:space="preserve">Art. 416.</w:t>
      </w:r>
      <w:r>
        <w:t xml:space="preserve"> </w:t>
      </w:r>
      <w:r>
        <w:t xml:space="preserve">A nota escrita pelo credor em qualquer parte de documento representativo de obrigação, ainda que não assinada, faz prova em benefício do devedor.</w:t>
      </w:r>
    </w:p>
    <w:p>
      <w:pPr>
        <w:pStyle w:val="BodyText"/>
        <w:spacing w:after="80"/>
        <w:jc w:val="both"/>
      </w:pPr>
      <w:r>
        <w:t xml:space="preserve">Parágrafo único. Aplica-se essa regra tanto para o documento que o credor conservar em seu poder quanto para aquele que se achar em poder do devedor ou de terceiro.</w:t>
      </w:r>
    </w:p>
    <w:bookmarkEnd w:id="140"/>
    <w:bookmarkStart w:id="141" w:name="art.-417"/>
    <w:p>
      <w:pPr>
        <w:pStyle w:val="Heading6"/>
        <w:pBdr>
          <w:left w:val="single" w:sz="36" w:space="4" w:color="2E75B6"/>
        </w:pBdr>
        <w:shd w:val="clear" w:color="auto" w:fill="E3EEF9"/>
        <w:spacing w:before="200" w:after="80"/>
        <w:ind w:left="85"/>
      </w:pPr>
      <w:r>
        <w:rPr>
          <w:i w:val="0"/>
          <w:color w:val="1F3A5F"/>
          <w:sz w:val="23"/>
        </w:rPr>
        <w:t xml:space="preserve">Art. 417</w:t>
      </w:r>
    </w:p>
    <w:p>
      <w:pPr>
        <w:pStyle w:val="FirstParagraph"/>
        <w:spacing w:after="80"/>
        <w:jc w:val="both"/>
      </w:pPr>
      <w:r>
        <w:rPr>
          <w:b/>
          <w:bCs/>
        </w:rPr>
        <w:t xml:space="preserve">Art. 417.</w:t>
      </w:r>
      <w:r>
        <w:t xml:space="preserve"> </w:t>
      </w:r>
      <w:r>
        <w:t xml:space="preserve">Os livros empresariais provam contra seu autor, sendo lícito ao empresário, todavia, demonstrar, por todos os meios permitidos em direito, que os lançamentos não correspondem à verdade dos fatos.</w:t>
      </w:r>
    </w:p>
    <w:bookmarkEnd w:id="141"/>
    <w:bookmarkStart w:id="142" w:name="art.-418"/>
    <w:p>
      <w:pPr>
        <w:pStyle w:val="Heading6"/>
        <w:pBdr>
          <w:left w:val="single" w:sz="36" w:space="4" w:color="2E75B6"/>
        </w:pBdr>
        <w:shd w:val="clear" w:color="auto" w:fill="E3EEF9"/>
        <w:spacing w:before="200" w:after="80"/>
        <w:ind w:left="85"/>
      </w:pPr>
      <w:r>
        <w:rPr>
          <w:i w:val="0"/>
          <w:color w:val="1F3A5F"/>
          <w:sz w:val="23"/>
        </w:rPr>
        <w:t xml:space="preserve">Art. 418</w:t>
      </w:r>
    </w:p>
    <w:p>
      <w:pPr>
        <w:pStyle w:val="FirstParagraph"/>
        <w:spacing w:after="80"/>
        <w:jc w:val="both"/>
      </w:pPr>
      <w:r>
        <w:rPr>
          <w:b/>
          <w:bCs/>
        </w:rPr>
        <w:t xml:space="preserve">Art. 418.</w:t>
      </w:r>
      <w:r>
        <w:t xml:space="preserve"> </w:t>
      </w:r>
      <w:r>
        <w:t xml:space="preserve">Os livros empresariais que preencham os requisitos exigidos por lei provam a favor de seu autor no litígio entre empresários.</w:t>
      </w:r>
    </w:p>
    <w:bookmarkEnd w:id="142"/>
    <w:bookmarkStart w:id="143" w:name="art.-419"/>
    <w:p>
      <w:pPr>
        <w:pStyle w:val="Heading6"/>
        <w:pBdr>
          <w:left w:val="single" w:sz="36" w:space="4" w:color="2E75B6"/>
        </w:pBdr>
        <w:shd w:val="clear" w:color="auto" w:fill="E3EEF9"/>
        <w:spacing w:before="200" w:after="80"/>
        <w:ind w:left="85"/>
      </w:pPr>
      <w:r>
        <w:rPr>
          <w:i w:val="0"/>
          <w:color w:val="1F3A5F"/>
          <w:sz w:val="23"/>
        </w:rPr>
        <w:t xml:space="preserve">Art. 419</w:t>
      </w:r>
    </w:p>
    <w:p>
      <w:pPr>
        <w:pStyle w:val="FirstParagraph"/>
        <w:spacing w:after="80"/>
        <w:jc w:val="both"/>
      </w:pPr>
      <w:r>
        <w:rPr>
          <w:b/>
          <w:bCs/>
        </w:rPr>
        <w:t xml:space="preserve">Art. 419.</w:t>
      </w:r>
      <w:r>
        <w:t xml:space="preserve"> </w:t>
      </w:r>
      <w:r>
        <w:t xml:space="preserve">A escrituração contábil é indivisível, e, se dos fatos que resultam dos lançamentos, uns são favoráveis ao interesse de seu autor e outros lhe são contrários, ambos serão considerados em conjunto, como unidade.</w:t>
      </w:r>
    </w:p>
    <w:bookmarkEnd w:id="143"/>
    <w:bookmarkStart w:id="144" w:name="art.-420"/>
    <w:p>
      <w:pPr>
        <w:pStyle w:val="Heading6"/>
        <w:pBdr>
          <w:left w:val="single" w:sz="36" w:space="4" w:color="2E75B6"/>
        </w:pBdr>
        <w:shd w:val="clear" w:color="auto" w:fill="E3EEF9"/>
        <w:spacing w:before="200" w:after="80"/>
        <w:ind w:left="85"/>
      </w:pPr>
      <w:r>
        <w:rPr>
          <w:i w:val="0"/>
          <w:color w:val="1F3A5F"/>
          <w:sz w:val="23"/>
        </w:rPr>
        <w:t xml:space="preserve">Art. 420</w:t>
      </w:r>
    </w:p>
    <w:p>
      <w:pPr>
        <w:pStyle w:val="FirstParagraph"/>
        <w:spacing w:after="80"/>
        <w:jc w:val="both"/>
      </w:pPr>
      <w:r>
        <w:rPr>
          <w:b/>
          <w:bCs/>
        </w:rPr>
        <w:t xml:space="preserve">Art. 420.</w:t>
      </w:r>
      <w:r>
        <w:t xml:space="preserve"> </w:t>
      </w:r>
      <w:r>
        <w:t xml:space="preserve">O juiz pode ordenar, a requerimento da parte, a exibição integral dos livros empresariais e dos documentos do arquivo:</w:t>
      </w:r>
    </w:p>
    <w:p>
      <w:pPr>
        <w:pStyle w:val="BodyText"/>
        <w:spacing w:after="80"/>
        <w:jc w:val="both"/>
      </w:pPr>
      <w:r>
        <w:t xml:space="preserve">I - na liquidação de sociedade;</w:t>
      </w:r>
    </w:p>
    <w:p>
      <w:pPr>
        <w:pStyle w:val="BodyText"/>
        <w:spacing w:after="80"/>
        <w:jc w:val="both"/>
      </w:pPr>
      <w:r>
        <w:t xml:space="preserve">II - na sucessão por morte de sócio;</w:t>
      </w:r>
    </w:p>
    <w:p>
      <w:pPr>
        <w:pStyle w:val="BodyText"/>
        <w:spacing w:after="80"/>
        <w:jc w:val="both"/>
      </w:pPr>
      <w:r>
        <w:t xml:space="preserve">III - quando e como determinar a lei.</w:t>
      </w:r>
    </w:p>
    <w:bookmarkEnd w:id="144"/>
    <w:bookmarkStart w:id="145" w:name="art.-421"/>
    <w:p>
      <w:pPr>
        <w:pStyle w:val="Heading6"/>
        <w:pBdr>
          <w:left w:val="single" w:sz="36" w:space="4" w:color="2E75B6"/>
        </w:pBdr>
        <w:shd w:val="clear" w:color="auto" w:fill="E3EEF9"/>
        <w:spacing w:before="200" w:after="80"/>
        <w:ind w:left="85"/>
      </w:pPr>
      <w:r>
        <w:rPr>
          <w:i w:val="0"/>
          <w:color w:val="1F3A5F"/>
          <w:sz w:val="23"/>
        </w:rPr>
        <w:t xml:space="preserve">Art. 421</w:t>
      </w:r>
    </w:p>
    <w:p>
      <w:pPr>
        <w:pStyle w:val="FirstParagraph"/>
        <w:spacing w:after="80"/>
        <w:jc w:val="both"/>
      </w:pPr>
      <w:r>
        <w:rPr>
          <w:b/>
          <w:bCs/>
        </w:rPr>
        <w:t xml:space="preserve">Art. 421.</w:t>
      </w:r>
      <w:r>
        <w:t xml:space="preserve"> </w:t>
      </w:r>
      <w:r>
        <w:t xml:space="preserve">O juiz pode, de ofício, ordenar à parte a exibição parcial dos livros e dos documentos, extraindo-se deles a suma que interessar ao litígio, bem como reproduções autenticadas.</w:t>
      </w:r>
    </w:p>
    <w:bookmarkEnd w:id="145"/>
    <w:bookmarkStart w:id="146" w:name="art.-422"/>
    <w:p>
      <w:pPr>
        <w:pStyle w:val="Heading6"/>
        <w:pBdr>
          <w:left w:val="single" w:sz="36" w:space="4" w:color="2E75B6"/>
        </w:pBdr>
        <w:shd w:val="clear" w:color="auto" w:fill="E3EEF9"/>
        <w:spacing w:before="200" w:after="80"/>
        <w:ind w:left="85"/>
      </w:pPr>
      <w:r>
        <w:rPr>
          <w:i w:val="0"/>
          <w:color w:val="1F3A5F"/>
          <w:sz w:val="23"/>
        </w:rPr>
        <w:t xml:space="preserve">Art. 422</w:t>
      </w:r>
    </w:p>
    <w:p>
      <w:pPr>
        <w:pStyle w:val="FirstParagraph"/>
        <w:spacing w:after="80"/>
        <w:jc w:val="both"/>
      </w:pPr>
      <w:r>
        <w:rPr>
          <w:b/>
          <w:bCs/>
        </w:rPr>
        <w:t xml:space="preserve">Art. 422.</w:t>
      </w:r>
      <w:r>
        <w:t xml:space="preserve"> </w:t>
      </w:r>
      <w:r>
        <w:t xml:space="preserve">Qualquer reprodução mecânica, como a fotográfica, a cinematográfica, a fonográfica ou de outra espécie, tem aptidão para fazer prova dos fatos ou das coisas representadas, se a sua conformidade com o documento original não for impugnada por aquele contra quem foi produzida.</w:t>
      </w:r>
    </w:p>
    <w:p>
      <w:pPr>
        <w:pStyle w:val="BodyText"/>
        <w:spacing w:after="80"/>
        <w:jc w:val="both"/>
      </w:pPr>
      <w:r>
        <w:t xml:space="preserve">§ 1º As fotografias digitais e as extraídas da rede mundial de computadores fazem prova das imagens que reproduzem, devendo, se impugnadas, ser apresentada a respectiva autenticação eletrônica ou, não sendo possível, realizada perícia.</w:t>
      </w:r>
    </w:p>
    <w:p>
      <w:pPr>
        <w:pStyle w:val="BodyText"/>
        <w:spacing w:after="80"/>
        <w:jc w:val="both"/>
      </w:pPr>
      <w:r>
        <w:t xml:space="preserve">§ 2º Se se tratar de fotografia publicada em jornal ou revista, será exigido um exemplar original do periódico, caso impugnada a veracidade pela outra parte.</w:t>
      </w:r>
    </w:p>
    <w:p>
      <w:pPr>
        <w:pStyle w:val="BodyText"/>
        <w:spacing w:after="80"/>
        <w:jc w:val="both"/>
      </w:pPr>
      <w:r>
        <w:t xml:space="preserve">§ 3º Aplica-se o disposto neste artigo à forma impressa de mensagem eletrônica.</w:t>
      </w:r>
    </w:p>
    <w:bookmarkEnd w:id="146"/>
    <w:bookmarkStart w:id="147" w:name="art.-423"/>
    <w:p>
      <w:pPr>
        <w:pStyle w:val="Heading6"/>
        <w:pBdr>
          <w:left w:val="single" w:sz="36" w:space="4" w:color="2E75B6"/>
        </w:pBdr>
        <w:shd w:val="clear" w:color="auto" w:fill="E3EEF9"/>
        <w:spacing w:before="200" w:after="80"/>
        <w:ind w:left="85"/>
      </w:pPr>
      <w:r>
        <w:rPr>
          <w:i w:val="0"/>
          <w:color w:val="1F3A5F"/>
          <w:sz w:val="23"/>
        </w:rPr>
        <w:t xml:space="preserve">Art. 423</w:t>
      </w:r>
    </w:p>
    <w:p>
      <w:pPr>
        <w:pStyle w:val="FirstParagraph"/>
        <w:spacing w:after="80"/>
        <w:jc w:val="both"/>
      </w:pPr>
      <w:r>
        <w:rPr>
          <w:b/>
          <w:bCs/>
        </w:rPr>
        <w:t xml:space="preserve">Art. 423.</w:t>
      </w:r>
      <w:r>
        <w:t xml:space="preserve"> </w:t>
      </w:r>
      <w:r>
        <w:t xml:space="preserve">As reproduções dos documentos particulares, fotográficas ou obtidas por outros processos de repetição, valem como certidões sempre que o escrivão ou o chefe de secretaria certificar sua conformidade com o original.</w:t>
      </w:r>
    </w:p>
    <w:bookmarkEnd w:id="147"/>
    <w:bookmarkStart w:id="148" w:name="art.-424"/>
    <w:p>
      <w:pPr>
        <w:pStyle w:val="Heading6"/>
        <w:pBdr>
          <w:left w:val="single" w:sz="36" w:space="4" w:color="2E75B6"/>
        </w:pBdr>
        <w:shd w:val="clear" w:color="auto" w:fill="E3EEF9"/>
        <w:spacing w:before="200" w:after="80"/>
        <w:ind w:left="85"/>
      </w:pPr>
      <w:r>
        <w:rPr>
          <w:i w:val="0"/>
          <w:color w:val="1F3A5F"/>
          <w:sz w:val="23"/>
        </w:rPr>
        <w:t xml:space="preserve">Art. 424</w:t>
      </w:r>
    </w:p>
    <w:p>
      <w:pPr>
        <w:pStyle w:val="FirstParagraph"/>
        <w:spacing w:after="80"/>
        <w:jc w:val="both"/>
      </w:pPr>
      <w:r>
        <w:rPr>
          <w:b/>
          <w:bCs/>
        </w:rPr>
        <w:t xml:space="preserve">Art. 424.</w:t>
      </w:r>
      <w:r>
        <w:t xml:space="preserve"> </w:t>
      </w:r>
      <w:r>
        <w:t xml:space="preserve">A cópia de documento particular tem o mesmo valor probante que o original, cabendo ao escrivão, intimadas as partes, proceder à conferência e certificar a conformidade entre a cópia e o original.</w:t>
      </w:r>
    </w:p>
    <w:bookmarkEnd w:id="148"/>
    <w:bookmarkStart w:id="149" w:name="art.-425"/>
    <w:p>
      <w:pPr>
        <w:pStyle w:val="Heading6"/>
        <w:pBdr>
          <w:left w:val="single" w:sz="36" w:space="4" w:color="2E75B6"/>
        </w:pBdr>
        <w:shd w:val="clear" w:color="auto" w:fill="E3EEF9"/>
        <w:spacing w:before="200" w:after="80"/>
        <w:ind w:left="85"/>
      </w:pPr>
      <w:r>
        <w:rPr>
          <w:i w:val="0"/>
          <w:color w:val="1F3A5F"/>
          <w:sz w:val="23"/>
        </w:rPr>
        <w:t xml:space="preserve">Art. 425</w:t>
      </w:r>
    </w:p>
    <w:p>
      <w:pPr>
        <w:pStyle w:val="FirstParagraph"/>
        <w:spacing w:after="80"/>
        <w:jc w:val="both"/>
      </w:pPr>
      <w:r>
        <w:rPr>
          <w:b/>
          <w:bCs/>
        </w:rPr>
        <w:t xml:space="preserve">Art. 425.</w:t>
      </w:r>
      <w:r>
        <w:t xml:space="preserve"> </w:t>
      </w:r>
      <w:r>
        <w:t xml:space="preserve">Fazem a mesma prova que os originais:</w:t>
      </w:r>
    </w:p>
    <w:p>
      <w:pPr>
        <w:pStyle w:val="BodyText"/>
        <w:spacing w:after="80"/>
        <w:jc w:val="both"/>
      </w:pPr>
      <w:r>
        <w:t xml:space="preserve">I - as certidões textuais de qualquer peça dos autos, do protocolo das audiências ou de outro livro a cargo do escrivão ou do chefe de secretaria, se extraídas por ele ou sob sua vigilância e por ele subscritas;</w:t>
      </w:r>
    </w:p>
    <w:p>
      <w:pPr>
        <w:pStyle w:val="BodyText"/>
        <w:spacing w:after="80"/>
        <w:jc w:val="both"/>
      </w:pPr>
      <w:r>
        <w:t xml:space="preserve">II - os traslados e as certidões extraídas por oficial público de instrumentos ou documentos lançados em suas notas;</w:t>
      </w:r>
    </w:p>
    <w:p>
      <w:pPr>
        <w:pStyle w:val="BodyText"/>
        <w:spacing w:after="80"/>
        <w:jc w:val="both"/>
      </w:pPr>
      <w:r>
        <w:t xml:space="preserve">III - as reproduções dos documentos públicos, desde que autenticadas por oficial público ou conferidas em cartório com os respectivos originais;</w:t>
      </w:r>
    </w:p>
    <w:p>
      <w:pPr>
        <w:pStyle w:val="BodyText"/>
        <w:spacing w:after="80"/>
        <w:jc w:val="both"/>
      </w:pPr>
      <w:r>
        <w:t xml:space="preserve">IV - as cópias reprográficas de peças do próprio processo judicial declaradas autênticas pelo advogado, sob sua responsabilidade pessoal, se não lhes for impugnada a autenticidade;</w:t>
      </w:r>
    </w:p>
    <w:p>
      <w:pPr>
        <w:pStyle w:val="BodyText"/>
        <w:spacing w:after="80"/>
        <w:jc w:val="both"/>
      </w:pPr>
      <w:r>
        <w:t xml:space="preserve">V - os extratos digitais de bancos de dados públicos e privados, desde que atestado pelo seu emitente, sob as penas da lei, que as informações conferem com o que consta na origem;</w:t>
      </w:r>
    </w:p>
    <w:p>
      <w:pPr>
        <w:pStyle w:val="BodyText"/>
        <w:keepNext/>
        <w:spacing w:after="80"/>
        <w:jc w:val="both"/>
      </w:pPr>
      <w:r>
        <w:t xml:space="preserve">VI - as reproduções digitalizadas de qualquer documento público ou particular, quando juntadas aos autos pelos órgãos da justiça e seus auxiliares, pelo Ministério Público e seus auxiliares, pela Defensoria Pública e seus auxiliares, pelas procuradorias, pelas repartições públicas em geral e por advogados, ressalvada a alegação motivada e fundamentada de adulteração.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39"/>
        <w:gridCol w:w="2906"/>
        <w:gridCol w:w="4309"/>
      </w:tblGrid>
      <w:tr>
        <w:trPr>
          <w:tblHeader w:val="on"/>
          <w:cantSplit/>
          <w:tblHeader/>
        </w:trPr>
        <w:tc>
          <w:tcPr>
            <w:tcW w:type="dxa" w:w="2139"/>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90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30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39"/>
          </w:tcPr>
          <w:p>
            <w:pPr>
              <w:pStyle w:val="Compact"/>
              <w:spacing w:line="276" w:lineRule="auto" w:before="40" w:after="40"/>
            </w:pPr>
            <w:r>
              <w:rPr>
                <w:rFonts w:ascii="Liberation Sans Narrow" w:hAnsi="Liberation Sans Narrow"/>
                <w:sz w:val="18"/>
              </w:rPr>
              <w:t xml:space="preserve">Art. 425, VI: reproduções digitalizadas equiparadas ao original (§§ 1º e 2º)</w:t>
            </w:r>
          </w:p>
        </w:tc>
        <w:tc>
          <w:tcPr>
            <w:tcW w:type="dxa" w:w="2906"/>
          </w:tcPr>
          <w:p>
            <w:pPr>
              <w:pStyle w:val="Compact"/>
              <w:spacing w:line="276" w:lineRule="auto" w:before="40" w:after="40"/>
            </w:pPr>
            <w:r>
              <w:rPr>
                <w:rFonts w:ascii="Liberation Sans Narrow" w:hAnsi="Liberation Sans Narrow"/>
                <w:sz w:val="18"/>
              </w:rPr>
              <w:t xml:space="preserve">STJ, REsp 2.015.911, Quarta Turma, relator Min. Antonio Carlos Ferreira, julgado em 17/03/2026, DJEN de 27/03/2026</w:t>
            </w:r>
          </w:p>
        </w:tc>
        <w:tc>
          <w:tcPr>
            <w:tcW w:type="dxa" w:w="4309"/>
          </w:tcPr>
          <w:p>
            <w:pPr>
              <w:pStyle w:val="Compact"/>
              <w:spacing w:line="276" w:lineRule="auto" w:before="40" w:after="40"/>
            </w:pPr>
            <w:r>
              <w:rPr>
                <w:rFonts w:ascii="Liberation Sans Narrow" w:hAnsi="Liberation Sans Narrow"/>
                <w:sz w:val="18"/>
              </w:rPr>
              <w:t xml:space="preserve">Tese de julgamento:</w:t>
            </w:r>
            <w:r>
              <w:rPr>
                <w:rFonts w:ascii="Liberation Sans Narrow" w:hAnsi="Liberation Sans Narrow"/>
                <w:sz w:val="18"/>
              </w:rPr>
              <w:t xml:space="preserve"> </w:t>
            </w:r>
            <w:r>
              <w:rPr>
                <w:rFonts w:ascii="Liberation Sans Narrow" w:hAnsi="Liberation Sans Narrow"/>
                <w:sz w:val="18"/>
              </w:rPr>
              <w:t xml:space="preserve">“A juntada da via original do título executivo extrajudicial não constitui requisito de admissibilidade da execução no sistema processual eletrônico, cabendo ao juiz, com discricionariedade fundamentada, avaliar casuisticamente a necessidade de juntada do título original”</w:t>
            </w:r>
            <w:r>
              <w:rPr>
                <w:rFonts w:ascii="Liberation Sans Narrow" w:hAnsi="Liberation Sans Narrow"/>
                <w:sz w:val="18"/>
              </w:rPr>
              <w:t xml:space="preserve">. O art. 425, VI, e o art. 11 da Lei nº 11.419/2006 equiparam as reproduções digitalizadas aos originais, e o § 1º impõe ao detentor conservá-las até o fim do prazo da ação rescisória, o que inibe a circulação irregular do título. O § 2º confere ao juiz mera faculdade de determinar o depósito da cópia digital em cartório, de modo que o legislador não fez do original físico condição de procedibilidade da execução. Sem alegação específica de adulteração, de circulação do crédito ou de endosso irregular, a objeção genérica à juntada de cópia converte a exigência do original em formalismo inútil (cita o REsp 2.013.526/MT, Terceira Turma, j. 28/2/2023).</w:t>
            </w:r>
          </w:p>
        </w:tc>
      </w:tr>
      <w:tr>
        <w:trPr>
          <w:cantSplit/>
        </w:trPr>
        <w:tc>
          <w:tcPr>
            <w:tcW w:type="dxa" w:w="2139"/>
          </w:tcPr>
          <w:p>
            <w:pPr>
              <w:pStyle w:val="Compact"/>
              <w:spacing w:line="276" w:lineRule="auto" w:before="40" w:after="40"/>
            </w:pPr>
            <w:r>
              <w:rPr>
                <w:rFonts w:ascii="Liberation Sans Narrow" w:hAnsi="Liberation Sans Narrow"/>
                <w:sz w:val="18"/>
              </w:rPr>
              <w:t xml:space="preserve">Art. 425, VI: busca e apreensão instruída por cópia digitalizada</w:t>
            </w:r>
          </w:p>
        </w:tc>
        <w:tc>
          <w:tcPr>
            <w:tcW w:type="dxa" w:w="2906"/>
          </w:tcPr>
          <w:p>
            <w:pPr>
              <w:pStyle w:val="Compact"/>
              <w:spacing w:line="276" w:lineRule="auto" w:before="40" w:after="40"/>
            </w:pPr>
            <w:r>
              <w:rPr>
                <w:rFonts w:ascii="Liberation Sans Narrow" w:hAnsi="Liberation Sans Narrow"/>
                <w:sz w:val="18"/>
              </w:rPr>
              <w:t xml:space="preserve">STJ, AgInt no AREsp 2.546.739, Quarta Turma, relator Min. João Otávio de Noronha, DJe de 08/07/2024</w:t>
            </w:r>
          </w:p>
        </w:tc>
        <w:tc>
          <w:tcPr>
            <w:tcW w:type="dxa" w:w="4309"/>
          </w:tcPr>
          <w:p>
            <w:pPr>
              <w:pStyle w:val="Compact"/>
              <w:spacing w:line="276" w:lineRule="auto" w:before="40" w:after="40"/>
            </w:pPr>
            <w:r>
              <w:rPr>
                <w:rFonts w:ascii="Liberation Sans Narrow" w:hAnsi="Liberation Sans Narrow"/>
                <w:sz w:val="18"/>
              </w:rPr>
              <w:t xml:space="preserve">Admite-se a instrução da ação de busca e apreensão fundada em alienação fiduciária com a cópia digitalizada da cédula de crédito bancária, com base no art. 425, VI, §§ 1º e 2º; a verificação da necessidade do original fica postergada, cabendo ao devedor apresentar alegação concreta e motivada a respeito da falta de exigibilidade, liquidez e certeza do título.</w:t>
            </w:r>
          </w:p>
        </w:tc>
      </w:tr>
    </w:tbl>
    <w:p>
      <w:pPr>
        <w:pStyle w:val="BodyText"/>
        <w:spacing w:after="80"/>
        <w:jc w:val="both"/>
      </w:pPr>
      <w:r>
        <w:t xml:space="preserve">§ 1º Os originais dos documentos digitalizados mencionados no inciso VI deverão ser preservados pelo seu detentor até o final do prazo para propositura de ação rescisória.</w:t>
      </w:r>
    </w:p>
    <w:p>
      <w:pPr>
        <w:pStyle w:val="BodyText"/>
        <w:spacing w:after="80"/>
        <w:jc w:val="both"/>
      </w:pPr>
      <w:r>
        <w:t xml:space="preserve">§ 2º Tratando-se de cópia digital de título executivo extrajudicial ou de documento relevante à instrução do processo, o juiz poderá determinar seu depósito em cartório ou secretaria.</w:t>
      </w:r>
    </w:p>
    <w:bookmarkEnd w:id="149"/>
    <w:bookmarkStart w:id="150" w:name="art.-426"/>
    <w:p>
      <w:pPr>
        <w:pStyle w:val="Heading6"/>
        <w:pBdr>
          <w:left w:val="single" w:sz="36" w:space="4" w:color="2E75B6"/>
        </w:pBdr>
        <w:shd w:val="clear" w:color="auto" w:fill="E3EEF9"/>
        <w:spacing w:before="200" w:after="80"/>
        <w:ind w:left="85"/>
      </w:pPr>
      <w:r>
        <w:rPr>
          <w:i w:val="0"/>
          <w:color w:val="1F3A5F"/>
          <w:sz w:val="23"/>
        </w:rPr>
        <w:t xml:space="preserve">Art. 426</w:t>
      </w:r>
    </w:p>
    <w:p>
      <w:pPr>
        <w:pStyle w:val="FirstParagraph"/>
        <w:spacing w:after="80"/>
        <w:jc w:val="both"/>
      </w:pPr>
      <w:r>
        <w:rPr>
          <w:b/>
          <w:bCs/>
        </w:rPr>
        <w:t xml:space="preserve">Art. 426.</w:t>
      </w:r>
      <w:r>
        <w:t xml:space="preserve"> </w:t>
      </w:r>
      <w:r>
        <w:t xml:space="preserve">O juiz apreciará fundamentadamente a fé que deva merecer o documento, quando em ponto substancial e sem ressalva contiver entrelinha, emenda, borrão ou cancelamento.</w:t>
      </w:r>
    </w:p>
    <w:bookmarkEnd w:id="150"/>
    <w:bookmarkStart w:id="151" w:name="art.-427"/>
    <w:p>
      <w:pPr>
        <w:pStyle w:val="Heading6"/>
        <w:pBdr>
          <w:left w:val="single" w:sz="36" w:space="4" w:color="2E75B6"/>
        </w:pBdr>
        <w:shd w:val="clear" w:color="auto" w:fill="E3EEF9"/>
        <w:spacing w:before="200" w:after="80"/>
        <w:ind w:left="85"/>
      </w:pPr>
      <w:r>
        <w:rPr>
          <w:i w:val="0"/>
          <w:color w:val="1F3A5F"/>
          <w:sz w:val="23"/>
        </w:rPr>
        <w:t xml:space="preserve">Art. 427</w:t>
      </w:r>
    </w:p>
    <w:p>
      <w:pPr>
        <w:pStyle w:val="FirstParagraph"/>
        <w:spacing w:after="80"/>
        <w:jc w:val="both"/>
      </w:pPr>
      <w:r>
        <w:rPr>
          <w:b/>
          <w:bCs/>
        </w:rPr>
        <w:t xml:space="preserve">Art. 427.</w:t>
      </w:r>
      <w:r>
        <w:t xml:space="preserve"> </w:t>
      </w:r>
      <w:r>
        <w:t xml:space="preserve">Cessa a fé do documento público ou particular sendo-lhe declarada judicialmente a falsidade.</w:t>
      </w:r>
    </w:p>
    <w:p>
      <w:pPr>
        <w:pStyle w:val="BodyText"/>
        <w:spacing w:after="80"/>
        <w:jc w:val="both"/>
      </w:pPr>
      <w:r>
        <w:t xml:space="preserve">Parágrafo único. A falsidade consiste em:</w:t>
      </w:r>
    </w:p>
    <w:p>
      <w:pPr>
        <w:pStyle w:val="BodyText"/>
        <w:spacing w:after="80"/>
        <w:jc w:val="both"/>
      </w:pPr>
      <w:r>
        <w:t xml:space="preserve">I - formar documento não verdadeiro;</w:t>
      </w:r>
    </w:p>
    <w:p>
      <w:pPr>
        <w:pStyle w:val="BodyText"/>
        <w:spacing w:after="80"/>
        <w:jc w:val="both"/>
      </w:pPr>
      <w:r>
        <w:t xml:space="preserve">II - alterar documento verdadeiro.</w:t>
      </w:r>
    </w:p>
    <w:bookmarkEnd w:id="151"/>
    <w:bookmarkStart w:id="152" w:name="art.-428"/>
    <w:p>
      <w:pPr>
        <w:pStyle w:val="Heading6"/>
        <w:pBdr>
          <w:left w:val="single" w:sz="36" w:space="4" w:color="2E75B6"/>
        </w:pBdr>
        <w:shd w:val="clear" w:color="auto" w:fill="E3EEF9"/>
        <w:spacing w:before="200" w:after="80"/>
        <w:ind w:left="85"/>
      </w:pPr>
      <w:r>
        <w:rPr>
          <w:i w:val="0"/>
          <w:color w:val="1F3A5F"/>
          <w:sz w:val="23"/>
        </w:rPr>
        <w:t xml:space="preserve">Art. 428</w:t>
      </w:r>
    </w:p>
    <w:p>
      <w:pPr>
        <w:pStyle w:val="FirstParagraph"/>
        <w:spacing w:after="80"/>
        <w:jc w:val="both"/>
      </w:pPr>
      <w:r>
        <w:rPr>
          <w:b/>
          <w:bCs/>
        </w:rPr>
        <w:t xml:space="preserve">Art. 428.</w:t>
      </w:r>
      <w:r>
        <w:t xml:space="preserve"> </w:t>
      </w:r>
      <w:r>
        <w:t xml:space="preserve">Cessa a fé do documento particular quando:</w:t>
      </w:r>
    </w:p>
    <w:p>
      <w:pPr>
        <w:pStyle w:val="BodyText"/>
        <w:keepNext/>
        <w:spacing w:after="80"/>
        <w:jc w:val="both"/>
      </w:pPr>
      <w:r>
        <w:t xml:space="preserve">I - for impugnada sua autenticidade e enquanto não se comprovar sua veracidade;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2579"/>
        <w:gridCol w:w="524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7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24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I — aplicação (aplicação narrada)</w:t>
            </w:r>
          </w:p>
        </w:tc>
        <w:tc>
          <w:tcPr>
            <w:tcW w:type="dxa" w:w="2579"/>
          </w:tcPr>
          <w:p>
            <w:pPr>
              <w:pStyle w:val="Compact"/>
              <w:spacing w:line="276" w:lineRule="auto" w:before="40" w:after="40"/>
            </w:pPr>
            <w:r>
              <w:rPr>
                <w:rFonts w:ascii="Liberation Sans Narrow" w:hAnsi="Liberation Sans Narrow"/>
                <w:sz w:val="18"/>
              </w:rPr>
              <w:t xml:space="preserve">STJ, AREsp 2.814.141, Quarta Turma, relator Min. João Otávio de Noronha, julgado em 30/03/2026</w:t>
            </w:r>
          </w:p>
        </w:tc>
        <w:tc>
          <w:tcPr>
            <w:tcW w:type="dxa" w:w="5245"/>
          </w:tcPr>
          <w:p>
            <w:pPr>
              <w:pStyle w:val="Compact"/>
              <w:spacing w:line="276" w:lineRule="auto" w:before="40" w:after="40"/>
            </w:pPr>
            <w:r>
              <w:rPr>
                <w:rFonts w:ascii="Liberation Sans Narrow" w:hAnsi="Liberation Sans Narrow"/>
                <w:sz w:val="18"/>
              </w:rPr>
              <w:t xml:space="preserve">No caso, impugnada a autenticidade de documento particular que instruía embargos à execução, a fé do documento cessou enquanto não comprovada a veracidade da assinatura, e o ônus de provar a autenticidade — com o adiantamento dos honorários periciais — recaiu sobre quem produziu o documento, e não sobre quem o impugnou. Trecho: “A Corte de origem negou provimento ao agravo de instrumento, manteve a decisão saneadora, afastou a intempestividade dos embargos e atribuiu à instituição financeira o ônus de provar a autenticidade das assinaturas, com adiantamento dos honorários periciais.”</w:t>
            </w:r>
          </w:p>
        </w:tc>
      </w:tr>
    </w:tbl>
    <w:p>
      <w:pPr>
        <w:pStyle w:val="BodyText"/>
        <w:spacing w:after="80"/>
        <w:jc w:val="both"/>
      </w:pPr>
      <w:r>
        <w:t xml:space="preserve">II - assinado em branco, for impugnado seu conteúdo, por preenchimento abusivo.</w:t>
      </w:r>
    </w:p>
    <w:p>
      <w:pPr>
        <w:pStyle w:val="BodyText"/>
        <w:spacing w:after="80"/>
        <w:jc w:val="both"/>
      </w:pPr>
      <w:r>
        <w:t xml:space="preserve">Parágrafo único. Dar-se-á abuso quando aquele que recebeu documento assinado com texto não escrito no todo ou em parte formá-lo ou completá-lo por si ou por meio de outrem, violando o pacto feito com o signatário.</w:t>
      </w:r>
    </w:p>
    <w:bookmarkEnd w:id="152"/>
    <w:bookmarkStart w:id="153" w:name="art.-429"/>
    <w:p>
      <w:pPr>
        <w:pStyle w:val="Heading6"/>
        <w:pBdr>
          <w:left w:val="single" w:sz="36" w:space="4" w:color="2E75B6"/>
        </w:pBdr>
        <w:shd w:val="clear" w:color="auto" w:fill="E3EEF9"/>
        <w:spacing w:before="200" w:after="80"/>
        <w:ind w:left="85"/>
      </w:pPr>
      <w:r>
        <w:rPr>
          <w:i w:val="0"/>
          <w:color w:val="1F3A5F"/>
          <w:sz w:val="23"/>
        </w:rPr>
        <w:t xml:space="preserve">Art. 429</w:t>
      </w:r>
    </w:p>
    <w:p>
      <w:pPr>
        <w:pStyle w:val="FirstParagraph"/>
        <w:spacing w:after="80"/>
        <w:jc w:val="both"/>
      </w:pPr>
      <w:r>
        <w:rPr>
          <w:b/>
          <w:bCs/>
        </w:rPr>
        <w:t xml:space="preserve">Art. 429.</w:t>
      </w:r>
      <w:r>
        <w:t xml:space="preserve"> </w:t>
      </w:r>
      <w:r>
        <w:t xml:space="preserve">Incumbe o ônus da prova quando:</w:t>
      </w:r>
    </w:p>
    <w:p>
      <w:pPr>
        <w:pStyle w:val="BodyText"/>
        <w:keepNext/>
        <w:spacing w:after="80"/>
        <w:jc w:val="both"/>
      </w:pPr>
      <w:r>
        <w:t xml:space="preserve">I - se tratar de falsidade de documento ou de preenchimento abusivo, à parte que a arguir;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2704"/>
        <w:gridCol w:w="474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0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4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Art. 429, I: preenchimento abusivo e função de regra de julgamento</w:t>
            </w:r>
          </w:p>
        </w:tc>
        <w:tc>
          <w:tcPr>
            <w:tcW w:type="dxa" w:w="2705"/>
          </w:tcPr>
          <w:p>
            <w:pPr>
              <w:pStyle w:val="Compact"/>
              <w:spacing w:line="276" w:lineRule="auto" w:before="40" w:after="40"/>
            </w:pPr>
            <w:r>
              <w:rPr>
                <w:rFonts w:ascii="Liberation Sans Narrow" w:hAnsi="Liberation Sans Narrow"/>
                <w:sz w:val="18"/>
              </w:rPr>
              <w:t xml:space="preserve">STJ, AgInt no AREsp 2.905.519, Quarta Turma, relator Min. Raul Araújo, julgado em 08/06/2026, DJEN de 12/06/2026</w:t>
            </w:r>
          </w:p>
        </w:tc>
        <w:tc>
          <w:tcPr>
            <w:tcW w:type="dxa" w:w="4745"/>
          </w:tcPr>
          <w:p>
            <w:pPr>
              <w:pStyle w:val="Compact"/>
              <w:spacing w:line="276" w:lineRule="auto" w:before="40" w:after="40"/>
            </w:pPr>
            <w:r>
              <w:rPr>
                <w:rFonts w:ascii="Liberation Sans Narrow" w:hAnsi="Liberation Sans Narrow"/>
                <w:sz w:val="18"/>
              </w:rPr>
              <w:t xml:space="preserve">No preenchimento abusivo de cheque emitido em branco, a regra do art. 429, I, opera como regra de julgamento quando há insuficiência probatória; não há inversão indevida do encargo quando a conclusão sobre o abuso decorre da valoração do conjunto probatório, com perícia grafotécnica realizada e contraditório assegurado. O preenchimento posterior do cheque emitido em branco somente se valida à luz da boa-fé e da causa legítima, e a revisão das premissas fáticas é vedada pela Súmula 7/STJ.</w:t>
            </w:r>
          </w:p>
        </w:tc>
      </w:tr>
    </w:tbl>
    <w:p>
      <w:pPr>
        <w:pStyle w:val="BodyText"/>
        <w:keepNext/>
        <w:spacing w:after="80"/>
        <w:jc w:val="both"/>
      </w:pPr>
      <w:r>
        <w:t xml:space="preserve">II - se tratar de impugnação da autenticidade, à parte que produziu o documento.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91"/>
        <w:gridCol w:w="3094"/>
        <w:gridCol w:w="4169"/>
      </w:tblGrid>
      <w:tr>
        <w:trPr>
          <w:tblHeader w:val="on"/>
          <w:cantSplit/>
          <w:tblHeader/>
        </w:trPr>
        <w:tc>
          <w:tcPr>
            <w:tcW w:type="dxa" w:w="209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09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16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91"/>
          </w:tcPr>
          <w:p>
            <w:pPr>
              <w:pStyle w:val="Compact"/>
              <w:spacing w:line="276" w:lineRule="auto" w:before="40" w:after="40"/>
            </w:pPr>
            <w:r>
              <w:rPr>
                <w:rFonts w:ascii="Liberation Sans Narrow" w:hAnsi="Liberation Sans Narrow"/>
                <w:sz w:val="18"/>
              </w:rPr>
              <w:t xml:space="preserve">II — ônus da prova da autenticidade atribuído a quem produziu o documento</w:t>
            </w:r>
          </w:p>
        </w:tc>
        <w:tc>
          <w:tcPr>
            <w:tcW w:type="dxa" w:w="3094"/>
          </w:tcPr>
          <w:p>
            <w:pPr>
              <w:pStyle w:val="Compact"/>
              <w:spacing w:line="276" w:lineRule="auto" w:before="40" w:after="40"/>
            </w:pPr>
            <w:r>
              <w:rPr>
                <w:rFonts w:ascii="Liberation Sans Narrow" w:hAnsi="Liberation Sans Narrow"/>
                <w:sz w:val="18"/>
              </w:rPr>
              <w:t xml:space="preserve">STJ, AREsp 3.138.547, Terceira Turma, relator Min. Moura Ribeiro, julgado em 22/06/2026</w:t>
            </w:r>
          </w:p>
        </w:tc>
        <w:tc>
          <w:tcPr>
            <w:tcW w:type="dxa" w:w="4169"/>
          </w:tcPr>
          <w:p>
            <w:pPr>
              <w:pStyle w:val="Compact"/>
              <w:spacing w:line="276" w:lineRule="auto" w:before="40" w:after="40"/>
            </w:pPr>
            <w:r>
              <w:rPr>
                <w:rFonts w:ascii="Liberation Sans Narrow" w:hAnsi="Liberation Sans Narrow"/>
                <w:sz w:val="18"/>
              </w:rPr>
              <w:t xml:space="preserve">Na impugnação da autenticidade, o ônus de provar cabe à parte que produziu o documento; no caso, a regularidade da contratação eletrônica foi demonstrada por múltiplos fatores de autenticação — biometria facial, selfie, geolocalização e documentos eletrônicos —, o que afasta o cerceamento de defesa pelo indeferimento de perícia grafotécnica.</w:t>
            </w:r>
          </w:p>
        </w:tc>
      </w:tr>
      <w:tr>
        <w:trPr>
          <w:cantSplit/>
        </w:trPr>
        <w:tc>
          <w:tcPr>
            <w:tcW w:type="dxa" w:w="2091"/>
          </w:tcPr>
          <w:p>
            <w:pPr>
              <w:pStyle w:val="Compact"/>
              <w:spacing w:line="276" w:lineRule="auto" w:before="40" w:after="40"/>
            </w:pPr>
            <w:r>
              <w:rPr>
                <w:rFonts w:ascii="Liberation Sans Narrow" w:hAnsi="Liberation Sans Narrow"/>
                <w:sz w:val="18"/>
              </w:rPr>
              <w:t xml:space="preserve">Art. 429, II: ônus da autenticidade e custeio da perícia grafotécnica</w:t>
            </w:r>
          </w:p>
        </w:tc>
        <w:tc>
          <w:tcPr>
            <w:tcW w:type="dxa" w:w="3094"/>
          </w:tcPr>
          <w:p>
            <w:pPr>
              <w:pStyle w:val="Compact"/>
              <w:spacing w:line="276" w:lineRule="auto" w:before="40" w:after="40"/>
            </w:pPr>
            <w:r>
              <w:rPr>
                <w:rFonts w:ascii="Liberation Sans Narrow" w:hAnsi="Liberation Sans Narrow"/>
                <w:sz w:val="18"/>
              </w:rPr>
              <w:t xml:space="preserve">STJ, AgInt no AREsp 3.052.217, Quarta Turma, relator Min. Luís Carlos Gambogi (Desembargador Convocado do Tjmg), julgado em 01/06/2026, DJEN de 08/06/2026</w:t>
            </w:r>
          </w:p>
        </w:tc>
        <w:tc>
          <w:tcPr>
            <w:tcW w:type="dxa" w:w="4169"/>
          </w:tcPr>
          <w:p>
            <w:pPr>
              <w:pStyle w:val="Compact"/>
              <w:spacing w:line="276" w:lineRule="auto" w:before="40" w:after="40"/>
            </w:pPr>
            <w:r>
              <w:rPr>
                <w:rFonts w:ascii="Liberation Sans Narrow" w:hAnsi="Liberation Sans Narrow"/>
                <w:sz w:val="18"/>
              </w:rPr>
              <w:t xml:space="preserve">O ônus de provar a autenticidade de assinatura constante de documento particular é de quem o produziu, na linha do Tema 1.061/STJ; atribuído o encargo à parte, a ela também cabe suportar o custeio da perícia grafotécnica necessária à demonstração da veracidade das assinaturas impugnadas, pois a regra do art. 429, II, excepciona a disciplina geral do art. 95, § 3º, do CPC. Agravo interno desprovido.</w:t>
            </w:r>
          </w:p>
        </w:tc>
      </w:tr>
    </w:tbl>
    <w:bookmarkEnd w:id="153"/>
    <w:bookmarkStart w:id="154" w:name="art.-430"/>
    <w:p>
      <w:pPr>
        <w:pStyle w:val="Heading6"/>
        <w:pBdr>
          <w:left w:val="single" w:sz="36" w:space="4" w:color="2E75B6"/>
        </w:pBdr>
        <w:shd w:val="clear" w:color="auto" w:fill="E3EEF9"/>
        <w:spacing w:before="200" w:after="80"/>
        <w:ind w:left="85"/>
      </w:pPr>
      <w:r>
        <w:rPr>
          <w:i w:val="0"/>
          <w:color w:val="1F3A5F"/>
          <w:sz w:val="23"/>
        </w:rPr>
        <w:t xml:space="preserve">Art. 430</w:t>
      </w:r>
    </w:p>
    <w:p>
      <w:pPr>
        <w:pStyle w:val="FirstParagraph"/>
        <w:keepNext/>
        <w:spacing w:after="80"/>
        <w:jc w:val="both"/>
      </w:pPr>
      <w:r>
        <w:rPr>
          <w:b/>
          <w:bCs/>
        </w:rPr>
        <w:t xml:space="preserve">Art. 430.</w:t>
      </w:r>
      <w:r>
        <w:t xml:space="preserve"> </w:t>
      </w:r>
      <w:r>
        <w:t xml:space="preserve">A falsidade deve ser suscitada na contestação, na réplica ou no prazo de 15 (quinze) dias, contado a partir da intimação da juntada do documento aos autos.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96"/>
        <w:gridCol w:w="2770"/>
        <w:gridCol w:w="4389"/>
      </w:tblGrid>
      <w:tr>
        <w:trPr>
          <w:tblHeader w:val="on"/>
          <w:cantSplit/>
          <w:tblHeader/>
        </w:trPr>
        <w:tc>
          <w:tcPr>
            <w:tcW w:type="dxa" w:w="2196"/>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7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38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96"/>
          </w:tcPr>
          <w:p>
            <w:pPr>
              <w:pStyle w:val="Compact"/>
              <w:spacing w:line="276" w:lineRule="auto" w:before="40" w:after="40"/>
            </w:pPr>
            <w:r>
              <w:rPr>
                <w:rFonts w:ascii="Liberation Sans Narrow" w:hAnsi="Liberation Sans Narrow"/>
                <w:sz w:val="18"/>
              </w:rPr>
              <w:t xml:space="preserve">Art. 430, caput: oportunidade da arguição e ônus de requerer o incidente no momento próprio</w:t>
            </w:r>
          </w:p>
        </w:tc>
        <w:tc>
          <w:tcPr>
            <w:tcW w:type="dxa" w:w="2770"/>
          </w:tcPr>
          <w:p>
            <w:pPr>
              <w:pStyle w:val="Compact"/>
              <w:spacing w:line="276" w:lineRule="auto" w:before="40" w:after="40"/>
            </w:pPr>
            <w:r>
              <w:rPr>
                <w:rFonts w:ascii="Liberation Sans Narrow" w:hAnsi="Liberation Sans Narrow"/>
                <w:sz w:val="18"/>
              </w:rPr>
              <w:t xml:space="preserve">STJ, AgInt nos EDcl no AREsp 2.636.563, Terceira Turma, relator Min. Humberto Martins, julgado em 30/06/2026, DJEN de 03/07/2026</w:t>
            </w:r>
          </w:p>
        </w:tc>
        <w:tc>
          <w:tcPr>
            <w:tcW w:type="dxa" w:w="4389"/>
          </w:tcPr>
          <w:p>
            <w:pPr>
              <w:pStyle w:val="Compact"/>
              <w:spacing w:line="276" w:lineRule="auto" w:before="40" w:after="40"/>
            </w:pPr>
            <w:r>
              <w:rPr>
                <w:rFonts w:ascii="Liberation Sans Narrow" w:hAnsi="Liberation Sans Narrow"/>
                <w:sz w:val="18"/>
              </w:rPr>
              <w:t xml:space="preserve">“O cerceamento de defesa não se configura quando ausentes elementos concretos e requerimento tempestivo para instaurar incidente de falsidade (arts. 430 e 431 do Código de Processo Civil).”</w:t>
            </w:r>
            <w:r>
              <w:rPr>
                <w:rFonts w:ascii="Liberation Sans Narrow" w:hAnsi="Liberation Sans Narrow"/>
                <w:sz w:val="18"/>
              </w:rPr>
              <w:t xml:space="preserve"> </w:t>
            </w:r>
            <w:r>
              <w:rPr>
                <w:rFonts w:ascii="Liberation Sans Narrow" w:hAnsi="Liberation Sans Narrow"/>
                <w:sz w:val="18"/>
              </w:rPr>
              <w:t xml:space="preserve">A ementa não descreve outras circunstâncias da origem quanto a esse ponto: o óbice está na falta de elementos concretos e de requerimento tempestivo. Os demais capítulos (anterioridade do negócio em relação à averbação, boa-fé do terceiro, conversão da tutela específica em perdas e danos) foram decididos com apoio na Súmula 7/STJ.</w:t>
            </w:r>
          </w:p>
        </w:tc>
      </w:tr>
    </w:tbl>
    <w:p>
      <w:pPr>
        <w:pStyle w:val="BodyText"/>
        <w:keepNext/>
        <w:spacing w:after="80"/>
        <w:jc w:val="both"/>
      </w:pPr>
      <w:r>
        <w:t xml:space="preserve">Parágrafo único. Uma vez arguida, a falsidade será resolvida como questão incidental, salvo se a parte requerer que o juiz a decida como questão principal, nos termos do inciso II do art. 19.</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434"/>
        <w:gridCol w:w="2535"/>
        <w:gridCol w:w="4385"/>
      </w:tblGrid>
      <w:tr>
        <w:trPr>
          <w:tblHeader w:val="on"/>
          <w:cantSplit/>
          <w:tblHeader/>
        </w:trPr>
        <w:tc>
          <w:tcPr>
            <w:tcW w:type="dxa" w:w="2434"/>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3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38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434"/>
          </w:tcPr>
          <w:p>
            <w:pPr>
              <w:pStyle w:val="Compact"/>
              <w:spacing w:line="276" w:lineRule="auto" w:before="40" w:after="40"/>
            </w:pPr>
            <w:r>
              <w:rPr>
                <w:rFonts w:ascii="Liberation Sans Narrow" w:hAnsi="Liberation Sans Narrow"/>
                <w:sz w:val="18"/>
              </w:rPr>
              <w:t xml:space="preserve">Art. 430, parágrafo único: preclusão do incidente e ação autônoma declaratória de falsidade (art. 19, II)</w:t>
            </w:r>
          </w:p>
        </w:tc>
        <w:tc>
          <w:tcPr>
            <w:tcW w:type="dxa" w:w="2535"/>
          </w:tcPr>
          <w:p>
            <w:pPr>
              <w:pStyle w:val="Compact"/>
              <w:spacing w:line="276" w:lineRule="auto" w:before="40" w:after="40"/>
            </w:pPr>
            <w:r>
              <w:rPr>
                <w:rFonts w:ascii="Liberation Sans Narrow" w:hAnsi="Liberation Sans Narrow"/>
                <w:sz w:val="18"/>
              </w:rPr>
              <w:t xml:space="preserve">STJ, AREsp 2.929.120, Quarta Turma, relator Min. João Otávio de Noronha, julgado em 09/03/2026, DJEN de 12/03/2026</w:t>
            </w:r>
          </w:p>
        </w:tc>
        <w:tc>
          <w:tcPr>
            <w:tcW w:type="dxa" w:w="4385"/>
          </w:tcPr>
          <w:p>
            <w:pPr>
              <w:pStyle w:val="Compact"/>
              <w:spacing w:line="276" w:lineRule="auto" w:before="40" w:after="40"/>
            </w:pPr>
            <w:r>
              <w:rPr>
                <w:rFonts w:ascii="Liberation Sans Narrow" w:hAnsi="Liberation Sans Narrow"/>
                <w:sz w:val="18"/>
              </w:rPr>
              <w:t xml:space="preserve">A sentença extinguira a ação declaratória de falsidade de certidão cartorária com base nos arts. 485, IV, e 430, por preclusão temporal; o tribunal de origem anulou a sentença por entender que a ação autônoma não se sujeita ao prazo do art. 430. O STJ manteve o acórdão por consonância com a sua jurisprudência (Súmula 83/STJ), com tese expressa:</w:t>
            </w:r>
            <w:r>
              <w:rPr>
                <w:rFonts w:ascii="Liberation Sans Narrow" w:hAnsi="Liberation Sans Narrow"/>
                <w:sz w:val="18"/>
              </w:rPr>
              <w:t xml:space="preserve"> </w:t>
            </w:r>
            <w:r>
              <w:rPr>
                <w:rFonts w:ascii="Liberation Sans Narrow" w:hAnsi="Liberation Sans Narrow"/>
                <w:sz w:val="18"/>
              </w:rPr>
              <w:t xml:space="preserve">“a preclusão do incidente não impede a ação autônoma declaratória de falsidade, nos termos do art. 19, II, do Código de Processo Civil”</w:t>
            </w:r>
            <w:r>
              <w:rPr>
                <w:rFonts w:ascii="Liberation Sans Narrow" w:hAnsi="Liberation Sans Narrow"/>
                <w:sz w:val="18"/>
              </w:rPr>
              <w:t xml:space="preserve">; a presunção de autenticidade do art. 411, III, também não obsta a ação autônoma, cabendo ao juízo de origem apreciar a pertinência da prova pericial.</w:t>
            </w:r>
          </w:p>
        </w:tc>
      </w:tr>
    </w:tbl>
    <w:bookmarkEnd w:id="154"/>
    <w:bookmarkStart w:id="155" w:name="art.-431"/>
    <w:p>
      <w:pPr>
        <w:pStyle w:val="Heading6"/>
        <w:pBdr>
          <w:left w:val="single" w:sz="36" w:space="4" w:color="2E75B6"/>
        </w:pBdr>
        <w:shd w:val="clear" w:color="auto" w:fill="E3EEF9"/>
        <w:spacing w:before="200" w:after="80"/>
        <w:ind w:left="85"/>
      </w:pPr>
      <w:r>
        <w:rPr>
          <w:i w:val="0"/>
          <w:color w:val="1F3A5F"/>
          <w:sz w:val="23"/>
        </w:rPr>
        <w:t xml:space="preserve">Art. 431</w:t>
      </w:r>
    </w:p>
    <w:p>
      <w:pPr>
        <w:pStyle w:val="FirstParagraph"/>
        <w:keepNext/>
        <w:spacing w:after="80"/>
        <w:jc w:val="both"/>
      </w:pPr>
      <w:r>
        <w:rPr>
          <w:b/>
          <w:bCs/>
        </w:rPr>
        <w:t xml:space="preserve">Art. 431.</w:t>
      </w:r>
      <w:r>
        <w:t xml:space="preserve"> </w:t>
      </w:r>
      <w:r>
        <w:t xml:space="preserve">A parte arguirá a falsidade expondo os motivos em que funda a sua pretensão e os meios com que provará o alegado.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27"/>
        <w:gridCol w:w="2902"/>
        <w:gridCol w:w="4125"/>
      </w:tblGrid>
      <w:tr>
        <w:trPr>
          <w:tblHeader w:val="on"/>
          <w:cantSplit/>
          <w:tblHeader/>
        </w:trPr>
        <w:tc>
          <w:tcPr>
            <w:tcW w:type="dxa" w:w="2327"/>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90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12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327"/>
          </w:tcPr>
          <w:p>
            <w:pPr>
              <w:pStyle w:val="Compact"/>
              <w:spacing w:line="276" w:lineRule="auto" w:before="40" w:after="40"/>
            </w:pPr>
            <w:r>
              <w:rPr>
                <w:rFonts w:ascii="Liberation Sans Narrow" w:hAnsi="Liberation Sans Narrow"/>
                <w:sz w:val="18"/>
              </w:rPr>
              <w:t xml:space="preserve">Caput — ônus de expor os motivos e os meios de prova da falsidade</w:t>
            </w:r>
          </w:p>
        </w:tc>
        <w:tc>
          <w:tcPr>
            <w:tcW w:type="dxa" w:w="2902"/>
          </w:tcPr>
          <w:p>
            <w:pPr>
              <w:pStyle w:val="Compact"/>
              <w:spacing w:line="276" w:lineRule="auto" w:before="40" w:after="40"/>
            </w:pPr>
            <w:r>
              <w:rPr>
                <w:rFonts w:ascii="Liberation Sans Narrow" w:hAnsi="Liberation Sans Narrow"/>
                <w:sz w:val="18"/>
              </w:rPr>
              <w:t xml:space="preserve">STJ, AgInt nos EDcl no AREsp 2.636.563, Terceira Turma, relator Min. Humberto Martins, julgado em 30/06/2026</w:t>
            </w:r>
          </w:p>
        </w:tc>
        <w:tc>
          <w:tcPr>
            <w:tcW w:type="dxa" w:w="4125"/>
          </w:tcPr>
          <w:p>
            <w:pPr>
              <w:pStyle w:val="Compact"/>
              <w:spacing w:line="276" w:lineRule="auto" w:before="40" w:after="40"/>
            </w:pPr>
            <w:r>
              <w:rPr>
                <w:rFonts w:ascii="Liberation Sans Narrow" w:hAnsi="Liberation Sans Narrow"/>
                <w:sz w:val="18"/>
              </w:rPr>
              <w:t xml:space="preserve">O cerceamento de defesa não se configura quando ausentes elementos concretos e requerimento tempestivo para instaurar o incidente de falsidade, cabendo à parte expor os motivos em que funda a alegação e os meios com que provará o alegado (arts. 430 e 431).</w:t>
            </w:r>
          </w:p>
        </w:tc>
      </w:tr>
      <w:tr>
        <w:trPr>
          <w:cantSplit/>
        </w:trPr>
        <w:tc>
          <w:tcPr>
            <w:tcW w:type="dxa" w:w="2327"/>
          </w:tcPr>
          <w:p>
            <w:pPr>
              <w:pStyle w:val="Compact"/>
              <w:spacing w:line="276" w:lineRule="auto" w:before="40" w:after="40"/>
            </w:pPr>
            <w:r>
              <w:rPr>
                <w:rFonts w:ascii="Liberation Sans Narrow" w:hAnsi="Liberation Sans Narrow"/>
                <w:sz w:val="18"/>
              </w:rPr>
              <w:t xml:space="preserve">Art. 431, caput: delimitação dos motivos da arguição — falsidade ideológica só de documento narrativo</w:t>
            </w:r>
          </w:p>
        </w:tc>
        <w:tc>
          <w:tcPr>
            <w:tcW w:type="dxa" w:w="2902"/>
          </w:tcPr>
          <w:p>
            <w:pPr>
              <w:pStyle w:val="Compact"/>
              <w:spacing w:line="276" w:lineRule="auto" w:before="40" w:after="40"/>
            </w:pPr>
            <w:r>
              <w:rPr>
                <w:rFonts w:ascii="Liberation Sans Narrow" w:hAnsi="Liberation Sans Narrow"/>
                <w:sz w:val="18"/>
              </w:rPr>
              <w:t xml:space="preserve">STJ, REsp 1.637.099, Terceira Turma, relator Min. Ricardo Villas Bôas Cueva, julgado em 26/09/2017, DJe de 02/10/2017</w:t>
            </w:r>
          </w:p>
        </w:tc>
        <w:tc>
          <w:tcPr>
            <w:tcW w:type="dxa" w:w="4125"/>
          </w:tcPr>
          <w:p>
            <w:pPr>
              <w:pStyle w:val="Compact"/>
              <w:spacing w:line="276" w:lineRule="auto" w:before="40" w:after="40"/>
            </w:pPr>
            <w:r>
              <w:rPr>
                <w:rFonts w:ascii="Liberation Sans Narrow" w:hAnsi="Liberation Sans Narrow"/>
                <w:sz w:val="18"/>
              </w:rPr>
              <w:t xml:space="preserve">“A instauração de incidente de falsidade é possível mesmo quando se tratar de falsidade ideológica, mas desde que o documento seja narrativo, isto é, que não contenha declaração de vontade, de modo que o reconhecimento de sua falsidade não implique a desconstituição de relação jurídica, quando será necessário o ajuizamento de ação própria.”</w:t>
            </w:r>
            <w:r>
              <w:rPr>
                <w:rFonts w:ascii="Liberation Sans Narrow" w:hAnsi="Liberation Sans Narrow"/>
                <w:sz w:val="18"/>
              </w:rPr>
              <w:t xml:space="preserve"> </w:t>
            </w:r>
            <w:r>
              <w:rPr>
                <w:rFonts w:ascii="Liberation Sans Narrow" w:hAnsi="Liberation Sans Narrow"/>
                <w:sz w:val="18"/>
              </w:rPr>
              <w:t xml:space="preserve">O caso envolvia notas fiscais; o recurso especial foi provido. A ementa não indica o artigo do CPC, mas o acórdão trata do cabimento e do objeto do incidente regulado nos arts. 430 a 433, e a exposição dos motivos (art. 431) é o que define esse objeto.</w:t>
            </w:r>
          </w:p>
        </w:tc>
      </w:tr>
    </w:tbl>
    <w:bookmarkEnd w:id="155"/>
    <w:bookmarkStart w:id="156" w:name="art.-432"/>
    <w:p>
      <w:pPr>
        <w:pStyle w:val="Heading6"/>
        <w:pBdr>
          <w:left w:val="single" w:sz="36" w:space="4" w:color="2E75B6"/>
        </w:pBdr>
        <w:shd w:val="clear" w:color="auto" w:fill="E3EEF9"/>
        <w:spacing w:before="200" w:after="80"/>
        <w:ind w:left="85"/>
      </w:pPr>
      <w:r>
        <w:rPr>
          <w:i w:val="0"/>
          <w:color w:val="1F3A5F"/>
          <w:sz w:val="23"/>
        </w:rPr>
        <w:t xml:space="preserve">Art. 432</w:t>
      </w:r>
    </w:p>
    <w:p>
      <w:pPr>
        <w:pStyle w:val="FirstParagraph"/>
        <w:spacing w:after="80"/>
        <w:jc w:val="both"/>
      </w:pPr>
      <w:r>
        <w:rPr>
          <w:b/>
          <w:bCs/>
        </w:rPr>
        <w:t xml:space="preserve">Art. 432.</w:t>
      </w:r>
      <w:r>
        <w:t xml:space="preserve"> </w:t>
      </w:r>
      <w:r>
        <w:t xml:space="preserve">Depois de ouvida a outra parte no prazo de 15 (quinze) dias, será realizado o exame pericial.</w:t>
      </w:r>
    </w:p>
    <w:p>
      <w:pPr>
        <w:pStyle w:val="BodyText"/>
        <w:spacing w:after="80"/>
        <w:jc w:val="both"/>
      </w:pPr>
      <w:r>
        <w:t xml:space="preserve">Parágrafo único. Não se procederá ao exame pericial se a parte que produziu o documento concordar em retirá-lo.</w:t>
      </w:r>
    </w:p>
    <w:bookmarkEnd w:id="156"/>
    <w:bookmarkStart w:id="157" w:name="art.-433"/>
    <w:p>
      <w:pPr>
        <w:pStyle w:val="Heading6"/>
        <w:pBdr>
          <w:left w:val="single" w:sz="36" w:space="4" w:color="2E75B6"/>
        </w:pBdr>
        <w:shd w:val="clear" w:color="auto" w:fill="E3EEF9"/>
        <w:spacing w:before="200" w:after="80"/>
        <w:ind w:left="85"/>
      </w:pPr>
      <w:r>
        <w:rPr>
          <w:i w:val="0"/>
          <w:color w:val="1F3A5F"/>
          <w:sz w:val="23"/>
        </w:rPr>
        <w:t xml:space="preserve">Art. 433</w:t>
      </w:r>
    </w:p>
    <w:p>
      <w:pPr>
        <w:pStyle w:val="FirstParagraph"/>
        <w:spacing w:after="80"/>
        <w:jc w:val="both"/>
      </w:pPr>
      <w:r>
        <w:rPr>
          <w:b/>
          <w:bCs/>
        </w:rPr>
        <w:t xml:space="preserve">Art. 433.</w:t>
      </w:r>
      <w:r>
        <w:t xml:space="preserve"> </w:t>
      </w:r>
      <w:r>
        <w:t xml:space="preserve">A declaração sobre a falsidade do documento, quando suscitada como questão principal, constará da parte dispositiva da sentença e sobre ela incidirá também a autoridade da coisa julgada.</w:t>
      </w:r>
    </w:p>
    <w:bookmarkEnd w:id="157"/>
    <w:bookmarkStart w:id="158" w:name="art.-434"/>
    <w:p>
      <w:pPr>
        <w:pStyle w:val="Heading6"/>
        <w:pBdr>
          <w:left w:val="single" w:sz="36" w:space="4" w:color="2E75B6"/>
        </w:pBdr>
        <w:shd w:val="clear" w:color="auto" w:fill="E3EEF9"/>
        <w:spacing w:before="200" w:after="80"/>
        <w:ind w:left="85"/>
      </w:pPr>
      <w:r>
        <w:rPr>
          <w:i w:val="0"/>
          <w:color w:val="1F3A5F"/>
          <w:sz w:val="23"/>
        </w:rPr>
        <w:t xml:space="preserve">Art. 434</w:t>
      </w:r>
    </w:p>
    <w:p>
      <w:pPr>
        <w:pStyle w:val="FirstParagraph"/>
        <w:keepNext/>
        <w:spacing w:after="80"/>
        <w:jc w:val="both"/>
      </w:pPr>
      <w:r>
        <w:rPr>
          <w:b/>
          <w:bCs/>
        </w:rPr>
        <w:t xml:space="preserve">Art. 434.</w:t>
      </w:r>
      <w:r>
        <w:t xml:space="preserve"> </w:t>
      </w:r>
      <w:r>
        <w:t xml:space="preserve">Incumbe à parte instruir a petição inicial ou a contestação com os documentos destinados a provar suas alegações.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26"/>
        <w:gridCol w:w="2648"/>
        <w:gridCol w:w="4580"/>
      </w:tblGrid>
      <w:tr>
        <w:trPr>
          <w:tblHeader w:val="on"/>
          <w:cantSplit/>
          <w:tblHeader/>
        </w:trPr>
        <w:tc>
          <w:tcPr>
            <w:tcW w:type="dxa" w:w="2127"/>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4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58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27"/>
          </w:tcPr>
          <w:p>
            <w:pPr>
              <w:pStyle w:val="Compact"/>
              <w:spacing w:line="276" w:lineRule="auto" w:before="40" w:after="40"/>
            </w:pPr>
            <w:r>
              <w:rPr>
                <w:rFonts w:ascii="Liberation Sans Narrow" w:hAnsi="Liberation Sans Narrow"/>
                <w:sz w:val="18"/>
              </w:rPr>
              <w:t xml:space="preserve">Art. 434, caput: documento essencial disponível deve ser juntado com a contestação</w:t>
            </w:r>
          </w:p>
        </w:tc>
        <w:tc>
          <w:tcPr>
            <w:tcW w:type="dxa" w:w="2648"/>
          </w:tcPr>
          <w:p>
            <w:pPr>
              <w:pStyle w:val="Compact"/>
              <w:spacing w:line="276" w:lineRule="auto" w:before="40" w:after="40"/>
            </w:pPr>
            <w:r>
              <w:rPr>
                <w:rFonts w:ascii="Liberation Sans Narrow" w:hAnsi="Liberation Sans Narrow"/>
                <w:sz w:val="18"/>
              </w:rPr>
              <w:t xml:space="preserve">STJ, AREsp 2.580.345, Quarta Turma, relator Min. João Otávio de Noronha, julgado em 30/06/2026, DJEN de 06/07/2026</w:t>
            </w:r>
          </w:p>
        </w:tc>
        <w:tc>
          <w:tcPr>
            <w:tcW w:type="dxa" w:w="4580"/>
          </w:tcPr>
          <w:p>
            <w:pPr>
              <w:pStyle w:val="Compact"/>
              <w:spacing w:line="276" w:lineRule="auto" w:before="40" w:after="40"/>
            </w:pPr>
            <w:r>
              <w:rPr>
                <w:rFonts w:ascii="Liberation Sans Narrow" w:hAnsi="Liberation Sans Narrow"/>
                <w:sz w:val="18"/>
              </w:rPr>
              <w:t xml:space="preserve">Tese expressa:</w:t>
            </w:r>
            <w:r>
              <w:rPr>
                <w:rFonts w:ascii="Liberation Sans Narrow" w:hAnsi="Liberation Sans Narrow"/>
                <w:sz w:val="18"/>
              </w:rPr>
              <w:t xml:space="preserve"> </w:t>
            </w:r>
            <w:r>
              <w:rPr>
                <w:rFonts w:ascii="Liberation Sans Narrow" w:hAnsi="Liberation Sans Narrow"/>
                <w:sz w:val="18"/>
              </w:rPr>
              <w:t xml:space="preserve">“Documento essencial à defesa, disponível desde a contestação, deve ser juntado no momento oportuno; a juntada extemporânea em apelação, sem justificativa, não se qualifica como</w:t>
            </w:r>
            <w:r>
              <w:rPr>
                <w:rFonts w:ascii="Liberation Sans Narrow" w:hAnsi="Liberation Sans Narrow"/>
                <w:sz w:val="18"/>
              </w:rPr>
              <w:t xml:space="preserve"> </w:t>
            </w:r>
            <w:r>
              <w:rPr>
                <w:rFonts w:ascii="Liberation Sans Narrow" w:hAnsi="Liberation Sans Narrow"/>
                <w:sz w:val="18"/>
              </w:rPr>
              <w:t xml:space="preserve">‘documento novo’</w:t>
            </w:r>
            <w:r>
              <w:rPr>
                <w:rFonts w:ascii="Liberation Sans Narrow" w:hAnsi="Liberation Sans Narrow"/>
                <w:sz w:val="18"/>
              </w:rPr>
              <w:t xml:space="preserve"> </w:t>
            </w:r>
            <w:r>
              <w:rPr>
                <w:rFonts w:ascii="Liberation Sans Narrow" w:hAnsi="Liberation Sans Narrow"/>
                <w:sz w:val="18"/>
              </w:rPr>
              <w:t xml:space="preserve">(arts. 434 e 435, parágrafo único, do CPC) e viola o contraditório e a ampla defesa.”</w:t>
            </w:r>
            <w:r>
              <w:rPr>
                <w:rFonts w:ascii="Liberation Sans Narrow" w:hAnsi="Liberation Sans Narrow"/>
                <w:sz w:val="18"/>
              </w:rPr>
              <w:t xml:space="preserve"> </w:t>
            </w:r>
            <w:r>
              <w:rPr>
                <w:rFonts w:ascii="Liberation Sans Narrow" w:hAnsi="Liberation Sans Narrow"/>
                <w:sz w:val="18"/>
              </w:rPr>
              <w:t xml:space="preserve">O acórdão anulado admitira, em apelação, contrato que embasou a improcedência e invertera o ônus da prova (art. 373, I e II, § 1º); a apresentação tardia, sem justificativa, foi tratada como inovação recursal e surpresa probatória, com anulação do julgado.</w:t>
            </w:r>
          </w:p>
        </w:tc>
      </w:tr>
    </w:tbl>
    <w:p>
      <w:pPr>
        <w:pStyle w:val="BodyText"/>
        <w:spacing w:after="80"/>
        <w:jc w:val="both"/>
      </w:pPr>
      <w:r>
        <w:t xml:space="preserve">Parágrafo único. Quando o documento consistir em reprodução cinematográfica ou fonográfica, a parte deverá trazê-lo nos termos do caput , mas sua exposição será realizada em audiência, intimando-se previamente as partes.</w:t>
      </w:r>
    </w:p>
    <w:bookmarkEnd w:id="158"/>
    <w:bookmarkStart w:id="159" w:name="art.-435"/>
    <w:p>
      <w:pPr>
        <w:pStyle w:val="Heading6"/>
        <w:pBdr>
          <w:left w:val="single" w:sz="36" w:space="4" w:color="2E75B6"/>
        </w:pBdr>
        <w:shd w:val="clear" w:color="auto" w:fill="E3EEF9"/>
        <w:spacing w:before="200" w:after="80"/>
        <w:ind w:left="85"/>
      </w:pPr>
      <w:r>
        <w:rPr>
          <w:i w:val="0"/>
          <w:color w:val="1F3A5F"/>
          <w:sz w:val="23"/>
        </w:rPr>
        <w:t xml:space="preserve">Art. 435</w:t>
      </w:r>
    </w:p>
    <w:p>
      <w:pPr>
        <w:pStyle w:val="FirstParagraph"/>
        <w:spacing w:after="80"/>
        <w:jc w:val="both"/>
      </w:pPr>
      <w:r>
        <w:rPr>
          <w:b/>
          <w:bCs/>
        </w:rPr>
        <w:t xml:space="preserve">Art. 435.</w:t>
      </w:r>
      <w:r>
        <w:t xml:space="preserve"> </w:t>
      </w:r>
      <w:r>
        <w:t xml:space="preserve">É lícito às partes, em qualquer tempo, juntar aos autos documentos novos, quando destinados a fazer prova de fatos ocorridos depois dos articulados ou para contrapô-los aos que foram produzidos nos autos.</w:t>
      </w:r>
    </w:p>
    <w:p>
      <w:pPr>
        <w:pStyle w:val="BodyText"/>
        <w:keepNext/>
        <w:spacing w:after="80"/>
        <w:jc w:val="both"/>
      </w:pPr>
      <w:r>
        <w:t xml:space="preserve">Parágrafo único. Admite-se também a juntada posterior de documentos formados após a petição inicial ou a contestação, bem como dos que se tornaram conhecidos, acessíveis ou disponíveis após esses atos, cabendo à parte que os produzir comprovar o motivo que a impediu de juntá-los anteriormente e incumbindo ao juiz, em qualquer caso, avaliar a conduta da parte de acordo com o art. 5º.</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94"/>
        <w:gridCol w:w="2603"/>
        <w:gridCol w:w="4756"/>
      </w:tblGrid>
      <w:tr>
        <w:trPr>
          <w:tblHeader w:val="on"/>
          <w:cantSplit/>
          <w:tblHeader/>
        </w:trPr>
        <w:tc>
          <w:tcPr>
            <w:tcW w:type="dxa" w:w="199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0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5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95"/>
          </w:tcPr>
          <w:p>
            <w:pPr>
              <w:pStyle w:val="Compact"/>
              <w:spacing w:line="276" w:lineRule="auto" w:before="40" w:after="40"/>
            </w:pPr>
            <w:r>
              <w:rPr>
                <w:rFonts w:ascii="Liberation Sans Narrow" w:hAnsi="Liberation Sans Narrow"/>
                <w:sz w:val="18"/>
              </w:rPr>
              <w:t xml:space="preserve">Parágrafo único: juntada de documentos antigos fora de momento oportuno</w:t>
            </w:r>
          </w:p>
        </w:tc>
        <w:tc>
          <w:tcPr>
            <w:tcW w:type="dxa" w:w="2603"/>
          </w:tcPr>
          <w:p>
            <w:pPr>
              <w:pStyle w:val="Compact"/>
              <w:spacing w:line="276" w:lineRule="auto" w:before="40" w:after="40"/>
            </w:pPr>
            <w:r>
              <w:rPr>
                <w:rFonts w:ascii="Liberation Sans Narrow" w:hAnsi="Liberation Sans Narrow"/>
                <w:sz w:val="18"/>
              </w:rPr>
              <w:t xml:space="preserve">STJ, REsp 1.721.248, Segunda Turma, relator Min. Herman Benjamin, julgado em 17/04/2018, DJe de 23/05/2018</w:t>
            </w:r>
          </w:p>
        </w:tc>
        <w:tc>
          <w:tcPr>
            <w:tcW w:type="dxa" w:w="4756"/>
          </w:tcPr>
          <w:p>
            <w:pPr>
              <w:pStyle w:val="Compact"/>
              <w:spacing w:line="276" w:lineRule="auto" w:before="40" w:after="40"/>
            </w:pPr>
            <w:r>
              <w:rPr>
                <w:rFonts w:ascii="Liberation Sans Narrow" w:hAnsi="Liberation Sans Narrow"/>
                <w:sz w:val="18"/>
              </w:rPr>
              <w:t xml:space="preserve">A juntada extemporânea de documentos antigos é admitida em caráter excepcional, devendo o tribunal de origem verificar se estão presentes as circunstâncias dos arts. 5º e 435, parágrafo único. O ônus de provar o fato constitutivo é do autor (art. 373, I) e não varia conforme o responsável pela criação do documento.</w:t>
            </w:r>
          </w:p>
        </w:tc>
      </w:tr>
    </w:tbl>
    <w:bookmarkEnd w:id="159"/>
    <w:bookmarkStart w:id="160" w:name="art.-436"/>
    <w:p>
      <w:pPr>
        <w:pStyle w:val="Heading6"/>
        <w:pBdr>
          <w:left w:val="single" w:sz="36" w:space="4" w:color="2E75B6"/>
        </w:pBdr>
        <w:shd w:val="clear" w:color="auto" w:fill="E3EEF9"/>
        <w:spacing w:before="200" w:after="80"/>
        <w:ind w:left="85"/>
      </w:pPr>
      <w:r>
        <w:rPr>
          <w:i w:val="0"/>
          <w:color w:val="1F3A5F"/>
          <w:sz w:val="23"/>
        </w:rPr>
        <w:t xml:space="preserve">Art. 436</w:t>
      </w:r>
    </w:p>
    <w:p>
      <w:pPr>
        <w:pStyle w:val="FirstParagraph"/>
        <w:spacing w:after="80"/>
        <w:jc w:val="both"/>
      </w:pPr>
      <w:r>
        <w:rPr>
          <w:b/>
          <w:bCs/>
        </w:rPr>
        <w:t xml:space="preserve">Art. 436.</w:t>
      </w:r>
      <w:r>
        <w:t xml:space="preserve"> </w:t>
      </w:r>
      <w:r>
        <w:t xml:space="preserve">A parte, intimada a falar sobre documento constante dos autos, poderá:</w:t>
      </w:r>
    </w:p>
    <w:p>
      <w:pPr>
        <w:pStyle w:val="BodyText"/>
        <w:spacing w:after="80"/>
        <w:jc w:val="both"/>
      </w:pPr>
      <w:r>
        <w:t xml:space="preserve">I - impugnar a admissibilidade da prova documental;</w:t>
      </w:r>
    </w:p>
    <w:p>
      <w:pPr>
        <w:pStyle w:val="BodyText"/>
        <w:spacing w:after="80"/>
        <w:jc w:val="both"/>
      </w:pPr>
      <w:r>
        <w:t xml:space="preserve">II - impugnar sua autenticidade;</w:t>
      </w:r>
    </w:p>
    <w:p>
      <w:pPr>
        <w:pStyle w:val="BodyText"/>
        <w:keepNext/>
        <w:spacing w:after="80"/>
        <w:jc w:val="both"/>
      </w:pPr>
      <w:r>
        <w:t xml:space="preserve">III - suscitar sua falsidade, com ou sem deflagração do incidente de arguição de falsidade;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26"/>
        <w:gridCol w:w="2568"/>
        <w:gridCol w:w="4660"/>
      </w:tblGrid>
      <w:tr>
        <w:trPr>
          <w:tblHeader w:val="on"/>
          <w:cantSplit/>
          <w:tblHeader/>
        </w:trPr>
        <w:tc>
          <w:tcPr>
            <w:tcW w:type="dxa" w:w="2126"/>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6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66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26"/>
          </w:tcPr>
          <w:p>
            <w:pPr>
              <w:pStyle w:val="Compact"/>
              <w:spacing w:line="276" w:lineRule="auto" w:before="40" w:after="40"/>
            </w:pPr>
            <w:r>
              <w:rPr>
                <w:rFonts w:ascii="Liberation Sans Narrow" w:hAnsi="Liberation Sans Narrow"/>
                <w:sz w:val="18"/>
              </w:rPr>
              <w:t xml:space="preserve">Art. 436, III: faculdade de suscitar a falsidade e efeito da falta de impugnação</w:t>
            </w:r>
          </w:p>
        </w:tc>
        <w:tc>
          <w:tcPr>
            <w:tcW w:type="dxa" w:w="2569"/>
          </w:tcPr>
          <w:p>
            <w:pPr>
              <w:pStyle w:val="Compact"/>
              <w:spacing w:line="276" w:lineRule="auto" w:before="40" w:after="40"/>
            </w:pPr>
            <w:r>
              <w:rPr>
                <w:rFonts w:ascii="Liberation Sans Narrow" w:hAnsi="Liberation Sans Narrow"/>
                <w:sz w:val="18"/>
              </w:rPr>
              <w:t xml:space="preserve">STJ, AREsp 3.014.872, Terceira Turma, relator Min. Moura Ribeiro, julgado em 09/02/2026, DJEN de 18/02/2026</w:t>
            </w:r>
          </w:p>
        </w:tc>
        <w:tc>
          <w:tcPr>
            <w:tcW w:type="dxa" w:w="4660"/>
          </w:tcPr>
          <w:p>
            <w:pPr>
              <w:pStyle w:val="Compact"/>
              <w:spacing w:line="276" w:lineRule="auto" w:before="40" w:after="40"/>
            </w:pPr>
            <w:r>
              <w:rPr>
                <w:rFonts w:ascii="Liberation Sans Narrow" w:hAnsi="Liberation Sans Narrow"/>
                <w:sz w:val="18"/>
              </w:rPr>
              <w:t xml:space="preserve">Tese do item 3:</w:t>
            </w:r>
            <w:r>
              <w:rPr>
                <w:rFonts w:ascii="Liberation Sans Narrow" w:hAnsi="Liberation Sans Narrow"/>
                <w:sz w:val="18"/>
              </w:rPr>
              <w:t xml:space="preserve"> </w:t>
            </w:r>
            <w:r>
              <w:rPr>
                <w:rFonts w:ascii="Liberation Sans Narrow" w:hAnsi="Liberation Sans Narrow"/>
                <w:sz w:val="18"/>
              </w:rPr>
              <w:t xml:space="preserve">“A juntada de procuração por cópia simples é suficiente. A autenticação é desnecessária, pois os documentos nos autos se presumem verdadeiros, quando não há arguição de falsidade pela parte adversa”</w:t>
            </w:r>
            <w:r>
              <w:rPr>
                <w:rFonts w:ascii="Liberation Sans Narrow" w:hAnsi="Liberation Sans Narrow"/>
                <w:sz w:val="18"/>
              </w:rPr>
              <w:t xml:space="preserve">. O caso era ação monitória fundada em duplicatas; os demais capítulos (negativa de prestação jurisdicional, prescrição quinquenal, Súmula 7/STJ) não tocam a prova documental. A ementa não indica o artigo do CPC: a presunção invocada é a do art. 411, III, e a faculdade de arguir a falsidade é a do art. 436, III.</w:t>
            </w:r>
          </w:p>
        </w:tc>
      </w:tr>
    </w:tbl>
    <w:p>
      <w:pPr>
        <w:pStyle w:val="BodyText"/>
        <w:spacing w:after="80"/>
        <w:jc w:val="both"/>
      </w:pPr>
      <w:r>
        <w:t xml:space="preserve">IV - manifestar-se sobre seu conteúdo.</w:t>
      </w:r>
    </w:p>
    <w:p>
      <w:pPr>
        <w:pStyle w:val="BodyText"/>
        <w:spacing w:after="80"/>
        <w:jc w:val="both"/>
      </w:pPr>
      <w:r>
        <w:t xml:space="preserve">Parágrafo único. Nas hipóteses dos incisos II e III, a impugnação deverá basear-se em argumentação específica, não se admitindo alegação genérica de falsidade.</w:t>
      </w:r>
    </w:p>
    <w:bookmarkEnd w:id="160"/>
    <w:bookmarkStart w:id="161" w:name="art.-437"/>
    <w:p>
      <w:pPr>
        <w:pStyle w:val="Heading6"/>
        <w:pBdr>
          <w:left w:val="single" w:sz="36" w:space="4" w:color="2E75B6"/>
        </w:pBdr>
        <w:shd w:val="clear" w:color="auto" w:fill="E3EEF9"/>
        <w:spacing w:before="200" w:after="80"/>
        <w:ind w:left="85"/>
      </w:pPr>
      <w:r>
        <w:rPr>
          <w:i w:val="0"/>
          <w:color w:val="1F3A5F"/>
          <w:sz w:val="23"/>
        </w:rPr>
        <w:t xml:space="preserve">Art. 437</w:t>
      </w:r>
    </w:p>
    <w:p>
      <w:pPr>
        <w:pStyle w:val="FirstParagraph"/>
        <w:spacing w:after="80"/>
        <w:jc w:val="both"/>
      </w:pPr>
      <w:r>
        <w:rPr>
          <w:b/>
          <w:bCs/>
        </w:rPr>
        <w:t xml:space="preserve">Art. 437.</w:t>
      </w:r>
      <w:r>
        <w:t xml:space="preserve"> </w:t>
      </w:r>
      <w:r>
        <w:t xml:space="preserve">O réu manifestar-se-á na contestação sobre os documentos anexados à inicial, e o autor manifestar-se-á na réplica sobre os documentos anexados à contestação.</w:t>
      </w:r>
    </w:p>
    <w:p>
      <w:pPr>
        <w:pStyle w:val="BodyText"/>
        <w:keepNext/>
        <w:spacing w:after="80"/>
        <w:jc w:val="both"/>
      </w:pPr>
      <w:r>
        <w:t xml:space="preserve">§ 1º Sempre que uma das partes requerer a juntada de documento aos autos, o juiz ouvirá, a seu respeito, a outra parte, que disporá do prazo de 15 (quinze) dias para adotar qualquer das posturas indicadas no art. 436.</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2696"/>
        <w:gridCol w:w="475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9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5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Art. 437, § 1º: juntada de documento novo e contraditório</w:t>
            </w:r>
          </w:p>
        </w:tc>
        <w:tc>
          <w:tcPr>
            <w:tcW w:type="dxa" w:w="2696"/>
          </w:tcPr>
          <w:p>
            <w:pPr>
              <w:pStyle w:val="Compact"/>
              <w:spacing w:line="276" w:lineRule="auto" w:before="40" w:after="40"/>
            </w:pPr>
            <w:r>
              <w:rPr>
                <w:rFonts w:ascii="Liberation Sans Narrow" w:hAnsi="Liberation Sans Narrow"/>
                <w:sz w:val="18"/>
              </w:rPr>
              <w:t xml:space="preserve">STJ, REsp 2.250.689, Quarta Turma, relatora Min. Maria Isabel Gallotti, julgado em 01/06/2026, DJEN de 08/06/2026</w:t>
            </w:r>
          </w:p>
        </w:tc>
        <w:tc>
          <w:tcPr>
            <w:tcW w:type="dxa" w:w="4754"/>
          </w:tcPr>
          <w:p>
            <w:pPr>
              <w:pStyle w:val="Compact"/>
              <w:spacing w:line="276" w:lineRule="auto" w:before="40" w:after="40"/>
            </w:pPr>
            <w:r>
              <w:rPr>
                <w:rFonts w:ascii="Liberation Sans Narrow" w:hAnsi="Liberation Sans Narrow"/>
                <w:sz w:val="18"/>
              </w:rPr>
              <w:t xml:space="preserve">A juntada de documentos novos aos autos, com aptidão de influir na formação do conhecimento do julgador, impõe o estabelecimento do contraditório, com abertura de oportunidade de manifestação da parte adversa, na esteira dos arts. 10 e 437, § 1º, do CPC, sob pena de nulidade. No caso, a exequente juntou documentos após a oferta de exceção de pré-executividade, para provar a certeza, a liquidez e a exigibilidade do título, sem que a executada pudesse se manifestar; recurso especial provido.</w:t>
            </w:r>
          </w:p>
        </w:tc>
      </w:tr>
    </w:tbl>
    <w:p>
      <w:pPr>
        <w:pStyle w:val="BodyText"/>
        <w:spacing w:after="80"/>
        <w:jc w:val="both"/>
      </w:pPr>
      <w:r>
        <w:t xml:space="preserve">§ 2º Poderá o juiz, a requerimento da parte, dilatar o prazo para manifestação sobre a prova documental produzida, levando em consideração a quantidade e a complexidade da documentação.</w:t>
      </w:r>
    </w:p>
    <w:bookmarkEnd w:id="161"/>
    <w:bookmarkStart w:id="162" w:name="art.-438"/>
    <w:p>
      <w:pPr>
        <w:pStyle w:val="Heading6"/>
        <w:pBdr>
          <w:left w:val="single" w:sz="36" w:space="4" w:color="2E75B6"/>
        </w:pBdr>
        <w:shd w:val="clear" w:color="auto" w:fill="E3EEF9"/>
        <w:spacing w:before="200" w:after="80"/>
        <w:ind w:left="85"/>
      </w:pPr>
      <w:r>
        <w:rPr>
          <w:i w:val="0"/>
          <w:color w:val="1F3A5F"/>
          <w:sz w:val="23"/>
        </w:rPr>
        <w:t xml:space="preserve">Art. 438</w:t>
      </w:r>
    </w:p>
    <w:p>
      <w:pPr>
        <w:pStyle w:val="FirstParagraph"/>
        <w:spacing w:after="80"/>
        <w:jc w:val="both"/>
      </w:pPr>
      <w:r>
        <w:rPr>
          <w:b/>
          <w:bCs/>
        </w:rPr>
        <w:t xml:space="preserve">Art. 438.</w:t>
      </w:r>
      <w:r>
        <w:t xml:space="preserve"> </w:t>
      </w:r>
      <w:r>
        <w:t xml:space="preserve">O juiz requisitará às repartições públicas, em qualquer tempo ou grau de jurisdição:</w:t>
      </w:r>
    </w:p>
    <w:p>
      <w:pPr>
        <w:pStyle w:val="BodyText"/>
        <w:spacing w:after="80"/>
        <w:jc w:val="both"/>
      </w:pPr>
      <w:r>
        <w:t xml:space="preserve">I - as certidões necessárias à prova das alegações das partes;</w:t>
      </w:r>
    </w:p>
    <w:p>
      <w:pPr>
        <w:pStyle w:val="BodyText"/>
        <w:spacing w:after="80"/>
        <w:jc w:val="both"/>
      </w:pPr>
      <w:r>
        <w:t xml:space="preserve">II - os procedimentos administrativos nas causas em que forem interessados a União, os Estados, o Distrito Federal, os Municípios ou entidades da administração indireta.</w:t>
      </w:r>
    </w:p>
    <w:p>
      <w:pPr>
        <w:pStyle w:val="BodyText"/>
        <w:spacing w:after="80"/>
        <w:jc w:val="both"/>
      </w:pPr>
      <w:r>
        <w:t xml:space="preserve">§ 1º Recebidos os autos, o juiz mandará extrair, no prazo máximo e improrrogável de 1 (um) mês, certidões ou reproduções fotográficas das peças que indicar e das que forem indicadas pelas partes, e, em seguida, devolverá os autos à repartição de origem.</w:t>
      </w:r>
    </w:p>
    <w:p>
      <w:pPr>
        <w:pStyle w:val="BodyText"/>
        <w:spacing w:after="80"/>
        <w:jc w:val="both"/>
      </w:pPr>
      <w:r>
        <w:t xml:space="preserve">§ 2º As repartições públicas poderão fornecer todos os documentos em meio eletrônico, conforme disposto em lei, certificando, pelo mesmo meio, que se trata de extrato fiel do que consta em seu banco de dados ou no documento digitalizado.</w:t>
      </w:r>
    </w:p>
    <w:bookmarkEnd w:id="162"/>
    <w:bookmarkEnd w:id="163"/>
    <w:bookmarkStart w:id="167" w:name="Xbc48cfdce427b80f489af148652ca76de858620"/>
    <w:p>
      <w:pPr>
        <w:pStyle w:val="Heading5"/>
        <w:spacing w:before="140" w:after="20"/>
      </w:pPr>
      <w:r>
        <w:rPr>
          <w:i/>
          <w:color w:val="595959"/>
        </w:rPr>
        <w:t xml:space="preserve">Seção VIII: dos documentos eletrônicos (arts. 439 a 441)</w:t>
      </w:r>
    </w:p>
    <w:bookmarkStart w:id="164" w:name="art.-439"/>
    <w:p>
      <w:pPr>
        <w:pStyle w:val="Heading6"/>
        <w:pBdr>
          <w:left w:val="single" w:sz="36" w:space="4" w:color="2E75B6"/>
        </w:pBdr>
        <w:shd w:val="clear" w:color="auto" w:fill="E3EEF9"/>
        <w:spacing w:before="200" w:after="80"/>
        <w:ind w:left="85"/>
      </w:pPr>
      <w:r>
        <w:rPr>
          <w:i w:val="0"/>
          <w:color w:val="1F3A5F"/>
          <w:sz w:val="23"/>
        </w:rPr>
        <w:t xml:space="preserve">Art. 439</w:t>
      </w:r>
    </w:p>
    <w:p>
      <w:pPr>
        <w:pStyle w:val="FirstParagraph"/>
        <w:keepNext/>
        <w:spacing w:after="80"/>
        <w:jc w:val="both"/>
      </w:pPr>
      <w:r>
        <w:rPr>
          <w:b/>
          <w:bCs/>
        </w:rPr>
        <w:t xml:space="preserve">Art. 439.</w:t>
      </w:r>
      <w:r>
        <w:t xml:space="preserve"> </w:t>
      </w:r>
      <w:r>
        <w:t xml:space="preserve">A utilização de documentos eletrônicos no processo convencional dependerá de sua conversão à forma impressa e da verificação de sua autenticidade, na forma da lei.</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496"/>
        <w:gridCol w:w="2392"/>
        <w:gridCol w:w="4466"/>
      </w:tblGrid>
      <w:tr>
        <w:trPr>
          <w:tblHeader w:val="on"/>
          <w:cantSplit/>
          <w:tblHeader/>
        </w:trPr>
        <w:tc>
          <w:tcPr>
            <w:tcW w:type="dxa" w:w="2496"/>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39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46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496"/>
          </w:tcPr>
          <w:p>
            <w:pPr>
              <w:pStyle w:val="Compact"/>
              <w:spacing w:line="276" w:lineRule="auto" w:before="40" w:after="40"/>
            </w:pPr>
            <w:r>
              <w:rPr>
                <w:rFonts w:ascii="Liberation Sans Narrow" w:hAnsi="Liberation Sans Narrow"/>
                <w:sz w:val="18"/>
              </w:rPr>
              <w:t xml:space="preserve">Art. 439: autenticidade do documento digitalizado e necessidade dos originais quando impugnada a falsidade</w:t>
            </w:r>
          </w:p>
        </w:tc>
        <w:tc>
          <w:tcPr>
            <w:tcW w:type="dxa" w:w="2392"/>
          </w:tcPr>
          <w:p>
            <w:pPr>
              <w:pStyle w:val="Compact"/>
              <w:spacing w:line="276" w:lineRule="auto" w:before="40" w:after="40"/>
            </w:pPr>
            <w:r>
              <w:rPr>
                <w:rFonts w:ascii="Liberation Sans Narrow" w:hAnsi="Liberation Sans Narrow"/>
                <w:sz w:val="18"/>
              </w:rPr>
              <w:t xml:space="preserve">STJ, AREsp 1.980.949, Quarta Turma, relator Min. Raul Araújo, julgado em 09/03/2026, DJEN de 16/03/2026</w:t>
            </w:r>
          </w:p>
        </w:tc>
        <w:tc>
          <w:tcPr>
            <w:tcW w:type="dxa" w:w="4466"/>
          </w:tcPr>
          <w:p>
            <w:pPr>
              <w:pStyle w:val="Compact"/>
              <w:spacing w:line="276" w:lineRule="auto" w:before="40" w:after="40"/>
            </w:pPr>
            <w:r>
              <w:rPr>
                <w:rFonts w:ascii="Liberation Sans Narrow" w:hAnsi="Liberation Sans Narrow"/>
                <w:sz w:val="18"/>
              </w:rPr>
              <w:t xml:space="preserve">“A força probante de documentos digitalizados depende da apresentação dos originais quando há alegação motivada e fundamentada de falsidade ou adulteração”</w:t>
            </w:r>
            <w:r>
              <w:rPr>
                <w:rFonts w:ascii="Liberation Sans Narrow" w:hAnsi="Liberation Sans Narrow"/>
                <w:sz w:val="18"/>
              </w:rPr>
              <w:t xml:space="preserve">; a ausência de apresentação dos originais, mesmo após reiteradas intimações,</w:t>
            </w:r>
            <w:r>
              <w:rPr>
                <w:rFonts w:ascii="Liberation Sans Narrow" w:hAnsi="Liberation Sans Narrow"/>
                <w:sz w:val="18"/>
              </w:rPr>
              <w:t xml:space="preserve"> </w:t>
            </w:r>
            <w:r>
              <w:rPr>
                <w:rFonts w:ascii="Liberation Sans Narrow" w:hAnsi="Liberation Sans Narrow"/>
                <w:sz w:val="18"/>
              </w:rPr>
              <w:t xml:space="preserve">“prejudica a análise pericial e a possibilidade de arguição de incidente de falsidade, resultando na perda da força probante dos documentos digitalizados”</w:t>
            </w:r>
            <w:r>
              <w:rPr>
                <w:rFonts w:ascii="Liberation Sans Narrow" w:hAnsi="Liberation Sans Narrow"/>
                <w:sz w:val="18"/>
              </w:rPr>
              <w:t xml:space="preserve"> </w:t>
            </w:r>
            <w:r>
              <w:rPr>
                <w:rFonts w:ascii="Liberation Sans Narrow" w:hAnsi="Liberation Sans Narrow"/>
                <w:sz w:val="18"/>
              </w:rPr>
              <w:t xml:space="preserve">(itens 3 e 4). A reforma dessa conclusão exigiria reexame do suporte fático-probatório (Súmula 7/STJ). O processo também discutia o cancelamento da distribuição por falta de pagamento de custas (itens 1 e 2). A ementa não indica o artigo do CPC: o julgado foi ancorado neste dispositivo por tratar de documento digitalizado e da verificação de sua autenticidade.</w:t>
            </w:r>
          </w:p>
        </w:tc>
      </w:tr>
    </w:tbl>
    <w:bookmarkEnd w:id="164"/>
    <w:bookmarkStart w:id="165" w:name="art.-440"/>
    <w:p>
      <w:pPr>
        <w:pStyle w:val="Heading6"/>
        <w:pBdr>
          <w:left w:val="single" w:sz="36" w:space="4" w:color="2E75B6"/>
        </w:pBdr>
        <w:shd w:val="clear" w:color="auto" w:fill="E3EEF9"/>
        <w:spacing w:before="200" w:after="80"/>
        <w:ind w:left="85"/>
      </w:pPr>
      <w:r>
        <w:rPr>
          <w:i w:val="0"/>
          <w:color w:val="1F3A5F"/>
          <w:sz w:val="23"/>
        </w:rPr>
        <w:t xml:space="preserve">Art. 440</w:t>
      </w:r>
    </w:p>
    <w:p>
      <w:pPr>
        <w:pStyle w:val="FirstParagraph"/>
        <w:keepNext/>
        <w:spacing w:after="80"/>
        <w:jc w:val="both"/>
      </w:pPr>
      <w:r>
        <w:rPr>
          <w:b/>
          <w:bCs/>
        </w:rPr>
        <w:t xml:space="preserve">Art. 440.</w:t>
      </w:r>
      <w:r>
        <w:t xml:space="preserve"> </w:t>
      </w:r>
      <w:r>
        <w:t xml:space="preserve">O juiz apreciará o valor probante do documento eletrônico não convertido, assegurado às partes o acesso ao seu teor.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76"/>
        <w:gridCol w:w="2705"/>
        <w:gridCol w:w="4873"/>
      </w:tblGrid>
      <w:tr>
        <w:trPr>
          <w:tblHeader w:val="on"/>
          <w:cantSplit/>
          <w:tblHeader/>
        </w:trPr>
        <w:tc>
          <w:tcPr>
            <w:tcW w:type="dxa" w:w="1777"/>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0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7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777"/>
          </w:tcPr>
          <w:p>
            <w:pPr>
              <w:pStyle w:val="Compact"/>
              <w:spacing w:line="276" w:lineRule="auto" w:before="40" w:after="40"/>
            </w:pPr>
            <w:r>
              <w:rPr>
                <w:rFonts w:ascii="Liberation Sans Narrow" w:hAnsi="Liberation Sans Narrow"/>
                <w:sz w:val="18"/>
              </w:rPr>
              <w:t xml:space="preserve">Caput — documento eletrônico e assinatura por meio digital</w:t>
            </w:r>
          </w:p>
        </w:tc>
        <w:tc>
          <w:tcPr>
            <w:tcW w:type="dxa" w:w="2705"/>
          </w:tcPr>
          <w:p>
            <w:pPr>
              <w:pStyle w:val="Compact"/>
              <w:spacing w:line="276" w:lineRule="auto" w:before="40" w:after="40"/>
            </w:pPr>
            <w:r>
              <w:rPr>
                <w:rFonts w:ascii="Liberation Sans Narrow" w:hAnsi="Liberation Sans Narrow"/>
                <w:sz w:val="18"/>
              </w:rPr>
              <w:t xml:space="preserve">STJ, REsp 2.197.156, Terceira Turma, relatora Min. Nancy Andrighi, julgado em 03/03/2026, DJEN de 09/03/2026</w:t>
            </w:r>
          </w:p>
        </w:tc>
        <w:tc>
          <w:tcPr>
            <w:tcW w:type="dxa" w:w="4873"/>
          </w:tcPr>
          <w:p>
            <w:pPr>
              <w:pStyle w:val="Compact"/>
              <w:spacing w:line="276" w:lineRule="auto" w:before="40" w:after="40"/>
            </w:pPr>
            <w:r>
              <w:rPr>
                <w:rFonts w:ascii="Liberation Sans Narrow" w:hAnsi="Liberation Sans Narrow"/>
                <w:sz w:val="18"/>
              </w:rPr>
              <w:t xml:space="preserve">O art. 10, § 2º, da Medida Provisória nº 2.200-2/2001 não obsta a utilização de outro meio de comprovação da autoria e integridade de documentos eletrônicos, inclusive certificados não emitidos pela ICP-Brasil, desde que admitidos pelas partes como válidos ou aceitos por quem lhes é oposto o documento; a simples irresignação genérica da parte quanto à legitimidade do documento não basta para invalidá-lo, e a controvérsia sobre a contratação digital se resolve pelo ônus da prova (Tema 1.061/STJ).</w:t>
            </w:r>
          </w:p>
        </w:tc>
      </w:tr>
    </w:tbl>
    <w:bookmarkEnd w:id="165"/>
    <w:bookmarkStart w:id="166" w:name="art.-441"/>
    <w:p>
      <w:pPr>
        <w:pStyle w:val="Heading6"/>
        <w:pBdr>
          <w:left w:val="single" w:sz="36" w:space="4" w:color="2E75B6"/>
        </w:pBdr>
        <w:shd w:val="clear" w:color="auto" w:fill="E3EEF9"/>
        <w:spacing w:before="200" w:after="80"/>
        <w:ind w:left="85"/>
      </w:pPr>
      <w:r>
        <w:rPr>
          <w:i w:val="0"/>
          <w:color w:val="1F3A5F"/>
          <w:sz w:val="23"/>
        </w:rPr>
        <w:t xml:space="preserve">Art. 441</w:t>
      </w:r>
    </w:p>
    <w:p>
      <w:pPr>
        <w:pStyle w:val="FirstParagraph"/>
        <w:keepNext/>
        <w:spacing w:after="80"/>
        <w:jc w:val="both"/>
      </w:pPr>
      <w:r>
        <w:rPr>
          <w:b/>
          <w:bCs/>
        </w:rPr>
        <w:t xml:space="preserve">Art. 441.</w:t>
      </w:r>
      <w:r>
        <w:t xml:space="preserve"> </w:t>
      </w:r>
      <w:r>
        <w:t xml:space="preserve">Serão admitidos documentos eletrônicos produzidos e conservados com a observância da legislação específica.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32"/>
        <w:gridCol w:w="2330"/>
        <w:gridCol w:w="4892"/>
      </w:tblGrid>
      <w:tr>
        <w:trPr>
          <w:tblHeader w:val="on"/>
          <w:cantSplit/>
          <w:tblHeader/>
        </w:trPr>
        <w:tc>
          <w:tcPr>
            <w:tcW w:type="dxa" w:w="213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33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9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32"/>
          </w:tcPr>
          <w:p>
            <w:pPr>
              <w:pStyle w:val="Compact"/>
              <w:spacing w:line="276" w:lineRule="auto" w:before="40" w:after="40"/>
            </w:pPr>
            <w:r>
              <w:rPr>
                <w:rFonts w:ascii="Liberation Sans Narrow" w:hAnsi="Liberation Sans Narrow"/>
                <w:sz w:val="18"/>
              </w:rPr>
              <w:t xml:space="preserve">Caput — admissão de documentos eletrônicos conforme a legislação específica</w:t>
            </w:r>
          </w:p>
        </w:tc>
        <w:tc>
          <w:tcPr>
            <w:tcW w:type="dxa" w:w="2331"/>
          </w:tcPr>
          <w:p>
            <w:pPr>
              <w:pStyle w:val="Compact"/>
              <w:spacing w:line="276" w:lineRule="auto" w:before="40" w:after="40"/>
            </w:pPr>
            <w:r>
              <w:rPr>
                <w:rFonts w:ascii="Liberation Sans Narrow" w:hAnsi="Liberation Sans Narrow"/>
                <w:sz w:val="18"/>
              </w:rPr>
              <w:t xml:space="preserve">STJ, REsp 2.223.695, Terceira Turma, relatora Min. Nancy Andrighi, julgado em 10/03/2026</w:t>
            </w:r>
          </w:p>
        </w:tc>
        <w:tc>
          <w:tcPr>
            <w:tcW w:type="dxa" w:w="4892"/>
          </w:tcPr>
          <w:p>
            <w:pPr>
              <w:pStyle w:val="Compact"/>
              <w:spacing w:line="276" w:lineRule="auto" w:before="40" w:after="40"/>
            </w:pPr>
            <w:r>
              <w:rPr>
                <w:rFonts w:ascii="Liberation Sans Narrow" w:hAnsi="Liberation Sans Narrow"/>
                <w:sz w:val="18"/>
              </w:rPr>
              <w:t xml:space="preserve">A procuração eletrônica não exige, como regra, o uso exclusivo de certificação digital emitida no âmbito da ICP-Brasil, por constituir instrumento particular de outorga de poderes; havendo dúvida objetiva sobre a autenticidade da assinatura ou a legitimidade da outorga, o juiz pode determinar a apresentação de procuração firmada com certificação digital qualificada.</w:t>
            </w:r>
          </w:p>
        </w:tc>
      </w:tr>
    </w:tbl>
    <w:bookmarkEnd w:id="166"/>
    <w:bookmarkEnd w:id="167"/>
    <w:bookmarkStart w:id="190" w:name="Xdee2576f313b32230bb554953c066308a3bbb4b"/>
    <w:p>
      <w:pPr>
        <w:pStyle w:val="Heading5"/>
        <w:spacing w:before="140" w:after="20"/>
      </w:pPr>
      <w:r>
        <w:rPr>
          <w:i/>
          <w:color w:val="595959"/>
        </w:rPr>
        <w:t xml:space="preserve">Seção IX: da prova testemunhal (arts. 442 a 463)</w:t>
      </w:r>
    </w:p>
    <w:bookmarkStart w:id="168" w:name="art.-442"/>
    <w:p>
      <w:pPr>
        <w:pStyle w:val="Heading6"/>
        <w:pBdr>
          <w:left w:val="single" w:sz="36" w:space="4" w:color="2E75B6"/>
        </w:pBdr>
        <w:shd w:val="clear" w:color="auto" w:fill="E3EEF9"/>
        <w:spacing w:before="200" w:after="80"/>
        <w:ind w:left="85"/>
      </w:pPr>
      <w:r>
        <w:rPr>
          <w:i w:val="0"/>
          <w:color w:val="1F3A5F"/>
          <w:sz w:val="23"/>
        </w:rPr>
        <w:t xml:space="preserve">Art. 442</w:t>
      </w:r>
    </w:p>
    <w:p>
      <w:pPr>
        <w:pStyle w:val="FirstParagraph"/>
        <w:keepNext/>
        <w:spacing w:after="80"/>
        <w:jc w:val="both"/>
      </w:pPr>
      <w:r>
        <w:rPr>
          <w:b/>
          <w:bCs/>
        </w:rPr>
        <w:t xml:space="preserve">Art. 442.</w:t>
      </w:r>
      <w:r>
        <w:t xml:space="preserve"> </w:t>
      </w:r>
      <w:r>
        <w:t xml:space="preserve">A prova testemunhal é sempre admissível, não dispondo a lei de modo diverso.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79"/>
        <w:gridCol w:w="2678"/>
        <w:gridCol w:w="4397"/>
      </w:tblGrid>
      <w:tr>
        <w:trPr>
          <w:tblHeader w:val="on"/>
          <w:cantSplit/>
          <w:tblHeader/>
        </w:trPr>
        <w:tc>
          <w:tcPr>
            <w:tcW w:type="dxa" w:w="2279"/>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7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397"/>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79"/>
          </w:tcPr>
          <w:p>
            <w:pPr>
              <w:pStyle w:val="Compact"/>
              <w:spacing w:line="276" w:lineRule="auto" w:before="40" w:after="40"/>
            </w:pPr>
            <w:r>
              <w:rPr>
                <w:rFonts w:ascii="Liberation Sans Narrow" w:hAnsi="Liberation Sans Narrow"/>
                <w:sz w:val="18"/>
              </w:rPr>
              <w:t xml:space="preserve">Oitiva por carta precatória e videoconferência</w:t>
            </w:r>
          </w:p>
        </w:tc>
        <w:tc>
          <w:tcPr>
            <w:tcW w:type="dxa" w:w="2678"/>
          </w:tcPr>
          <w:p>
            <w:pPr>
              <w:pStyle w:val="Compact"/>
              <w:spacing w:line="276" w:lineRule="auto" w:before="40" w:after="40"/>
            </w:pPr>
            <w:r>
              <w:rPr>
                <w:rFonts w:ascii="Liberation Sans Narrow" w:hAnsi="Liberation Sans Narrow"/>
                <w:sz w:val="18"/>
              </w:rPr>
              <w:t xml:space="preserve">STJ, CC 196.664, Primeira Seção, relator Min. Francisco Falcão, DJe de 12/11/2023</w:t>
            </w:r>
          </w:p>
        </w:tc>
        <w:tc>
          <w:tcPr>
            <w:tcW w:type="dxa" w:w="4397"/>
          </w:tcPr>
          <w:p>
            <w:pPr>
              <w:pStyle w:val="Compact"/>
              <w:spacing w:line="276" w:lineRule="auto" w:before="40" w:after="40"/>
            </w:pPr>
            <w:r>
              <w:rPr>
                <w:rFonts w:ascii="Liberation Sans Narrow" w:hAnsi="Liberation Sans Narrow"/>
                <w:sz w:val="18"/>
              </w:rPr>
              <w:t xml:space="preserve">O art. 267 do CPC/2015 traz rol taxativo de recusa de cumprimento da carta precatória; a prática de atos por videoconferência é faculdade do juízo deprecante, não cabendo ao deprecado determinar forma diversa da audiência. Competente o juízo deprecado para cumprir a carta. Há outro conflito de ementa quase idêntica.</w:t>
            </w:r>
          </w:p>
        </w:tc>
      </w:tr>
      <w:tr>
        <w:trPr>
          <w:cantSplit/>
        </w:trPr>
        <w:tc>
          <w:tcPr>
            <w:tcW w:type="dxa" w:w="2279"/>
          </w:tcPr>
          <w:p>
            <w:pPr>
              <w:pStyle w:val="Compact"/>
              <w:spacing w:line="276" w:lineRule="auto" w:before="40" w:after="40"/>
            </w:pPr>
            <w:r>
              <w:rPr>
                <w:rFonts w:ascii="Liberation Sans Narrow" w:hAnsi="Liberation Sans Narrow"/>
                <w:sz w:val="18"/>
              </w:rPr>
              <w:t xml:space="preserve">Arts. 442 e 443: prova pericial já produzida e indeferimento da testemunhal</w:t>
            </w:r>
          </w:p>
        </w:tc>
        <w:tc>
          <w:tcPr>
            <w:tcW w:type="dxa" w:w="2678"/>
          </w:tcPr>
          <w:p>
            <w:pPr>
              <w:pStyle w:val="Compact"/>
              <w:spacing w:line="276" w:lineRule="auto" w:before="40" w:after="40"/>
            </w:pPr>
            <w:r>
              <w:rPr>
                <w:rFonts w:ascii="Liberation Sans Narrow" w:hAnsi="Liberation Sans Narrow"/>
                <w:sz w:val="18"/>
              </w:rPr>
              <w:t xml:space="preserve">STJ, AREsp 2.547.573, Quarta Turma, relator Min. João Otávio de Noronha, DJe de 22/12/2025</w:t>
            </w:r>
          </w:p>
        </w:tc>
        <w:tc>
          <w:tcPr>
            <w:tcW w:type="dxa" w:w="4397"/>
          </w:tcPr>
          <w:p>
            <w:pPr>
              <w:pStyle w:val="Compact"/>
              <w:spacing w:line="276" w:lineRule="auto" w:before="40" w:after="40"/>
            </w:pPr>
            <w:r>
              <w:rPr>
                <w:rFonts w:ascii="Liberation Sans Narrow" w:hAnsi="Liberation Sans Narrow"/>
                <w:sz w:val="18"/>
              </w:rPr>
              <w:t xml:space="preserve">Ação de ressarcimento: rever a suficiência da prova pericial e a necessidade da prova testemunhal exige reexame de provas (Súmula 7/STJ); divergência não comprovada.</w:t>
            </w:r>
          </w:p>
        </w:tc>
      </w:tr>
      <w:tr>
        <w:trPr>
          <w:cantSplit/>
        </w:trPr>
        <w:tc>
          <w:tcPr>
            <w:tcW w:type="dxa" w:w="2279"/>
          </w:tcPr>
          <w:p>
            <w:pPr>
              <w:pStyle w:val="Compact"/>
              <w:spacing w:line="276" w:lineRule="auto" w:before="40" w:after="40"/>
            </w:pPr>
            <w:r>
              <w:rPr>
                <w:rFonts w:ascii="Liberation Sans Narrow" w:hAnsi="Liberation Sans Narrow"/>
                <w:sz w:val="18"/>
              </w:rPr>
              <w:t xml:space="preserve">Arts. 442 e 443: indeferimento da prova testemunhal</w:t>
            </w:r>
          </w:p>
        </w:tc>
        <w:tc>
          <w:tcPr>
            <w:tcW w:type="dxa" w:w="2678"/>
          </w:tcPr>
          <w:p>
            <w:pPr>
              <w:pStyle w:val="Compact"/>
              <w:spacing w:line="276" w:lineRule="auto" w:before="40" w:after="40"/>
            </w:pPr>
            <w:r>
              <w:rPr>
                <w:rFonts w:ascii="Liberation Sans Narrow" w:hAnsi="Liberation Sans Narrow"/>
                <w:sz w:val="18"/>
              </w:rPr>
              <w:t xml:space="preserve">STJ, AREsp 2.729.744, Quinta Turma, relatora Min. Daniela Teixeira, DJe de 16/10/2025</w:t>
            </w:r>
          </w:p>
        </w:tc>
        <w:tc>
          <w:tcPr>
            <w:tcW w:type="dxa" w:w="4397"/>
          </w:tcPr>
          <w:p>
            <w:pPr>
              <w:pStyle w:val="Compact"/>
              <w:spacing w:line="276" w:lineRule="auto" w:before="40" w:after="40"/>
            </w:pPr>
            <w:r>
              <w:rPr>
                <w:rFonts w:ascii="Liberation Sans Narrow" w:hAnsi="Liberation Sans Narrow"/>
                <w:sz w:val="18"/>
              </w:rPr>
              <w:t xml:space="preserve">É firme a jurisprudência de que não há cerceamento de defesa quando o julgador, constatando nos autos provas suficientes para o convencimento, indefere a prova testemunhal (Súmula 83); rever o quadro fático é vedado (Súmula 7). Embargos à execução, alegação de agiotagem.</w:t>
            </w:r>
          </w:p>
        </w:tc>
      </w:tr>
    </w:tbl>
    <w:bookmarkEnd w:id="168"/>
    <w:bookmarkStart w:id="169" w:name="art.-443"/>
    <w:p>
      <w:pPr>
        <w:pStyle w:val="Heading6"/>
        <w:pBdr>
          <w:left w:val="single" w:sz="36" w:space="4" w:color="2E75B6"/>
        </w:pBdr>
        <w:shd w:val="clear" w:color="auto" w:fill="E3EEF9"/>
        <w:spacing w:before="200" w:after="80"/>
        <w:ind w:left="85"/>
      </w:pPr>
      <w:r>
        <w:rPr>
          <w:i w:val="0"/>
          <w:color w:val="1F3A5F"/>
          <w:sz w:val="23"/>
        </w:rPr>
        <w:t xml:space="preserve">Art. 443</w:t>
      </w:r>
    </w:p>
    <w:p>
      <w:pPr>
        <w:pStyle w:val="FirstParagraph"/>
        <w:spacing w:after="80"/>
        <w:jc w:val="both"/>
      </w:pPr>
      <w:r>
        <w:rPr>
          <w:b/>
          <w:bCs/>
        </w:rPr>
        <w:t xml:space="preserve">Art. 443.</w:t>
      </w:r>
      <w:r>
        <w:t xml:space="preserve"> </w:t>
      </w:r>
      <w:r>
        <w:t xml:space="preserve">O juiz indeferirá a inquirição de testemunhas sobre fatos:</w:t>
      </w:r>
    </w:p>
    <w:p>
      <w:pPr>
        <w:pStyle w:val="BodyText"/>
        <w:spacing w:after="80"/>
        <w:jc w:val="both"/>
      </w:pPr>
      <w:r>
        <w:t xml:space="preserve">I - já provados por documento ou confissão da parte;</w:t>
      </w:r>
    </w:p>
    <w:p>
      <w:pPr>
        <w:pStyle w:val="BodyText"/>
        <w:keepNext/>
        <w:spacing w:after="80"/>
        <w:jc w:val="both"/>
      </w:pPr>
      <w:r>
        <w:t xml:space="preserve">II - que só por documento ou por exame pericial puderem ser provados.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15"/>
        <w:gridCol w:w="2870"/>
        <w:gridCol w:w="4469"/>
      </w:tblGrid>
      <w:tr>
        <w:trPr>
          <w:tblHeader w:val="on"/>
          <w:cantSplit/>
          <w:tblHeader/>
        </w:trPr>
        <w:tc>
          <w:tcPr>
            <w:tcW w:type="dxa" w:w="201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7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46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15"/>
          </w:tcPr>
          <w:p>
            <w:pPr>
              <w:pStyle w:val="Compact"/>
              <w:spacing w:line="276" w:lineRule="auto" w:before="40" w:after="40"/>
            </w:pPr>
            <w:r>
              <w:rPr>
                <w:rFonts w:ascii="Liberation Sans Narrow" w:hAnsi="Liberation Sans Narrow"/>
                <w:sz w:val="18"/>
              </w:rPr>
              <w:t xml:space="preserve">Art. 443, II: indeferimento da testemunhal quando já há prova técnica</w:t>
            </w:r>
          </w:p>
        </w:tc>
        <w:tc>
          <w:tcPr>
            <w:tcW w:type="dxa" w:w="2870"/>
          </w:tcPr>
          <w:p>
            <w:pPr>
              <w:pStyle w:val="Compact"/>
              <w:spacing w:line="276" w:lineRule="auto" w:before="40" w:after="40"/>
            </w:pPr>
            <w:r>
              <w:rPr>
                <w:rFonts w:ascii="Liberation Sans Narrow" w:hAnsi="Liberation Sans Narrow"/>
                <w:sz w:val="18"/>
              </w:rPr>
              <w:t xml:space="preserve">STJ, AREsp 2.953.224, Terceira Turma, relator Min. Moura Ribeiro, julgado em 16/03/2026, DJEN de 20/03/2026</w:t>
            </w:r>
          </w:p>
        </w:tc>
        <w:tc>
          <w:tcPr>
            <w:tcW w:type="dxa" w:w="4469"/>
          </w:tcPr>
          <w:p>
            <w:pPr>
              <w:pStyle w:val="Compact"/>
              <w:spacing w:line="276" w:lineRule="auto" w:before="40" w:after="40"/>
            </w:pPr>
            <w:r>
              <w:rPr>
                <w:rFonts w:ascii="Liberation Sans Narrow" w:hAnsi="Liberation Sans Narrow"/>
                <w:sz w:val="18"/>
              </w:rPr>
              <w:t xml:space="preserve">“O indeferimento da prova testemunhal, à luz dos arts. 370 e 443 do CPC, não acarreta nulidade quando já há prova técnica suficiente para o convencimento”</w:t>
            </w:r>
            <w:r>
              <w:rPr>
                <w:rFonts w:ascii="Liberation Sans Narrow" w:hAnsi="Liberation Sans Narrow"/>
                <w:sz w:val="18"/>
              </w:rPr>
              <w:t xml:space="preserve">, e revisitar a conclusão das instâncias ordinárias sobre a necessidade da prova é vedado pela Súmula 7/STJ. Seguro empresarial; a cobertura foi aferida por laudo pericial e documentos.</w:t>
            </w:r>
          </w:p>
        </w:tc>
      </w:tr>
      <w:tr>
        <w:trPr>
          <w:cantSplit/>
        </w:trPr>
        <w:tc>
          <w:tcPr>
            <w:tcW w:type="dxa" w:w="2015"/>
          </w:tcPr>
          <w:p>
            <w:pPr>
              <w:pStyle w:val="Compact"/>
              <w:spacing w:line="276" w:lineRule="auto" w:before="40" w:after="40"/>
            </w:pPr>
            <w:r>
              <w:rPr>
                <w:rFonts w:ascii="Liberation Sans Narrow" w:hAnsi="Liberation Sans Narrow"/>
                <w:sz w:val="18"/>
              </w:rPr>
              <w:t xml:space="preserve">Art. 443, II: fato que depende de conhecimento técnico</w:t>
            </w:r>
          </w:p>
        </w:tc>
        <w:tc>
          <w:tcPr>
            <w:tcW w:type="dxa" w:w="2870"/>
          </w:tcPr>
          <w:p>
            <w:pPr>
              <w:pStyle w:val="Compact"/>
              <w:spacing w:line="276" w:lineRule="auto" w:before="40" w:after="40"/>
            </w:pPr>
            <w:r>
              <w:rPr>
                <w:rFonts w:ascii="Liberation Sans Narrow" w:hAnsi="Liberation Sans Narrow"/>
                <w:sz w:val="18"/>
              </w:rPr>
              <w:t xml:space="preserve">STJ, AgInt no REsp 2.195.778, Primeira Turma, relator Min. Gurgel de Faria, DJe de 20/10/2025</w:t>
            </w:r>
          </w:p>
        </w:tc>
        <w:tc>
          <w:tcPr>
            <w:tcW w:type="dxa" w:w="4469"/>
          </w:tcPr>
          <w:p>
            <w:pPr>
              <w:pStyle w:val="Compact"/>
              <w:spacing w:line="276" w:lineRule="auto" w:before="40" w:after="40"/>
            </w:pPr>
            <w:r>
              <w:rPr>
                <w:rFonts w:ascii="Liberation Sans Narrow" w:hAnsi="Liberation Sans Narrow"/>
                <w:sz w:val="18"/>
              </w:rPr>
              <w:t xml:space="preserve">A Corte de origem manteve o indeferimento da prova testemunhal porque o fato controvertido, a incapacidade do autor, exigia conhecimento técnico,</w:t>
            </w:r>
            <w:r>
              <w:rPr>
                <w:rFonts w:ascii="Liberation Sans Narrow" w:hAnsi="Liberation Sans Narrow"/>
                <w:sz w:val="18"/>
              </w:rPr>
              <w:t xml:space="preserve"> </w:t>
            </w:r>
            <w:r>
              <w:rPr>
                <w:rFonts w:ascii="Liberation Sans Narrow" w:hAnsi="Liberation Sans Narrow"/>
                <w:sz w:val="18"/>
              </w:rPr>
              <w:t xml:space="preserve">“nos termos do art. 443, II, do CPC”</w:t>
            </w:r>
            <w:r>
              <w:rPr>
                <w:rFonts w:ascii="Liberation Sans Narrow" w:hAnsi="Liberation Sans Narrow"/>
                <w:sz w:val="18"/>
              </w:rPr>
              <w:t xml:space="preserve">. O STJ reafirmou que o juiz é o destinatário das provas e pode indeferir, fundamentadamente, as que considerar desnecessárias.</w:t>
            </w:r>
          </w:p>
        </w:tc>
      </w:tr>
    </w:tbl>
    <w:bookmarkEnd w:id="169"/>
    <w:bookmarkStart w:id="170" w:name="art.-444"/>
    <w:p>
      <w:pPr>
        <w:pStyle w:val="Heading6"/>
        <w:pBdr>
          <w:left w:val="single" w:sz="36" w:space="4" w:color="2E75B6"/>
        </w:pBdr>
        <w:shd w:val="clear" w:color="auto" w:fill="E3EEF9"/>
        <w:spacing w:before="200" w:after="80"/>
        <w:ind w:left="85"/>
      </w:pPr>
      <w:r>
        <w:rPr>
          <w:i w:val="0"/>
          <w:color w:val="1F3A5F"/>
          <w:sz w:val="23"/>
        </w:rPr>
        <w:t xml:space="preserve">Art. 444</w:t>
      </w:r>
    </w:p>
    <w:p>
      <w:pPr>
        <w:pStyle w:val="FirstParagraph"/>
        <w:keepNext/>
        <w:spacing w:after="80"/>
        <w:jc w:val="both"/>
      </w:pPr>
      <w:r>
        <w:rPr>
          <w:b/>
          <w:bCs/>
        </w:rPr>
        <w:t xml:space="preserve">Art. 444.</w:t>
      </w:r>
      <w:r>
        <w:t xml:space="preserve"> </w:t>
      </w:r>
      <w:r>
        <w:t xml:space="preserve">Nos casos em que a lei exigir prova escrita da obrigação, é admissível a prova testemunhal quando houver começo de prova por escrito, emanado da parte contra a qual se pretende produzir a prova.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8"/>
        <w:gridCol w:w="2887"/>
        <w:gridCol w:w="4929"/>
      </w:tblGrid>
      <w:tr>
        <w:trPr>
          <w:tblHeader w:val="on"/>
          <w:cantSplit/>
          <w:tblHeader/>
        </w:trPr>
        <w:tc>
          <w:tcPr>
            <w:tcW w:type="dxa" w:w="1539"/>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8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92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9"/>
          </w:tcPr>
          <w:p>
            <w:pPr>
              <w:pStyle w:val="Compact"/>
              <w:spacing w:line="276" w:lineRule="auto" w:before="40" w:after="40"/>
            </w:pPr>
            <w:r>
              <w:rPr>
                <w:rFonts w:ascii="Liberation Sans Narrow" w:hAnsi="Liberation Sans Narrow"/>
                <w:sz w:val="18"/>
              </w:rPr>
              <w:t xml:space="preserve">Art. 444: exigência de começo de prova escrita</w:t>
            </w:r>
          </w:p>
        </w:tc>
        <w:tc>
          <w:tcPr>
            <w:tcW w:type="dxa" w:w="2887"/>
          </w:tcPr>
          <w:p>
            <w:pPr>
              <w:pStyle w:val="Compact"/>
              <w:spacing w:line="276" w:lineRule="auto" w:before="40" w:after="40"/>
            </w:pPr>
            <w:r>
              <w:rPr>
                <w:rFonts w:ascii="Liberation Sans Narrow" w:hAnsi="Liberation Sans Narrow"/>
                <w:sz w:val="18"/>
              </w:rPr>
              <w:t xml:space="preserve">STJ, AgInt no AREsp 3.075.878, Terceira Turma, relator Min. Moura Ribeiro, julgado em 30/06/2026, DJEN de 03/07/2026</w:t>
            </w:r>
          </w:p>
        </w:tc>
        <w:tc>
          <w:tcPr>
            <w:tcW w:type="dxa" w:w="4929"/>
          </w:tcPr>
          <w:p>
            <w:pPr>
              <w:pStyle w:val="Compact"/>
              <w:spacing w:line="276" w:lineRule="auto" w:before="40" w:after="40"/>
            </w:pPr>
            <w:r>
              <w:rPr>
                <w:rFonts w:ascii="Liberation Sans Narrow" w:hAnsi="Liberation Sans Narrow"/>
                <w:sz w:val="18"/>
              </w:rPr>
              <w:t xml:space="preserve">Ação monitória fundada em cheque prescrito: o autor apresentou prova escrita do fato constitutivo e cabia ao réu demonstrar o fato extintivo (art. 373, II, do CPC).</w:t>
            </w:r>
            <w:r>
              <w:rPr>
                <w:rFonts w:ascii="Liberation Sans Narrow" w:hAnsi="Liberation Sans Narrow"/>
                <w:sz w:val="18"/>
              </w:rPr>
              <w:t xml:space="preserve"> </w:t>
            </w:r>
            <w:r>
              <w:rPr>
                <w:rFonts w:ascii="Liberation Sans Narrow" w:hAnsi="Liberation Sans Narrow"/>
                <w:sz w:val="18"/>
              </w:rPr>
              <w:t xml:space="preserve">“Sem início de prova escrita, não se reconhece quitação apenas com prova oral, conforme a disciplina legal e a persuasão racional”</w:t>
            </w:r>
            <w:r>
              <w:rPr>
                <w:rFonts w:ascii="Liberation Sans Narrow" w:hAnsi="Liberation Sans Narrow"/>
                <w:sz w:val="18"/>
              </w:rPr>
              <w:t xml:space="preserve">. A insuficiência da testemunhal isolada foi afirmada como conclusão de direito, e não apenas como matéria de fato.</w:t>
            </w:r>
          </w:p>
        </w:tc>
      </w:tr>
    </w:tbl>
    <w:bookmarkEnd w:id="170"/>
    <w:bookmarkStart w:id="171" w:name="art.-445"/>
    <w:p>
      <w:pPr>
        <w:pStyle w:val="Heading6"/>
        <w:pBdr>
          <w:left w:val="single" w:sz="36" w:space="4" w:color="2E75B6"/>
        </w:pBdr>
        <w:shd w:val="clear" w:color="auto" w:fill="E3EEF9"/>
        <w:spacing w:before="200" w:after="80"/>
        <w:ind w:left="85"/>
      </w:pPr>
      <w:r>
        <w:rPr>
          <w:i w:val="0"/>
          <w:color w:val="1F3A5F"/>
          <w:sz w:val="23"/>
        </w:rPr>
        <w:t xml:space="preserve">Art. 445</w:t>
      </w:r>
    </w:p>
    <w:p>
      <w:pPr>
        <w:pStyle w:val="FirstParagraph"/>
        <w:spacing w:after="80"/>
        <w:jc w:val="both"/>
      </w:pPr>
      <w:r>
        <w:rPr>
          <w:b/>
          <w:bCs/>
        </w:rPr>
        <w:t xml:space="preserve">Art. 445.</w:t>
      </w:r>
      <w:r>
        <w:t xml:space="preserve"> </w:t>
      </w:r>
      <w:r>
        <w:t xml:space="preserve">Também se admite a prova testemunhal quando o credor não pode ou não podia, moral ou materialmente, obter a prova escrita da obrigação, em casos como o de parentesco, de depósito necessário ou de hospedagem em hotel ou em razão das práticas comerciais do local onde contraída a obrigação.</w:t>
      </w:r>
    </w:p>
    <w:bookmarkEnd w:id="171"/>
    <w:bookmarkStart w:id="172" w:name="art.-446"/>
    <w:p>
      <w:pPr>
        <w:pStyle w:val="Heading6"/>
        <w:pBdr>
          <w:left w:val="single" w:sz="36" w:space="4" w:color="2E75B6"/>
        </w:pBdr>
        <w:shd w:val="clear" w:color="auto" w:fill="E3EEF9"/>
        <w:spacing w:before="200" w:after="80"/>
        <w:ind w:left="85"/>
      </w:pPr>
      <w:r>
        <w:rPr>
          <w:i w:val="0"/>
          <w:color w:val="1F3A5F"/>
          <w:sz w:val="23"/>
        </w:rPr>
        <w:t xml:space="preserve">Art. 446</w:t>
      </w:r>
    </w:p>
    <w:p>
      <w:pPr>
        <w:pStyle w:val="FirstParagraph"/>
        <w:spacing w:after="80"/>
        <w:jc w:val="both"/>
      </w:pPr>
      <w:r>
        <w:rPr>
          <w:b/>
          <w:bCs/>
        </w:rPr>
        <w:t xml:space="preserve">Art. 446.</w:t>
      </w:r>
      <w:r>
        <w:t xml:space="preserve"> </w:t>
      </w:r>
      <w:r>
        <w:t xml:space="preserve">É lícito à parte provar com testemunhas:</w:t>
      </w:r>
    </w:p>
    <w:p>
      <w:pPr>
        <w:pStyle w:val="BodyText"/>
        <w:spacing w:after="80"/>
        <w:jc w:val="both"/>
      </w:pPr>
      <w:r>
        <w:t xml:space="preserve">I - nos contratos simulados, a divergência entre a vontade real e a vontade declarada;</w:t>
      </w:r>
    </w:p>
    <w:p>
      <w:pPr>
        <w:pStyle w:val="BodyText"/>
        <w:spacing w:after="80"/>
        <w:jc w:val="both"/>
      </w:pPr>
      <w:r>
        <w:t xml:space="preserve">II - nos contratos em geral, os vícios de consentimento.</w:t>
      </w:r>
    </w:p>
    <w:bookmarkEnd w:id="172"/>
    <w:bookmarkStart w:id="173" w:name="art.-447"/>
    <w:p>
      <w:pPr>
        <w:pStyle w:val="Heading6"/>
        <w:pBdr>
          <w:left w:val="single" w:sz="36" w:space="4" w:color="2E75B6"/>
        </w:pBdr>
        <w:shd w:val="clear" w:color="auto" w:fill="E3EEF9"/>
        <w:spacing w:before="200" w:after="80"/>
        <w:ind w:left="85"/>
      </w:pPr>
      <w:r>
        <w:rPr>
          <w:i w:val="0"/>
          <w:color w:val="1F3A5F"/>
          <w:sz w:val="23"/>
        </w:rPr>
        <w:t xml:space="preserve">Art. 447</w:t>
      </w:r>
    </w:p>
    <w:p>
      <w:pPr>
        <w:pStyle w:val="FirstParagraph"/>
        <w:keepNext/>
        <w:spacing w:after="80"/>
        <w:jc w:val="both"/>
      </w:pPr>
      <w:r>
        <w:rPr>
          <w:b/>
          <w:bCs/>
        </w:rPr>
        <w:t xml:space="preserve">Art. 447.</w:t>
      </w:r>
      <w:r>
        <w:t xml:space="preserve"> </w:t>
      </w:r>
      <w:r>
        <w:t xml:space="preserve">Podem depor como testemunhas todas as pessoas, exceto as incapazes, impedidas ou suspeitas.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87"/>
        <w:gridCol w:w="2809"/>
        <w:gridCol w:w="4858"/>
      </w:tblGrid>
      <w:tr>
        <w:trPr>
          <w:tblHeader w:val="on"/>
          <w:cantSplit/>
          <w:tblHeader/>
        </w:trPr>
        <w:tc>
          <w:tcPr>
            <w:tcW w:type="dxa" w:w="1687"/>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0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58"/>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87"/>
          </w:tcPr>
          <w:p>
            <w:pPr>
              <w:pStyle w:val="Compact"/>
              <w:spacing w:line="276" w:lineRule="auto" w:before="40" w:after="40"/>
            </w:pPr>
            <w:r>
              <w:rPr>
                <w:rFonts w:ascii="Liberation Sans Narrow" w:hAnsi="Liberation Sans Narrow"/>
                <w:sz w:val="18"/>
              </w:rPr>
              <w:t xml:space="preserve">Testemunha: filhos comuns do casal em ação de divórcio</w:t>
            </w:r>
          </w:p>
        </w:tc>
        <w:tc>
          <w:tcPr>
            <w:tcW w:type="dxa" w:w="2809"/>
          </w:tcPr>
          <w:p>
            <w:pPr>
              <w:pStyle w:val="Compact"/>
              <w:spacing w:line="276" w:lineRule="auto" w:before="40" w:after="40"/>
            </w:pPr>
            <w:r>
              <w:rPr>
                <w:rFonts w:ascii="Liberation Sans Narrow" w:hAnsi="Liberation Sans Narrow"/>
                <w:sz w:val="18"/>
              </w:rPr>
              <w:t xml:space="preserve">STJ, REsp 1.947.751, Terceira Turma, relator Min. Marco Aurélio Bellizze, julgado em 25/04/2023, DJe de 28/04/2023</w:t>
            </w:r>
          </w:p>
        </w:tc>
        <w:tc>
          <w:tcPr>
            <w:tcW w:type="dxa" w:w="4858"/>
          </w:tcPr>
          <w:p>
            <w:pPr>
              <w:pStyle w:val="Compact"/>
              <w:spacing w:line="276" w:lineRule="auto" w:before="40" w:after="40"/>
            </w:pPr>
            <w:r>
              <w:rPr>
                <w:rFonts w:ascii="Liberation Sans Narrow" w:hAnsi="Liberation Sans Narrow"/>
                <w:sz w:val="18"/>
              </w:rPr>
              <w:t xml:space="preserve">Os filhos comuns do casal não são impedidos de depor como testemunha no divórcio dos pais: o parentesco idêntico com ambas as partes não gera parcialidade presumida. O juiz pode, ademais, admitir o depoimento de testemunhas menores, impedidas ou suspeitas, sem compromisso e com o valor que merecerem (§§ 4º e 5º).</w:t>
            </w:r>
          </w:p>
        </w:tc>
      </w:tr>
    </w:tbl>
    <w:p>
      <w:pPr>
        <w:pStyle w:val="BodyText"/>
        <w:spacing w:after="80"/>
        <w:jc w:val="both"/>
      </w:pPr>
      <w:r>
        <w:t xml:space="preserve">§ 1º São incapazes:</w:t>
      </w:r>
    </w:p>
    <w:p>
      <w:pPr>
        <w:pStyle w:val="BodyText"/>
        <w:spacing w:after="80"/>
        <w:jc w:val="both"/>
      </w:pPr>
      <w:r>
        <w:t xml:space="preserve">I - o interdito por enfermidade ou deficiência mental;</w:t>
      </w:r>
    </w:p>
    <w:p>
      <w:pPr>
        <w:pStyle w:val="BodyText"/>
        <w:spacing w:after="80"/>
        <w:jc w:val="both"/>
      </w:pPr>
      <w:r>
        <w:t xml:space="preserve">II - o que, acometido por enfermidade ou retardamento mental, ao tempo em que ocorreram os fatos, não podia discerni-los, ou, ao tempo em que deve depor, não está habilitado a transmitir as percepções;</w:t>
      </w:r>
    </w:p>
    <w:p>
      <w:pPr>
        <w:pStyle w:val="BodyText"/>
        <w:spacing w:after="80"/>
        <w:jc w:val="both"/>
      </w:pPr>
      <w:r>
        <w:t xml:space="preserve">III - o que tiver menos de 16 (dezesseis) anos;</w:t>
      </w:r>
    </w:p>
    <w:p>
      <w:pPr>
        <w:pStyle w:val="BodyText"/>
        <w:spacing w:after="80"/>
        <w:jc w:val="both"/>
      </w:pPr>
      <w:r>
        <w:t xml:space="preserve">IV - o cego e o surdo, quando a ciência do fato depender dos sentidos que lhes faltam.</w:t>
      </w:r>
    </w:p>
    <w:p>
      <w:pPr>
        <w:pStyle w:val="BodyText"/>
        <w:spacing w:after="80"/>
        <w:jc w:val="both"/>
      </w:pPr>
      <w:r>
        <w:t xml:space="preserve">§ 2º São impedidos:</w:t>
      </w:r>
    </w:p>
    <w:p>
      <w:pPr>
        <w:pStyle w:val="BodyText"/>
        <w:spacing w:after="80"/>
        <w:jc w:val="both"/>
      </w:pPr>
      <w:r>
        <w:t xml:space="preserve">I - o cônjuge, o companheiro, o ascendente e o descendente em qualquer grau e o colateral, até o terceiro grau, de alguma das partes, por consanguinidade ou afinidade, salvo se o exigir o interesse público ou, tratando-se de causa relativa ao estado da pessoa, não se puder obter de outro modo a prova que o juiz repute necessária ao julgamento do mérito;</w:t>
      </w:r>
    </w:p>
    <w:p>
      <w:pPr>
        <w:pStyle w:val="BodyText"/>
        <w:spacing w:after="80"/>
        <w:jc w:val="both"/>
      </w:pPr>
      <w:r>
        <w:t xml:space="preserve">II - o que é parte na causa;</w:t>
      </w:r>
    </w:p>
    <w:p>
      <w:pPr>
        <w:pStyle w:val="BodyText"/>
        <w:spacing w:after="80"/>
        <w:jc w:val="both"/>
      </w:pPr>
      <w:r>
        <w:t xml:space="preserve">III - o que intervém em nome de uma parte, como o tutor, o representante legal da pessoa jurídica, o juiz, o advogado e outros que assistam ou tenham assistido as partes.</w:t>
      </w:r>
    </w:p>
    <w:p>
      <w:pPr>
        <w:pStyle w:val="BodyText"/>
        <w:spacing w:after="80"/>
        <w:jc w:val="both"/>
      </w:pPr>
      <w:r>
        <w:t xml:space="preserve">§ 3º São suspeitos:</w:t>
      </w:r>
    </w:p>
    <w:p>
      <w:pPr>
        <w:pStyle w:val="BodyText"/>
        <w:spacing w:after="80"/>
        <w:jc w:val="both"/>
      </w:pPr>
      <w:r>
        <w:t xml:space="preserve">I - o inimigo da parte ou o seu amigo íntimo;</w:t>
      </w:r>
    </w:p>
    <w:p>
      <w:pPr>
        <w:pStyle w:val="BodyText"/>
        <w:spacing w:after="80"/>
        <w:jc w:val="both"/>
      </w:pPr>
      <w:r>
        <w:t xml:space="preserve">II - o que tiver interesse no litígio.</w:t>
      </w:r>
    </w:p>
    <w:p>
      <w:pPr>
        <w:pStyle w:val="BodyText"/>
        <w:spacing w:after="80"/>
        <w:jc w:val="both"/>
      </w:pPr>
      <w:r>
        <w:t xml:space="preserve">§ 4º Sendo necessário, pode o juiz admitir o depoimento das testemunhas menores, impedidas ou suspeitas.</w:t>
      </w:r>
    </w:p>
    <w:p>
      <w:pPr>
        <w:pStyle w:val="BodyText"/>
        <w:spacing w:after="80"/>
        <w:jc w:val="both"/>
      </w:pPr>
      <w:r>
        <w:t xml:space="preserve">§ 5º Os depoimentos referidos no § 4º serão prestados independentemente de compromisso, e o juiz lhes atribuirá o valor que possam merecer.</w:t>
      </w:r>
    </w:p>
    <w:bookmarkEnd w:id="173"/>
    <w:bookmarkStart w:id="174" w:name="art.-448"/>
    <w:p>
      <w:pPr>
        <w:pStyle w:val="Heading6"/>
        <w:pBdr>
          <w:left w:val="single" w:sz="36" w:space="4" w:color="2E75B6"/>
        </w:pBdr>
        <w:shd w:val="clear" w:color="auto" w:fill="E3EEF9"/>
        <w:spacing w:before="200" w:after="80"/>
        <w:ind w:left="85"/>
      </w:pPr>
      <w:r>
        <w:rPr>
          <w:i w:val="0"/>
          <w:color w:val="1F3A5F"/>
          <w:sz w:val="23"/>
        </w:rPr>
        <w:t xml:space="preserve">Art. 448</w:t>
      </w:r>
    </w:p>
    <w:p>
      <w:pPr>
        <w:pStyle w:val="FirstParagraph"/>
        <w:spacing w:after="80"/>
        <w:jc w:val="both"/>
      </w:pPr>
      <w:r>
        <w:rPr>
          <w:b/>
          <w:bCs/>
        </w:rPr>
        <w:t xml:space="preserve">Art. 448.</w:t>
      </w:r>
      <w:r>
        <w:t xml:space="preserve"> </w:t>
      </w:r>
      <w:r>
        <w:t xml:space="preserve">A testemunha não é obrigada a depor sobre fatos:</w:t>
      </w:r>
    </w:p>
    <w:p>
      <w:pPr>
        <w:pStyle w:val="BodyText"/>
        <w:spacing w:after="80"/>
        <w:jc w:val="both"/>
      </w:pPr>
      <w:r>
        <w:t xml:space="preserve">I - que lhe acarretem grave dano, bem como ao seu cônjuge ou companheiro e aos seus parentes consanguíneos ou afins, em linha reta ou colateral, até o terceiro grau;</w:t>
      </w:r>
    </w:p>
    <w:p>
      <w:pPr>
        <w:pStyle w:val="BodyText"/>
        <w:spacing w:after="80"/>
        <w:jc w:val="both"/>
      </w:pPr>
      <w:r>
        <w:t xml:space="preserve">II - a cujo respeito, por estado ou profissão, deva guardar sigilo.</w:t>
      </w:r>
    </w:p>
    <w:bookmarkEnd w:id="174"/>
    <w:bookmarkStart w:id="175" w:name="art.-449"/>
    <w:p>
      <w:pPr>
        <w:pStyle w:val="Heading6"/>
        <w:pBdr>
          <w:left w:val="single" w:sz="36" w:space="4" w:color="2E75B6"/>
        </w:pBdr>
        <w:shd w:val="clear" w:color="auto" w:fill="E3EEF9"/>
        <w:spacing w:before="200" w:after="80"/>
        <w:ind w:left="85"/>
      </w:pPr>
      <w:r>
        <w:rPr>
          <w:i w:val="0"/>
          <w:color w:val="1F3A5F"/>
          <w:sz w:val="23"/>
        </w:rPr>
        <w:t xml:space="preserve">Art. 449</w:t>
      </w:r>
    </w:p>
    <w:p>
      <w:pPr>
        <w:pStyle w:val="FirstParagraph"/>
        <w:spacing w:after="80"/>
        <w:jc w:val="both"/>
      </w:pPr>
      <w:r>
        <w:rPr>
          <w:b/>
          <w:bCs/>
        </w:rPr>
        <w:t xml:space="preserve">Art. 449.</w:t>
      </w:r>
      <w:r>
        <w:t xml:space="preserve"> </w:t>
      </w:r>
      <w:r>
        <w:t xml:space="preserve">Salvo disposição especial em contrário, as testemunhas devem ser ouvidas na sede do juízo.</w:t>
      </w:r>
    </w:p>
    <w:p>
      <w:pPr>
        <w:pStyle w:val="BodyText"/>
        <w:spacing w:after="80"/>
        <w:jc w:val="both"/>
      </w:pPr>
      <w:r>
        <w:t xml:space="preserve">Parágrafo único. Quando a parte ou a testemunha, por enfermidade ou por outro motivo relevante, estiver impossibilitada de comparecer, mas não de prestar depoimento, o juiz designará, conforme as circunstâncias, dia, hora e lugar para inquiri-la.</w:t>
      </w:r>
    </w:p>
    <w:bookmarkEnd w:id="175"/>
    <w:bookmarkStart w:id="176" w:name="art.-450"/>
    <w:p>
      <w:pPr>
        <w:pStyle w:val="Heading6"/>
        <w:pBdr>
          <w:left w:val="single" w:sz="36" w:space="4" w:color="2E75B6"/>
        </w:pBdr>
        <w:shd w:val="clear" w:color="auto" w:fill="E3EEF9"/>
        <w:spacing w:before="200" w:after="80"/>
        <w:ind w:left="85"/>
      </w:pPr>
      <w:r>
        <w:rPr>
          <w:i w:val="0"/>
          <w:color w:val="1F3A5F"/>
          <w:sz w:val="23"/>
        </w:rPr>
        <w:t xml:space="preserve">Art. 450</w:t>
      </w:r>
    </w:p>
    <w:p>
      <w:pPr>
        <w:pStyle w:val="FirstParagraph"/>
        <w:keepNext/>
        <w:spacing w:after="80"/>
        <w:jc w:val="both"/>
      </w:pPr>
      <w:r>
        <w:rPr>
          <w:b/>
          <w:bCs/>
        </w:rPr>
        <w:t xml:space="preserve">Art. 450.</w:t>
      </w:r>
      <w:r>
        <w:t xml:space="preserve"> </w:t>
      </w:r>
      <w:r>
        <w:t xml:space="preserve">O rol de testemunhas conterá, sempre que possível, o nome, a profissão, o estado civil, a idade, o número de inscrição no Cadastro de Pessoas Físicas, o número de registro de identidade e o endereço completo da residência e do local de trabalho.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79"/>
        <w:gridCol w:w="2895"/>
        <w:gridCol w:w="4181"/>
      </w:tblGrid>
      <w:tr>
        <w:trPr>
          <w:tblHeader w:val="on"/>
          <w:cantSplit/>
          <w:tblHeader/>
        </w:trPr>
        <w:tc>
          <w:tcPr>
            <w:tcW w:type="dxa" w:w="2279"/>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9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18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79"/>
          </w:tcPr>
          <w:p>
            <w:pPr>
              <w:pStyle w:val="Compact"/>
              <w:spacing w:line="276" w:lineRule="auto" w:before="40" w:after="40"/>
            </w:pPr>
            <w:r>
              <w:rPr>
                <w:rFonts w:ascii="Liberation Sans Narrow" w:hAnsi="Liberation Sans Narrow"/>
                <w:sz w:val="18"/>
              </w:rPr>
              <w:t xml:space="preserve">Caput — conteúdo do rol e prazo para sua apresentação (art. 357, § 4º)</w:t>
            </w:r>
          </w:p>
        </w:tc>
        <w:tc>
          <w:tcPr>
            <w:tcW w:type="dxa" w:w="2895"/>
          </w:tcPr>
          <w:p>
            <w:pPr>
              <w:pStyle w:val="Compact"/>
              <w:spacing w:line="276" w:lineRule="auto" w:before="40" w:after="40"/>
            </w:pPr>
            <w:r>
              <w:rPr>
                <w:rFonts w:ascii="Liberation Sans Narrow" w:hAnsi="Liberation Sans Narrow"/>
                <w:sz w:val="18"/>
              </w:rPr>
              <w:t xml:space="preserve">STJ, AgInt no AREsp 3.097.599, Quarta Turma, relatora Min. Maria Isabel Gallotti, DJe de 25/09/2026</w:t>
            </w:r>
          </w:p>
        </w:tc>
        <w:tc>
          <w:tcPr>
            <w:tcW w:type="dxa" w:w="4181"/>
          </w:tcPr>
          <w:p>
            <w:pPr>
              <w:pStyle w:val="Compact"/>
              <w:spacing w:line="276" w:lineRule="auto" w:before="40" w:after="40"/>
            </w:pPr>
            <w:r>
              <w:rPr>
                <w:rFonts w:ascii="Liberation Sans Narrow" w:hAnsi="Liberation Sans Narrow"/>
                <w:sz w:val="18"/>
              </w:rPr>
              <w:t xml:space="preserve">O art. 357, § 4º, fixa prazo máximo de quinze dias para o rol de testemunhas, permitindo prazo menor conforme a direção do processo; é legítima a fixação de dez dias e a preclusão pela inércia da parte. O indeferimento fundamentado da prova não configura cerceamento de defesa.</w:t>
            </w:r>
          </w:p>
        </w:tc>
      </w:tr>
      <w:tr>
        <w:trPr>
          <w:cantSplit/>
        </w:trPr>
        <w:tc>
          <w:tcPr>
            <w:tcW w:type="dxa" w:w="2279"/>
          </w:tcPr>
          <w:p>
            <w:pPr>
              <w:pStyle w:val="Compact"/>
              <w:spacing w:line="276" w:lineRule="auto" w:before="40" w:after="40"/>
            </w:pPr>
            <w:r>
              <w:rPr>
                <w:rFonts w:ascii="Liberation Sans Narrow" w:hAnsi="Liberation Sans Narrow"/>
                <w:sz w:val="18"/>
              </w:rPr>
              <w:t xml:space="preserve">Caput — rol apresentado fora do prazo e prova surpresa</w:t>
            </w:r>
          </w:p>
        </w:tc>
        <w:tc>
          <w:tcPr>
            <w:tcW w:type="dxa" w:w="2895"/>
          </w:tcPr>
          <w:p>
            <w:pPr>
              <w:pStyle w:val="Compact"/>
              <w:spacing w:line="276" w:lineRule="auto" w:before="40" w:after="40"/>
            </w:pPr>
            <w:r>
              <w:rPr>
                <w:rFonts w:ascii="Liberation Sans Narrow" w:hAnsi="Liberation Sans Narrow"/>
                <w:sz w:val="18"/>
              </w:rPr>
              <w:t xml:space="preserve">STJ, REsp 2.272.635, Quarta Turma, relatora Min. Maria Isabel Gallotti, DJe de 25/09/2026</w:t>
            </w:r>
          </w:p>
        </w:tc>
        <w:tc>
          <w:tcPr>
            <w:tcW w:type="dxa" w:w="4181"/>
          </w:tcPr>
          <w:p>
            <w:pPr>
              <w:pStyle w:val="Compact"/>
              <w:spacing w:line="276" w:lineRule="auto" w:before="40" w:after="40"/>
            </w:pPr>
            <w:r>
              <w:rPr>
                <w:rFonts w:ascii="Liberation Sans Narrow" w:hAnsi="Liberation Sans Narrow"/>
                <w:sz w:val="18"/>
              </w:rPr>
              <w:t xml:space="preserve">A apresentação do rol de testemunhas após o prazo fixado pelo magistrado acarreta preclusão. Não há preclusão, contudo, quando as testemunhas cujos depoimentos foram considerados na sentença já constavam do rol apresentado com a petição inicial, inexistindo prova surpresa ou descumprimento do prazo.</w:t>
            </w:r>
          </w:p>
        </w:tc>
      </w:tr>
      <w:tr>
        <w:trPr>
          <w:cantSplit/>
        </w:trPr>
        <w:tc>
          <w:tcPr>
            <w:tcW w:type="dxa" w:w="2279"/>
          </w:tcPr>
          <w:p>
            <w:pPr>
              <w:pStyle w:val="Compact"/>
              <w:spacing w:line="276" w:lineRule="auto" w:before="40" w:after="40"/>
            </w:pPr>
            <w:r>
              <w:rPr>
                <w:rFonts w:ascii="Liberation Sans Narrow" w:hAnsi="Liberation Sans Narrow"/>
                <w:sz w:val="18"/>
              </w:rPr>
              <w:t xml:space="preserve">Caput — intempestividade do rol e reexame da preclusão</w:t>
            </w:r>
          </w:p>
        </w:tc>
        <w:tc>
          <w:tcPr>
            <w:tcW w:type="dxa" w:w="2895"/>
          </w:tcPr>
          <w:p>
            <w:pPr>
              <w:pStyle w:val="Compact"/>
              <w:spacing w:line="276" w:lineRule="auto" w:before="40" w:after="40"/>
            </w:pPr>
            <w:r>
              <w:rPr>
                <w:rFonts w:ascii="Liberation Sans Narrow" w:hAnsi="Liberation Sans Narrow"/>
                <w:sz w:val="18"/>
              </w:rPr>
              <w:t xml:space="preserve">STJ, REsp 2.251.512, Quarta Turma, relator Min. João Otávio de Noronha, julgado em 30/06/2026, DJEN de 06/07/2026</w:t>
            </w:r>
          </w:p>
        </w:tc>
        <w:tc>
          <w:tcPr>
            <w:tcW w:type="dxa" w:w="4181"/>
          </w:tcPr>
          <w:p>
            <w:pPr>
              <w:pStyle w:val="Compact"/>
              <w:spacing w:line="276" w:lineRule="auto" w:before="40" w:after="40"/>
            </w:pPr>
            <w:r>
              <w:rPr>
                <w:rFonts w:ascii="Liberation Sans Narrow" w:hAnsi="Liberation Sans Narrow"/>
                <w:sz w:val="18"/>
              </w:rPr>
              <w:t xml:space="preserve">Reconhecida na origem a intempestividade do rol à luz do art. 357, § 4º, com indeferimento da prova, a revisão desse acerto e do contexto probatório esbarra na Súmula 7/STJ.</w:t>
            </w:r>
          </w:p>
        </w:tc>
      </w:tr>
    </w:tbl>
    <w:bookmarkEnd w:id="176"/>
    <w:bookmarkStart w:id="177" w:name="art.-451"/>
    <w:p>
      <w:pPr>
        <w:pStyle w:val="Heading6"/>
        <w:pBdr>
          <w:left w:val="single" w:sz="36" w:space="4" w:color="2E75B6"/>
        </w:pBdr>
        <w:shd w:val="clear" w:color="auto" w:fill="E3EEF9"/>
        <w:spacing w:before="200" w:after="80"/>
        <w:ind w:left="85"/>
      </w:pPr>
      <w:r>
        <w:rPr>
          <w:i w:val="0"/>
          <w:color w:val="1F3A5F"/>
          <w:sz w:val="23"/>
        </w:rPr>
        <w:t xml:space="preserve">Art. 451</w:t>
      </w:r>
    </w:p>
    <w:p>
      <w:pPr>
        <w:pStyle w:val="FirstParagraph"/>
        <w:spacing w:after="80"/>
        <w:jc w:val="both"/>
      </w:pPr>
      <w:r>
        <w:rPr>
          <w:b/>
          <w:bCs/>
        </w:rPr>
        <w:t xml:space="preserve">Art. 451.</w:t>
      </w:r>
      <w:r>
        <w:t xml:space="preserve"> </w:t>
      </w:r>
      <w:r>
        <w:t xml:space="preserve">Depois de apresentado o rol de que tratam os §§ 4º e 5º do art. 357, a parte só pode substituir a testemunha:</w:t>
      </w:r>
    </w:p>
    <w:p>
      <w:pPr>
        <w:pStyle w:val="BodyText"/>
        <w:spacing w:after="80"/>
        <w:jc w:val="both"/>
      </w:pPr>
      <w:r>
        <w:t xml:space="preserve">I - que falecer;</w:t>
      </w:r>
    </w:p>
    <w:p>
      <w:pPr>
        <w:pStyle w:val="BodyText"/>
        <w:spacing w:after="80"/>
        <w:jc w:val="both"/>
      </w:pPr>
      <w:r>
        <w:t xml:space="preserve">II - que, por enfermidade, não estiver em condições de depor;</w:t>
      </w:r>
    </w:p>
    <w:p>
      <w:pPr>
        <w:pStyle w:val="BodyText"/>
        <w:keepNext/>
        <w:spacing w:after="80"/>
        <w:jc w:val="both"/>
      </w:pPr>
      <w:r>
        <w:t xml:space="preserve">III - que, tendo mudado de residência ou de local de trabalho, não for encontrada.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49"/>
        <w:gridCol w:w="2364"/>
        <w:gridCol w:w="4841"/>
      </w:tblGrid>
      <w:tr>
        <w:trPr>
          <w:tblHeader w:val="on"/>
          <w:cantSplit/>
          <w:tblHeader/>
        </w:trPr>
        <w:tc>
          <w:tcPr>
            <w:tcW w:type="dxa" w:w="215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36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4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50"/>
          </w:tcPr>
          <w:p>
            <w:pPr>
              <w:pStyle w:val="Compact"/>
              <w:spacing w:line="276" w:lineRule="auto" w:before="40" w:after="40"/>
            </w:pPr>
            <w:r>
              <w:rPr>
                <w:rFonts w:ascii="Liberation Sans Narrow" w:hAnsi="Liberation Sans Narrow"/>
                <w:sz w:val="18"/>
              </w:rPr>
              <w:t xml:space="preserve">III — substituição da testemunha que mudou de residência e não for encontrada</w:t>
            </w:r>
          </w:p>
        </w:tc>
        <w:tc>
          <w:tcPr>
            <w:tcW w:type="dxa" w:w="2364"/>
          </w:tcPr>
          <w:p>
            <w:pPr>
              <w:pStyle w:val="Compact"/>
              <w:spacing w:line="276" w:lineRule="auto" w:before="40" w:after="40"/>
            </w:pPr>
            <w:r>
              <w:rPr>
                <w:rFonts w:ascii="Liberation Sans Narrow" w:hAnsi="Liberation Sans Narrow"/>
                <w:sz w:val="18"/>
              </w:rPr>
              <w:t xml:space="preserve">STJ, AgRg no AREsp 2.460.440, Sexta Turma, relator Min. Og Fernandes, julgado em 03/03/2026</w:t>
            </w:r>
          </w:p>
        </w:tc>
        <w:tc>
          <w:tcPr>
            <w:tcW w:type="dxa" w:w="4841"/>
          </w:tcPr>
          <w:p>
            <w:pPr>
              <w:pStyle w:val="Compact"/>
              <w:spacing w:line="276" w:lineRule="auto" w:before="40" w:after="40"/>
            </w:pPr>
            <w:r>
              <w:rPr>
                <w:rFonts w:ascii="Liberation Sans Narrow" w:hAnsi="Liberation Sans Narrow"/>
                <w:sz w:val="18"/>
              </w:rPr>
              <w:t xml:space="preserve">Diante do silêncio do Código de Processo Penal sobre a substituição de testemunha não localizada, aplica-se subsidiariamente o art. 451, III, do CPC, que autoriza a substituição da testemunha que, tendo mudado de residência, não for encontrada; o indeferimento da substituição de testemunha não localizada, cuja oitiva havia sido deferida, configura cerceamento de defesa.</w:t>
            </w:r>
          </w:p>
        </w:tc>
      </w:tr>
    </w:tbl>
    <w:bookmarkEnd w:id="177"/>
    <w:bookmarkStart w:id="178" w:name="art.-452"/>
    <w:p>
      <w:pPr>
        <w:pStyle w:val="Heading6"/>
        <w:pBdr>
          <w:left w:val="single" w:sz="36" w:space="4" w:color="2E75B6"/>
        </w:pBdr>
        <w:shd w:val="clear" w:color="auto" w:fill="E3EEF9"/>
        <w:spacing w:before="200" w:after="80"/>
        <w:ind w:left="85"/>
      </w:pPr>
      <w:r>
        <w:rPr>
          <w:i w:val="0"/>
          <w:color w:val="1F3A5F"/>
          <w:sz w:val="23"/>
        </w:rPr>
        <w:t xml:space="preserve">Art. 452</w:t>
      </w:r>
    </w:p>
    <w:p>
      <w:pPr>
        <w:pStyle w:val="FirstParagraph"/>
        <w:spacing w:after="80"/>
        <w:jc w:val="both"/>
      </w:pPr>
      <w:r>
        <w:rPr>
          <w:b/>
          <w:bCs/>
        </w:rPr>
        <w:t xml:space="preserve">Art. 452.</w:t>
      </w:r>
      <w:r>
        <w:t xml:space="preserve"> </w:t>
      </w:r>
      <w:r>
        <w:t xml:space="preserve">Quando for arrolado como testemunha, o juiz da causa:</w:t>
      </w:r>
    </w:p>
    <w:p>
      <w:pPr>
        <w:pStyle w:val="BodyText"/>
        <w:spacing w:after="80"/>
        <w:jc w:val="both"/>
      </w:pPr>
      <w:r>
        <w:t xml:space="preserve">I - declarar-se-á impedido, se tiver conhecimento de fatos que possam influir na decisão, caso em que será vedado à parte que o incluiu no rol desistir de seu depoimento;</w:t>
      </w:r>
    </w:p>
    <w:p>
      <w:pPr>
        <w:pStyle w:val="BodyText"/>
        <w:spacing w:after="80"/>
        <w:jc w:val="both"/>
      </w:pPr>
      <w:r>
        <w:t xml:space="preserve">II - se nada souber, mandará excluir o seu nome.</w:t>
      </w:r>
    </w:p>
    <w:bookmarkEnd w:id="178"/>
    <w:bookmarkStart w:id="179" w:name="art.-453"/>
    <w:p>
      <w:pPr>
        <w:pStyle w:val="Heading6"/>
        <w:pBdr>
          <w:left w:val="single" w:sz="36" w:space="4" w:color="2E75B6"/>
        </w:pBdr>
        <w:shd w:val="clear" w:color="auto" w:fill="E3EEF9"/>
        <w:spacing w:before="200" w:after="80"/>
        <w:ind w:left="85"/>
      </w:pPr>
      <w:r>
        <w:rPr>
          <w:i w:val="0"/>
          <w:color w:val="1F3A5F"/>
          <w:sz w:val="23"/>
        </w:rPr>
        <w:t xml:space="preserve">Art. 453</w:t>
      </w:r>
    </w:p>
    <w:p>
      <w:pPr>
        <w:pStyle w:val="FirstParagraph"/>
        <w:spacing w:after="80"/>
        <w:jc w:val="both"/>
      </w:pPr>
      <w:r>
        <w:rPr>
          <w:b/>
          <w:bCs/>
        </w:rPr>
        <w:t xml:space="preserve">Art. 453.</w:t>
      </w:r>
      <w:r>
        <w:t xml:space="preserve"> </w:t>
      </w:r>
      <w:r>
        <w:t xml:space="preserve">As testemunhas depõem, na audiência de instrução e julgamento, perante o juiz da causa, exceto:</w:t>
      </w:r>
    </w:p>
    <w:p>
      <w:pPr>
        <w:pStyle w:val="BodyText"/>
        <w:spacing w:after="80"/>
        <w:jc w:val="both"/>
      </w:pPr>
      <w:r>
        <w:t xml:space="preserve">I - as que prestam depoimento antecipadamente;</w:t>
      </w:r>
    </w:p>
    <w:p>
      <w:pPr>
        <w:pStyle w:val="BodyText"/>
        <w:spacing w:after="80"/>
        <w:jc w:val="both"/>
      </w:pPr>
      <w:r>
        <w:t xml:space="preserve">II - as que são inquiridas por carta.</w:t>
      </w:r>
    </w:p>
    <w:p>
      <w:pPr>
        <w:pStyle w:val="BodyText"/>
        <w:keepNext/>
        <w:spacing w:after="80"/>
        <w:jc w:val="both"/>
      </w:pPr>
      <w:r>
        <w:t xml:space="preserve">§ 1º A oitiva de testemunha que residir em comarca, seção ou subseção judiciária diversa daquela onde tramita o processo poderá ser realizada por meio de videoconferência ou outro recurso tecnológico de transmissão e recepção de sons e imagens em tempo real, o que poderá ocorrer, inclusive, durante a audiência de instrução e julgamento.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485"/>
        <w:gridCol w:w="2125"/>
        <w:gridCol w:w="4743"/>
      </w:tblGrid>
      <w:tr>
        <w:trPr>
          <w:tblHeader w:val="on"/>
          <w:cantSplit/>
          <w:tblHeader/>
        </w:trPr>
        <w:tc>
          <w:tcPr>
            <w:tcW w:type="dxa" w:w="248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12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4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485"/>
          </w:tcPr>
          <w:p>
            <w:pPr>
              <w:pStyle w:val="Compact"/>
              <w:spacing w:line="276" w:lineRule="auto" w:before="40" w:after="40"/>
            </w:pPr>
            <w:r>
              <w:rPr>
                <w:rFonts w:ascii="Liberation Sans Narrow" w:hAnsi="Liberation Sans Narrow"/>
                <w:sz w:val="18"/>
              </w:rPr>
              <w:t xml:space="preserve">§ 1º — oitiva de testemunha que reside em outra comarca, por videoconferência, e carta precatória</w:t>
            </w:r>
          </w:p>
        </w:tc>
        <w:tc>
          <w:tcPr>
            <w:tcW w:type="dxa" w:w="2126"/>
          </w:tcPr>
          <w:p>
            <w:pPr>
              <w:pStyle w:val="Compact"/>
              <w:spacing w:line="276" w:lineRule="auto" w:before="40" w:after="40"/>
            </w:pPr>
            <w:r>
              <w:rPr>
                <w:rFonts w:ascii="Liberation Sans Narrow" w:hAnsi="Liberation Sans Narrow"/>
                <w:sz w:val="18"/>
              </w:rPr>
              <w:t xml:space="preserve">STJ, CC 211.882, Segunda Seção, relatora Min. Daniela Teixeira, DJe de 24/06/2025</w:t>
            </w:r>
          </w:p>
        </w:tc>
        <w:tc>
          <w:tcPr>
            <w:tcW w:type="dxa" w:w="4743"/>
          </w:tcPr>
          <w:p>
            <w:pPr>
              <w:pStyle w:val="Compact"/>
              <w:spacing w:line="276" w:lineRule="auto" w:before="40" w:after="40"/>
            </w:pPr>
            <w:r>
              <w:rPr>
                <w:rFonts w:ascii="Liberation Sans Narrow" w:hAnsi="Liberation Sans Narrow"/>
                <w:sz w:val="18"/>
              </w:rPr>
              <w:t xml:space="preserve">A prática de atos processuais por videoconferência é faculdade do juízo deprecante, não competindo ao juízo deprecado impor forma diversa de realização da audiência. O juízo deprecado só pode devolver a carta precatória nas hipóteses taxativas do art. 267, não sendo legítima a recusa fundada na possibilidade de a oitiva da testemunha ser feita por videoconferência.</w:t>
            </w:r>
          </w:p>
        </w:tc>
      </w:tr>
    </w:tbl>
    <w:p>
      <w:pPr>
        <w:pStyle w:val="BodyText"/>
        <w:spacing w:after="80"/>
        <w:jc w:val="both"/>
      </w:pPr>
      <w:r>
        <w:t xml:space="preserve">§ 2º Os juízos deverão manter equipamento para a transmissão e recepção de sons e imagens a que se refere o § 1º.</w:t>
      </w:r>
    </w:p>
    <w:bookmarkEnd w:id="179"/>
    <w:bookmarkStart w:id="180" w:name="art.-454"/>
    <w:p>
      <w:pPr>
        <w:pStyle w:val="Heading6"/>
        <w:pBdr>
          <w:left w:val="single" w:sz="36" w:space="4" w:color="2E75B6"/>
        </w:pBdr>
        <w:shd w:val="clear" w:color="auto" w:fill="E3EEF9"/>
        <w:spacing w:before="200" w:after="80"/>
        <w:ind w:left="85"/>
      </w:pPr>
      <w:r>
        <w:rPr>
          <w:i w:val="0"/>
          <w:color w:val="1F3A5F"/>
          <w:sz w:val="23"/>
        </w:rPr>
        <w:t xml:space="preserve">Art. 454</w:t>
      </w:r>
    </w:p>
    <w:p>
      <w:pPr>
        <w:pStyle w:val="FirstParagraph"/>
        <w:spacing w:after="80"/>
        <w:jc w:val="both"/>
      </w:pPr>
      <w:r>
        <w:rPr>
          <w:b/>
          <w:bCs/>
        </w:rPr>
        <w:t xml:space="preserve">Art. 454.</w:t>
      </w:r>
      <w:r>
        <w:t xml:space="preserve"> </w:t>
      </w:r>
      <w:r>
        <w:t xml:space="preserve">São inquiridos em sua residência ou onde exercem sua função:</w:t>
      </w:r>
    </w:p>
    <w:p>
      <w:pPr>
        <w:pStyle w:val="BodyText"/>
        <w:spacing w:after="80"/>
        <w:jc w:val="both"/>
      </w:pPr>
      <w:r>
        <w:t xml:space="preserve">I - o presidente e o vice-presidente da República;</w:t>
      </w:r>
    </w:p>
    <w:p>
      <w:pPr>
        <w:pStyle w:val="BodyText"/>
        <w:spacing w:after="80"/>
        <w:jc w:val="both"/>
      </w:pPr>
      <w:r>
        <w:t xml:space="preserve">II - os ministros de Estado;</w:t>
      </w:r>
    </w:p>
    <w:p>
      <w:pPr>
        <w:pStyle w:val="BodyText"/>
        <w:spacing w:after="80"/>
        <w:jc w:val="both"/>
      </w:pPr>
      <w:r>
        <w:t xml:space="preserve">III - os ministros do Supremo Tribunal Federal, os conselheiros do Conselho Nacional de Justiça e os ministros do Superior Tribunal de Justiça, do Superior Tribunal Militar, do Tribunal Superior Eleitoral, do Tribunal Superior do Trabalho e do Tribunal de Contas da União;</w:t>
      </w:r>
    </w:p>
    <w:p>
      <w:pPr>
        <w:pStyle w:val="BodyText"/>
        <w:spacing w:after="80"/>
        <w:jc w:val="both"/>
      </w:pPr>
      <w:r>
        <w:t xml:space="preserve">IV - o procurador-geral da República e os conselheiros do Conselho Nacional do Ministério Público;</w:t>
      </w:r>
    </w:p>
    <w:p>
      <w:pPr>
        <w:pStyle w:val="BodyText"/>
        <w:spacing w:after="80"/>
        <w:jc w:val="both"/>
      </w:pPr>
      <w:r>
        <w:t xml:space="preserve">V - o advogado-geral da União, o procurador-geral do Estado, o procurador-geral do Município, o defensor público-geral federal e o defensor público-geral do Estado;</w:t>
      </w:r>
    </w:p>
    <w:p>
      <w:pPr>
        <w:pStyle w:val="BodyText"/>
        <w:spacing w:after="80"/>
        <w:jc w:val="both"/>
      </w:pPr>
      <w:r>
        <w:t xml:space="preserve">VI - os senadores e os deputados federais;</w:t>
      </w:r>
    </w:p>
    <w:p>
      <w:pPr>
        <w:pStyle w:val="BodyText"/>
        <w:spacing w:after="80"/>
        <w:jc w:val="both"/>
      </w:pPr>
      <w:r>
        <w:t xml:space="preserve">VII - os governadores dos Estados e do Distrito Federal;</w:t>
      </w:r>
    </w:p>
    <w:p>
      <w:pPr>
        <w:pStyle w:val="BodyText"/>
        <w:spacing w:after="80"/>
        <w:jc w:val="both"/>
      </w:pPr>
      <w:r>
        <w:t xml:space="preserve">VIII - o prefeito;</w:t>
      </w:r>
    </w:p>
    <w:p>
      <w:pPr>
        <w:pStyle w:val="BodyText"/>
        <w:spacing w:after="80"/>
        <w:jc w:val="both"/>
      </w:pPr>
      <w:r>
        <w:t xml:space="preserve">IX - os deputados estaduais e distritais;</w:t>
      </w:r>
    </w:p>
    <w:p>
      <w:pPr>
        <w:pStyle w:val="BodyText"/>
        <w:spacing w:after="80"/>
        <w:jc w:val="both"/>
      </w:pPr>
      <w:r>
        <w:t xml:space="preserve">X - os desembargadores dos Tribunais de Justiça, dos Tribunais Regionais Federais, dos Tribunais Regionais do Trabalho e dos Tribunais Regionais Eleitorais e os conselheiros dos Tribunais de Contas dos Estados e do Distrito Federal;</w:t>
      </w:r>
    </w:p>
    <w:p>
      <w:pPr>
        <w:pStyle w:val="BodyText"/>
        <w:spacing w:after="80"/>
        <w:jc w:val="both"/>
      </w:pPr>
      <w:r>
        <w:t xml:space="preserve">XI - o procurador-geral de justiça;</w:t>
      </w:r>
    </w:p>
    <w:p>
      <w:pPr>
        <w:pStyle w:val="BodyText"/>
        <w:spacing w:after="80"/>
        <w:jc w:val="both"/>
      </w:pPr>
      <w:r>
        <w:t xml:space="preserve">XII - o embaixador de país que, por lei ou tratado, concede idêntica prerrogativa a agente diplomático do Brasil.</w:t>
      </w:r>
    </w:p>
    <w:p>
      <w:pPr>
        <w:pStyle w:val="BodyText"/>
        <w:spacing w:after="80"/>
        <w:jc w:val="both"/>
      </w:pPr>
      <w:r>
        <w:t xml:space="preserve">§ 1º O juiz solicitará à autoridade que indique dia, hora e local a fim de ser inquirida, remetendo-lhe cópia da petição inicial ou da defesa oferecida pela parte que a arrolou como testemunha.</w:t>
      </w:r>
    </w:p>
    <w:p>
      <w:pPr>
        <w:pStyle w:val="BodyText"/>
        <w:spacing w:after="80"/>
        <w:jc w:val="both"/>
      </w:pPr>
      <w:r>
        <w:t xml:space="preserve">§ 2º Passado 1 (um) mês sem manifestação da autoridade, o juiz designará dia, hora e local para o depoimento, preferencialmente na sede do juízo.</w:t>
      </w:r>
    </w:p>
    <w:p>
      <w:pPr>
        <w:pStyle w:val="BodyText"/>
        <w:spacing w:after="80"/>
        <w:jc w:val="both"/>
      </w:pPr>
      <w:r>
        <w:t xml:space="preserve">§ 3º O juiz também designará dia, hora e local para o depoimento, quando a autoridade não comparecer, injustificadamente, à sessão agendada para a colheita de seu testemunho no dia, hora e local por ela mesma indicados.</w:t>
      </w:r>
    </w:p>
    <w:bookmarkEnd w:id="180"/>
    <w:bookmarkStart w:id="181" w:name="art.-455"/>
    <w:p>
      <w:pPr>
        <w:pStyle w:val="Heading6"/>
        <w:pBdr>
          <w:left w:val="single" w:sz="36" w:space="4" w:color="2E75B6"/>
        </w:pBdr>
        <w:shd w:val="clear" w:color="auto" w:fill="E3EEF9"/>
        <w:spacing w:before="200" w:after="80"/>
        <w:ind w:left="85"/>
      </w:pPr>
      <w:r>
        <w:rPr>
          <w:i w:val="0"/>
          <w:color w:val="1F3A5F"/>
          <w:sz w:val="23"/>
        </w:rPr>
        <w:t xml:space="preserve">Art. 455</w:t>
      </w:r>
    </w:p>
    <w:p>
      <w:pPr>
        <w:pStyle w:val="FirstParagraph"/>
        <w:spacing w:after="80"/>
        <w:jc w:val="both"/>
      </w:pPr>
      <w:r>
        <w:rPr>
          <w:b/>
          <w:bCs/>
        </w:rPr>
        <w:t xml:space="preserve">Art. 455.</w:t>
      </w:r>
      <w:r>
        <w:t xml:space="preserve"> </w:t>
      </w:r>
      <w:r>
        <w:t xml:space="preserve">Cabe ao advogado da parte informar ou intimar a testemunha por ele arrolada do dia, da hora e do local da audiência designada, dispensando-se a intimação do juízo.</w:t>
      </w:r>
    </w:p>
    <w:p>
      <w:pPr>
        <w:pStyle w:val="BodyText"/>
        <w:spacing w:after="80"/>
        <w:jc w:val="both"/>
      </w:pPr>
      <w:r>
        <w:t xml:space="preserve">§ 1º A intimação deverá ser realizada por carta com aviso de recebimento, cumprindo ao advogado juntar aos autos, com antecedência de pelo menos 3 (três) dias da data da audiência, cópia da correspondência de intimação e do comprovante de recebimento.</w:t>
      </w:r>
    </w:p>
    <w:p>
      <w:pPr>
        <w:pStyle w:val="BodyText"/>
        <w:spacing w:after="80"/>
        <w:jc w:val="both"/>
      </w:pPr>
      <w:r>
        <w:t xml:space="preserve">§ 2º A parte pode comprometer-se a levar a testemunha à audiência, independentemente da intimação de que trata o § 1º, presumindo-se, caso a testemunha não compareça, que a parte desistiu de sua inquirição.</w:t>
      </w:r>
    </w:p>
    <w:p>
      <w:pPr>
        <w:pStyle w:val="BodyText"/>
        <w:spacing w:after="80"/>
        <w:jc w:val="both"/>
      </w:pPr>
      <w:r>
        <w:t xml:space="preserve">§ 3º A inércia na realização da intimação a que se refere o § 1º importa desistência da inquirição da testemunha.</w:t>
      </w:r>
    </w:p>
    <w:p>
      <w:pPr>
        <w:pStyle w:val="BodyText"/>
        <w:spacing w:after="80"/>
        <w:jc w:val="both"/>
      </w:pPr>
      <w:r>
        <w:t xml:space="preserve">§ 4º A intimação será feita pela via judicial quando:</w:t>
      </w:r>
    </w:p>
    <w:p>
      <w:pPr>
        <w:pStyle w:val="BodyText"/>
        <w:spacing w:after="80"/>
        <w:jc w:val="both"/>
      </w:pPr>
      <w:r>
        <w:t xml:space="preserve">I - for frustrada a intimação prevista no § 1º deste artigo;</w:t>
      </w:r>
    </w:p>
    <w:p>
      <w:pPr>
        <w:pStyle w:val="BodyText"/>
        <w:spacing w:after="80"/>
        <w:jc w:val="both"/>
      </w:pPr>
      <w:r>
        <w:t xml:space="preserve">II - sua necessidade for devidamente demonstrada pela parte ao juiz;</w:t>
      </w:r>
    </w:p>
    <w:p>
      <w:pPr>
        <w:pStyle w:val="BodyText"/>
        <w:spacing w:after="80"/>
        <w:jc w:val="both"/>
      </w:pPr>
      <w:r>
        <w:t xml:space="preserve">III - figurar no rol de testemunhas servidor público ou militar, hipótese em que o juiz o requisitará ao chefe da repartição ou ao comando do corpo em que servir;</w:t>
      </w:r>
    </w:p>
    <w:p>
      <w:pPr>
        <w:pStyle w:val="BodyText"/>
        <w:spacing w:after="80"/>
        <w:jc w:val="both"/>
      </w:pPr>
      <w:r>
        <w:t xml:space="preserve">IV - a testemunha houver sido arrolada pelo Ministério Público ou pela Defensoria Pública;</w:t>
      </w:r>
    </w:p>
    <w:p>
      <w:pPr>
        <w:pStyle w:val="BodyText"/>
        <w:spacing w:after="80"/>
        <w:jc w:val="both"/>
      </w:pPr>
      <w:r>
        <w:t xml:space="preserve">V - a testemunha for uma daquelas previstas no art. 454.</w:t>
      </w:r>
    </w:p>
    <w:p>
      <w:pPr>
        <w:pStyle w:val="BodyText"/>
        <w:spacing w:after="80"/>
        <w:jc w:val="both"/>
      </w:pPr>
      <w:r>
        <w:t xml:space="preserve">§ 5º A testemunha que, intimada na forma do § 1º ou do § 4º, deixar de comparecer sem motivo justificado será conduzida e responderá pelas despesas do adiamento.</w:t>
      </w:r>
    </w:p>
    <w:bookmarkEnd w:id="181"/>
    <w:bookmarkStart w:id="182" w:name="art.-456"/>
    <w:p>
      <w:pPr>
        <w:pStyle w:val="Heading6"/>
        <w:pBdr>
          <w:left w:val="single" w:sz="36" w:space="4" w:color="2E75B6"/>
        </w:pBdr>
        <w:shd w:val="clear" w:color="auto" w:fill="E3EEF9"/>
        <w:spacing w:before="200" w:after="80"/>
        <w:ind w:left="85"/>
      </w:pPr>
      <w:r>
        <w:rPr>
          <w:i w:val="0"/>
          <w:color w:val="1F3A5F"/>
          <w:sz w:val="23"/>
        </w:rPr>
        <w:t xml:space="preserve">Art. 456</w:t>
      </w:r>
    </w:p>
    <w:p>
      <w:pPr>
        <w:pStyle w:val="FirstParagraph"/>
        <w:spacing w:after="80"/>
        <w:jc w:val="both"/>
      </w:pPr>
      <w:r>
        <w:rPr>
          <w:b/>
          <w:bCs/>
        </w:rPr>
        <w:t xml:space="preserve">Art. 456.</w:t>
      </w:r>
      <w:r>
        <w:t xml:space="preserve"> </w:t>
      </w:r>
      <w:r>
        <w:t xml:space="preserve">O juiz inquirirá as testemunhas separada e sucessivamente, primeiro as do autor e depois as do réu, e providenciará para que uma não ouça o depoimento das outras.</w:t>
      </w:r>
    </w:p>
    <w:p>
      <w:pPr>
        <w:pStyle w:val="BodyText"/>
        <w:spacing w:after="80"/>
        <w:jc w:val="both"/>
      </w:pPr>
      <w:r>
        <w:t xml:space="preserve">Parágrafo único. O juiz poderá alterar a ordem estabelecida no caput se as partes concordarem.</w:t>
      </w:r>
    </w:p>
    <w:bookmarkEnd w:id="182"/>
    <w:bookmarkStart w:id="183" w:name="art.-457"/>
    <w:p>
      <w:pPr>
        <w:pStyle w:val="Heading6"/>
        <w:pBdr>
          <w:left w:val="single" w:sz="36" w:space="4" w:color="2E75B6"/>
        </w:pBdr>
        <w:shd w:val="clear" w:color="auto" w:fill="E3EEF9"/>
        <w:spacing w:before="200" w:after="80"/>
        <w:ind w:left="85"/>
      </w:pPr>
      <w:r>
        <w:rPr>
          <w:i w:val="0"/>
          <w:color w:val="1F3A5F"/>
          <w:sz w:val="23"/>
        </w:rPr>
        <w:t xml:space="preserve">Art. 457</w:t>
      </w:r>
    </w:p>
    <w:p>
      <w:pPr>
        <w:pStyle w:val="FirstParagraph"/>
        <w:spacing w:after="80"/>
        <w:jc w:val="both"/>
      </w:pPr>
      <w:r>
        <w:rPr>
          <w:b/>
          <w:bCs/>
        </w:rPr>
        <w:t xml:space="preserve">Art. 457.</w:t>
      </w:r>
      <w:r>
        <w:t xml:space="preserve"> </w:t>
      </w:r>
      <w:r>
        <w:t xml:space="preserve">Antes de depor, a testemunha será qualificada, declarará ou confirmará seus dados e informará se tem relações de parentesco com a parte ou interesse no objeto do processo.</w:t>
      </w:r>
    </w:p>
    <w:p>
      <w:pPr>
        <w:pStyle w:val="BodyText"/>
        <w:keepNext/>
        <w:spacing w:after="80"/>
        <w:jc w:val="both"/>
      </w:pPr>
      <w:r>
        <w:t xml:space="preserve">§ 1º É lícito à parte contraditar a testemunha, arguindo-lhe a incapacidade, o impedimento ou a suspeição, bem como, caso a testemunha negue os fatos que lhe são imputados, provar a contradita com documentos ou com testemunhas, até 3 (três), apresentadas no ato e inquiridas em separado.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2646"/>
        <w:gridCol w:w="4803"/>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4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0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 1º — contradita e indeferimento</w:t>
            </w:r>
          </w:p>
        </w:tc>
        <w:tc>
          <w:tcPr>
            <w:tcW w:type="dxa" w:w="2647"/>
          </w:tcPr>
          <w:p>
            <w:pPr>
              <w:pStyle w:val="Compact"/>
              <w:spacing w:line="276" w:lineRule="auto" w:before="40" w:after="40"/>
            </w:pPr>
            <w:r>
              <w:rPr>
                <w:rFonts w:ascii="Liberation Sans Narrow" w:hAnsi="Liberation Sans Narrow"/>
                <w:sz w:val="18"/>
              </w:rPr>
              <w:t xml:space="preserve">STJ, AREsp 3.155.087, Quarta Turma, relator Min. Raul Araújo, DJe de 30/04/2026</w:t>
            </w:r>
          </w:p>
        </w:tc>
        <w:tc>
          <w:tcPr>
            <w:tcW w:type="dxa" w:w="4803"/>
          </w:tcPr>
          <w:p>
            <w:pPr>
              <w:pStyle w:val="Compact"/>
              <w:spacing w:line="276" w:lineRule="auto" w:before="40" w:after="40"/>
            </w:pPr>
            <w:r>
              <w:rPr>
                <w:rFonts w:ascii="Liberation Sans Narrow" w:hAnsi="Liberation Sans Narrow"/>
                <w:sz w:val="18"/>
              </w:rPr>
              <w:t xml:space="preserve">A modificação da conclusão do tribunal de origem sobre as razões pelas quais indeferiu a contradita apresentada pela parte demandaria o revolvimento do suporte fático-probatório, inviável em recurso especial (Súmula 7/STJ).</w:t>
            </w:r>
          </w:p>
        </w:tc>
      </w:tr>
      <w:tr>
        <w:trPr>
          <w:cantSplit/>
        </w:trPr>
        <w:tc>
          <w:tcPr>
            <w:tcW w:type="dxa" w:w="1905"/>
          </w:tcPr>
          <w:p>
            <w:pPr>
              <w:pStyle w:val="Compact"/>
              <w:spacing w:line="276" w:lineRule="auto" w:before="40" w:after="40"/>
            </w:pPr>
            <w:r>
              <w:rPr>
                <w:rFonts w:ascii="Liberation Sans Narrow" w:hAnsi="Liberation Sans Narrow"/>
                <w:sz w:val="18"/>
              </w:rPr>
              <w:t xml:space="preserve">§ 1º — depoimento não contraditado e valoração</w:t>
            </w:r>
          </w:p>
        </w:tc>
        <w:tc>
          <w:tcPr>
            <w:tcW w:type="dxa" w:w="2647"/>
          </w:tcPr>
          <w:p>
            <w:pPr>
              <w:pStyle w:val="Compact"/>
              <w:spacing w:line="276" w:lineRule="auto" w:before="40" w:after="40"/>
            </w:pPr>
            <w:r>
              <w:rPr>
                <w:rFonts w:ascii="Liberation Sans Narrow" w:hAnsi="Liberation Sans Narrow"/>
                <w:sz w:val="18"/>
              </w:rPr>
              <w:t xml:space="preserve">STJ, AREsp 2.454.286, Quarta Turma, relator Min. João Otávio de Noronha, DJe de 22/12/2025</w:t>
            </w:r>
          </w:p>
        </w:tc>
        <w:tc>
          <w:tcPr>
            <w:tcW w:type="dxa" w:w="4803"/>
          </w:tcPr>
          <w:p>
            <w:pPr>
              <w:pStyle w:val="Compact"/>
              <w:spacing w:line="276" w:lineRule="auto" w:before="40" w:after="40"/>
            </w:pPr>
            <w:r>
              <w:rPr>
                <w:rFonts w:ascii="Liberation Sans Narrow" w:hAnsi="Liberation Sans Narrow"/>
                <w:sz w:val="18"/>
              </w:rPr>
              <w:t xml:space="preserve">A pretensão de alterar a valoração dos depoimentos e a conclusão sobre culpa demanda reexame do conjunto fático-probatório (Súmula 7); não há violação direta e específica do art. 457, § 1º, pela desconsideração de depoimento testemunhal não contraditado.</w:t>
            </w:r>
          </w:p>
        </w:tc>
      </w:tr>
    </w:tbl>
    <w:p>
      <w:pPr>
        <w:pStyle w:val="BodyText"/>
        <w:keepNext/>
        <w:spacing w:after="80"/>
        <w:jc w:val="both"/>
      </w:pPr>
      <w:r>
        <w:t xml:space="preserve">§ 2º Sendo provados ou confessados os fatos a que se refere o § 1º, o juiz dispensará a testemunha ou lhe tomará o depoimento como informante.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2920"/>
        <w:gridCol w:w="477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92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7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55"/>
          </w:tcPr>
          <w:p>
            <w:pPr>
              <w:pStyle w:val="Compact"/>
              <w:spacing w:line="276" w:lineRule="auto" w:before="40" w:after="40"/>
            </w:pPr>
            <w:r>
              <w:rPr>
                <w:rFonts w:ascii="Liberation Sans Narrow" w:hAnsi="Liberation Sans Narrow"/>
                <w:sz w:val="18"/>
              </w:rPr>
              <w:t xml:space="preserve">§ 2º — acolhida a contradita: oitiva como informante</w:t>
            </w:r>
          </w:p>
        </w:tc>
        <w:tc>
          <w:tcPr>
            <w:tcW w:type="dxa" w:w="2920"/>
          </w:tcPr>
          <w:p>
            <w:pPr>
              <w:pStyle w:val="Compact"/>
              <w:spacing w:line="276" w:lineRule="auto" w:before="40" w:after="40"/>
            </w:pPr>
            <w:r>
              <w:rPr>
                <w:rFonts w:ascii="Liberation Sans Narrow" w:hAnsi="Liberation Sans Narrow"/>
                <w:sz w:val="18"/>
              </w:rPr>
              <w:t xml:space="preserve">STJ, AgInt no AREsp 2.940.126, Quarta Turma, relatora Min. Maria Isabel Gallotti, julgado em 01/06/2026, DJEN de 08/06/2026</w:t>
            </w:r>
          </w:p>
        </w:tc>
        <w:tc>
          <w:tcPr>
            <w:tcW w:type="dxa" w:w="4779"/>
          </w:tcPr>
          <w:p>
            <w:pPr>
              <w:pStyle w:val="Compact"/>
              <w:spacing w:line="276" w:lineRule="auto" w:before="40" w:after="40"/>
            </w:pPr>
            <w:r>
              <w:rPr>
                <w:rFonts w:ascii="Liberation Sans Narrow" w:hAnsi="Liberation Sans Narrow"/>
                <w:sz w:val="18"/>
              </w:rPr>
              <w:t xml:space="preserve">Acolhida a contradita, o magistrado pode ouvir a representante como informante, sem compromisso, medida compatível com a ampla defesa e com o esclarecimento de pontos relevantes. Há cerceamento quando a improcedência se funda na ausência de prova cuja produção foi requerida e indeferida.</w:t>
            </w:r>
          </w:p>
        </w:tc>
      </w:tr>
    </w:tbl>
    <w:p>
      <w:pPr>
        <w:pStyle w:val="BodyText"/>
        <w:spacing w:after="80"/>
        <w:jc w:val="both"/>
      </w:pPr>
      <w:r>
        <w:t xml:space="preserve">§ 3º A testemunha pode requerer ao juiz que a escuse de depor, alegando os motivos previstos neste Código, decidindo o juiz de plano após ouvidas as partes.</w:t>
      </w:r>
    </w:p>
    <w:bookmarkEnd w:id="183"/>
    <w:bookmarkStart w:id="184" w:name="art.-458"/>
    <w:p>
      <w:pPr>
        <w:pStyle w:val="Heading6"/>
        <w:pBdr>
          <w:left w:val="single" w:sz="36" w:space="4" w:color="2E75B6"/>
        </w:pBdr>
        <w:shd w:val="clear" w:color="auto" w:fill="E3EEF9"/>
        <w:spacing w:before="200" w:after="80"/>
        <w:ind w:left="85"/>
      </w:pPr>
      <w:r>
        <w:rPr>
          <w:i w:val="0"/>
          <w:color w:val="1F3A5F"/>
          <w:sz w:val="23"/>
        </w:rPr>
        <w:t xml:space="preserve">Art. 458</w:t>
      </w:r>
    </w:p>
    <w:p>
      <w:pPr>
        <w:pStyle w:val="FirstParagraph"/>
        <w:spacing w:after="80"/>
        <w:jc w:val="both"/>
      </w:pPr>
      <w:r>
        <w:rPr>
          <w:b/>
          <w:bCs/>
        </w:rPr>
        <w:t xml:space="preserve">Art. 458.</w:t>
      </w:r>
      <w:r>
        <w:t xml:space="preserve"> </w:t>
      </w:r>
      <w:r>
        <w:t xml:space="preserve">Ao início da inquirição, a testemunha prestará o compromisso de dizer a verdade do que souber e lhe for perguntado.</w:t>
      </w:r>
    </w:p>
    <w:p>
      <w:pPr>
        <w:pStyle w:val="BodyText"/>
        <w:spacing w:after="80"/>
        <w:jc w:val="both"/>
      </w:pPr>
      <w:r>
        <w:t xml:space="preserve">Parágrafo único. O juiz advertirá à testemunha que incorre em sanção penal quem faz afirmação falsa, cala ou oculta a verdade.</w:t>
      </w:r>
    </w:p>
    <w:bookmarkEnd w:id="184"/>
    <w:bookmarkStart w:id="185" w:name="art.-459"/>
    <w:p>
      <w:pPr>
        <w:pStyle w:val="Heading6"/>
        <w:pBdr>
          <w:left w:val="single" w:sz="36" w:space="4" w:color="2E75B6"/>
        </w:pBdr>
        <w:shd w:val="clear" w:color="auto" w:fill="E3EEF9"/>
        <w:spacing w:before="200" w:after="80"/>
        <w:ind w:left="85"/>
      </w:pPr>
      <w:r>
        <w:rPr>
          <w:i w:val="0"/>
          <w:color w:val="1F3A5F"/>
          <w:sz w:val="23"/>
        </w:rPr>
        <w:t xml:space="preserve">Art. 459</w:t>
      </w:r>
    </w:p>
    <w:p>
      <w:pPr>
        <w:pStyle w:val="FirstParagraph"/>
        <w:spacing w:after="80"/>
        <w:jc w:val="both"/>
      </w:pPr>
      <w:r>
        <w:rPr>
          <w:b/>
          <w:bCs/>
        </w:rPr>
        <w:t xml:space="preserve">Art. 459.</w:t>
      </w:r>
      <w:r>
        <w:t xml:space="preserve"> </w:t>
      </w:r>
      <w:r>
        <w:t xml:space="preserve">As perguntas serão formuladas pelas partes diretamente à testemunha, começando pela que a arrolou, não admitindo o juiz aquelas que puderem induzir a resposta, não tiverem relação com as questões de fato objeto da atividade probatória ou importarem repetição de outra já respondida.</w:t>
      </w:r>
    </w:p>
    <w:p>
      <w:pPr>
        <w:pStyle w:val="BodyText"/>
        <w:spacing w:after="80"/>
        <w:jc w:val="both"/>
      </w:pPr>
      <w:r>
        <w:t xml:space="preserve">§ 1º O juiz poderá inquirir a testemunha tanto antes quanto depois da inquirição feita pelas partes.</w:t>
      </w:r>
    </w:p>
    <w:p>
      <w:pPr>
        <w:pStyle w:val="BodyText"/>
        <w:spacing w:after="80"/>
        <w:jc w:val="both"/>
      </w:pPr>
      <w:r>
        <w:t xml:space="preserve">§ 2º As testemunhas devem ser tratadas com urbanidade, não se lhes fazendo perguntas ou considerações impertinentes, capciosas ou vexatórias.</w:t>
      </w:r>
    </w:p>
    <w:p>
      <w:pPr>
        <w:pStyle w:val="BodyText"/>
        <w:spacing w:after="80"/>
        <w:jc w:val="both"/>
      </w:pPr>
      <w:r>
        <w:t xml:space="preserve">§ 3º As perguntas que o juiz indeferir serão transcritas no termo, se a parte o requerer.</w:t>
      </w:r>
    </w:p>
    <w:bookmarkEnd w:id="185"/>
    <w:bookmarkStart w:id="186" w:name="art.-460"/>
    <w:p>
      <w:pPr>
        <w:pStyle w:val="Heading6"/>
        <w:pBdr>
          <w:left w:val="single" w:sz="36" w:space="4" w:color="2E75B6"/>
        </w:pBdr>
        <w:shd w:val="clear" w:color="auto" w:fill="E3EEF9"/>
        <w:spacing w:before="200" w:after="80"/>
        <w:ind w:left="85"/>
      </w:pPr>
      <w:r>
        <w:rPr>
          <w:i w:val="0"/>
          <w:color w:val="1F3A5F"/>
          <w:sz w:val="23"/>
        </w:rPr>
        <w:t xml:space="preserve">Art. 460</w:t>
      </w:r>
    </w:p>
    <w:p>
      <w:pPr>
        <w:pStyle w:val="FirstParagraph"/>
        <w:spacing w:after="80"/>
        <w:jc w:val="both"/>
      </w:pPr>
      <w:r>
        <w:rPr>
          <w:b/>
          <w:bCs/>
        </w:rPr>
        <w:t xml:space="preserve">Art. 460.</w:t>
      </w:r>
      <w:r>
        <w:t xml:space="preserve"> </w:t>
      </w:r>
      <w:r>
        <w:t xml:space="preserve">O depoimento poderá ser documentado por meio de gravação.</w:t>
      </w:r>
    </w:p>
    <w:p>
      <w:pPr>
        <w:pStyle w:val="BodyText"/>
        <w:spacing w:after="80"/>
        <w:jc w:val="both"/>
      </w:pPr>
      <w:r>
        <w:t xml:space="preserve">§ 1º Quando digitado ou registrado por taquigrafia, estenotipia ou outro método idôneo de documentação, o depoimento será assinado pelo juiz, pelo depoente e pelos procuradores.</w:t>
      </w:r>
    </w:p>
    <w:p>
      <w:pPr>
        <w:pStyle w:val="BodyText"/>
        <w:spacing w:after="80"/>
        <w:jc w:val="both"/>
      </w:pPr>
      <w:r>
        <w:t xml:space="preserve">§ 2º Se houver recurso em processo em autos não eletrônicos, o depoimento somente será digitado quando for impossível o envio de sua documentação eletrônica.</w:t>
      </w:r>
    </w:p>
    <w:p>
      <w:pPr>
        <w:pStyle w:val="BodyText"/>
        <w:spacing w:after="80"/>
        <w:jc w:val="both"/>
      </w:pPr>
      <w:r>
        <w:t xml:space="preserve">§ 3º Tratando-se de autos eletrônicos, observar-se-á o disposto neste Código e na legislação específica sobre a prática eletrônica de atos processuais.</w:t>
      </w:r>
    </w:p>
    <w:bookmarkEnd w:id="186"/>
    <w:bookmarkStart w:id="187" w:name="art.-461"/>
    <w:p>
      <w:pPr>
        <w:pStyle w:val="Heading6"/>
        <w:pBdr>
          <w:left w:val="single" w:sz="36" w:space="4" w:color="2E75B6"/>
        </w:pBdr>
        <w:shd w:val="clear" w:color="auto" w:fill="E3EEF9"/>
        <w:spacing w:before="200" w:after="80"/>
        <w:ind w:left="85"/>
      </w:pPr>
      <w:r>
        <w:rPr>
          <w:i w:val="0"/>
          <w:color w:val="1F3A5F"/>
          <w:sz w:val="23"/>
        </w:rPr>
        <w:t xml:space="preserve">Art. 461</w:t>
      </w:r>
    </w:p>
    <w:p>
      <w:pPr>
        <w:pStyle w:val="FirstParagraph"/>
        <w:spacing w:after="80"/>
        <w:jc w:val="both"/>
      </w:pPr>
      <w:r>
        <w:rPr>
          <w:b/>
          <w:bCs/>
        </w:rPr>
        <w:t xml:space="preserve">Art. 461.</w:t>
      </w:r>
      <w:r>
        <w:t xml:space="preserve"> </w:t>
      </w:r>
      <w:r>
        <w:t xml:space="preserve">O juiz pode ordenar, de ofício ou a requerimento da parte:</w:t>
      </w:r>
    </w:p>
    <w:p>
      <w:pPr>
        <w:pStyle w:val="BodyText"/>
        <w:spacing w:after="80"/>
        <w:jc w:val="both"/>
      </w:pPr>
      <w:r>
        <w:t xml:space="preserve">I - a inquirição de testemunhas referidas nas declarações da parte ou das testemunhas;</w:t>
      </w:r>
    </w:p>
    <w:p>
      <w:pPr>
        <w:pStyle w:val="BodyText"/>
        <w:spacing w:after="80"/>
        <w:jc w:val="both"/>
      </w:pPr>
      <w:r>
        <w:t xml:space="preserve">II - a acareação de 2 (duas) ou mais testemunhas ou de alguma delas com a parte, quando, sobre fato determinado que possa influir na decisão da causa, divergirem as suas declarações.</w:t>
      </w:r>
    </w:p>
    <w:p>
      <w:pPr>
        <w:pStyle w:val="BodyText"/>
        <w:spacing w:after="80"/>
        <w:jc w:val="both"/>
      </w:pPr>
      <w:r>
        <w:t xml:space="preserve">§ 1º Os acareados serão reperguntados para que expliquem os pontos de divergência, reduzindo-se a termo o ato de acareação.</w:t>
      </w:r>
    </w:p>
    <w:p>
      <w:pPr>
        <w:pStyle w:val="BodyText"/>
        <w:spacing w:after="80"/>
        <w:jc w:val="both"/>
      </w:pPr>
      <w:r>
        <w:t xml:space="preserve">§ 2º A acareação pode ser realizada por videoconferência ou por outro recurso tecnológico de transmissão de sons e imagens em tempo real.</w:t>
      </w:r>
    </w:p>
    <w:bookmarkEnd w:id="187"/>
    <w:bookmarkStart w:id="188" w:name="art.-462"/>
    <w:p>
      <w:pPr>
        <w:pStyle w:val="Heading6"/>
        <w:pBdr>
          <w:left w:val="single" w:sz="36" w:space="4" w:color="2E75B6"/>
        </w:pBdr>
        <w:shd w:val="clear" w:color="auto" w:fill="E3EEF9"/>
        <w:spacing w:before="200" w:after="80"/>
        <w:ind w:left="85"/>
      </w:pPr>
      <w:r>
        <w:rPr>
          <w:i w:val="0"/>
          <w:color w:val="1F3A5F"/>
          <w:sz w:val="23"/>
        </w:rPr>
        <w:t xml:space="preserve">Art. 462</w:t>
      </w:r>
    </w:p>
    <w:p>
      <w:pPr>
        <w:pStyle w:val="FirstParagraph"/>
        <w:spacing w:after="80"/>
        <w:jc w:val="both"/>
      </w:pPr>
      <w:r>
        <w:rPr>
          <w:b/>
          <w:bCs/>
        </w:rPr>
        <w:t xml:space="preserve">Art. 462.</w:t>
      </w:r>
      <w:r>
        <w:t xml:space="preserve"> </w:t>
      </w:r>
      <w:r>
        <w:t xml:space="preserve">A testemunha pode requerer ao juiz o pagamento da despesa que efetuou para comparecimento à audiência, devendo a parte pagá-la logo que arbitrada ou depositá-la em cartório dentro de 3 (três) dias.</w:t>
      </w:r>
    </w:p>
    <w:bookmarkEnd w:id="188"/>
    <w:bookmarkStart w:id="189" w:name="art.-463"/>
    <w:p>
      <w:pPr>
        <w:pStyle w:val="Heading6"/>
        <w:pBdr>
          <w:left w:val="single" w:sz="36" w:space="4" w:color="2E75B6"/>
        </w:pBdr>
        <w:shd w:val="clear" w:color="auto" w:fill="E3EEF9"/>
        <w:spacing w:before="200" w:after="80"/>
        <w:ind w:left="85"/>
      </w:pPr>
      <w:r>
        <w:rPr>
          <w:i w:val="0"/>
          <w:color w:val="1F3A5F"/>
          <w:sz w:val="23"/>
        </w:rPr>
        <w:t xml:space="preserve">Art. 463</w:t>
      </w:r>
    </w:p>
    <w:p>
      <w:pPr>
        <w:pStyle w:val="FirstParagraph"/>
        <w:spacing w:after="80"/>
        <w:jc w:val="both"/>
      </w:pPr>
      <w:r>
        <w:rPr>
          <w:b/>
          <w:bCs/>
        </w:rPr>
        <w:t xml:space="preserve">Art. 463.</w:t>
      </w:r>
      <w:r>
        <w:t xml:space="preserve"> </w:t>
      </w:r>
      <w:r>
        <w:t xml:space="preserve">O depoimento prestado em juízo é considerado serviço público.</w:t>
      </w:r>
    </w:p>
    <w:p>
      <w:pPr>
        <w:pStyle w:val="BodyText"/>
        <w:spacing w:after="80"/>
        <w:jc w:val="both"/>
      </w:pPr>
      <w:r>
        <w:t xml:space="preserve">Parágrafo único. A testemunha, quando sujeita ao regime da legislação trabalhista, não sofre, por comparecer à audiência, perda de salário nem desconto no tempo de serviço.</w:t>
      </w:r>
    </w:p>
    <w:bookmarkEnd w:id="189"/>
    <w:bookmarkEnd w:id="190"/>
    <w:bookmarkStart w:id="208" w:name="Xc9c2b88ef006ac8007399080ab3c5477f227ddf"/>
    <w:p>
      <w:pPr>
        <w:pStyle w:val="Heading5"/>
        <w:spacing w:before="140" w:after="20"/>
      </w:pPr>
      <w:r>
        <w:rPr>
          <w:i/>
          <w:color w:val="595959"/>
        </w:rPr>
        <w:t xml:space="preserve">Seção X: da prova pericial (arts. 464 a 480)</w:t>
      </w:r>
    </w:p>
    <w:bookmarkStart w:id="191" w:name="art.-464"/>
    <w:p>
      <w:pPr>
        <w:pStyle w:val="Heading6"/>
        <w:pBdr>
          <w:left w:val="single" w:sz="36" w:space="4" w:color="2E75B6"/>
        </w:pBdr>
        <w:shd w:val="clear" w:color="auto" w:fill="E3EEF9"/>
        <w:spacing w:before="200" w:after="80"/>
        <w:ind w:left="85"/>
      </w:pPr>
      <w:r>
        <w:rPr>
          <w:i w:val="0"/>
          <w:color w:val="1F3A5F"/>
          <w:sz w:val="23"/>
        </w:rPr>
        <w:t xml:space="preserve">Art. 464</w:t>
      </w:r>
    </w:p>
    <w:p>
      <w:pPr>
        <w:pStyle w:val="FirstParagraph"/>
        <w:keepNext/>
        <w:spacing w:after="80"/>
        <w:jc w:val="both"/>
      </w:pPr>
      <w:r>
        <w:rPr>
          <w:b/>
          <w:bCs/>
        </w:rPr>
        <w:t xml:space="preserve">Art. 464.</w:t>
      </w:r>
      <w:r>
        <w:t xml:space="preserve"> </w:t>
      </w:r>
      <w:r>
        <w:t xml:space="preserve">A prova pericial consiste em exame, vistoria ou avaliação.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85"/>
        <w:gridCol w:w="2852"/>
        <w:gridCol w:w="4316"/>
      </w:tblGrid>
      <w:tr>
        <w:trPr>
          <w:tblHeader w:val="on"/>
          <w:cantSplit/>
          <w:tblHeader/>
        </w:trPr>
        <w:tc>
          <w:tcPr>
            <w:tcW w:type="dxa" w:w="218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5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31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85"/>
          </w:tcPr>
          <w:p>
            <w:pPr>
              <w:pStyle w:val="Compact"/>
              <w:spacing w:line="276" w:lineRule="auto" w:before="40" w:after="40"/>
            </w:pPr>
            <w:r>
              <w:rPr>
                <w:rFonts w:ascii="Liberation Sans Narrow" w:hAnsi="Liberation Sans Narrow"/>
                <w:sz w:val="18"/>
              </w:rPr>
              <w:t xml:space="preserve">Art. 464 e art. 370, parágrafo único: indeferimento da perícia e julgamento antecipado</w:t>
            </w:r>
          </w:p>
        </w:tc>
        <w:tc>
          <w:tcPr>
            <w:tcW w:type="dxa" w:w="2852"/>
          </w:tcPr>
          <w:p>
            <w:pPr>
              <w:pStyle w:val="Compact"/>
              <w:spacing w:line="276" w:lineRule="auto" w:before="40" w:after="40"/>
            </w:pPr>
            <w:r>
              <w:rPr>
                <w:rFonts w:ascii="Liberation Sans Narrow" w:hAnsi="Liberation Sans Narrow"/>
                <w:sz w:val="18"/>
              </w:rPr>
              <w:t xml:space="preserve">STJ, AREsp 2.619.049, Terceira Turma, relator Min. Moura Ribeiro, DJe de 17/10/2025</w:t>
            </w:r>
          </w:p>
        </w:tc>
        <w:tc>
          <w:tcPr>
            <w:tcW w:type="dxa" w:w="4316"/>
          </w:tcPr>
          <w:p>
            <w:pPr>
              <w:pStyle w:val="Compact"/>
              <w:spacing w:line="276" w:lineRule="auto" w:before="40" w:after="40"/>
            </w:pPr>
            <w:r>
              <w:rPr>
                <w:rFonts w:ascii="Liberation Sans Narrow" w:hAnsi="Liberation Sans Narrow"/>
                <w:sz w:val="18"/>
              </w:rPr>
              <w:t xml:space="preserve">Não configura cerceamento de defesa o indeferimento da prova pericial quando o juiz entende que os autos estão suficientemente instruídos (art. 370, parágrafo único), cabendo-lhe avaliar a necessidade das provas; julgamento antecipado possível. Embargos à execução de taxas condominiais; rever a suficiência dos documentos esbarra na Súmula 7/STJ.</w:t>
            </w:r>
          </w:p>
        </w:tc>
      </w:tr>
      <w:tr>
        <w:trPr>
          <w:cantSplit/>
        </w:trPr>
        <w:tc>
          <w:tcPr>
            <w:tcW w:type="dxa" w:w="2185"/>
          </w:tcPr>
          <w:p>
            <w:pPr>
              <w:pStyle w:val="Compact"/>
              <w:spacing w:line="276" w:lineRule="auto" w:before="40" w:after="40"/>
            </w:pPr>
            <w:r>
              <w:rPr>
                <w:rFonts w:ascii="Liberation Sans Narrow" w:hAnsi="Liberation Sans Narrow"/>
                <w:sz w:val="18"/>
              </w:rPr>
              <w:t xml:space="preserve">Perícia dispensável diante das demais provas (relação de consumo)</w:t>
            </w:r>
          </w:p>
        </w:tc>
        <w:tc>
          <w:tcPr>
            <w:tcW w:type="dxa" w:w="2852"/>
          </w:tcPr>
          <w:p>
            <w:pPr>
              <w:pStyle w:val="Compact"/>
              <w:spacing w:line="276" w:lineRule="auto" w:before="40" w:after="40"/>
            </w:pPr>
            <w:r>
              <w:rPr>
                <w:rFonts w:ascii="Liberation Sans Narrow" w:hAnsi="Liberation Sans Narrow"/>
                <w:sz w:val="18"/>
              </w:rPr>
              <w:t xml:space="preserve">STJ, AgInt no AREsp 2.406.675, Quarta Turma, relatora Min. Maria Isabel Gallotti, DJe de 03/07/2024</w:t>
            </w:r>
          </w:p>
        </w:tc>
        <w:tc>
          <w:tcPr>
            <w:tcW w:type="dxa" w:w="4316"/>
          </w:tcPr>
          <w:p>
            <w:pPr>
              <w:pStyle w:val="Compact"/>
              <w:spacing w:line="276" w:lineRule="auto" w:before="40" w:after="40"/>
            </w:pPr>
            <w:r>
              <w:rPr>
                <w:rFonts w:ascii="Liberation Sans Narrow" w:hAnsi="Liberation Sans Narrow"/>
                <w:sz w:val="18"/>
              </w:rPr>
              <w:t xml:space="preserve">Persuasão racional (arts. 370 e 371): o juiz é livre para firmar a convicção com o conjunto probatório, desde que fundamente; a prevalência da prova técnica ou das demais é matéria fático-probatória (Súmula 7/STJ).</w:t>
            </w:r>
          </w:p>
        </w:tc>
      </w:tr>
      <w:tr>
        <w:trPr>
          <w:cantSplit/>
        </w:trPr>
        <w:tc>
          <w:tcPr>
            <w:tcW w:type="dxa" w:w="2185"/>
          </w:tcPr>
          <w:p>
            <w:pPr>
              <w:pStyle w:val="Compact"/>
              <w:spacing w:line="276" w:lineRule="auto" w:before="40" w:after="40"/>
            </w:pPr>
            <w:r>
              <w:rPr>
                <w:rFonts w:ascii="Liberation Sans Narrow" w:hAnsi="Liberation Sans Narrow"/>
                <w:sz w:val="18"/>
              </w:rPr>
              <w:t xml:space="preserve">Necessidade da perícia como reexame de prova</w:t>
            </w:r>
          </w:p>
        </w:tc>
        <w:tc>
          <w:tcPr>
            <w:tcW w:type="dxa" w:w="2852"/>
          </w:tcPr>
          <w:p>
            <w:pPr>
              <w:pStyle w:val="Compact"/>
              <w:spacing w:line="276" w:lineRule="auto" w:before="40" w:after="40"/>
            </w:pPr>
            <w:r>
              <w:rPr>
                <w:rFonts w:ascii="Liberation Sans Narrow" w:hAnsi="Liberation Sans Narrow"/>
                <w:sz w:val="18"/>
              </w:rPr>
              <w:t xml:space="preserve">STJ, AgInt no AREsp 2.129.483, Segunda Turma, relatora Min. Assusete Magalhães, DJe de 13/12/2022</w:t>
            </w:r>
          </w:p>
        </w:tc>
        <w:tc>
          <w:tcPr>
            <w:tcW w:type="dxa" w:w="4316"/>
          </w:tcPr>
          <w:p>
            <w:pPr>
              <w:pStyle w:val="Compact"/>
              <w:spacing w:line="276" w:lineRule="auto" w:before="40" w:after="40"/>
            </w:pPr>
            <w:r>
              <w:rPr>
                <w:rFonts w:ascii="Liberation Sans Narrow" w:hAnsi="Liberation Sans Narrow"/>
                <w:sz w:val="18"/>
              </w:rPr>
              <w:t xml:space="preserve">Cita o REsp 1.798.895/SP (Segunda Turma, 2019): o art. 370 consagra a persuasão racional; aferir a necessidade de determinada prova exige reexame do conjunto fático-probatório, vedado pela Súmula 7/STJ. Indeferimento de perícia em execução fiscal sem cerceamento.</w:t>
            </w:r>
          </w:p>
        </w:tc>
      </w:tr>
    </w:tbl>
    <w:p>
      <w:pPr>
        <w:pStyle w:val="BodyText"/>
        <w:spacing w:after="80"/>
        <w:jc w:val="both"/>
      </w:pPr>
      <w:r>
        <w:t xml:space="preserve">§ 1º O juiz indeferirá a perícia quando:</w:t>
      </w:r>
    </w:p>
    <w:p>
      <w:pPr>
        <w:pStyle w:val="BodyText"/>
        <w:spacing w:after="80"/>
        <w:jc w:val="both"/>
      </w:pPr>
      <w:r>
        <w:t xml:space="preserve">I - a prova do fato não depender de conhecimento especial de técnico;</w:t>
      </w:r>
    </w:p>
    <w:p>
      <w:pPr>
        <w:pStyle w:val="BodyText"/>
        <w:spacing w:after="80"/>
        <w:jc w:val="both"/>
      </w:pPr>
      <w:r>
        <w:t xml:space="preserve">II - for desnecessária em vista de outras provas produzidas;</w:t>
      </w:r>
    </w:p>
    <w:p>
      <w:pPr>
        <w:pStyle w:val="BodyText"/>
        <w:spacing w:after="80"/>
        <w:jc w:val="both"/>
      </w:pPr>
      <w:r>
        <w:t xml:space="preserve">III - a verificação for impraticável.</w:t>
      </w:r>
    </w:p>
    <w:p>
      <w:pPr>
        <w:pStyle w:val="BodyText"/>
        <w:spacing w:after="80"/>
        <w:jc w:val="both"/>
      </w:pPr>
      <w:r>
        <w:t xml:space="preserve">§ 2º De ofício ou a requerimento das partes, o juiz poderá, em substituição à perícia, determinar a produção de prova técnica simplificada, quando o ponto controvertido for de menor complexidade.</w:t>
      </w:r>
    </w:p>
    <w:p>
      <w:pPr>
        <w:pStyle w:val="BodyText"/>
        <w:spacing w:after="80"/>
        <w:jc w:val="both"/>
      </w:pPr>
      <w:r>
        <w:t xml:space="preserve">§ 3º A prova técnica simplificada consistirá apenas na inquirição de especialista, pelo juiz, sobre ponto controvertido da causa que demande especial conhecimento científico ou técnico.</w:t>
      </w:r>
    </w:p>
    <w:p>
      <w:pPr>
        <w:pStyle w:val="BodyText"/>
        <w:spacing w:after="80"/>
        <w:jc w:val="both"/>
      </w:pPr>
      <w:r>
        <w:t xml:space="preserve">§ 4 o Durante a arguição, o especialista, que deverá ter formação acadêmica específica na área objeto de seu depoimento, poderá valer-se de qualquer recurso tecnológico de transmissão de sons e imagens com o fim de esclarecer os pontos controvertidos da causa.</w:t>
      </w:r>
    </w:p>
    <w:bookmarkEnd w:id="191"/>
    <w:bookmarkStart w:id="192" w:name="art.-465"/>
    <w:p>
      <w:pPr>
        <w:pStyle w:val="Heading6"/>
        <w:pBdr>
          <w:left w:val="single" w:sz="36" w:space="4" w:color="2E75B6"/>
        </w:pBdr>
        <w:shd w:val="clear" w:color="auto" w:fill="E3EEF9"/>
        <w:spacing w:before="200" w:after="80"/>
        <w:ind w:left="85"/>
      </w:pPr>
      <w:r>
        <w:rPr>
          <w:i w:val="0"/>
          <w:color w:val="1F3A5F"/>
          <w:sz w:val="23"/>
        </w:rPr>
        <w:t xml:space="preserve">Art. 465</w:t>
      </w:r>
    </w:p>
    <w:p>
      <w:pPr>
        <w:pStyle w:val="FirstParagraph"/>
        <w:keepNext/>
        <w:spacing w:after="80"/>
        <w:jc w:val="both"/>
      </w:pPr>
      <w:r>
        <w:rPr>
          <w:b/>
          <w:bCs/>
        </w:rPr>
        <w:t xml:space="preserve">Art. 465.</w:t>
      </w:r>
      <w:r>
        <w:t xml:space="preserve"> </w:t>
      </w:r>
      <w:r>
        <w:t xml:space="preserve">O juiz nomeará perito especializado no objeto da perícia e fixará de imediato o prazo para a entrega do laudo.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54"/>
        <w:gridCol w:w="3152"/>
        <w:gridCol w:w="4048"/>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15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048"/>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54"/>
          </w:tcPr>
          <w:p>
            <w:pPr>
              <w:pStyle w:val="Compact"/>
              <w:spacing w:line="276" w:lineRule="auto" w:before="40" w:after="40"/>
            </w:pPr>
            <w:r>
              <w:rPr>
                <w:rFonts w:ascii="Liberation Sans Narrow" w:hAnsi="Liberation Sans Narrow"/>
                <w:sz w:val="18"/>
              </w:rPr>
              <w:t xml:space="preserve">Recorribilidade da decisão que fixa honorários periciais</w:t>
            </w:r>
          </w:p>
        </w:tc>
        <w:tc>
          <w:tcPr>
            <w:tcW w:type="dxa" w:w="3152"/>
          </w:tcPr>
          <w:p>
            <w:pPr>
              <w:pStyle w:val="Compact"/>
              <w:spacing w:line="276" w:lineRule="auto" w:before="40" w:after="40"/>
            </w:pPr>
            <w:r>
              <w:rPr>
                <w:rFonts w:ascii="Liberation Sans Narrow" w:hAnsi="Liberation Sans Narrow"/>
                <w:sz w:val="18"/>
              </w:rPr>
              <w:t xml:space="preserve">STJ, AgInt no AREsp 1.636.832, Corte Especial, relator Min. Raul Araújo, DJe de 25/06/2021</w:t>
            </w:r>
          </w:p>
        </w:tc>
        <w:tc>
          <w:tcPr>
            <w:tcW w:type="dxa" w:w="4048"/>
          </w:tcPr>
          <w:p>
            <w:pPr>
              <w:pStyle w:val="Compact"/>
              <w:spacing w:line="276" w:lineRule="auto" w:before="40" w:after="40"/>
            </w:pPr>
            <w:r>
              <w:rPr>
                <w:rFonts w:ascii="Liberation Sans Narrow" w:hAnsi="Liberation Sans Narrow"/>
                <w:sz w:val="18"/>
              </w:rPr>
              <w:t xml:space="preserve">Aplica o Tema 988/STJ (taxatividade mitigada do art. 1.015): é cabível agravo de instrumento contra a decisão que fixa honorários periciais alegadamente exorbitantes, por urgência decorrente da inutilidade do julgamento só na apelação. Agravo interno e recurso especial providos.</w:t>
            </w:r>
          </w:p>
        </w:tc>
      </w:tr>
      <w:tr>
        <w:trPr>
          <w:cantSplit/>
        </w:trPr>
        <w:tc>
          <w:tcPr>
            <w:tcW w:type="dxa" w:w="2154"/>
          </w:tcPr>
          <w:p>
            <w:pPr>
              <w:pStyle w:val="Compact"/>
              <w:spacing w:line="276" w:lineRule="auto" w:before="40" w:after="40"/>
            </w:pPr>
            <w:r>
              <w:rPr>
                <w:rFonts w:ascii="Liberation Sans Narrow" w:hAnsi="Liberation Sans Narrow"/>
                <w:sz w:val="18"/>
              </w:rPr>
              <w:t xml:space="preserve">Art. 465, caput: qualificação do perito</w:t>
            </w:r>
          </w:p>
        </w:tc>
        <w:tc>
          <w:tcPr>
            <w:tcW w:type="dxa" w:w="3152"/>
          </w:tcPr>
          <w:p>
            <w:pPr>
              <w:pStyle w:val="Compact"/>
              <w:spacing w:line="276" w:lineRule="auto" w:before="40" w:after="40"/>
            </w:pPr>
            <w:r>
              <w:rPr>
                <w:rFonts w:ascii="Liberation Sans Narrow" w:hAnsi="Liberation Sans Narrow"/>
                <w:sz w:val="18"/>
              </w:rPr>
              <w:t xml:space="preserve">STJ, AREsp 3.078.178, Terceira Turma, relator Min. Ricardo Villas Bôas Cueva, julgado em 15/06/2026, DJEN de 18/06/2026</w:t>
            </w:r>
          </w:p>
        </w:tc>
        <w:tc>
          <w:tcPr>
            <w:tcW w:type="dxa" w:w="4048"/>
          </w:tcPr>
          <w:p>
            <w:pPr>
              <w:pStyle w:val="Compact"/>
              <w:spacing w:line="276" w:lineRule="auto" w:before="40" w:after="40"/>
            </w:pPr>
            <w:r>
              <w:rPr>
                <w:rFonts w:ascii="Liberation Sans Narrow" w:hAnsi="Liberation Sans Narrow"/>
                <w:sz w:val="18"/>
              </w:rPr>
              <w:t xml:space="preserve">A especialidade médica, em regra, não é requisito de validade da prova pericial; basta que o perito tenha conhecimento técnico-científico adequado (art. 465), de modo que não há nulidade nem necessidade de substituição (art. 468). Rever a capacidade técnica do perito exige reexame de provas (Súmula 7/STJ).</w:t>
            </w:r>
          </w:p>
        </w:tc>
      </w:tr>
      <w:tr>
        <w:trPr>
          <w:cantSplit/>
        </w:trPr>
        <w:tc>
          <w:tcPr>
            <w:tcW w:type="dxa" w:w="2154"/>
          </w:tcPr>
          <w:p>
            <w:pPr>
              <w:pStyle w:val="Compact"/>
              <w:spacing w:line="276" w:lineRule="auto" w:before="40" w:after="40"/>
            </w:pPr>
            <w:r>
              <w:rPr>
                <w:rFonts w:ascii="Liberation Sans Narrow" w:hAnsi="Liberation Sans Narrow"/>
                <w:sz w:val="18"/>
              </w:rPr>
              <w:t xml:space="preserve">Honorários periciais: rateio em perícia de ofício (art. 95)</w:t>
            </w:r>
          </w:p>
        </w:tc>
        <w:tc>
          <w:tcPr>
            <w:tcW w:type="dxa" w:w="3152"/>
          </w:tcPr>
          <w:p>
            <w:pPr>
              <w:pStyle w:val="Compact"/>
              <w:spacing w:line="276" w:lineRule="auto" w:before="40" w:after="40"/>
            </w:pPr>
            <w:r>
              <w:rPr>
                <w:rFonts w:ascii="Liberation Sans Narrow" w:hAnsi="Liberation Sans Narrow"/>
                <w:sz w:val="18"/>
              </w:rPr>
              <w:t xml:space="preserve">STJ, AgInt no REsp 1.776.415, Quarta Turma, relator Min. Raul Araújo, julgado em 13/04/2026, DJEN de 22/04/2026</w:t>
            </w:r>
          </w:p>
        </w:tc>
        <w:tc>
          <w:tcPr>
            <w:tcW w:type="dxa" w:w="4048"/>
          </w:tcPr>
          <w:p>
            <w:pPr>
              <w:pStyle w:val="Compact"/>
              <w:spacing w:line="276" w:lineRule="auto" w:before="40" w:after="40"/>
            </w:pPr>
            <w:r>
              <w:rPr>
                <w:rFonts w:ascii="Liberation Sans Narrow" w:hAnsi="Liberation Sans Narrow"/>
                <w:sz w:val="18"/>
              </w:rPr>
              <w:t xml:space="preserve">Determinada de ofício a perícia na segunda fase da ação de exigir contas, a remuneração do perito é rateada entre as partes, mesmo que o réu tenha sido condenado nos ônus sucumbenciais da primeira fase.</w:t>
            </w:r>
          </w:p>
        </w:tc>
      </w:tr>
      <w:tr>
        <w:trPr>
          <w:cantSplit/>
        </w:trPr>
        <w:tc>
          <w:tcPr>
            <w:tcW w:type="dxa" w:w="2154"/>
          </w:tcPr>
          <w:p>
            <w:pPr>
              <w:pStyle w:val="Compact"/>
              <w:spacing w:line="276" w:lineRule="auto" w:before="40" w:after="40"/>
            </w:pPr>
            <w:r>
              <w:rPr>
                <w:rFonts w:ascii="Liberation Sans Narrow" w:hAnsi="Liberation Sans Narrow"/>
                <w:sz w:val="18"/>
              </w:rPr>
              <w:t xml:space="preserve">Prescrição da execução de honorários periciais</w:t>
            </w:r>
          </w:p>
        </w:tc>
        <w:tc>
          <w:tcPr>
            <w:tcW w:type="dxa" w:w="3152"/>
          </w:tcPr>
          <w:p>
            <w:pPr>
              <w:pStyle w:val="Compact"/>
              <w:spacing w:line="276" w:lineRule="auto" w:before="40" w:after="40"/>
            </w:pPr>
            <w:r>
              <w:rPr>
                <w:rFonts w:ascii="Liberation Sans Narrow" w:hAnsi="Liberation Sans Narrow"/>
                <w:sz w:val="18"/>
              </w:rPr>
              <w:t xml:space="preserve">STJ, REsp 1.916.316, Terceira Turma, relator Min. Paulo de Tarso Sanseverino, julgado em 08/11/2022, DJe de 16/11/2022</w:t>
            </w:r>
          </w:p>
        </w:tc>
        <w:tc>
          <w:tcPr>
            <w:tcW w:type="dxa" w:w="4048"/>
          </w:tcPr>
          <w:p>
            <w:pPr>
              <w:pStyle w:val="Compact"/>
              <w:spacing w:line="276" w:lineRule="auto" w:before="40" w:after="40"/>
            </w:pPr>
            <w:r>
              <w:rPr>
                <w:rFonts w:ascii="Liberation Sans Narrow" w:hAnsi="Liberation Sans Narrow"/>
                <w:sz w:val="18"/>
              </w:rPr>
              <w:t xml:space="preserve">Na execução de honorários periciais em autos digitalizados e sem cadastramento do perito para intimações, o prazo prescricional começa com a ciência inequívoca do trânsito em julgado da decisão que os fixou (actio nata); prescrição não ocorrida.</w:t>
            </w:r>
          </w:p>
        </w:tc>
      </w:tr>
    </w:tbl>
    <w:p>
      <w:pPr>
        <w:pStyle w:val="BodyText"/>
        <w:keepNext/>
        <w:spacing w:after="80"/>
        <w:jc w:val="both"/>
      </w:pPr>
      <w:r>
        <w:t xml:space="preserve">§ 1º Incumbe às partes, dentro de 15 (quinze) dias contados da intimação do despacho de nomeação do perito: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84"/>
        <w:gridCol w:w="2834"/>
        <w:gridCol w:w="4935"/>
      </w:tblGrid>
      <w:tr>
        <w:trPr>
          <w:tblHeader w:val="on"/>
          <w:cantSplit/>
          <w:tblHeader/>
        </w:trPr>
        <w:tc>
          <w:tcPr>
            <w:tcW w:type="dxa" w:w="1584"/>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3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93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84"/>
          </w:tcPr>
          <w:p>
            <w:pPr>
              <w:pStyle w:val="Compact"/>
              <w:spacing w:line="276" w:lineRule="auto" w:before="40" w:after="40"/>
            </w:pPr>
            <w:r>
              <w:rPr>
                <w:rFonts w:ascii="Liberation Sans Narrow" w:hAnsi="Liberation Sans Narrow"/>
                <w:sz w:val="18"/>
              </w:rPr>
              <w:t xml:space="preserve">Art. 465, § 1º: impugnação do perito e preclusão</w:t>
            </w:r>
          </w:p>
        </w:tc>
        <w:tc>
          <w:tcPr>
            <w:tcW w:type="dxa" w:w="2835"/>
          </w:tcPr>
          <w:p>
            <w:pPr>
              <w:pStyle w:val="Compact"/>
              <w:spacing w:line="276" w:lineRule="auto" w:before="40" w:after="40"/>
            </w:pPr>
            <w:r>
              <w:rPr>
                <w:rFonts w:ascii="Liberation Sans Narrow" w:hAnsi="Liberation Sans Narrow"/>
                <w:sz w:val="18"/>
              </w:rPr>
              <w:t xml:space="preserve">STJ, REsp 2.200.621, Quarta Turma, relator Min. João Otávio de Noronha, julgado em 22/04/2026, DJEN de 27/04/2026</w:t>
            </w:r>
          </w:p>
        </w:tc>
        <w:tc>
          <w:tcPr>
            <w:tcW w:type="dxa" w:w="4935"/>
          </w:tcPr>
          <w:p>
            <w:pPr>
              <w:pStyle w:val="Compact"/>
              <w:spacing w:line="276" w:lineRule="auto" w:before="40" w:after="40"/>
            </w:pPr>
            <w:r>
              <w:rPr>
                <w:rFonts w:ascii="Liberation Sans Narrow" w:hAnsi="Liberation Sans Narrow"/>
                <w:sz w:val="18"/>
              </w:rPr>
              <w:t xml:space="preserve">A impugnação à qualificação técnico-científica do perito, apresentada só após o laudo, está precluída (arts. 465, § 1º, e 507 do CPC); a especialidade médica específica não é requisito de validade da perícia. Recurso especial não conhecido.</w:t>
            </w:r>
          </w:p>
        </w:tc>
      </w:tr>
    </w:tbl>
    <w:p>
      <w:pPr>
        <w:pStyle w:val="BodyText"/>
        <w:spacing w:after="80"/>
        <w:jc w:val="both"/>
      </w:pPr>
      <w:r>
        <w:t xml:space="preserve">I - arguir o impedimento ou a suspeição do perito, se for o caso;</w:t>
      </w:r>
    </w:p>
    <w:p>
      <w:pPr>
        <w:pStyle w:val="BodyText"/>
        <w:spacing w:after="80"/>
        <w:jc w:val="both"/>
      </w:pPr>
      <w:r>
        <w:t xml:space="preserve">II - indicar assistente técnico;</w:t>
      </w:r>
    </w:p>
    <w:p>
      <w:pPr>
        <w:pStyle w:val="BodyText"/>
        <w:spacing w:after="80"/>
        <w:jc w:val="both"/>
      </w:pPr>
      <w:r>
        <w:t xml:space="preserve">III - apresentar quesitos.</w:t>
      </w:r>
    </w:p>
    <w:p>
      <w:pPr>
        <w:pStyle w:val="BodyText"/>
        <w:spacing w:after="80"/>
        <w:jc w:val="both"/>
      </w:pPr>
      <w:r>
        <w:t xml:space="preserve">§ 2º Ciente da nomeação, o perito apresentará em 5 (cinco) dias:</w:t>
      </w:r>
    </w:p>
    <w:p>
      <w:pPr>
        <w:pStyle w:val="BodyText"/>
        <w:spacing w:after="80"/>
        <w:jc w:val="both"/>
      </w:pPr>
      <w:r>
        <w:t xml:space="preserve">I - proposta de honorários;</w:t>
      </w:r>
    </w:p>
    <w:p>
      <w:pPr>
        <w:pStyle w:val="BodyText"/>
        <w:spacing w:after="80"/>
        <w:jc w:val="both"/>
      </w:pPr>
      <w:r>
        <w:t xml:space="preserve">II - currículo, com comprovação de especialização;</w:t>
      </w:r>
    </w:p>
    <w:p>
      <w:pPr>
        <w:pStyle w:val="BodyText"/>
        <w:spacing w:after="80"/>
        <w:jc w:val="both"/>
      </w:pPr>
      <w:r>
        <w:t xml:space="preserve">III - contatos profissionais, em especial o endereço eletrônico, para onde serão dirigidas as intimações pessoais.</w:t>
      </w:r>
    </w:p>
    <w:p>
      <w:pPr>
        <w:pStyle w:val="BodyText"/>
        <w:spacing w:after="80"/>
        <w:jc w:val="both"/>
      </w:pPr>
      <w:r>
        <w:t xml:space="preserve">§ 3º As partes serão intimadas da proposta de honorários para, querendo, manifestar-se no prazo comum de 5 (cinco) dias, após o que o juiz arbitrará o valor, intimando-se as partes para os fins do art. 95.</w:t>
      </w:r>
    </w:p>
    <w:p>
      <w:pPr>
        <w:pStyle w:val="BodyText"/>
        <w:spacing w:after="80"/>
        <w:jc w:val="both"/>
      </w:pPr>
      <w:r>
        <w:t xml:space="preserve">§ 4º O juiz poderá autorizar o pagamento de até cinquenta por cento dos honorários arbitrados a favor do perito no início dos trabalhos, devendo o remanescente ser pago apenas ao final, depois de entregue o laudo e prestados todos os esclarecimentos necessários.</w:t>
      </w:r>
    </w:p>
    <w:p>
      <w:pPr>
        <w:pStyle w:val="BodyText"/>
        <w:spacing w:after="80"/>
        <w:jc w:val="both"/>
      </w:pPr>
      <w:r>
        <w:t xml:space="preserve">§ 5º Quando a perícia for inconclusiva ou deficiente, o juiz poderá reduzir a remuneração inicialmente arbitrada para o trabalho.</w:t>
      </w:r>
    </w:p>
    <w:p>
      <w:pPr>
        <w:pStyle w:val="BodyText"/>
        <w:spacing w:after="80"/>
        <w:jc w:val="both"/>
      </w:pPr>
      <w:r>
        <w:t xml:space="preserve">§ 6º Quando tiver de realizar-se por carta, poder-se-á proceder à nomeação de perito e à indicação de assistentes técnicos no juízo ao qual se requisitar a perícia.</w:t>
      </w:r>
    </w:p>
    <w:bookmarkEnd w:id="192"/>
    <w:bookmarkStart w:id="193" w:name="art.-466"/>
    <w:p>
      <w:pPr>
        <w:pStyle w:val="Heading6"/>
        <w:pBdr>
          <w:left w:val="single" w:sz="36" w:space="4" w:color="2E75B6"/>
        </w:pBdr>
        <w:shd w:val="clear" w:color="auto" w:fill="E3EEF9"/>
        <w:spacing w:before="200" w:after="80"/>
        <w:ind w:left="85"/>
      </w:pPr>
      <w:r>
        <w:rPr>
          <w:i w:val="0"/>
          <w:color w:val="1F3A5F"/>
          <w:sz w:val="23"/>
        </w:rPr>
        <w:t xml:space="preserve">Art. 466</w:t>
      </w:r>
    </w:p>
    <w:p>
      <w:pPr>
        <w:pStyle w:val="FirstParagraph"/>
        <w:spacing w:after="80"/>
        <w:jc w:val="both"/>
      </w:pPr>
      <w:r>
        <w:rPr>
          <w:b/>
          <w:bCs/>
        </w:rPr>
        <w:t xml:space="preserve">Art. 466.</w:t>
      </w:r>
      <w:r>
        <w:t xml:space="preserve"> </w:t>
      </w:r>
      <w:r>
        <w:t xml:space="preserve">O perito cumprirá escrupulosamente o encargo que lhe foi cometido, independentemente de termo de compromisso.</w:t>
      </w:r>
    </w:p>
    <w:p>
      <w:pPr>
        <w:pStyle w:val="BodyText"/>
        <w:keepNext/>
        <w:spacing w:after="80"/>
        <w:jc w:val="both"/>
      </w:pPr>
      <w:r>
        <w:t xml:space="preserve">§ 1º Os assistentes técnicos são de confiança da parte e não estão sujeitos a impedimento ou suspeição.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99"/>
        <w:gridCol w:w="2841"/>
        <w:gridCol w:w="4914"/>
      </w:tblGrid>
      <w:tr>
        <w:trPr>
          <w:tblHeader w:val="on"/>
          <w:cantSplit/>
          <w:tblHeader/>
        </w:trPr>
        <w:tc>
          <w:tcPr>
            <w:tcW w:type="dxa" w:w="1599"/>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4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91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99"/>
          </w:tcPr>
          <w:p>
            <w:pPr>
              <w:pStyle w:val="Compact"/>
              <w:spacing w:line="276" w:lineRule="auto" w:before="40" w:after="40"/>
            </w:pPr>
            <w:r>
              <w:rPr>
                <w:rFonts w:ascii="Liberation Sans Narrow" w:hAnsi="Liberation Sans Narrow"/>
                <w:sz w:val="18"/>
              </w:rPr>
              <w:t xml:space="preserve">§ 1º — assistente técnico é de confiança da parte</w:t>
            </w:r>
          </w:p>
        </w:tc>
        <w:tc>
          <w:tcPr>
            <w:tcW w:type="dxa" w:w="2841"/>
          </w:tcPr>
          <w:p>
            <w:pPr>
              <w:pStyle w:val="Compact"/>
              <w:spacing w:line="276" w:lineRule="auto" w:before="40" w:after="40"/>
            </w:pPr>
            <w:r>
              <w:rPr>
                <w:rFonts w:ascii="Liberation Sans Narrow" w:hAnsi="Liberation Sans Narrow"/>
                <w:sz w:val="18"/>
              </w:rPr>
              <w:t xml:space="preserve">STJ, REsp 2.120.455, Quarta Turma, relator Min. Antonio Carlos Ferreira, julgado em 11/05/2026, DJEN de 18/05/2026</w:t>
            </w:r>
          </w:p>
        </w:tc>
        <w:tc>
          <w:tcPr>
            <w:tcW w:type="dxa" w:w="4914"/>
          </w:tcPr>
          <w:p>
            <w:pPr>
              <w:pStyle w:val="Compact"/>
              <w:spacing w:line="276" w:lineRule="auto" w:before="40" w:after="40"/>
            </w:pPr>
            <w:r>
              <w:rPr>
                <w:rFonts w:ascii="Liberation Sans Narrow" w:hAnsi="Liberation Sans Narrow"/>
                <w:sz w:val="18"/>
              </w:rPr>
              <w:t xml:space="preserve">Os arts. 84 e 95 do CPC restringem o dever de ressarcimento do vencido às despesas estritamente processuais, entre elas a remuneração do assistente técnico atuante no processo, verbas que não se confundem com a remuneração de profissional contratado pela parte (no caso, contador particular).</w:t>
            </w:r>
          </w:p>
        </w:tc>
      </w:tr>
    </w:tbl>
    <w:p>
      <w:pPr>
        <w:pStyle w:val="BodyText"/>
        <w:spacing w:after="80"/>
        <w:jc w:val="both"/>
      </w:pPr>
      <w:r>
        <w:t xml:space="preserve">§ 2º O perito deve assegurar aos assistentes das partes o acesso e o acompanhamento das diligências e dos exames que realizar, com prévia comunicação, comprovada nos autos, com antecedência mínima de 5 (cinco) dias.</w:t>
      </w:r>
    </w:p>
    <w:bookmarkEnd w:id="193"/>
    <w:bookmarkStart w:id="194" w:name="art.-467"/>
    <w:p>
      <w:pPr>
        <w:pStyle w:val="Heading6"/>
        <w:pBdr>
          <w:left w:val="single" w:sz="36" w:space="4" w:color="2E75B6"/>
        </w:pBdr>
        <w:shd w:val="clear" w:color="auto" w:fill="E3EEF9"/>
        <w:spacing w:before="200" w:after="80"/>
        <w:ind w:left="85"/>
      </w:pPr>
      <w:r>
        <w:rPr>
          <w:i w:val="0"/>
          <w:color w:val="1F3A5F"/>
          <w:sz w:val="23"/>
        </w:rPr>
        <w:t xml:space="preserve">Art. 467</w:t>
      </w:r>
    </w:p>
    <w:p>
      <w:pPr>
        <w:pStyle w:val="FirstParagraph"/>
        <w:keepNext/>
        <w:spacing w:after="80"/>
        <w:jc w:val="both"/>
      </w:pPr>
      <w:r>
        <w:rPr>
          <w:b/>
          <w:bCs/>
        </w:rPr>
        <w:t xml:space="preserve">Art. 467.</w:t>
      </w:r>
      <w:r>
        <w:t xml:space="preserve"> </w:t>
      </w:r>
      <w:r>
        <w:t xml:space="preserve">O perito pode escusar-se ou ser recusado por impedimento ou suspeição.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2511"/>
        <w:gridCol w:w="5313"/>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1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31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Caput — suspeição do perito e reexame</w:t>
            </w:r>
          </w:p>
        </w:tc>
        <w:tc>
          <w:tcPr>
            <w:tcW w:type="dxa" w:w="2511"/>
          </w:tcPr>
          <w:p>
            <w:pPr>
              <w:pStyle w:val="Compact"/>
              <w:spacing w:line="276" w:lineRule="auto" w:before="40" w:after="40"/>
            </w:pPr>
            <w:r>
              <w:rPr>
                <w:rFonts w:ascii="Liberation Sans Narrow" w:hAnsi="Liberation Sans Narrow"/>
                <w:sz w:val="18"/>
              </w:rPr>
              <w:t xml:space="preserve">STJ, AgInt no AREsp 2.566.952, Quarta Turma, relator Min. Raul Araújo, DJe de 02/09/2024</w:t>
            </w:r>
          </w:p>
        </w:tc>
        <w:tc>
          <w:tcPr>
            <w:tcW w:type="dxa" w:w="5313"/>
          </w:tcPr>
          <w:p>
            <w:pPr>
              <w:pStyle w:val="Compact"/>
              <w:spacing w:line="276" w:lineRule="auto" w:before="40" w:after="40"/>
            </w:pPr>
            <w:r>
              <w:rPr>
                <w:rFonts w:ascii="Liberation Sans Narrow" w:hAnsi="Liberation Sans Narrow"/>
                <w:sz w:val="18"/>
              </w:rPr>
              <w:t xml:space="preserve">Reconhecida na origem a inexistência de suspeição do perito — a manifestação apontada como parcial ocorreu em sede de esclarecimentos, motivada pela própria parte —, a reforma desse entendimento demanda reexame das provas (Súmula 7/STJ).</w:t>
            </w:r>
          </w:p>
        </w:tc>
      </w:tr>
    </w:tbl>
    <w:p>
      <w:pPr>
        <w:pStyle w:val="BodyText"/>
        <w:spacing w:after="80"/>
        <w:jc w:val="both"/>
      </w:pPr>
      <w:r>
        <w:t xml:space="preserve">Parágrafo único. O juiz, ao aceitar a escusa ou ao julgar procedente a impugnação, nomeará novo perito.</w:t>
      </w:r>
    </w:p>
    <w:bookmarkEnd w:id="194"/>
    <w:bookmarkStart w:id="195" w:name="art.-468"/>
    <w:p>
      <w:pPr>
        <w:pStyle w:val="Heading6"/>
        <w:pBdr>
          <w:left w:val="single" w:sz="36" w:space="4" w:color="2E75B6"/>
        </w:pBdr>
        <w:shd w:val="clear" w:color="auto" w:fill="E3EEF9"/>
        <w:spacing w:before="200" w:after="80"/>
        <w:ind w:left="85"/>
      </w:pPr>
      <w:r>
        <w:rPr>
          <w:i w:val="0"/>
          <w:color w:val="1F3A5F"/>
          <w:sz w:val="23"/>
        </w:rPr>
        <w:t xml:space="preserve">Art. 468</w:t>
      </w:r>
    </w:p>
    <w:p>
      <w:pPr>
        <w:pStyle w:val="FirstParagraph"/>
        <w:keepNext/>
        <w:spacing w:after="80"/>
        <w:jc w:val="both"/>
      </w:pPr>
      <w:r>
        <w:rPr>
          <w:b/>
          <w:bCs/>
        </w:rPr>
        <w:t xml:space="preserve">Art. 468.</w:t>
      </w:r>
      <w:r>
        <w:t xml:space="preserve"> </w:t>
      </w:r>
      <w:r>
        <w:t xml:space="preserve">O perito pode ser substituído quando: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90"/>
        <w:gridCol w:w="2821"/>
        <w:gridCol w:w="4343"/>
      </w:tblGrid>
      <w:tr>
        <w:trPr>
          <w:tblHeader w:val="on"/>
          <w:cantSplit/>
          <w:tblHeader/>
        </w:trPr>
        <w:tc>
          <w:tcPr>
            <w:tcW w:type="dxa" w:w="219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2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34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90"/>
          </w:tcPr>
          <w:p>
            <w:pPr>
              <w:pStyle w:val="Compact"/>
              <w:spacing w:line="276" w:lineRule="auto" w:before="40" w:after="40"/>
            </w:pPr>
            <w:r>
              <w:rPr>
                <w:rFonts w:ascii="Liberation Sans Narrow" w:hAnsi="Liberation Sans Narrow"/>
                <w:sz w:val="18"/>
              </w:rPr>
              <w:t xml:space="preserve">Caput — substituição por incapacidade técnica ou comprometimento da imparcialidade</w:t>
            </w:r>
          </w:p>
        </w:tc>
        <w:tc>
          <w:tcPr>
            <w:tcW w:type="dxa" w:w="2822"/>
          </w:tcPr>
          <w:p>
            <w:pPr>
              <w:pStyle w:val="Compact"/>
              <w:spacing w:line="276" w:lineRule="auto" w:before="40" w:after="40"/>
            </w:pPr>
            <w:r>
              <w:rPr>
                <w:rFonts w:ascii="Liberation Sans Narrow" w:hAnsi="Liberation Sans Narrow"/>
                <w:sz w:val="18"/>
              </w:rPr>
              <w:t xml:space="preserve">STJ, REsp 2.150.255, Quarta Turma, relatora Min. Maria Isabel Gallotti, julgado em 30/06/2026, DJEN de 03/07/2026</w:t>
            </w:r>
          </w:p>
        </w:tc>
        <w:tc>
          <w:tcPr>
            <w:tcW w:type="dxa" w:w="4343"/>
          </w:tcPr>
          <w:p>
            <w:pPr>
              <w:pStyle w:val="Compact"/>
              <w:spacing w:line="276" w:lineRule="auto" w:before="40" w:after="40"/>
            </w:pPr>
            <w:r>
              <w:rPr>
                <w:rFonts w:ascii="Liberation Sans Narrow" w:hAnsi="Liberation Sans Narrow"/>
                <w:sz w:val="18"/>
              </w:rPr>
              <w:t xml:space="preserve">É possível a substituição do perito quando verificada incapacidade técnica ou comprometimento da imparcialidade, incumbindo ao julgador avaliar a viabilidade da prova produzida; o juiz, destinatário da prova, pode determinar motivadamente nova perícia quando a questão não estiver suficientemente esclarecida (art. 480). A revisão do acerto dessa avaliação exige reexame de fatos e provas (Súmula 7/STJ).</w:t>
            </w:r>
          </w:p>
        </w:tc>
      </w:tr>
      <w:tr>
        <w:trPr>
          <w:cantSplit/>
        </w:trPr>
        <w:tc>
          <w:tcPr>
            <w:tcW w:type="dxa" w:w="2190"/>
          </w:tcPr>
          <w:p>
            <w:pPr>
              <w:pStyle w:val="Compact"/>
              <w:spacing w:line="276" w:lineRule="auto" w:before="40" w:after="40"/>
            </w:pPr>
            <w:r>
              <w:rPr>
                <w:rFonts w:ascii="Liberation Sans Narrow" w:hAnsi="Liberation Sans Narrow"/>
                <w:sz w:val="18"/>
              </w:rPr>
              <w:t xml:space="preserve">Caput — suficiência da qualificação técnica do perito nomeado</w:t>
            </w:r>
          </w:p>
        </w:tc>
        <w:tc>
          <w:tcPr>
            <w:tcW w:type="dxa" w:w="2822"/>
          </w:tcPr>
          <w:p>
            <w:pPr>
              <w:pStyle w:val="Compact"/>
              <w:spacing w:line="276" w:lineRule="auto" w:before="40" w:after="40"/>
            </w:pPr>
            <w:r>
              <w:rPr>
                <w:rFonts w:ascii="Liberation Sans Narrow" w:hAnsi="Liberation Sans Narrow"/>
                <w:sz w:val="18"/>
              </w:rPr>
              <w:t xml:space="preserve">STJ, AREsp 3.101.329, Quarta Turma, relator Min. João Otávio de Noronha, DJe de 27/04/2026</w:t>
            </w:r>
          </w:p>
        </w:tc>
        <w:tc>
          <w:tcPr>
            <w:tcW w:type="dxa" w:w="4343"/>
          </w:tcPr>
          <w:p>
            <w:pPr>
              <w:pStyle w:val="Compact"/>
              <w:spacing w:line="276" w:lineRule="auto" w:before="40" w:after="40"/>
            </w:pPr>
            <w:r>
              <w:rPr>
                <w:rFonts w:ascii="Liberation Sans Narrow" w:hAnsi="Liberation Sans Narrow"/>
                <w:sz w:val="18"/>
              </w:rPr>
              <w:t xml:space="preserve">Afastada na origem a violação do art. 468, por reconhecidas a suficiência da qualificação técnica do perito e a ausência dos requisitos para a substituição, a pretensão recursal demanda reexame de matéria fático-probatória (Súmula 7/STJ).</w:t>
            </w:r>
          </w:p>
        </w:tc>
      </w:tr>
    </w:tbl>
    <w:p>
      <w:pPr>
        <w:pStyle w:val="BodyText"/>
        <w:spacing w:after="80"/>
        <w:jc w:val="both"/>
      </w:pPr>
      <w:r>
        <w:t xml:space="preserve">I - faltar-lhe conhecimento técnico ou científico;</w:t>
      </w:r>
    </w:p>
    <w:p>
      <w:pPr>
        <w:pStyle w:val="BodyText"/>
        <w:spacing w:after="80"/>
        <w:jc w:val="both"/>
      </w:pPr>
      <w:r>
        <w:t xml:space="preserve">II - sem motivo legítimo, deixar de cumprir o encargo no prazo que lhe foi assinado.</w:t>
      </w:r>
    </w:p>
    <w:p>
      <w:pPr>
        <w:pStyle w:val="BodyText"/>
        <w:spacing w:after="80"/>
        <w:jc w:val="both"/>
      </w:pPr>
      <w:r>
        <w:t xml:space="preserve">§ 1º No caso previsto no inciso II, o juiz comunicará a ocorrência à corporação profissional respectiva, podendo, ainda, impor multa ao perito, fixada tendo em vista o valor da causa e o possível prejuízo decorrente do atraso no processo.</w:t>
      </w:r>
    </w:p>
    <w:p>
      <w:pPr>
        <w:pStyle w:val="BodyText"/>
        <w:spacing w:after="80"/>
        <w:jc w:val="both"/>
      </w:pPr>
      <w:r>
        <w:t xml:space="preserve">§ 2º O perito substituído restituirá, no prazo de 15 (quinze) dias, os valores recebidos pelo trabalho não realizado, sob pena de ficar impedido de atuar como perito judicial pelo prazo de 5 (cinco) anos.</w:t>
      </w:r>
    </w:p>
    <w:p>
      <w:pPr>
        <w:pStyle w:val="BodyText"/>
        <w:spacing w:after="80"/>
        <w:jc w:val="both"/>
      </w:pPr>
      <w:r>
        <w:t xml:space="preserve">§ 3º Não ocorrendo a restituição voluntária de que trata o § 2º, a parte que tiver realizado o adiantamento dos honorários poderá promover execução contra o perito, na forma dos arts. 513 e seguintes deste Código, com fundamento na decisão que determinar a devolução do numerário.</w:t>
      </w:r>
    </w:p>
    <w:bookmarkEnd w:id="195"/>
    <w:bookmarkStart w:id="196" w:name="art.-469"/>
    <w:p>
      <w:pPr>
        <w:pStyle w:val="Heading6"/>
        <w:pBdr>
          <w:left w:val="single" w:sz="36" w:space="4" w:color="2E75B6"/>
        </w:pBdr>
        <w:shd w:val="clear" w:color="auto" w:fill="E3EEF9"/>
        <w:spacing w:before="200" w:after="80"/>
        <w:ind w:left="85"/>
      </w:pPr>
      <w:r>
        <w:rPr>
          <w:i w:val="0"/>
          <w:color w:val="1F3A5F"/>
          <w:sz w:val="23"/>
        </w:rPr>
        <w:t xml:space="preserve">Art. 469</w:t>
      </w:r>
    </w:p>
    <w:p>
      <w:pPr>
        <w:pStyle w:val="FirstParagraph"/>
        <w:keepNext/>
        <w:spacing w:after="80"/>
        <w:jc w:val="both"/>
      </w:pPr>
      <w:r>
        <w:rPr>
          <w:b/>
          <w:bCs/>
        </w:rPr>
        <w:t xml:space="preserve">Art. 469.</w:t>
      </w:r>
      <w:r>
        <w:t xml:space="preserve"> </w:t>
      </w:r>
      <w:r>
        <w:t xml:space="preserve">As partes poderão apresentar quesitos suplementares durante a diligência, que poderão ser respondidos pelo perito previamente ou na audiência de instrução e julgamento.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2951"/>
        <w:gridCol w:w="449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95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49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Caput — apresentação de quesitos suplementares e limites da revisão</w:t>
            </w:r>
          </w:p>
        </w:tc>
        <w:tc>
          <w:tcPr>
            <w:tcW w:type="dxa" w:w="2951"/>
          </w:tcPr>
          <w:p>
            <w:pPr>
              <w:pStyle w:val="Compact"/>
              <w:spacing w:line="276" w:lineRule="auto" w:before="40" w:after="40"/>
            </w:pPr>
            <w:r>
              <w:rPr>
                <w:rFonts w:ascii="Liberation Sans Narrow" w:hAnsi="Liberation Sans Narrow"/>
                <w:sz w:val="18"/>
              </w:rPr>
              <w:t xml:space="preserve">STJ, REsp 1.976.506, Quarta Turma, relatora Min. Maria Isabel Gallotti, julgado em 04/05/2026, DJEN de 07/05/2026</w:t>
            </w:r>
          </w:p>
        </w:tc>
        <w:tc>
          <w:tcPr>
            <w:tcW w:type="dxa" w:w="4499"/>
          </w:tcPr>
          <w:p>
            <w:pPr>
              <w:pStyle w:val="Compact"/>
              <w:spacing w:line="276" w:lineRule="auto" w:before="40" w:after="40"/>
            </w:pPr>
            <w:r>
              <w:rPr>
                <w:rFonts w:ascii="Liberation Sans Narrow" w:hAnsi="Liberation Sans Narrow"/>
                <w:sz w:val="18"/>
              </w:rPr>
              <w:t xml:space="preserve">As faculdades previstas no art. 477 do CPC permitem às partes a apresentação de quesitos suplementares e o requerimento de esclarecimentos ao perito independentemente da indicação de assistente técnico; a aferição da pertinência dos quesitos, da suficiência do laudo e dos critérios técnicos empregados é matéria fático-probatória, insuscetível de revisão em recurso especial (Súmula 7/STJ).</w:t>
            </w:r>
          </w:p>
        </w:tc>
      </w:tr>
      <w:tr>
        <w:trPr>
          <w:cantSplit/>
        </w:trPr>
        <w:tc>
          <w:tcPr>
            <w:tcW w:type="dxa" w:w="1905"/>
          </w:tcPr>
          <w:p>
            <w:pPr>
              <w:pStyle w:val="Compact"/>
              <w:spacing w:line="276" w:lineRule="auto" w:before="40" w:after="40"/>
            </w:pPr>
            <w:r>
              <w:rPr>
                <w:rFonts w:ascii="Liberation Sans Narrow" w:hAnsi="Liberation Sans Narrow"/>
                <w:sz w:val="18"/>
              </w:rPr>
              <w:t xml:space="preserve">Caput — quesitos suplementares após o laudo</w:t>
            </w:r>
          </w:p>
        </w:tc>
        <w:tc>
          <w:tcPr>
            <w:tcW w:type="dxa" w:w="2951"/>
          </w:tcPr>
          <w:p>
            <w:pPr>
              <w:pStyle w:val="Compact"/>
              <w:spacing w:line="276" w:lineRule="auto" w:before="40" w:after="40"/>
            </w:pPr>
            <w:r>
              <w:rPr>
                <w:rFonts w:ascii="Liberation Sans Narrow" w:hAnsi="Liberation Sans Narrow"/>
                <w:sz w:val="18"/>
              </w:rPr>
              <w:t xml:space="preserve">STJ, AgInt no AREsp 2.180.053, Segunda Turma, relator Min. Herman Benjamin, DJe de 04/04/2023</w:t>
            </w:r>
          </w:p>
        </w:tc>
        <w:tc>
          <w:tcPr>
            <w:tcW w:type="dxa" w:w="4499"/>
          </w:tcPr>
          <w:p>
            <w:pPr>
              <w:pStyle w:val="Compact"/>
              <w:spacing w:line="276" w:lineRule="auto" w:before="40" w:after="40"/>
            </w:pPr>
            <w:r>
              <w:rPr>
                <w:rFonts w:ascii="Liberation Sans Narrow" w:hAnsi="Liberation Sans Narrow"/>
                <w:sz w:val="18"/>
              </w:rPr>
              <w:t xml:space="preserve">Reconhecido na origem que os quesitos suplementares foram formulados somente após o protocolo do laudo e dos esclarecimentos, para ampliar indevidamente o objeto da perícia e rediscutir a prova técnica desfavorável, e que as informações do laudo eram suficientes, a conclusão diversa exigiria reexame do contexto fático-probatório (Súmula 7/STJ). Cabe ao juiz, destinatário da prova, deferir ou indeferir as solicitações das partes.</w:t>
            </w:r>
          </w:p>
        </w:tc>
      </w:tr>
    </w:tbl>
    <w:p>
      <w:pPr>
        <w:pStyle w:val="BodyText"/>
        <w:spacing w:after="80"/>
        <w:jc w:val="both"/>
      </w:pPr>
      <w:r>
        <w:t xml:space="preserve">Parágrafo único. O escrivão dará à parte contrária ciência da juntada dos quesitos aos autos.</w:t>
      </w:r>
    </w:p>
    <w:bookmarkEnd w:id="196"/>
    <w:bookmarkStart w:id="197" w:name="art.-470"/>
    <w:p>
      <w:pPr>
        <w:pStyle w:val="Heading6"/>
        <w:pBdr>
          <w:left w:val="single" w:sz="36" w:space="4" w:color="2E75B6"/>
        </w:pBdr>
        <w:shd w:val="clear" w:color="auto" w:fill="E3EEF9"/>
        <w:spacing w:before="200" w:after="80"/>
        <w:ind w:left="85"/>
      </w:pPr>
      <w:r>
        <w:rPr>
          <w:i w:val="0"/>
          <w:color w:val="1F3A5F"/>
          <w:sz w:val="23"/>
        </w:rPr>
        <w:t xml:space="preserve">Art. 470</w:t>
      </w:r>
    </w:p>
    <w:p>
      <w:pPr>
        <w:pStyle w:val="FirstParagraph"/>
        <w:spacing w:after="80"/>
        <w:jc w:val="both"/>
      </w:pPr>
      <w:r>
        <w:rPr>
          <w:b/>
          <w:bCs/>
        </w:rPr>
        <w:t xml:space="preserve">Art. 470.</w:t>
      </w:r>
      <w:r>
        <w:t xml:space="preserve"> </w:t>
      </w:r>
      <w:r>
        <w:t xml:space="preserve">Incumbe ao juiz:</w:t>
      </w:r>
    </w:p>
    <w:p>
      <w:pPr>
        <w:pStyle w:val="BodyText"/>
        <w:keepNext/>
        <w:spacing w:after="80"/>
        <w:jc w:val="both"/>
      </w:pPr>
      <w:r>
        <w:t xml:space="preserve">I - indeferir quesitos impertinentes;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2927"/>
        <w:gridCol w:w="4522"/>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92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52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I — indeferimento de quesitos</w:t>
            </w:r>
          </w:p>
        </w:tc>
        <w:tc>
          <w:tcPr>
            <w:tcW w:type="dxa" w:w="2927"/>
          </w:tcPr>
          <w:p>
            <w:pPr>
              <w:pStyle w:val="Compact"/>
              <w:spacing w:line="276" w:lineRule="auto" w:before="40" w:after="40"/>
            </w:pPr>
            <w:r>
              <w:rPr>
                <w:rFonts w:ascii="Liberation Sans Narrow" w:hAnsi="Liberation Sans Narrow"/>
                <w:sz w:val="18"/>
              </w:rPr>
              <w:t xml:space="preserve">STJ, REsp 1.976.506, Quarta Turma, relatora Min. Maria Isabel Gallotti, julgado em 04/05/2026, DJEN de 07/05/2026</w:t>
            </w:r>
          </w:p>
        </w:tc>
        <w:tc>
          <w:tcPr>
            <w:tcW w:type="dxa" w:w="4522"/>
          </w:tcPr>
          <w:p>
            <w:pPr>
              <w:pStyle w:val="Compact"/>
              <w:spacing w:line="276" w:lineRule="auto" w:before="40" w:after="40"/>
            </w:pPr>
            <w:r>
              <w:rPr>
                <w:rFonts w:ascii="Liberation Sans Narrow" w:hAnsi="Liberation Sans Narrow"/>
                <w:sz w:val="18"/>
              </w:rPr>
              <w:t xml:space="preserve">O magistrado pode indeferir, de ofício ou a requerimento da parte, a formulação de quesitos suplementares quando o laudo pericial apresentado for considerado suficiente para a solução da controvérsia. O juiz é o destinatário final das provas, e o indeferimento fundamentado não configura cerceamento de defesa.</w:t>
            </w:r>
          </w:p>
        </w:tc>
      </w:tr>
      <w:tr>
        <w:trPr>
          <w:cantSplit/>
        </w:trPr>
        <w:tc>
          <w:tcPr>
            <w:tcW w:type="dxa" w:w="1905"/>
          </w:tcPr>
          <w:p>
            <w:pPr>
              <w:pStyle w:val="Compact"/>
              <w:spacing w:line="276" w:lineRule="auto" w:before="40" w:after="40"/>
            </w:pPr>
            <w:r>
              <w:rPr>
                <w:rFonts w:ascii="Liberation Sans Narrow" w:hAnsi="Liberation Sans Narrow"/>
                <w:sz w:val="18"/>
              </w:rPr>
              <w:t xml:space="preserve">I — deferimento e indeferimento das solicitações das partes</w:t>
            </w:r>
          </w:p>
        </w:tc>
        <w:tc>
          <w:tcPr>
            <w:tcW w:type="dxa" w:w="2927"/>
          </w:tcPr>
          <w:p>
            <w:pPr>
              <w:pStyle w:val="Compact"/>
              <w:spacing w:line="276" w:lineRule="auto" w:before="40" w:after="40"/>
            </w:pPr>
            <w:r>
              <w:rPr>
                <w:rFonts w:ascii="Liberation Sans Narrow" w:hAnsi="Liberation Sans Narrow"/>
                <w:sz w:val="18"/>
              </w:rPr>
              <w:t xml:space="preserve">STJ, AgInt no AREsp 2.180.053, Segunda Turma, relator Min. Herman Benjamin, DJe de 04/04/2023</w:t>
            </w:r>
          </w:p>
        </w:tc>
        <w:tc>
          <w:tcPr>
            <w:tcW w:type="dxa" w:w="4522"/>
          </w:tcPr>
          <w:p>
            <w:pPr>
              <w:pStyle w:val="Compact"/>
              <w:spacing w:line="276" w:lineRule="auto" w:before="40" w:after="40"/>
            </w:pPr>
            <w:r>
              <w:rPr>
                <w:rFonts w:ascii="Liberation Sans Narrow" w:hAnsi="Liberation Sans Narrow"/>
                <w:sz w:val="18"/>
              </w:rPr>
              <w:t xml:space="preserve">Cabe ao juiz, como destinatário da prova, a competência para deferir ou indeferir as solicitações das partes; a conclusão diversa sobre a suficiência do laudo exigiria reexame do contexto fático-probatório (Súmula 7/STJ).</w:t>
            </w:r>
          </w:p>
        </w:tc>
      </w:tr>
    </w:tbl>
    <w:p>
      <w:pPr>
        <w:pStyle w:val="BodyText"/>
        <w:spacing w:after="80"/>
        <w:jc w:val="both"/>
      </w:pPr>
      <w:r>
        <w:t xml:space="preserve">II - formular os quesitos que entender necessários ao esclarecimento da causa.</w:t>
      </w:r>
    </w:p>
    <w:bookmarkEnd w:id="197"/>
    <w:bookmarkStart w:id="198" w:name="art.-471"/>
    <w:p>
      <w:pPr>
        <w:pStyle w:val="Heading6"/>
        <w:pBdr>
          <w:left w:val="single" w:sz="36" w:space="4" w:color="2E75B6"/>
        </w:pBdr>
        <w:shd w:val="clear" w:color="auto" w:fill="E3EEF9"/>
        <w:spacing w:before="200" w:after="80"/>
        <w:ind w:left="85"/>
      </w:pPr>
      <w:r>
        <w:rPr>
          <w:i w:val="0"/>
          <w:color w:val="1F3A5F"/>
          <w:sz w:val="23"/>
        </w:rPr>
        <w:t xml:space="preserve">Art. 471</w:t>
      </w:r>
    </w:p>
    <w:p>
      <w:pPr>
        <w:pStyle w:val="FirstParagraph"/>
        <w:keepNext/>
        <w:spacing w:after="80"/>
        <w:jc w:val="both"/>
      </w:pPr>
      <w:r>
        <w:rPr>
          <w:b/>
          <w:bCs/>
        </w:rPr>
        <w:t xml:space="preserve">Art. 471.</w:t>
      </w:r>
      <w:r>
        <w:t xml:space="preserve"> </w:t>
      </w:r>
      <w:r>
        <w:t xml:space="preserve">As partes podem, de comum acordo, escolher o perito, indicando-o mediante requerimento, desde que: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60"/>
        <w:gridCol w:w="2854"/>
        <w:gridCol w:w="4840"/>
      </w:tblGrid>
      <w:tr>
        <w:trPr>
          <w:tblHeader w:val="on"/>
          <w:cantSplit/>
          <w:tblHeader/>
        </w:trPr>
        <w:tc>
          <w:tcPr>
            <w:tcW w:type="dxa" w:w="166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5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4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60"/>
          </w:tcPr>
          <w:p>
            <w:pPr>
              <w:pStyle w:val="Compact"/>
              <w:spacing w:line="276" w:lineRule="auto" w:before="40" w:after="40"/>
            </w:pPr>
            <w:r>
              <w:rPr>
                <w:rFonts w:ascii="Liberation Sans Narrow" w:hAnsi="Liberation Sans Narrow"/>
                <w:sz w:val="18"/>
              </w:rPr>
              <w:t xml:space="preserve">Perícia consensual: escolha do perito de comum acordo</w:t>
            </w:r>
          </w:p>
        </w:tc>
        <w:tc>
          <w:tcPr>
            <w:tcW w:type="dxa" w:w="2854"/>
          </w:tcPr>
          <w:p>
            <w:pPr>
              <w:pStyle w:val="Compact"/>
              <w:spacing w:line="276" w:lineRule="auto" w:before="40" w:after="40"/>
            </w:pPr>
            <w:r>
              <w:rPr>
                <w:rFonts w:ascii="Liberation Sans Narrow" w:hAnsi="Liberation Sans Narrow"/>
                <w:sz w:val="18"/>
              </w:rPr>
              <w:t xml:space="preserve">STJ, REsp 1.924.452, Terceira Turma, relator Min. Ricardo Villas Bôas Cueva, julgado em 04/10/2022, DJe de 10/10/2022</w:t>
            </w:r>
          </w:p>
        </w:tc>
        <w:tc>
          <w:tcPr>
            <w:tcW w:type="dxa" w:w="4840"/>
          </w:tcPr>
          <w:p>
            <w:pPr>
              <w:pStyle w:val="Compact"/>
              <w:spacing w:line="276" w:lineRule="auto" w:before="40" w:after="40"/>
            </w:pPr>
            <w:r>
              <w:rPr>
                <w:rFonts w:ascii="Liberation Sans Narrow" w:hAnsi="Liberation Sans Narrow"/>
                <w:sz w:val="18"/>
              </w:rPr>
              <w:t xml:space="preserve">As partes podem escolher o perito de comum acordo, desde que plenamente capazes e a causa admita autocomposição. Sem consenso, o profissional indicado por uma parte e rejeitado pela outra não pode realizar a perícia; a ausência de suspeição ou a possibilidade de assistente técnico não bastam para dispensar o acordo prévio.</w:t>
            </w:r>
          </w:p>
        </w:tc>
      </w:tr>
    </w:tbl>
    <w:p>
      <w:pPr>
        <w:pStyle w:val="BodyText"/>
        <w:spacing w:after="80"/>
        <w:jc w:val="both"/>
      </w:pPr>
      <w:r>
        <w:t xml:space="preserve">I - sejam plenamente capazes;</w:t>
      </w:r>
    </w:p>
    <w:p>
      <w:pPr>
        <w:pStyle w:val="BodyText"/>
        <w:spacing w:after="80"/>
        <w:jc w:val="both"/>
      </w:pPr>
      <w:r>
        <w:t xml:space="preserve">II - a causa possa ser resolvida por autocomposição.</w:t>
      </w:r>
    </w:p>
    <w:p>
      <w:pPr>
        <w:pStyle w:val="BodyText"/>
        <w:spacing w:after="80"/>
        <w:jc w:val="both"/>
      </w:pPr>
      <w:r>
        <w:t xml:space="preserve">§ 1º As partes, ao escolher o perito, já devem indicar os respectivos assistentes técnicos para acompanhar a realização da perícia, que se realizará em data e local previamente anunciados.</w:t>
      </w:r>
    </w:p>
    <w:p>
      <w:pPr>
        <w:pStyle w:val="BodyText"/>
        <w:spacing w:after="80"/>
        <w:jc w:val="both"/>
      </w:pPr>
      <w:r>
        <w:t xml:space="preserve">§ 2º O perito e os assistentes técnicos devem entregar, respectivamente, laudo e pareceres em prazo fixado pelo juiz.</w:t>
      </w:r>
    </w:p>
    <w:p>
      <w:pPr>
        <w:pStyle w:val="BodyText"/>
        <w:spacing w:after="80"/>
        <w:jc w:val="both"/>
      </w:pPr>
      <w:r>
        <w:t xml:space="preserve">§ 3º A perícia consensual substitui, para todos os efeitos, a que seria realizada por perito nomeado pelo juiz.</w:t>
      </w:r>
    </w:p>
    <w:bookmarkEnd w:id="198"/>
    <w:bookmarkStart w:id="199" w:name="art.-472"/>
    <w:p>
      <w:pPr>
        <w:pStyle w:val="Heading6"/>
        <w:pBdr>
          <w:left w:val="single" w:sz="36" w:space="4" w:color="2E75B6"/>
        </w:pBdr>
        <w:shd w:val="clear" w:color="auto" w:fill="E3EEF9"/>
        <w:spacing w:before="200" w:after="80"/>
        <w:ind w:left="85"/>
      </w:pPr>
      <w:r>
        <w:rPr>
          <w:i w:val="0"/>
          <w:color w:val="1F3A5F"/>
          <w:sz w:val="23"/>
        </w:rPr>
        <w:t xml:space="preserve">Art. 472</w:t>
      </w:r>
    </w:p>
    <w:p>
      <w:pPr>
        <w:pStyle w:val="FirstParagraph"/>
        <w:keepNext/>
        <w:spacing w:after="80"/>
        <w:jc w:val="both"/>
      </w:pPr>
      <w:r>
        <w:rPr>
          <w:b/>
          <w:bCs/>
        </w:rPr>
        <w:t xml:space="preserve">Art. 472.</w:t>
      </w:r>
      <w:r>
        <w:t xml:space="preserve"> </w:t>
      </w:r>
      <w:r>
        <w:t xml:space="preserve">O juiz poderá dispensar prova pericial quando as partes, na inicial e na contestação, apresentarem, sobre as questões de fato, pareceres técnicos ou documentos elucidativos que considerar suficientes.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2819"/>
        <w:gridCol w:w="4505"/>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1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50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30"/>
          </w:tcPr>
          <w:p>
            <w:pPr>
              <w:pStyle w:val="Compact"/>
              <w:spacing w:line="276" w:lineRule="auto" w:before="40" w:after="40"/>
            </w:pPr>
            <w:r>
              <w:rPr>
                <w:rFonts w:ascii="Liberation Sans Narrow" w:hAnsi="Liberation Sans Narrow"/>
                <w:sz w:val="18"/>
              </w:rPr>
              <w:t xml:space="preserve">Caput — desnecessidade da perícia e impugnação genérica</w:t>
            </w:r>
          </w:p>
        </w:tc>
        <w:tc>
          <w:tcPr>
            <w:tcW w:type="dxa" w:w="2819"/>
          </w:tcPr>
          <w:p>
            <w:pPr>
              <w:pStyle w:val="Compact"/>
              <w:spacing w:line="276" w:lineRule="auto" w:before="40" w:after="40"/>
            </w:pPr>
            <w:r>
              <w:rPr>
                <w:rFonts w:ascii="Liberation Sans Narrow" w:hAnsi="Liberation Sans Narrow"/>
                <w:sz w:val="18"/>
              </w:rPr>
              <w:t xml:space="preserve">STJ, AgInt no AREsp 3.023.137, Quarta Turma, relator Min. Raul Araújo, DJe de 08/04/2026</w:t>
            </w:r>
          </w:p>
        </w:tc>
        <w:tc>
          <w:tcPr>
            <w:tcW w:type="dxa" w:w="4505"/>
          </w:tcPr>
          <w:p>
            <w:pPr>
              <w:pStyle w:val="Compact"/>
              <w:spacing w:line="276" w:lineRule="auto" w:before="40" w:after="40"/>
            </w:pPr>
            <w:r>
              <w:rPr>
                <w:rFonts w:ascii="Liberation Sans Narrow" w:hAnsi="Liberation Sans Narrow"/>
                <w:sz w:val="18"/>
              </w:rPr>
              <w:t xml:space="preserve">Reconhecidos na origem que a planilha do juízo estava em consonância com o contrato, que a impugnação dos cálculos era genérica e que era desnecessário o envio dos autos à contadoria, a pretensão de alterar tal entendimento demanda revolvimento do conjunto fático-probatório (Súmula 7/STJ); a realização de nova perícia é faculdade do juiz.</w:t>
            </w:r>
          </w:p>
        </w:tc>
      </w:tr>
      <w:tr>
        <w:trPr>
          <w:cantSplit/>
        </w:trPr>
        <w:tc>
          <w:tcPr>
            <w:tcW w:type="dxa" w:w="2030"/>
          </w:tcPr>
          <w:p>
            <w:pPr>
              <w:pStyle w:val="Compact"/>
              <w:spacing w:line="276" w:lineRule="auto" w:before="40" w:after="40"/>
            </w:pPr>
            <w:r>
              <w:rPr>
                <w:rFonts w:ascii="Liberation Sans Narrow" w:hAnsi="Liberation Sans Narrow"/>
                <w:sz w:val="18"/>
              </w:rPr>
              <w:t xml:space="preserve">Caput — suficiência da prova documental para dispensar a perícia</w:t>
            </w:r>
          </w:p>
        </w:tc>
        <w:tc>
          <w:tcPr>
            <w:tcW w:type="dxa" w:w="2819"/>
          </w:tcPr>
          <w:p>
            <w:pPr>
              <w:pStyle w:val="Compact"/>
              <w:spacing w:line="276" w:lineRule="auto" w:before="40" w:after="40"/>
            </w:pPr>
            <w:r>
              <w:rPr>
                <w:rFonts w:ascii="Liberation Sans Narrow" w:hAnsi="Liberation Sans Narrow"/>
                <w:sz w:val="18"/>
              </w:rPr>
              <w:t xml:space="preserve">STJ, AgInt no REsp 2.163.154, Segunda Turma, relatora Min. Maria Thereza de Assis Moura, DJe de 26/11/2025</w:t>
            </w:r>
          </w:p>
        </w:tc>
        <w:tc>
          <w:tcPr>
            <w:tcW w:type="dxa" w:w="4505"/>
          </w:tcPr>
          <w:p>
            <w:pPr>
              <w:pStyle w:val="Compact"/>
              <w:spacing w:line="276" w:lineRule="auto" w:before="40" w:after="40"/>
            </w:pPr>
            <w:r>
              <w:rPr>
                <w:rFonts w:ascii="Liberation Sans Narrow" w:hAnsi="Liberation Sans Narrow"/>
                <w:sz w:val="18"/>
              </w:rPr>
              <w:t xml:space="preserve">O tribunal de origem assentou a existência de provas documentais suficientes (laudos e processo administrativo fiscal) para formar a convicção do magistrado sobre a desnecessidade da perícia, nos termos do art. 464; a conclusão pela insuficiência dessa prova para comprovar o direito alegado decorreu da análise do mérito da documentação existente, e a revisão exige reexame do contexto fático-probatório (Súmula 7/STJ).</w:t>
            </w:r>
          </w:p>
        </w:tc>
      </w:tr>
    </w:tbl>
    <w:bookmarkEnd w:id="199"/>
    <w:bookmarkStart w:id="200" w:name="art.-473"/>
    <w:p>
      <w:pPr>
        <w:pStyle w:val="Heading6"/>
        <w:pBdr>
          <w:left w:val="single" w:sz="36" w:space="4" w:color="2E75B6"/>
        </w:pBdr>
        <w:shd w:val="clear" w:color="auto" w:fill="E3EEF9"/>
        <w:spacing w:before="200" w:after="80"/>
        <w:ind w:left="85"/>
      </w:pPr>
      <w:r>
        <w:rPr>
          <w:i w:val="0"/>
          <w:color w:val="1F3A5F"/>
          <w:sz w:val="23"/>
        </w:rPr>
        <w:t xml:space="preserve">Art. 473</w:t>
      </w:r>
    </w:p>
    <w:p>
      <w:pPr>
        <w:pStyle w:val="FirstParagraph"/>
        <w:keepNext/>
        <w:spacing w:after="80"/>
        <w:jc w:val="both"/>
      </w:pPr>
      <w:r>
        <w:rPr>
          <w:b/>
          <w:bCs/>
        </w:rPr>
        <w:t xml:space="preserve">Art. 473.</w:t>
      </w:r>
      <w:r>
        <w:t xml:space="preserve"> </w:t>
      </w:r>
      <w:r>
        <w:t xml:space="preserve">O laudo pericial deverá conter: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2500"/>
        <w:gridCol w:w="4825"/>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0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2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30"/>
          </w:tcPr>
          <w:p>
            <w:pPr>
              <w:pStyle w:val="Compact"/>
              <w:spacing w:line="276" w:lineRule="auto" w:before="40" w:after="40"/>
            </w:pPr>
            <w:r>
              <w:rPr>
                <w:rFonts w:ascii="Liberation Sans Narrow" w:hAnsi="Liberation Sans Narrow"/>
                <w:sz w:val="18"/>
              </w:rPr>
              <w:t xml:space="preserve">Caput — observância dos requisitos técnicos e procedimentais do laudo</w:t>
            </w:r>
          </w:p>
        </w:tc>
        <w:tc>
          <w:tcPr>
            <w:tcW w:type="dxa" w:w="2500"/>
          </w:tcPr>
          <w:p>
            <w:pPr>
              <w:pStyle w:val="Compact"/>
              <w:spacing w:line="276" w:lineRule="auto" w:before="40" w:after="40"/>
            </w:pPr>
            <w:r>
              <w:rPr>
                <w:rFonts w:ascii="Liberation Sans Narrow" w:hAnsi="Liberation Sans Narrow"/>
                <w:sz w:val="18"/>
              </w:rPr>
              <w:t xml:space="preserve">STJ, AgInt no AREsp 2.959.518, Quarta Turma, relator Min. João Otávio de Noronha, DJe de 24/10/2025</w:t>
            </w:r>
          </w:p>
        </w:tc>
        <w:tc>
          <w:tcPr>
            <w:tcW w:type="dxa" w:w="4825"/>
          </w:tcPr>
          <w:p>
            <w:pPr>
              <w:pStyle w:val="Compact"/>
              <w:spacing w:line="276" w:lineRule="auto" w:before="40" w:after="40"/>
            </w:pPr>
            <w:r>
              <w:rPr>
                <w:rFonts w:ascii="Liberation Sans Narrow" w:hAnsi="Liberation Sans Narrow"/>
                <w:sz w:val="18"/>
              </w:rPr>
              <w:t xml:space="preserve">Alegada violação do art. 473 porque o laudo não teria observado requisitos técnicos e procedimentais, e do art. 480 pelo indeferimento de nova perícia: a revisão das conclusões do laudo e do indeferimento da nova perícia demanda reexame de provas (Súmula 7/STJ).</w:t>
            </w:r>
          </w:p>
        </w:tc>
      </w:tr>
    </w:tbl>
    <w:p>
      <w:pPr>
        <w:pStyle w:val="BodyText"/>
        <w:spacing w:after="80"/>
        <w:jc w:val="both"/>
      </w:pPr>
      <w:r>
        <w:t xml:space="preserve">I - a exposição do objeto da perícia;</w:t>
      </w:r>
    </w:p>
    <w:p>
      <w:pPr>
        <w:pStyle w:val="BodyText"/>
        <w:spacing w:after="80"/>
        <w:jc w:val="both"/>
      </w:pPr>
      <w:r>
        <w:t xml:space="preserve">II - a análise técnica ou científica realizada pelo perito;</w:t>
      </w:r>
    </w:p>
    <w:p>
      <w:pPr>
        <w:pStyle w:val="BodyText"/>
        <w:spacing w:after="80"/>
        <w:jc w:val="both"/>
      </w:pPr>
      <w:r>
        <w:t xml:space="preserve">III - a indicação do método utilizado, esclarecendo-o e demonstrando ser predominantemente aceito pelos especialistas da área do conhecimento da qual se originou;</w:t>
      </w:r>
    </w:p>
    <w:p>
      <w:pPr>
        <w:pStyle w:val="BodyText"/>
        <w:spacing w:after="80"/>
        <w:jc w:val="both"/>
      </w:pPr>
      <w:r>
        <w:t xml:space="preserve">IV - resposta conclusiva a todos os quesitos apresentados pelo juiz, pelas partes e pelo órgão do Ministério Público.</w:t>
      </w:r>
    </w:p>
    <w:p>
      <w:pPr>
        <w:pStyle w:val="BodyText"/>
        <w:spacing w:after="80"/>
        <w:jc w:val="both"/>
      </w:pPr>
      <w:r>
        <w:t xml:space="preserve">§ 1º No laudo, o perito deve apresentar sua fundamentação em linguagem simples e com coerência lógica, indicando como alcançou suas conclusões.</w:t>
      </w:r>
    </w:p>
    <w:p>
      <w:pPr>
        <w:pStyle w:val="BodyText"/>
        <w:spacing w:after="80"/>
        <w:jc w:val="both"/>
      </w:pPr>
      <w:r>
        <w:t xml:space="preserve">§ 2º É vedado ao perito ultrapassar os limites de sua designação, bem como emitir opiniões pessoais que excedam o exame técnico ou científico do objeto da perícia.</w:t>
      </w:r>
    </w:p>
    <w:p>
      <w:pPr>
        <w:pStyle w:val="BodyText"/>
        <w:spacing w:after="80"/>
        <w:jc w:val="both"/>
      </w:pPr>
      <w:r>
        <w:t xml:space="preserve">§ 3º Para o desempenho de sua função, o perito e os assistentes técnicos podem valer-se de todos os meios necessários, ouvindo testemunhas, obtendo informações, solicitando documentos que estejam em poder da parte, de terceiros ou em repartições públicas, bem como instruir o laudo com planilhas, mapas, plantas, desenhos, fotografias ou outros elementos necessários ao esclarecimento do objeto da perícia.</w:t>
      </w:r>
    </w:p>
    <w:bookmarkEnd w:id="200"/>
    <w:bookmarkStart w:id="201" w:name="art.-474"/>
    <w:p>
      <w:pPr>
        <w:pStyle w:val="Heading6"/>
        <w:pBdr>
          <w:left w:val="single" w:sz="36" w:space="4" w:color="2E75B6"/>
        </w:pBdr>
        <w:shd w:val="clear" w:color="auto" w:fill="E3EEF9"/>
        <w:spacing w:before="200" w:after="80"/>
        <w:ind w:left="85"/>
      </w:pPr>
      <w:r>
        <w:rPr>
          <w:i w:val="0"/>
          <w:color w:val="1F3A5F"/>
          <w:sz w:val="23"/>
        </w:rPr>
        <w:t xml:space="preserve">Art. 474</w:t>
      </w:r>
    </w:p>
    <w:p>
      <w:pPr>
        <w:pStyle w:val="FirstParagraph"/>
        <w:spacing w:after="80"/>
        <w:jc w:val="both"/>
      </w:pPr>
      <w:r>
        <w:rPr>
          <w:b/>
          <w:bCs/>
        </w:rPr>
        <w:t xml:space="preserve">Art. 474.</w:t>
      </w:r>
      <w:r>
        <w:t xml:space="preserve"> </w:t>
      </w:r>
      <w:r>
        <w:t xml:space="preserve">As partes terão ciência da data e do local designados pelo juiz ou indicados pelo perito para ter início a produção da prova.</w:t>
      </w:r>
    </w:p>
    <w:bookmarkEnd w:id="201"/>
    <w:bookmarkStart w:id="202" w:name="art.-475"/>
    <w:p>
      <w:pPr>
        <w:pStyle w:val="Heading6"/>
        <w:pBdr>
          <w:left w:val="single" w:sz="36" w:space="4" w:color="2E75B6"/>
        </w:pBdr>
        <w:shd w:val="clear" w:color="auto" w:fill="E3EEF9"/>
        <w:spacing w:before="200" w:after="80"/>
        <w:ind w:left="85"/>
      </w:pPr>
      <w:r>
        <w:rPr>
          <w:i w:val="0"/>
          <w:color w:val="1F3A5F"/>
          <w:sz w:val="23"/>
        </w:rPr>
        <w:t xml:space="preserve">Art. 475</w:t>
      </w:r>
    </w:p>
    <w:p>
      <w:pPr>
        <w:pStyle w:val="FirstParagraph"/>
        <w:spacing w:after="80"/>
        <w:jc w:val="both"/>
      </w:pPr>
      <w:r>
        <w:rPr>
          <w:b/>
          <w:bCs/>
        </w:rPr>
        <w:t xml:space="preserve">Art. 475.</w:t>
      </w:r>
      <w:r>
        <w:t xml:space="preserve"> </w:t>
      </w:r>
      <w:r>
        <w:t xml:space="preserve">Tratando-se de perícia complexa que abranja mais de uma área de conhecimento especializado, o juiz poderá nomear mais de um perito, e a parte, indicar mais de um assistente técnico.</w:t>
      </w:r>
    </w:p>
    <w:bookmarkEnd w:id="202"/>
    <w:bookmarkStart w:id="203" w:name="art.-476"/>
    <w:p>
      <w:pPr>
        <w:pStyle w:val="Heading6"/>
        <w:pBdr>
          <w:left w:val="single" w:sz="36" w:space="4" w:color="2E75B6"/>
        </w:pBdr>
        <w:shd w:val="clear" w:color="auto" w:fill="E3EEF9"/>
        <w:spacing w:before="200" w:after="80"/>
        <w:ind w:left="85"/>
      </w:pPr>
      <w:r>
        <w:rPr>
          <w:i w:val="0"/>
          <w:color w:val="1F3A5F"/>
          <w:sz w:val="23"/>
        </w:rPr>
        <w:t xml:space="preserve">Art. 476</w:t>
      </w:r>
    </w:p>
    <w:p>
      <w:pPr>
        <w:pStyle w:val="FirstParagraph"/>
        <w:spacing w:after="80"/>
        <w:jc w:val="both"/>
      </w:pPr>
      <w:r>
        <w:rPr>
          <w:b/>
          <w:bCs/>
        </w:rPr>
        <w:t xml:space="preserve">Art. 476.</w:t>
      </w:r>
      <w:r>
        <w:t xml:space="preserve"> </w:t>
      </w:r>
      <w:r>
        <w:t xml:space="preserve">Se o perito, por motivo justificado, não puder apresentar o laudo dentro do prazo, o juiz poderá conceder-lhe, por uma vez, prorrogação pela metade do prazo originalmente fixado.</w:t>
      </w:r>
    </w:p>
    <w:bookmarkEnd w:id="203"/>
    <w:bookmarkStart w:id="204" w:name="art.-477"/>
    <w:p>
      <w:pPr>
        <w:pStyle w:val="Heading6"/>
        <w:pBdr>
          <w:left w:val="single" w:sz="36" w:space="4" w:color="2E75B6"/>
        </w:pBdr>
        <w:shd w:val="clear" w:color="auto" w:fill="E3EEF9"/>
        <w:spacing w:before="200" w:after="80"/>
        <w:ind w:left="85"/>
      </w:pPr>
      <w:r>
        <w:rPr>
          <w:i w:val="0"/>
          <w:color w:val="1F3A5F"/>
          <w:sz w:val="23"/>
        </w:rPr>
        <w:t xml:space="preserve">Art. 477</w:t>
      </w:r>
    </w:p>
    <w:p>
      <w:pPr>
        <w:pStyle w:val="FirstParagraph"/>
        <w:spacing w:after="80"/>
        <w:jc w:val="both"/>
      </w:pPr>
      <w:r>
        <w:rPr>
          <w:b/>
          <w:bCs/>
        </w:rPr>
        <w:t xml:space="preserve">Art. 477.</w:t>
      </w:r>
      <w:r>
        <w:t xml:space="preserve"> </w:t>
      </w:r>
      <w:r>
        <w:t xml:space="preserve">O perito protocolará o laudo em juízo, no prazo fixado pelo juiz, pelo menos 20 (vinte) dias antes da audiência de instrução e julgamento.</w:t>
      </w:r>
    </w:p>
    <w:p>
      <w:pPr>
        <w:pStyle w:val="BodyText"/>
        <w:spacing w:after="80"/>
        <w:jc w:val="both"/>
      </w:pPr>
      <w:r>
        <w:t xml:space="preserve">§ 1º As partes serão intimadas para, querendo, manifestar-se sobre o laudo do perito do juízo no prazo comum de 15 (quinze) dias, podendo o assistente técnico de cada uma das partes, em igual prazo, apresentar seu respectivo parecer.</w:t>
      </w:r>
    </w:p>
    <w:p>
      <w:pPr>
        <w:pStyle w:val="BodyText"/>
        <w:keepNext/>
        <w:spacing w:after="80"/>
        <w:jc w:val="both"/>
      </w:pPr>
      <w:r>
        <w:t xml:space="preserve">§ 2º O perito do juízo tem o dever de, no prazo de 15 (quinze) dias, esclarecer ponto: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54"/>
        <w:gridCol w:w="2580"/>
        <w:gridCol w:w="4620"/>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8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62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54"/>
          </w:tcPr>
          <w:p>
            <w:pPr>
              <w:pStyle w:val="Compact"/>
              <w:spacing w:line="276" w:lineRule="auto" w:before="40" w:after="40"/>
            </w:pPr>
            <w:r>
              <w:rPr>
                <w:rFonts w:ascii="Liberation Sans Narrow" w:hAnsi="Liberation Sans Narrow"/>
                <w:sz w:val="18"/>
              </w:rPr>
              <w:t xml:space="preserve">§ 2º — dever de esclarecimento e necessidade de pedido específico</w:t>
            </w:r>
          </w:p>
        </w:tc>
        <w:tc>
          <w:tcPr>
            <w:tcW w:type="dxa" w:w="2580"/>
          </w:tcPr>
          <w:p>
            <w:pPr>
              <w:pStyle w:val="Compact"/>
              <w:spacing w:line="276" w:lineRule="auto" w:before="40" w:after="40"/>
            </w:pPr>
            <w:r>
              <w:rPr>
                <w:rFonts w:ascii="Liberation Sans Narrow" w:hAnsi="Liberation Sans Narrow"/>
                <w:sz w:val="18"/>
              </w:rPr>
              <w:t xml:space="preserve">STJ, AREsp 3.005.471, Terceira Turma, relator Min. Moura Ribeiro, DJe de 16/12/2025</w:t>
            </w:r>
          </w:p>
        </w:tc>
        <w:tc>
          <w:tcPr>
            <w:tcW w:type="dxa" w:w="4620"/>
          </w:tcPr>
          <w:p>
            <w:pPr>
              <w:pStyle w:val="Compact"/>
              <w:spacing w:line="276" w:lineRule="auto" w:before="40" w:after="40"/>
            </w:pPr>
            <w:r>
              <w:rPr>
                <w:rFonts w:ascii="Liberation Sans Narrow" w:hAnsi="Liberation Sans Narrow"/>
                <w:sz w:val="18"/>
              </w:rPr>
              <w:t xml:space="preserve">Não há cerceamento de defesa por ausência de esclarecimentos periciais quando a parte optou pelo julgamento imediato, não formulou pedido específico de esclarecimentos e indicou assistente técnico intempestivamente; a pretensão esbarra nas Súmulas 5 e 7 do STJ.</w:t>
            </w:r>
          </w:p>
        </w:tc>
      </w:tr>
      <w:tr>
        <w:trPr>
          <w:cantSplit/>
        </w:trPr>
        <w:tc>
          <w:tcPr>
            <w:tcW w:type="dxa" w:w="2154"/>
          </w:tcPr>
          <w:p>
            <w:pPr>
              <w:pStyle w:val="Compact"/>
              <w:spacing w:line="276" w:lineRule="auto" w:before="40" w:after="40"/>
            </w:pPr>
            <w:r>
              <w:rPr>
                <w:rFonts w:ascii="Liberation Sans Narrow" w:hAnsi="Liberation Sans Narrow"/>
                <w:sz w:val="18"/>
              </w:rPr>
              <w:t xml:space="preserve">§ 2º — esclarecimentos prestados e reexame</w:t>
            </w:r>
          </w:p>
        </w:tc>
        <w:tc>
          <w:tcPr>
            <w:tcW w:type="dxa" w:w="2580"/>
          </w:tcPr>
          <w:p>
            <w:pPr>
              <w:pStyle w:val="Compact"/>
              <w:spacing w:line="276" w:lineRule="auto" w:before="40" w:after="40"/>
            </w:pPr>
            <w:r>
              <w:rPr>
                <w:rFonts w:ascii="Liberation Sans Narrow" w:hAnsi="Liberation Sans Narrow"/>
                <w:sz w:val="18"/>
              </w:rPr>
              <w:t xml:space="preserve">STJ, AgInt no AREsp 2.648.107, Quarta Turma, relator Min. Raul Araújo, DJe de 09/12/2025</w:t>
            </w:r>
          </w:p>
        </w:tc>
        <w:tc>
          <w:tcPr>
            <w:tcW w:type="dxa" w:w="4620"/>
          </w:tcPr>
          <w:p>
            <w:pPr>
              <w:pStyle w:val="Compact"/>
              <w:spacing w:line="276" w:lineRule="auto" w:before="40" w:after="40"/>
            </w:pPr>
            <w:r>
              <w:rPr>
                <w:rFonts w:ascii="Liberation Sans Narrow" w:hAnsi="Liberation Sans Narrow"/>
                <w:sz w:val="18"/>
              </w:rPr>
              <w:t xml:space="preserve">Intimado o perito para prestar esclarecimentos sobre a periodicidade dos juros na liquidação, e prestados, a pretensão de rever a conclusão do laudo homologado demanda reexame de provas (Súmula 7/STJ).</w:t>
            </w:r>
          </w:p>
        </w:tc>
      </w:tr>
    </w:tbl>
    <w:p>
      <w:pPr>
        <w:pStyle w:val="BodyText"/>
        <w:spacing w:after="80"/>
        <w:jc w:val="both"/>
      </w:pPr>
      <w:r>
        <w:t xml:space="preserve">I - sobre o qual exista divergência ou dúvida de qualquer das partes, do juiz ou do órgão do Ministério Público;</w:t>
      </w:r>
    </w:p>
    <w:p>
      <w:pPr>
        <w:pStyle w:val="BodyText"/>
        <w:spacing w:after="80"/>
        <w:jc w:val="both"/>
      </w:pPr>
      <w:r>
        <w:t xml:space="preserve">II - divergente apresentado no parecer do assistente técnico da parte.</w:t>
      </w:r>
    </w:p>
    <w:p>
      <w:pPr>
        <w:pStyle w:val="BodyText"/>
        <w:spacing w:after="80"/>
        <w:jc w:val="both"/>
      </w:pPr>
      <w:r>
        <w:t xml:space="preserve">§ 3º Se ainda houver necessidade de esclarecimentos, a parte requererá ao juiz que mande intimar o perito ou o assistente técnico a comparecer à audiência de instrução e julgamento, formulando, desde logo, as perguntas, sob forma de quesitos.</w:t>
      </w:r>
    </w:p>
    <w:p>
      <w:pPr>
        <w:pStyle w:val="BodyText"/>
        <w:spacing w:after="80"/>
        <w:jc w:val="both"/>
      </w:pPr>
      <w:r>
        <w:t xml:space="preserve">§ 4º O perito ou o assistente técnico será intimado por meio eletrônico, com pelo menos 10 (dez) dias de antecedência da audiência.</w:t>
      </w:r>
    </w:p>
    <w:bookmarkEnd w:id="204"/>
    <w:bookmarkStart w:id="205" w:name="art.-478"/>
    <w:p>
      <w:pPr>
        <w:pStyle w:val="Heading6"/>
        <w:pBdr>
          <w:left w:val="single" w:sz="36" w:space="4" w:color="2E75B6"/>
        </w:pBdr>
        <w:shd w:val="clear" w:color="auto" w:fill="E3EEF9"/>
        <w:spacing w:before="200" w:after="80"/>
        <w:ind w:left="85"/>
      </w:pPr>
      <w:r>
        <w:rPr>
          <w:i w:val="0"/>
          <w:color w:val="1F3A5F"/>
          <w:sz w:val="23"/>
        </w:rPr>
        <w:t xml:space="preserve">Art. 478</w:t>
      </w:r>
    </w:p>
    <w:p>
      <w:pPr>
        <w:pStyle w:val="FirstParagraph"/>
        <w:spacing w:after="80"/>
        <w:jc w:val="both"/>
      </w:pPr>
      <w:r>
        <w:rPr>
          <w:b/>
          <w:bCs/>
        </w:rPr>
        <w:t xml:space="preserve">Art. 478.</w:t>
      </w:r>
      <w:r>
        <w:t xml:space="preserve"> </w:t>
      </w:r>
      <w:r>
        <w:t xml:space="preserve">Quando o exame tiver por objeto a autenticidade ou a falsidade de documento ou for de natureza médico-legal, o perito será escolhido, de preferência, entre os técnicos dos estabelecimentos oficiais especializados, a cujos diretores o juiz autorizará a remessa dos autos, bem como do material sujeito a exame.</w:t>
      </w:r>
    </w:p>
    <w:p>
      <w:pPr>
        <w:pStyle w:val="BodyText"/>
        <w:spacing w:after="80"/>
        <w:jc w:val="both"/>
      </w:pPr>
      <w:r>
        <w:t xml:space="preserve">§ 1º Nas hipóteses de gratuidade de justiça, os órgãos e as repartições oficiais deverão cumprir a determinação judicial com preferência, no prazo estabelecido.</w:t>
      </w:r>
    </w:p>
    <w:p>
      <w:pPr>
        <w:pStyle w:val="BodyText"/>
        <w:spacing w:after="80"/>
        <w:jc w:val="both"/>
      </w:pPr>
      <w:r>
        <w:t xml:space="preserve">§ 2º A prorrogação do prazo referido no § 1º pode ser requerida motivadamente.</w:t>
      </w:r>
    </w:p>
    <w:p>
      <w:pPr>
        <w:pStyle w:val="BodyText"/>
        <w:spacing w:after="80"/>
        <w:jc w:val="both"/>
      </w:pPr>
      <w:r>
        <w:t xml:space="preserve">§ 3º Quando o exame tiver por objeto a autenticidade da letra e da firma, o perito poderá requisitar, para efeito de comparação, documentos existentes em repartições públicas e, na falta destes, poderá requerer ao juiz que a pessoa a quem se atribuir a autoria do documento lance em folha de papel, por cópia ou sob ditado, dizeres diferentes, para fins de comparação.</w:t>
      </w:r>
    </w:p>
    <w:bookmarkEnd w:id="205"/>
    <w:bookmarkStart w:id="206" w:name="art.-479"/>
    <w:p>
      <w:pPr>
        <w:pStyle w:val="Heading6"/>
        <w:pBdr>
          <w:left w:val="single" w:sz="36" w:space="4" w:color="2E75B6"/>
        </w:pBdr>
        <w:shd w:val="clear" w:color="auto" w:fill="E3EEF9"/>
        <w:spacing w:before="200" w:after="80"/>
        <w:ind w:left="85"/>
      </w:pPr>
      <w:r>
        <w:rPr>
          <w:i w:val="0"/>
          <w:color w:val="1F3A5F"/>
          <w:sz w:val="23"/>
        </w:rPr>
        <w:t xml:space="preserve">Art. 479</w:t>
      </w:r>
    </w:p>
    <w:p>
      <w:pPr>
        <w:pStyle w:val="FirstParagraph"/>
        <w:keepNext/>
        <w:spacing w:after="80"/>
        <w:jc w:val="both"/>
      </w:pPr>
      <w:r>
        <w:rPr>
          <w:b/>
          <w:bCs/>
        </w:rPr>
        <w:t xml:space="preserve">Art. 479.</w:t>
      </w:r>
      <w:r>
        <w:t xml:space="preserve"> </w:t>
      </w:r>
      <w:r>
        <w:t xml:space="preserve">O juiz apreciará a prova pericial de acordo com o disposto no art. 371, indicando na sentença os motivos que o levaram a considerar ou a deixar de considerar as conclusões do laudo, levando em conta o método utilizado pelo perito.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3079"/>
        <w:gridCol w:w="4246"/>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07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24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30"/>
          </w:tcPr>
          <w:p>
            <w:pPr>
              <w:pStyle w:val="Compact"/>
              <w:spacing w:line="276" w:lineRule="auto" w:before="40" w:after="40"/>
            </w:pPr>
            <w:r>
              <w:rPr>
                <w:rFonts w:ascii="Liberation Sans Narrow" w:hAnsi="Liberation Sans Narrow"/>
                <w:sz w:val="18"/>
              </w:rPr>
              <w:t xml:space="preserve">Afastamento motivado do laudo por erro de cálculo do perito</w:t>
            </w:r>
          </w:p>
        </w:tc>
        <w:tc>
          <w:tcPr>
            <w:tcW w:type="dxa" w:w="3079"/>
          </w:tcPr>
          <w:p>
            <w:pPr>
              <w:pStyle w:val="Compact"/>
              <w:spacing w:line="276" w:lineRule="auto" w:before="40" w:after="40"/>
            </w:pPr>
            <w:r>
              <w:rPr>
                <w:rFonts w:ascii="Liberation Sans Narrow" w:hAnsi="Liberation Sans Narrow"/>
                <w:sz w:val="18"/>
              </w:rPr>
              <w:t xml:space="preserve">STJ, AgInt no AREsp 2.951.852, Segunda Turma, relator Min. Afrânio Vilela, julgado em 19/08/2026, DJEN de 24/08/2026</w:t>
            </w:r>
          </w:p>
        </w:tc>
        <w:tc>
          <w:tcPr>
            <w:tcW w:type="dxa" w:w="4246"/>
          </w:tcPr>
          <w:p>
            <w:pPr>
              <w:pStyle w:val="Compact"/>
              <w:spacing w:line="276" w:lineRule="auto" w:before="40" w:after="40"/>
            </w:pPr>
            <w:r>
              <w:rPr>
                <w:rFonts w:ascii="Liberation Sans Narrow" w:hAnsi="Liberation Sans Narrow"/>
                <w:sz w:val="18"/>
              </w:rPr>
              <w:t xml:space="preserve">O acórdão de origem afastou o laudo com motivação técnica, apontando o erro do perito ao duplicar o componente de reserva; a revaloração exige reanálise de cálculos, documentos e conclusões periciais (Súmula 7/STJ).</w:t>
            </w:r>
          </w:p>
        </w:tc>
      </w:tr>
      <w:tr>
        <w:trPr>
          <w:cantSplit/>
        </w:trPr>
        <w:tc>
          <w:tcPr>
            <w:tcW w:type="dxa" w:w="2030"/>
          </w:tcPr>
          <w:p>
            <w:pPr>
              <w:pStyle w:val="Compact"/>
              <w:spacing w:line="276" w:lineRule="auto" w:before="40" w:after="40"/>
            </w:pPr>
            <w:r>
              <w:rPr>
                <w:rFonts w:ascii="Liberation Sans Narrow" w:hAnsi="Liberation Sans Narrow"/>
                <w:sz w:val="18"/>
              </w:rPr>
              <w:t xml:space="preserve">Livre convencimento motivado e laudo médico-forense</w:t>
            </w:r>
          </w:p>
        </w:tc>
        <w:tc>
          <w:tcPr>
            <w:tcW w:type="dxa" w:w="3079"/>
          </w:tcPr>
          <w:p>
            <w:pPr>
              <w:pStyle w:val="Compact"/>
              <w:spacing w:line="276" w:lineRule="auto" w:before="40" w:after="40"/>
            </w:pPr>
            <w:r>
              <w:rPr>
                <w:rFonts w:ascii="Liberation Sans Narrow" w:hAnsi="Liberation Sans Narrow"/>
                <w:sz w:val="18"/>
              </w:rPr>
              <w:t xml:space="preserve">STJ, AREsp 3.137.546, Quarta Turma, relator Min. Raul Araújo, julgado em 15/06/2026, DJEN de 19/06/2026</w:t>
            </w:r>
          </w:p>
        </w:tc>
        <w:tc>
          <w:tcPr>
            <w:tcW w:type="dxa" w:w="4246"/>
          </w:tcPr>
          <w:p>
            <w:pPr>
              <w:pStyle w:val="Compact"/>
              <w:spacing w:line="276" w:lineRule="auto" w:before="40" w:after="40"/>
            </w:pPr>
            <w:r>
              <w:rPr>
                <w:rFonts w:ascii="Liberation Sans Narrow" w:hAnsi="Liberation Sans Narrow"/>
                <w:sz w:val="18"/>
              </w:rPr>
              <w:t xml:space="preserve">A corte estadual não desconsiderou o laudo por impressão subjetiva; indicou documentos clínicos contemporâneos e a escritura pública, justificando a insuficiência da conclusão pericial (arts. 371 e 479). Substituir essa valoração esbarra na Súmula 7/STJ.</w:t>
            </w:r>
          </w:p>
        </w:tc>
      </w:tr>
      <w:tr>
        <w:trPr>
          <w:cantSplit/>
        </w:trPr>
        <w:tc>
          <w:tcPr>
            <w:tcW w:type="dxa" w:w="2030"/>
          </w:tcPr>
          <w:p>
            <w:pPr>
              <w:pStyle w:val="Compact"/>
              <w:spacing w:line="276" w:lineRule="auto" w:before="40" w:after="40"/>
            </w:pPr>
            <w:r>
              <w:rPr>
                <w:rFonts w:ascii="Liberation Sans Narrow" w:hAnsi="Liberation Sans Narrow"/>
                <w:sz w:val="18"/>
              </w:rPr>
              <w:t xml:space="preserve">Art. 479: juiz formando convicção por outros elementos</w:t>
            </w:r>
          </w:p>
        </w:tc>
        <w:tc>
          <w:tcPr>
            <w:tcW w:type="dxa" w:w="3079"/>
          </w:tcPr>
          <w:p>
            <w:pPr>
              <w:pStyle w:val="Compact"/>
              <w:spacing w:line="276" w:lineRule="auto" w:before="40" w:after="40"/>
            </w:pPr>
            <w:r>
              <w:rPr>
                <w:rFonts w:ascii="Liberation Sans Narrow" w:hAnsi="Liberation Sans Narrow"/>
                <w:sz w:val="18"/>
              </w:rPr>
              <w:t xml:space="preserve">STJ, AgInt no REsp 2.102.610, Quarta Turma, relator Min. Raul Araújo, DJe de 02/05/2024</w:t>
            </w:r>
          </w:p>
        </w:tc>
        <w:tc>
          <w:tcPr>
            <w:tcW w:type="dxa" w:w="4246"/>
          </w:tcPr>
          <w:p>
            <w:pPr>
              <w:pStyle w:val="Compact"/>
              <w:spacing w:line="276" w:lineRule="auto" w:before="40" w:after="40"/>
            </w:pPr>
            <w:r>
              <w:rPr>
                <w:rFonts w:ascii="Liberation Sans Narrow" w:hAnsi="Liberation Sans Narrow"/>
                <w:sz w:val="18"/>
              </w:rPr>
              <w:t xml:space="preserve">O juiz não fica adstrito ao laudo pericial e pode formar a convicção com base em outros elementos provados nos autos; como destinatário final da prova, cabe-lhe interpretar a produção probatória. Foi desnecessária a intimação do perito para esclarecimentos quando a medida não contribuiria para o deslinde.</w:t>
            </w:r>
          </w:p>
        </w:tc>
      </w:tr>
      <w:tr>
        <w:trPr>
          <w:cantSplit/>
        </w:trPr>
        <w:tc>
          <w:tcPr>
            <w:tcW w:type="dxa" w:w="2030"/>
          </w:tcPr>
          <w:p>
            <w:pPr>
              <w:pStyle w:val="Compact"/>
              <w:spacing w:line="276" w:lineRule="auto" w:before="40" w:after="40"/>
            </w:pPr>
            <w:r>
              <w:rPr>
                <w:rFonts w:ascii="Liberation Sans Narrow" w:hAnsi="Liberation Sans Narrow"/>
                <w:sz w:val="18"/>
              </w:rPr>
              <w:t xml:space="preserve">Art. 479: matéria tributária</w:t>
            </w:r>
          </w:p>
        </w:tc>
        <w:tc>
          <w:tcPr>
            <w:tcW w:type="dxa" w:w="3079"/>
          </w:tcPr>
          <w:p>
            <w:pPr>
              <w:pStyle w:val="Compact"/>
              <w:spacing w:line="276" w:lineRule="auto" w:before="40" w:after="40"/>
            </w:pPr>
            <w:r>
              <w:rPr>
                <w:rFonts w:ascii="Liberation Sans Narrow" w:hAnsi="Liberation Sans Narrow"/>
                <w:sz w:val="18"/>
              </w:rPr>
              <w:t xml:space="preserve">STJ, AgInt no AREsp 2.336.619, Segunda Turma, relator Min. Herman Benjamin, DJe de 02/05/2024</w:t>
            </w:r>
          </w:p>
        </w:tc>
        <w:tc>
          <w:tcPr>
            <w:tcW w:type="dxa" w:w="4246"/>
          </w:tcPr>
          <w:p>
            <w:pPr>
              <w:pStyle w:val="Compact"/>
              <w:spacing w:line="276" w:lineRule="auto" w:before="40" w:after="40"/>
            </w:pPr>
            <w:r>
              <w:rPr>
                <w:rFonts w:ascii="Liberation Sans Narrow" w:hAnsi="Liberation Sans Narrow"/>
                <w:sz w:val="18"/>
              </w:rPr>
              <w:t xml:space="preserve">Inexiste vinculação do magistrado ao laudo do perito oficial; o tribunal de origem deixou de considerar o laudo, favorável à autora, ao cotejá-lo com os demais elementos de prova.</w:t>
            </w:r>
          </w:p>
        </w:tc>
      </w:tr>
    </w:tbl>
    <w:bookmarkEnd w:id="206"/>
    <w:bookmarkStart w:id="207" w:name="art.-480"/>
    <w:p>
      <w:pPr>
        <w:pStyle w:val="Heading6"/>
        <w:pBdr>
          <w:left w:val="single" w:sz="36" w:space="4" w:color="2E75B6"/>
        </w:pBdr>
        <w:shd w:val="clear" w:color="auto" w:fill="E3EEF9"/>
        <w:spacing w:before="200" w:after="80"/>
        <w:ind w:left="85"/>
      </w:pPr>
      <w:r>
        <w:rPr>
          <w:i w:val="0"/>
          <w:color w:val="1F3A5F"/>
          <w:sz w:val="23"/>
        </w:rPr>
        <w:t xml:space="preserve">Art. 480</w:t>
      </w:r>
    </w:p>
    <w:p>
      <w:pPr>
        <w:pStyle w:val="FirstParagraph"/>
        <w:keepNext/>
        <w:spacing w:after="80"/>
        <w:jc w:val="both"/>
      </w:pPr>
      <w:r>
        <w:rPr>
          <w:b/>
          <w:bCs/>
        </w:rPr>
        <w:t xml:space="preserve">Art. 480.</w:t>
      </w:r>
      <w:r>
        <w:t xml:space="preserve"> </w:t>
      </w:r>
      <w:r>
        <w:t xml:space="preserve">O juiz determinará, de ofício ou a requerimento da parte, a realização de nova perícia quando a matéria não estiver suficientemente esclarecida.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3225"/>
        <w:gridCol w:w="422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22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22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Caput — indeferimento da nova perícia e ausência de fato novo</w:t>
            </w:r>
          </w:p>
        </w:tc>
        <w:tc>
          <w:tcPr>
            <w:tcW w:type="dxa" w:w="3225"/>
          </w:tcPr>
          <w:p>
            <w:pPr>
              <w:pStyle w:val="Compact"/>
              <w:spacing w:line="276" w:lineRule="auto" w:before="40" w:after="40"/>
            </w:pPr>
            <w:r>
              <w:rPr>
                <w:rFonts w:ascii="Liberation Sans Narrow" w:hAnsi="Liberation Sans Narrow"/>
                <w:sz w:val="18"/>
              </w:rPr>
              <w:t xml:space="preserve">STJ, AREsp 3.160.766, Quarta Turma, relator Min. João Otávio de Noronha, julgado em 24/08/2026, DJEN de 27/08/2026</w:t>
            </w:r>
          </w:p>
        </w:tc>
        <w:tc>
          <w:tcPr>
            <w:tcW w:type="dxa" w:w="4224"/>
          </w:tcPr>
          <w:p>
            <w:pPr>
              <w:pStyle w:val="Compact"/>
              <w:spacing w:line="276" w:lineRule="auto" w:before="40" w:after="40"/>
            </w:pPr>
            <w:r>
              <w:rPr>
                <w:rFonts w:ascii="Liberation Sans Narrow" w:hAnsi="Liberation Sans Narrow"/>
                <w:sz w:val="18"/>
              </w:rPr>
              <w:t xml:space="preserve">Reconhecidas na origem a admissibilidade da prova emprestada (art. 372) e a desnecessidade de nova perícia por ausência de fato novo, a revisão do indeferimento esbarra nas Súmulas 7 e 83 do STJ.</w:t>
            </w:r>
          </w:p>
        </w:tc>
      </w:tr>
      <w:tr>
        <w:trPr>
          <w:cantSplit/>
        </w:trPr>
        <w:tc>
          <w:tcPr>
            <w:tcW w:type="dxa" w:w="1905"/>
          </w:tcPr>
          <w:p>
            <w:pPr>
              <w:pStyle w:val="Compact"/>
              <w:spacing w:line="276" w:lineRule="auto" w:before="40" w:after="40"/>
            </w:pPr>
            <w:r>
              <w:rPr>
                <w:rFonts w:ascii="Liberation Sans Narrow" w:hAnsi="Liberation Sans Narrow"/>
                <w:sz w:val="18"/>
              </w:rPr>
              <w:t xml:space="preserve">Caput — cabimento da nova perícia</w:t>
            </w:r>
          </w:p>
        </w:tc>
        <w:tc>
          <w:tcPr>
            <w:tcW w:type="dxa" w:w="3225"/>
          </w:tcPr>
          <w:p>
            <w:pPr>
              <w:pStyle w:val="Compact"/>
              <w:spacing w:line="276" w:lineRule="auto" w:before="40" w:after="40"/>
            </w:pPr>
            <w:r>
              <w:rPr>
                <w:rFonts w:ascii="Liberation Sans Narrow" w:hAnsi="Liberation Sans Narrow"/>
                <w:sz w:val="18"/>
              </w:rPr>
              <w:t xml:space="preserve">STJ, REsp 2.150.255, Quarta Turma, relatora Min. Maria Isabel Gallotti, julgado em 30/06/2026, DJEN de 03/07/2026</w:t>
            </w:r>
          </w:p>
        </w:tc>
        <w:tc>
          <w:tcPr>
            <w:tcW w:type="dxa" w:w="4224"/>
          </w:tcPr>
          <w:p>
            <w:pPr>
              <w:pStyle w:val="Compact"/>
              <w:spacing w:line="276" w:lineRule="auto" w:before="40" w:after="40"/>
            </w:pPr>
            <w:r>
              <w:rPr>
                <w:rFonts w:ascii="Liberation Sans Narrow" w:hAnsi="Liberation Sans Narrow"/>
                <w:sz w:val="18"/>
              </w:rPr>
              <w:t xml:space="preserve">O juiz, como destinatário da prova, pode determinar, motivadamente, a realização de nova perícia quando a questão não estiver suficientemente esclarecida (art. 480); a revisão do acerto dessa avaliação demanda reexame de fatos e provas (Súmula 7/STJ).</w:t>
            </w:r>
          </w:p>
        </w:tc>
      </w:tr>
      <w:tr>
        <w:trPr>
          <w:cantSplit/>
        </w:trPr>
        <w:tc>
          <w:tcPr>
            <w:tcW w:type="dxa" w:w="1905"/>
          </w:tcPr>
          <w:p>
            <w:pPr>
              <w:pStyle w:val="Compact"/>
              <w:spacing w:line="276" w:lineRule="auto" w:before="40" w:after="40"/>
            </w:pPr>
            <w:r>
              <w:rPr>
                <w:rFonts w:ascii="Liberation Sans Narrow" w:hAnsi="Liberation Sans Narrow"/>
                <w:sz w:val="18"/>
              </w:rPr>
              <w:t xml:space="preserve">Nova perícia: pressupostos</w:t>
            </w:r>
          </w:p>
        </w:tc>
        <w:tc>
          <w:tcPr>
            <w:tcW w:type="dxa" w:w="3225"/>
          </w:tcPr>
          <w:p>
            <w:pPr>
              <w:pStyle w:val="Compact"/>
              <w:spacing w:line="276" w:lineRule="auto" w:before="40" w:after="40"/>
            </w:pPr>
            <w:r>
              <w:rPr>
                <w:rFonts w:ascii="Liberation Sans Narrow" w:hAnsi="Liberation Sans Narrow"/>
                <w:sz w:val="18"/>
              </w:rPr>
              <w:t xml:space="preserve">STJ, REsp 1.782.516, Terceira Turma, relator Min. Marco Aurélio Bellizze, julgado em 04/06/2024, DJe de 06/06/2024</w:t>
            </w:r>
          </w:p>
        </w:tc>
        <w:tc>
          <w:tcPr>
            <w:tcW w:type="dxa" w:w="4224"/>
          </w:tcPr>
          <w:p>
            <w:pPr>
              <w:pStyle w:val="Compact"/>
              <w:spacing w:line="276" w:lineRule="auto" w:before="40" w:after="40"/>
            </w:pPr>
            <w:r>
              <w:rPr>
                <w:rFonts w:ascii="Liberation Sans Narrow" w:hAnsi="Liberation Sans Narrow"/>
                <w:sz w:val="18"/>
              </w:rPr>
              <w:t xml:space="preserve">A perícia pressupõe demonstração mínima do direito ou da defesa; produzida a prova, a nova perícia exige, além disso, a insuficiência do primeiro laudo (art. 480). Comprovada a falsidade do único documento juntado pelo autor, não há fundamento para perícia complementar.</w:t>
            </w:r>
          </w:p>
        </w:tc>
      </w:tr>
    </w:tbl>
    <w:p>
      <w:pPr>
        <w:pStyle w:val="BodyText"/>
        <w:spacing w:after="80"/>
        <w:jc w:val="both"/>
      </w:pPr>
      <w:r>
        <w:t xml:space="preserve">§ 1º A segunda perícia tem por objeto os mesmos fatos sobre os quais recaiu a primeira e destina-se a corrigir eventual omissão ou inexatidão dos resultados a que esta conduziu.</w:t>
      </w:r>
    </w:p>
    <w:p>
      <w:pPr>
        <w:pStyle w:val="BodyText"/>
        <w:spacing w:after="80"/>
        <w:jc w:val="both"/>
      </w:pPr>
      <w:r>
        <w:t xml:space="preserve">§ 2º A segunda perícia rege-se pelas disposições estabelecidas para a primeira.</w:t>
      </w:r>
    </w:p>
    <w:p>
      <w:pPr>
        <w:pStyle w:val="BodyText"/>
        <w:spacing w:after="80"/>
        <w:jc w:val="both"/>
      </w:pPr>
      <w:r>
        <w:t xml:space="preserve">§ 3º A segunda perícia não substitui a primeira, cabendo ao juiz apreciar o valor de uma e de outra.</w:t>
      </w:r>
    </w:p>
    <w:bookmarkEnd w:id="207"/>
    <w:bookmarkEnd w:id="208"/>
    <w:bookmarkStart w:id="213" w:name="Xcb39001a8d30ff1dc33e2c08891c658afb502c8"/>
    <w:p>
      <w:pPr>
        <w:pStyle w:val="Heading5"/>
        <w:spacing w:before="140" w:after="20"/>
      </w:pPr>
      <w:r>
        <w:rPr>
          <w:i/>
          <w:color w:val="595959"/>
        </w:rPr>
        <w:t xml:space="preserve">Seção XI: da inspeção judicial (arts. 481 a 484)</w:t>
      </w:r>
    </w:p>
    <w:bookmarkStart w:id="209" w:name="art.-481"/>
    <w:p>
      <w:pPr>
        <w:pStyle w:val="Heading6"/>
        <w:pBdr>
          <w:left w:val="single" w:sz="36" w:space="4" w:color="2E75B6"/>
        </w:pBdr>
        <w:shd w:val="clear" w:color="auto" w:fill="E3EEF9"/>
        <w:spacing w:before="200" w:after="80"/>
        <w:ind w:left="85"/>
      </w:pPr>
      <w:r>
        <w:rPr>
          <w:i w:val="0"/>
          <w:color w:val="1F3A5F"/>
          <w:sz w:val="23"/>
        </w:rPr>
        <w:t xml:space="preserve">Art. 481</w:t>
      </w:r>
    </w:p>
    <w:p>
      <w:pPr>
        <w:pStyle w:val="FirstParagraph"/>
        <w:keepNext/>
        <w:spacing w:after="80"/>
        <w:jc w:val="both"/>
      </w:pPr>
      <w:r>
        <w:rPr>
          <w:b/>
          <w:bCs/>
        </w:rPr>
        <w:t xml:space="preserve">Art. 481.</w:t>
      </w:r>
      <w:r>
        <w:t xml:space="preserve"> </w:t>
      </w:r>
      <w:r>
        <w:t xml:space="preserve">O juiz, de ofício ou a requerimento da parte, pode, em qualquer fase do processo, inspecionar pessoas ou coisas, a fim de se esclarecer sobre fato que interesse à decisão da causa.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812"/>
        <w:gridCol w:w="3090"/>
        <w:gridCol w:w="4453"/>
      </w:tblGrid>
      <w:tr>
        <w:trPr>
          <w:tblHeader w:val="on"/>
          <w:cantSplit/>
          <w:tblHeader/>
        </w:trPr>
        <w:tc>
          <w:tcPr>
            <w:tcW w:type="dxa" w:w="181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09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45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812"/>
          </w:tcPr>
          <w:p>
            <w:pPr>
              <w:pStyle w:val="Compact"/>
              <w:spacing w:line="276" w:lineRule="auto" w:before="40" w:after="40"/>
            </w:pPr>
            <w:r>
              <w:rPr>
                <w:rFonts w:ascii="Liberation Sans Narrow" w:hAnsi="Liberation Sans Narrow"/>
                <w:sz w:val="18"/>
              </w:rPr>
              <w:t xml:space="preserve">Caput — inspeção judicial como prova suficiente</w:t>
            </w:r>
          </w:p>
        </w:tc>
        <w:tc>
          <w:tcPr>
            <w:tcW w:type="dxa" w:w="3090"/>
          </w:tcPr>
          <w:p>
            <w:pPr>
              <w:pStyle w:val="Compact"/>
              <w:spacing w:line="276" w:lineRule="auto" w:before="40" w:after="40"/>
            </w:pPr>
            <w:r>
              <w:rPr>
                <w:rFonts w:ascii="Liberation Sans Narrow" w:hAnsi="Liberation Sans Narrow"/>
                <w:sz w:val="18"/>
              </w:rPr>
              <w:t xml:space="preserve">STJ, AgInt no REsp 2.158.677, Quarta Turma, relatora Min. Maria Isabel Gallotti, julgado em 15/06/2026, DJEN de 22/06/2026</w:t>
            </w:r>
          </w:p>
        </w:tc>
        <w:tc>
          <w:tcPr>
            <w:tcW w:type="dxa" w:w="4453"/>
          </w:tcPr>
          <w:p>
            <w:pPr>
              <w:pStyle w:val="Compact"/>
              <w:spacing w:line="276" w:lineRule="auto" w:before="40" w:after="40"/>
            </w:pPr>
            <w:r>
              <w:rPr>
                <w:rFonts w:ascii="Liberation Sans Narrow" w:hAnsi="Liberation Sans Narrow"/>
                <w:sz w:val="18"/>
              </w:rPr>
              <w:t xml:space="preserve">Não cabe reexaminar em recurso especial a necessidade de prova pericial quando as instâncias ordinárias, soberanas na análise dos fatos, concluíram pela suficiência das provas produzidas, notadamente a inspeção judicial; a alteração desse entendimento demanda reexame do conjunto probatório (Súmula 7/STJ).</w:t>
            </w:r>
          </w:p>
        </w:tc>
      </w:tr>
      <w:tr>
        <w:trPr>
          <w:cantSplit/>
        </w:trPr>
        <w:tc>
          <w:tcPr>
            <w:tcW w:type="dxa" w:w="1812"/>
          </w:tcPr>
          <w:p>
            <w:pPr>
              <w:pStyle w:val="Compact"/>
              <w:spacing w:line="276" w:lineRule="auto" w:before="40" w:after="40"/>
            </w:pPr>
            <w:r>
              <w:rPr>
                <w:rFonts w:ascii="Liberation Sans Narrow" w:hAnsi="Liberation Sans Narrow"/>
                <w:sz w:val="18"/>
              </w:rPr>
              <w:t xml:space="preserve">Caput — inspeção realizada sem perito e sem prévia intimação</w:t>
            </w:r>
          </w:p>
        </w:tc>
        <w:tc>
          <w:tcPr>
            <w:tcW w:type="dxa" w:w="3090"/>
          </w:tcPr>
          <w:p>
            <w:pPr>
              <w:pStyle w:val="Compact"/>
              <w:spacing w:line="276" w:lineRule="auto" w:before="40" w:after="40"/>
            </w:pPr>
            <w:r>
              <w:rPr>
                <w:rFonts w:ascii="Liberation Sans Narrow" w:hAnsi="Liberation Sans Narrow"/>
                <w:sz w:val="18"/>
              </w:rPr>
              <w:t xml:space="preserve">STJ, AgInt no AREsp 2.038.411, Quarta Turma, relatora Min. Maria Isabel Gallotti, DJe de 13/12/2024</w:t>
            </w:r>
          </w:p>
        </w:tc>
        <w:tc>
          <w:tcPr>
            <w:tcW w:type="dxa" w:w="4453"/>
          </w:tcPr>
          <w:p>
            <w:pPr>
              <w:pStyle w:val="Compact"/>
              <w:spacing w:line="276" w:lineRule="auto" w:before="40" w:after="40"/>
            </w:pPr>
            <w:r>
              <w:rPr>
                <w:rFonts w:ascii="Liberation Sans Narrow" w:hAnsi="Liberation Sans Narrow"/>
                <w:sz w:val="18"/>
              </w:rPr>
              <w:t xml:space="preserve">Diante de controvérsia sobre a área litigada, o juízo não poderia realizar inspeção judicial sem a assistência de perito especialista; a inspeção demanda prévia intimação das partes quanto ao dia, hora e local e a posterior confecção de auto circunstanciado, sob pena de cerceamento de defesa (arts. 483, parágrafo único, e 484).</w:t>
            </w:r>
          </w:p>
        </w:tc>
      </w:tr>
    </w:tbl>
    <w:bookmarkEnd w:id="209"/>
    <w:bookmarkStart w:id="210" w:name="art.-482"/>
    <w:p>
      <w:pPr>
        <w:pStyle w:val="Heading6"/>
        <w:pBdr>
          <w:left w:val="single" w:sz="36" w:space="4" w:color="2E75B6"/>
        </w:pBdr>
        <w:shd w:val="clear" w:color="auto" w:fill="E3EEF9"/>
        <w:spacing w:before="200" w:after="80"/>
        <w:ind w:left="85"/>
      </w:pPr>
      <w:r>
        <w:rPr>
          <w:i w:val="0"/>
          <w:color w:val="1F3A5F"/>
          <w:sz w:val="23"/>
        </w:rPr>
        <w:t xml:space="preserve">Art. 482</w:t>
      </w:r>
    </w:p>
    <w:p>
      <w:pPr>
        <w:pStyle w:val="FirstParagraph"/>
        <w:keepNext/>
        <w:spacing w:after="80"/>
        <w:jc w:val="both"/>
      </w:pPr>
      <w:r>
        <w:rPr>
          <w:b/>
          <w:bCs/>
        </w:rPr>
        <w:t xml:space="preserve">Art. 482.</w:t>
      </w:r>
      <w:r>
        <w:t xml:space="preserve"> </w:t>
      </w:r>
      <w:r>
        <w:t xml:space="preserve">Ao realizar a inspeção, o juiz poderá ser assistido por um ou mais peritos.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2609"/>
        <w:gridCol w:w="5090"/>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0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09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55"/>
          </w:tcPr>
          <w:p>
            <w:pPr>
              <w:pStyle w:val="Compact"/>
              <w:spacing w:line="276" w:lineRule="auto" w:before="40" w:after="40"/>
            </w:pPr>
            <w:r>
              <w:rPr>
                <w:rFonts w:ascii="Liberation Sans Narrow" w:hAnsi="Liberation Sans Narrow"/>
                <w:sz w:val="18"/>
              </w:rPr>
              <w:t xml:space="preserve">Caput — necessidade de perito na inspeção</w:t>
            </w:r>
          </w:p>
        </w:tc>
        <w:tc>
          <w:tcPr>
            <w:tcW w:type="dxa" w:w="2609"/>
          </w:tcPr>
          <w:p>
            <w:pPr>
              <w:pStyle w:val="Compact"/>
              <w:spacing w:line="276" w:lineRule="auto" w:before="40" w:after="40"/>
            </w:pPr>
            <w:r>
              <w:rPr>
                <w:rFonts w:ascii="Liberation Sans Narrow" w:hAnsi="Liberation Sans Narrow"/>
                <w:sz w:val="18"/>
              </w:rPr>
              <w:t xml:space="preserve">STJ, AgInt no AREsp 2.038.411, Quarta Turma, relatora Min. Maria Isabel Gallotti, DJe de 13/12/2024</w:t>
            </w:r>
          </w:p>
        </w:tc>
        <w:tc>
          <w:tcPr>
            <w:tcW w:type="dxa" w:w="5090"/>
          </w:tcPr>
          <w:p>
            <w:pPr>
              <w:pStyle w:val="Compact"/>
              <w:spacing w:line="276" w:lineRule="auto" w:before="40" w:after="40"/>
            </w:pPr>
            <w:r>
              <w:rPr>
                <w:rFonts w:ascii="Liberation Sans Narrow" w:hAnsi="Liberation Sans Narrow"/>
                <w:sz w:val="18"/>
              </w:rPr>
              <w:t xml:space="preserve">Em ação de reintegração de posse com controvérsia sobre a área litigada, o juízo de primeiro grau não poderia realizar inspeção judicial sem a assistência de perito especialista; a inspeção demanda prévia intimação das partes e auto circunstanciado, sob pena de cerceamento de defesa.</w:t>
            </w:r>
          </w:p>
        </w:tc>
      </w:tr>
    </w:tbl>
    <w:bookmarkEnd w:id="210"/>
    <w:bookmarkStart w:id="211" w:name="art.-483"/>
    <w:p>
      <w:pPr>
        <w:pStyle w:val="Heading6"/>
        <w:pBdr>
          <w:left w:val="single" w:sz="36" w:space="4" w:color="2E75B6"/>
        </w:pBdr>
        <w:shd w:val="clear" w:color="auto" w:fill="E3EEF9"/>
        <w:spacing w:before="200" w:after="80"/>
        <w:ind w:left="85"/>
      </w:pPr>
      <w:r>
        <w:rPr>
          <w:i w:val="0"/>
          <w:color w:val="1F3A5F"/>
          <w:sz w:val="23"/>
        </w:rPr>
        <w:t xml:space="preserve">Art. 483</w:t>
      </w:r>
    </w:p>
    <w:p>
      <w:pPr>
        <w:pStyle w:val="FirstParagraph"/>
        <w:spacing w:after="80"/>
        <w:jc w:val="both"/>
      </w:pPr>
      <w:r>
        <w:rPr>
          <w:b/>
          <w:bCs/>
        </w:rPr>
        <w:t xml:space="preserve">Art. 483.</w:t>
      </w:r>
      <w:r>
        <w:t xml:space="preserve"> </w:t>
      </w:r>
      <w:r>
        <w:t xml:space="preserve">O juiz irá ao local onde se encontre a pessoa ou a coisa quando:</w:t>
      </w:r>
    </w:p>
    <w:p>
      <w:pPr>
        <w:pStyle w:val="BodyText"/>
        <w:spacing w:after="80"/>
        <w:jc w:val="both"/>
      </w:pPr>
      <w:r>
        <w:t xml:space="preserve">I - julgar necessário para a melhor verificação ou interpretação dos fatos que deva observar;</w:t>
      </w:r>
    </w:p>
    <w:p>
      <w:pPr>
        <w:pStyle w:val="BodyText"/>
        <w:spacing w:after="80"/>
        <w:jc w:val="both"/>
      </w:pPr>
      <w:r>
        <w:t xml:space="preserve">II - a coisa não puder ser apresentada em juízo sem consideráveis despesas ou graves dificuldades;</w:t>
      </w:r>
    </w:p>
    <w:p>
      <w:pPr>
        <w:pStyle w:val="BodyText"/>
        <w:spacing w:after="80"/>
        <w:jc w:val="both"/>
      </w:pPr>
      <w:r>
        <w:t xml:space="preserve">III - determinar a reconstituição dos fatos.</w:t>
      </w:r>
    </w:p>
    <w:p>
      <w:pPr>
        <w:pStyle w:val="BodyText"/>
        <w:keepNext/>
        <w:spacing w:after="80"/>
        <w:jc w:val="both"/>
      </w:pPr>
      <w:r>
        <w:t xml:space="preserve">Parágrafo único. As partes têm sempre direito a assistir à inspeção, prestando esclarecimentos e fazendo observações que considerem de interesse para a causa.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827"/>
        <w:gridCol w:w="2575"/>
        <w:gridCol w:w="4952"/>
      </w:tblGrid>
      <w:tr>
        <w:trPr>
          <w:tblHeader w:val="on"/>
          <w:cantSplit/>
          <w:tblHeader/>
        </w:trPr>
        <w:tc>
          <w:tcPr>
            <w:tcW w:type="dxa" w:w="1827"/>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7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95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827"/>
          </w:tcPr>
          <w:p>
            <w:pPr>
              <w:pStyle w:val="Compact"/>
              <w:spacing w:line="276" w:lineRule="auto" w:before="40" w:after="40"/>
            </w:pPr>
            <w:r>
              <w:rPr>
                <w:rFonts w:ascii="Liberation Sans Narrow" w:hAnsi="Liberation Sans Narrow"/>
                <w:sz w:val="18"/>
              </w:rPr>
              <w:t xml:space="preserve">Parágrafo único — direito das partes de assistir à inspeção</w:t>
            </w:r>
          </w:p>
        </w:tc>
        <w:tc>
          <w:tcPr>
            <w:tcW w:type="dxa" w:w="2575"/>
          </w:tcPr>
          <w:p>
            <w:pPr>
              <w:pStyle w:val="Compact"/>
              <w:spacing w:line="276" w:lineRule="auto" w:before="40" w:after="40"/>
            </w:pPr>
            <w:r>
              <w:rPr>
                <w:rFonts w:ascii="Liberation Sans Narrow" w:hAnsi="Liberation Sans Narrow"/>
                <w:sz w:val="18"/>
              </w:rPr>
              <w:t xml:space="preserve">STJ, AgInt no AREsp 2.038.411, Quarta Turma, relatora Min. Maria Isabel Gallotti, DJe de 13/12/2024</w:t>
            </w:r>
          </w:p>
        </w:tc>
        <w:tc>
          <w:tcPr>
            <w:tcW w:type="dxa" w:w="4952"/>
          </w:tcPr>
          <w:p>
            <w:pPr>
              <w:pStyle w:val="Compact"/>
              <w:spacing w:line="276" w:lineRule="auto" w:before="40" w:after="40"/>
            </w:pPr>
            <w:r>
              <w:rPr>
                <w:rFonts w:ascii="Liberation Sans Narrow" w:hAnsi="Liberation Sans Narrow"/>
                <w:sz w:val="18"/>
              </w:rPr>
              <w:t xml:space="preserve">A realização de inspeção judicial demanda prévia intimação das partes quanto ao dia, hora e local em que a prova será realizada, e a posterior confecção de auto circunstanciado para eventual impugnação, sob pena de cerceamento de defesa e violação aos arts. 483, parágrafo único, e 484 do CPC.</w:t>
            </w:r>
          </w:p>
        </w:tc>
      </w:tr>
    </w:tbl>
    <w:bookmarkEnd w:id="211"/>
    <w:bookmarkStart w:id="212" w:name="art.-484"/>
    <w:p>
      <w:pPr>
        <w:pStyle w:val="Heading6"/>
        <w:pBdr>
          <w:left w:val="single" w:sz="36" w:space="4" w:color="2E75B6"/>
        </w:pBdr>
        <w:shd w:val="clear" w:color="auto" w:fill="E3EEF9"/>
        <w:spacing w:before="200" w:after="80"/>
        <w:ind w:left="85"/>
      </w:pPr>
      <w:r>
        <w:rPr>
          <w:i w:val="0"/>
          <w:color w:val="1F3A5F"/>
          <w:sz w:val="23"/>
        </w:rPr>
        <w:t xml:space="preserve">Art. 484</w:t>
      </w:r>
    </w:p>
    <w:p>
      <w:pPr>
        <w:pStyle w:val="FirstParagraph"/>
        <w:keepNext/>
        <w:spacing w:after="80"/>
        <w:jc w:val="both"/>
      </w:pPr>
      <w:r>
        <w:rPr>
          <w:b/>
          <w:bCs/>
        </w:rPr>
        <w:t xml:space="preserve">Art. 484.</w:t>
      </w:r>
      <w:r>
        <w:t xml:space="preserve"> </w:t>
      </w:r>
      <w:r>
        <w:t xml:space="preserve">Concluída a diligência, o juiz mandará lavrar auto circunstanciado, mencionando nele tudo quanto for útil ao julgamento da causa.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54"/>
        <w:gridCol w:w="2384"/>
        <w:gridCol w:w="4816"/>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38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1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54"/>
          </w:tcPr>
          <w:p>
            <w:pPr>
              <w:pStyle w:val="Compact"/>
              <w:spacing w:line="276" w:lineRule="auto" w:before="40" w:after="40"/>
            </w:pPr>
            <w:r>
              <w:rPr>
                <w:rFonts w:ascii="Liberation Sans Narrow" w:hAnsi="Liberation Sans Narrow"/>
                <w:sz w:val="18"/>
              </w:rPr>
              <w:t xml:space="preserve">Caput — exigência do auto circunstanciado</w:t>
            </w:r>
          </w:p>
        </w:tc>
        <w:tc>
          <w:tcPr>
            <w:tcW w:type="dxa" w:w="2384"/>
          </w:tcPr>
          <w:p>
            <w:pPr>
              <w:pStyle w:val="Compact"/>
              <w:spacing w:line="276" w:lineRule="auto" w:before="40" w:after="40"/>
            </w:pPr>
            <w:r>
              <w:rPr>
                <w:rFonts w:ascii="Liberation Sans Narrow" w:hAnsi="Liberation Sans Narrow"/>
                <w:sz w:val="18"/>
              </w:rPr>
              <w:t xml:space="preserve">STJ, AgInt no AREsp 2.038.411, Quarta Turma, relatora Min. Maria Isabel Gallotti, DJe de 13/12/2024</w:t>
            </w:r>
          </w:p>
        </w:tc>
        <w:tc>
          <w:tcPr>
            <w:tcW w:type="dxa" w:w="4816"/>
          </w:tcPr>
          <w:p>
            <w:pPr>
              <w:pStyle w:val="Compact"/>
              <w:spacing w:line="276" w:lineRule="auto" w:before="40" w:after="40"/>
            </w:pPr>
            <w:r>
              <w:rPr>
                <w:rFonts w:ascii="Liberation Sans Narrow" w:hAnsi="Liberation Sans Narrow"/>
                <w:sz w:val="18"/>
              </w:rPr>
              <w:t xml:space="preserve">A inspeção judicial exige prévia intimação das partes e a posterior confecção de auto circunstanciado, para eventual impugnação das partes; a falta desses requisitos configura cerceamento de defesa e violação aos arts. 483, parágrafo único, e 484 do CPC.</w:t>
            </w:r>
          </w:p>
        </w:tc>
      </w:tr>
    </w:tbl>
    <w:p>
      <w:pPr>
        <w:pStyle w:val="BodyText"/>
        <w:spacing w:after="80"/>
        <w:jc w:val="both"/>
      </w:pPr>
      <w:r>
        <w:t xml:space="preserve">Parágrafo único. O auto poderá ser instruído com desenho, gráfico ou fotografia.</w:t>
      </w:r>
    </w:p>
    <w:bookmarkEnd w:id="212"/>
    <w:bookmarkEnd w:id="213"/>
    <w:bookmarkEnd w:id="214"/>
    <w:bookmarkStart w:id="244" w:name="Xa86d21adf44ba604786af024b0e968624384c09"/>
    <w:p>
      <w:pPr>
        <w:pStyle w:val="Heading4"/>
        <w:spacing w:before="160" w:after="40"/>
      </w:pPr>
      <w:r>
        <w:rPr>
          <w:smallCaps/>
          <w:color w:val="2E75B6"/>
        </w:rPr>
        <w:t xml:space="preserve">Capítulo XIII: da sentença e da coisa julgada (arts. 485 a 508)</w:t>
      </w:r>
    </w:p>
    <w:bookmarkStart w:id="219" w:name="Xec3d2446dbe5f522c803ba8a5417337f1d40af4"/>
    <w:p>
      <w:pPr>
        <w:pStyle w:val="Heading5"/>
        <w:spacing w:before="140" w:after="20"/>
      </w:pPr>
      <w:r>
        <w:rPr>
          <w:i/>
          <w:color w:val="595959"/>
        </w:rPr>
        <w:t xml:space="preserve">Seção I: disposições gerais (arts. 485 a 488)</w:t>
      </w:r>
    </w:p>
    <w:bookmarkStart w:id="215" w:name="art.-485"/>
    <w:p>
      <w:pPr>
        <w:pStyle w:val="Heading6"/>
        <w:pBdr>
          <w:left w:val="single" w:sz="36" w:space="4" w:color="2E75B6"/>
        </w:pBdr>
        <w:shd w:val="clear" w:color="auto" w:fill="E3EEF9"/>
        <w:spacing w:before="200" w:after="80"/>
        <w:ind w:left="85"/>
      </w:pPr>
      <w:r>
        <w:rPr>
          <w:i w:val="0"/>
          <w:color w:val="1F3A5F"/>
          <w:sz w:val="23"/>
        </w:rPr>
        <w:t xml:space="preserve">Art. 485</w:t>
      </w:r>
    </w:p>
    <w:p>
      <w:pPr>
        <w:pStyle w:val="FirstParagraph"/>
        <w:spacing w:after="80"/>
        <w:jc w:val="both"/>
      </w:pPr>
      <w:r>
        <w:rPr>
          <w:b/>
          <w:bCs/>
        </w:rPr>
        <w:t xml:space="preserve">Art. 485.</w:t>
      </w:r>
      <w:r>
        <w:t xml:space="preserve"> </w:t>
      </w:r>
      <w:r>
        <w:t xml:space="preserve">O juiz não resolverá o mérito quando:</w:t>
      </w:r>
    </w:p>
    <w:p>
      <w:pPr>
        <w:pStyle w:val="BodyText"/>
        <w:spacing w:after="80"/>
        <w:jc w:val="both"/>
      </w:pPr>
      <w:r>
        <w:t xml:space="preserve">I - indeferir a petição inicial;</w:t>
      </w:r>
    </w:p>
    <w:p>
      <w:pPr>
        <w:pStyle w:val="BodyText"/>
        <w:spacing w:after="80"/>
        <w:jc w:val="both"/>
      </w:pPr>
      <w:r>
        <w:t xml:space="preserve">II - o processo ficar parado durante mais de 1 (um) ano por negligência das partes;</w:t>
      </w:r>
    </w:p>
    <w:p>
      <w:pPr>
        <w:pStyle w:val="BodyText"/>
        <w:spacing w:after="80"/>
        <w:jc w:val="both"/>
      </w:pPr>
      <w:r>
        <w:t xml:space="preserve">III - por não promover os atos e as diligências que lhe incumbir, o autor abandonar a causa por mais de 30 (trinta) dias;</w:t>
      </w:r>
    </w:p>
    <w:p>
      <w:pPr>
        <w:pStyle w:val="BodyText"/>
        <w:spacing w:after="80"/>
        <w:jc w:val="both"/>
      </w:pPr>
      <w:r>
        <w:t xml:space="preserve">IV - verificar a ausência de pressupostos de constituição e de desenvolvimento válido e regular do processo;</w:t>
      </w:r>
    </w:p>
    <w:p>
      <w:pPr>
        <w:pStyle w:val="BodyText"/>
        <w:spacing w:after="80"/>
        <w:jc w:val="both"/>
      </w:pPr>
      <w:r>
        <w:t xml:space="preserve">V - reconhecer a existência de perempção, de litispendência ou de coisa julgada;</w:t>
      </w:r>
    </w:p>
    <w:p>
      <w:pPr>
        <w:pStyle w:val="BodyText"/>
        <w:spacing w:after="80"/>
        <w:jc w:val="both"/>
      </w:pPr>
      <w:r>
        <w:t xml:space="preserve">VI - verificar ausência de legitimidade ou de interesse processual;</w:t>
      </w:r>
    </w:p>
    <w:p>
      <w:pPr>
        <w:pStyle w:val="BodyText"/>
        <w:spacing w:after="80"/>
        <w:jc w:val="both"/>
      </w:pPr>
      <w:r>
        <w:t xml:space="preserve">VII - acolher a alegação de existência de convenção de arbitragem ou quando o juízo arbitral reconhecer sua competência;</w:t>
      </w:r>
    </w:p>
    <w:p>
      <w:pPr>
        <w:pStyle w:val="BodyText"/>
        <w:spacing w:after="80"/>
        <w:jc w:val="both"/>
      </w:pPr>
      <w:r>
        <w:t xml:space="preserve">VIII - homologar a desistência da ação;</w:t>
      </w:r>
    </w:p>
    <w:p>
      <w:pPr>
        <w:pStyle w:val="BodyText"/>
        <w:spacing w:after="80"/>
        <w:jc w:val="both"/>
      </w:pPr>
      <w:r>
        <w:t xml:space="preserve">IX - em caso de morte da parte, a ação for considerada intransmissível por disposição legal; e</w:t>
      </w:r>
    </w:p>
    <w:p>
      <w:pPr>
        <w:pStyle w:val="BodyText"/>
        <w:spacing w:after="80"/>
        <w:jc w:val="both"/>
      </w:pPr>
      <w:r>
        <w:t xml:space="preserve">X - nos demais casos prescritos neste Código.</w:t>
      </w:r>
    </w:p>
    <w:p>
      <w:pPr>
        <w:pStyle w:val="BodyText"/>
        <w:keepNext/>
        <w:spacing w:after="80"/>
        <w:jc w:val="both"/>
      </w:pPr>
      <w:r>
        <w:t xml:space="preserve">§ 1º Nas hipóteses descritas nos incisos II e III, a parte será intimada pessoalmente para suprir a falta no prazo de 5 (cinco) dias.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60"/>
        <w:gridCol w:w="2829"/>
        <w:gridCol w:w="4165"/>
      </w:tblGrid>
      <w:tr>
        <w:trPr>
          <w:tblHeader w:val="on"/>
          <w:cantSplit/>
          <w:tblHeader/>
        </w:trPr>
        <w:tc>
          <w:tcPr>
            <w:tcW w:type="dxa" w:w="236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2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16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360"/>
          </w:tcPr>
          <w:p>
            <w:pPr>
              <w:pStyle w:val="Compact"/>
              <w:spacing w:line="276" w:lineRule="auto" w:before="40" w:after="40"/>
            </w:pPr>
            <w:r>
              <w:rPr>
                <w:rFonts w:ascii="Liberation Sans Narrow" w:hAnsi="Liberation Sans Narrow"/>
                <w:sz w:val="18"/>
              </w:rPr>
              <w:t xml:space="preserve">Inciso III e § 1º: abandono da causa e intimação pessoal (custas de diligência do oficial)</w:t>
            </w:r>
          </w:p>
        </w:tc>
        <w:tc>
          <w:tcPr>
            <w:tcW w:type="dxa" w:w="2829"/>
          </w:tcPr>
          <w:p>
            <w:pPr>
              <w:pStyle w:val="Compact"/>
              <w:spacing w:line="276" w:lineRule="auto" w:before="40" w:after="40"/>
            </w:pPr>
            <w:r>
              <w:rPr>
                <w:rFonts w:ascii="Liberation Sans Narrow" w:hAnsi="Liberation Sans Narrow"/>
                <w:sz w:val="18"/>
              </w:rPr>
              <w:t xml:space="preserve">STJ, REsp 2.194.521, Terceira Turma, relatora Min. Nancy Andrighi, julgado em 16/10/2025, DJEN de 23/10/2025</w:t>
            </w:r>
          </w:p>
        </w:tc>
        <w:tc>
          <w:tcPr>
            <w:tcW w:type="dxa" w:w="4165"/>
          </w:tcPr>
          <w:p>
            <w:pPr>
              <w:pStyle w:val="Compact"/>
              <w:spacing w:line="276" w:lineRule="auto" w:before="40" w:after="40"/>
            </w:pPr>
            <w:r>
              <w:rPr>
                <w:rFonts w:ascii="Liberation Sans Narrow" w:hAnsi="Liberation Sans Narrow"/>
                <w:sz w:val="18"/>
              </w:rPr>
              <w:t xml:space="preserve">A falta de recolhimento das custas da diligência do oficial de justiça, depois de cumpridos outros atos, não é ausência de pressuposto processual: configura possível abandono da causa, que exige desídia por mais de 30 dias e intimação pessoal da parte para suprir a falta (§ 1º). A intimação do advogado não basta.</w:t>
            </w:r>
          </w:p>
        </w:tc>
      </w:tr>
      <w:tr>
        <w:trPr>
          <w:cantSplit/>
        </w:trPr>
        <w:tc>
          <w:tcPr>
            <w:tcW w:type="dxa" w:w="2360"/>
          </w:tcPr>
          <w:p>
            <w:pPr>
              <w:pStyle w:val="Compact"/>
              <w:spacing w:line="276" w:lineRule="auto" w:before="40" w:after="40"/>
            </w:pPr>
            <w:r>
              <w:rPr>
                <w:rFonts w:ascii="Liberation Sans Narrow" w:hAnsi="Liberation Sans Narrow"/>
                <w:sz w:val="18"/>
              </w:rPr>
              <w:t xml:space="preserve">Inciso III e § 1º: intimação pessoal por correio, oficial de justiça e edital</w:t>
            </w:r>
          </w:p>
        </w:tc>
        <w:tc>
          <w:tcPr>
            <w:tcW w:type="dxa" w:w="2829"/>
          </w:tcPr>
          <w:p>
            <w:pPr>
              <w:pStyle w:val="Compact"/>
              <w:spacing w:line="276" w:lineRule="auto" w:before="40" w:after="40"/>
            </w:pPr>
            <w:r>
              <w:rPr>
                <w:rFonts w:ascii="Liberation Sans Narrow" w:hAnsi="Liberation Sans Narrow"/>
                <w:sz w:val="18"/>
              </w:rPr>
              <w:t xml:space="preserve">STJ, REsp 2.089.756, Terceira Turma, relatora Min. Nancy Andrighi, julgado em 05/03/2024, DJe de 07/03/2024</w:t>
            </w:r>
          </w:p>
        </w:tc>
        <w:tc>
          <w:tcPr>
            <w:tcW w:type="dxa" w:w="4165"/>
          </w:tcPr>
          <w:p>
            <w:pPr>
              <w:pStyle w:val="Compact"/>
              <w:spacing w:line="276" w:lineRule="auto" w:before="40" w:after="40"/>
            </w:pPr>
            <w:r>
              <w:rPr>
                <w:rFonts w:ascii="Liberation Sans Narrow" w:hAnsi="Liberation Sans Narrow"/>
                <w:sz w:val="18"/>
              </w:rPr>
              <w:t xml:space="preserve">A intimação pessoal do autor antes da extinção por abandono deve ser feita por carta com aviso de recebimento; se não for cumprida porque o endereço não foi encontrado, deve-se usar o oficial de justiça e, em último caso, o edital. O aviso que informa endereço insuficiente não gera a presunção de validade do art. 274, parágrafo único, e não é plausível extinguir o feito se o autor praticou atos depois dos 30 dias.</w:t>
            </w:r>
          </w:p>
        </w:tc>
      </w:tr>
    </w:tbl>
    <w:p>
      <w:pPr>
        <w:pStyle w:val="BodyText"/>
        <w:spacing w:after="80"/>
        <w:jc w:val="both"/>
      </w:pPr>
      <w:r>
        <w:t xml:space="preserve">§ 2º No caso do § 1º, quanto ao inciso II, as partes pagarão proporcionalmente as custas, e, quanto ao inciso III, o autor será condenado ao pagamento das despesas e dos honorários de advogado.</w:t>
      </w:r>
    </w:p>
    <w:p>
      <w:pPr>
        <w:pStyle w:val="BodyText"/>
        <w:spacing w:after="80"/>
        <w:jc w:val="both"/>
      </w:pPr>
      <w:r>
        <w:t xml:space="preserve">§ 3º O juiz conhecerá de ofício da matéria constante dos incisos IV, V, VI e IX, em qualquer tempo e grau de jurisdição, enquanto não ocorrer o trânsito em julgado.</w:t>
      </w:r>
    </w:p>
    <w:p>
      <w:pPr>
        <w:pStyle w:val="BodyText"/>
        <w:spacing w:after="80"/>
        <w:jc w:val="both"/>
      </w:pPr>
      <w:r>
        <w:t xml:space="preserve">§ 4º Oferecida a contestação, o autor não poderá, sem o consentimento do réu, desistir da ação.</w:t>
      </w:r>
    </w:p>
    <w:p>
      <w:pPr>
        <w:pStyle w:val="BodyText"/>
        <w:spacing w:after="80"/>
        <w:jc w:val="both"/>
      </w:pPr>
      <w:r>
        <w:t xml:space="preserve">§ 5º A desistência da ação pode ser apresentada até a sentença.</w:t>
      </w:r>
    </w:p>
    <w:p>
      <w:pPr>
        <w:pStyle w:val="BodyText"/>
        <w:spacing w:after="80"/>
        <w:jc w:val="both"/>
      </w:pPr>
      <w:r>
        <w:t xml:space="preserve">§ 6º Oferecida a contestação, a extinção do processo por abandono da causa pelo autor depende de requerimento do réu.</w:t>
      </w:r>
    </w:p>
    <w:p>
      <w:pPr>
        <w:pStyle w:val="BodyText"/>
        <w:spacing w:after="80"/>
        <w:jc w:val="both"/>
      </w:pPr>
      <w:r>
        <w:t xml:space="preserve">§ 7º Interposta a apelação em qualquer dos casos de que tratam os incisos deste artigo, o juiz terá 5 (cinco) dias para retratar-se.</w:t>
      </w:r>
    </w:p>
    <w:bookmarkEnd w:id="215"/>
    <w:bookmarkStart w:id="216" w:name="art.-486"/>
    <w:p>
      <w:pPr>
        <w:pStyle w:val="Heading6"/>
        <w:pBdr>
          <w:left w:val="single" w:sz="36" w:space="4" w:color="2E75B6"/>
        </w:pBdr>
        <w:shd w:val="clear" w:color="auto" w:fill="E3EEF9"/>
        <w:spacing w:before="200" w:after="80"/>
        <w:ind w:left="85"/>
      </w:pPr>
      <w:r>
        <w:rPr>
          <w:i w:val="0"/>
          <w:color w:val="1F3A5F"/>
          <w:sz w:val="23"/>
        </w:rPr>
        <w:t xml:space="preserve">Art. 486</w:t>
      </w:r>
    </w:p>
    <w:p>
      <w:pPr>
        <w:pStyle w:val="FirstParagraph"/>
        <w:spacing w:after="80"/>
        <w:jc w:val="both"/>
      </w:pPr>
      <w:r>
        <w:rPr>
          <w:b/>
          <w:bCs/>
        </w:rPr>
        <w:t xml:space="preserve">Art. 486.</w:t>
      </w:r>
      <w:r>
        <w:t xml:space="preserve"> </w:t>
      </w:r>
      <w:r>
        <w:t xml:space="preserve">O pronunciamento judicial que não resolve o mérito não obsta a que a parte proponha de novo a ação.</w:t>
      </w:r>
    </w:p>
    <w:p>
      <w:pPr>
        <w:pStyle w:val="BodyText"/>
        <w:spacing w:after="80"/>
        <w:jc w:val="both"/>
      </w:pPr>
      <w:r>
        <w:t xml:space="preserve">§ 1º No caso de extinção em razão de litispendência e nos casos dos incisos I, IV, VI e VII do art. 485, a propositura da nova ação depende da correção do vício que levou à sentença sem resolução do mérito.</w:t>
      </w:r>
    </w:p>
    <w:p>
      <w:pPr>
        <w:pStyle w:val="BodyText"/>
        <w:spacing w:after="80"/>
        <w:jc w:val="both"/>
      </w:pPr>
      <w:r>
        <w:t xml:space="preserve">§ 2º A petição inicial, todavia, não será despachada sem a prova do pagamento ou do depósito das custas e dos honorários de advogado.</w:t>
      </w:r>
    </w:p>
    <w:p>
      <w:pPr>
        <w:pStyle w:val="BodyText"/>
        <w:spacing w:after="80"/>
        <w:jc w:val="both"/>
      </w:pPr>
      <w:r>
        <w:t xml:space="preserve">§ 3º Se o autor der causa, por 3 (três) vezes, a sentença fundada em abandono da causa, não poderá propor nova ação contra o réu com o mesmo objeto, ficando-lhe ressalvada, entretanto, a possibilidade de alegar em defesa o seu direito.</w:t>
      </w:r>
    </w:p>
    <w:bookmarkEnd w:id="216"/>
    <w:bookmarkStart w:id="217" w:name="art.-487"/>
    <w:p>
      <w:pPr>
        <w:pStyle w:val="Heading6"/>
        <w:pBdr>
          <w:left w:val="single" w:sz="36" w:space="4" w:color="2E75B6"/>
        </w:pBdr>
        <w:shd w:val="clear" w:color="auto" w:fill="E3EEF9"/>
        <w:spacing w:before="200" w:after="80"/>
        <w:ind w:left="85"/>
      </w:pPr>
      <w:r>
        <w:rPr>
          <w:i w:val="0"/>
          <w:color w:val="1F3A5F"/>
          <w:sz w:val="23"/>
        </w:rPr>
        <w:t xml:space="preserve">Art. 487</w:t>
      </w:r>
    </w:p>
    <w:p>
      <w:pPr>
        <w:pStyle w:val="FirstParagraph"/>
        <w:spacing w:after="80"/>
        <w:jc w:val="both"/>
      </w:pPr>
      <w:r>
        <w:rPr>
          <w:b/>
          <w:bCs/>
        </w:rPr>
        <w:t xml:space="preserve">Art. 487.</w:t>
      </w:r>
      <w:r>
        <w:t xml:space="preserve"> </w:t>
      </w:r>
      <w:r>
        <w:t xml:space="preserve">Haverá resolução de mérito quando o juiz:</w:t>
      </w:r>
    </w:p>
    <w:p>
      <w:pPr>
        <w:pStyle w:val="BodyText"/>
        <w:spacing w:after="80"/>
        <w:jc w:val="both"/>
      </w:pPr>
      <w:r>
        <w:t xml:space="preserve">I - acolher ou rejeitar o pedido formulado na ação ou na reconvenção;</w:t>
      </w:r>
    </w:p>
    <w:p>
      <w:pPr>
        <w:pStyle w:val="BodyText"/>
        <w:keepNext/>
        <w:spacing w:after="80"/>
        <w:jc w:val="both"/>
      </w:pPr>
      <w:r>
        <w:t xml:space="preserve">II - decidir, de ofício ou a requerimento, sobre a ocorrência de decadência ou prescrição;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14"/>
        <w:gridCol w:w="3157"/>
        <w:gridCol w:w="4183"/>
      </w:tblGrid>
      <w:tr>
        <w:trPr>
          <w:tblHeader w:val="on"/>
          <w:cantSplit/>
          <w:tblHeader/>
        </w:trPr>
        <w:tc>
          <w:tcPr>
            <w:tcW w:type="dxa" w:w="2014"/>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15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18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14"/>
          </w:tcPr>
          <w:p>
            <w:pPr>
              <w:pStyle w:val="Compact"/>
              <w:spacing w:line="276" w:lineRule="auto" w:before="40" w:after="40"/>
            </w:pPr>
            <w:r>
              <w:rPr>
                <w:rFonts w:ascii="Liberation Sans Narrow" w:hAnsi="Liberation Sans Narrow"/>
                <w:sz w:val="18"/>
              </w:rPr>
              <w:t xml:space="preserve">Inciso II: decisão que rejeita a decadência ou a prescrição</w:t>
            </w:r>
          </w:p>
        </w:tc>
        <w:tc>
          <w:tcPr>
            <w:tcW w:type="dxa" w:w="3157"/>
          </w:tcPr>
          <w:p>
            <w:pPr>
              <w:pStyle w:val="Compact"/>
              <w:spacing w:line="276" w:lineRule="auto" w:before="40" w:after="40"/>
            </w:pPr>
            <w:r>
              <w:rPr>
                <w:rFonts w:ascii="Liberation Sans Narrow" w:hAnsi="Liberation Sans Narrow"/>
                <w:sz w:val="18"/>
              </w:rPr>
              <w:t xml:space="preserve">STJ, REsp 2.246.924, Quarta Turma, relator Min. Antonio Carlos Ferreira, julgado em 22/04/2026, DJEN de 28/04/2026</w:t>
            </w:r>
          </w:p>
        </w:tc>
        <w:tc>
          <w:tcPr>
            <w:tcW w:type="dxa" w:w="4183"/>
          </w:tcPr>
          <w:p>
            <w:pPr>
              <w:pStyle w:val="Compact"/>
              <w:spacing w:line="276" w:lineRule="auto" w:before="40" w:after="40"/>
            </w:pPr>
            <w:r>
              <w:rPr>
                <w:rFonts w:ascii="Liberation Sans Narrow" w:hAnsi="Liberation Sans Narrow"/>
                <w:sz w:val="18"/>
              </w:rPr>
              <w:t xml:space="preserve">A decisão que reconhece ou rejeita a decadência ou a prescrição resolve o mérito (art. 487, II) e é impugnável por agravo de instrumento, nos termos do art. 1.015, II.</w:t>
            </w:r>
          </w:p>
        </w:tc>
      </w:tr>
    </w:tbl>
    <w:p>
      <w:pPr>
        <w:pStyle w:val="BodyText"/>
        <w:spacing w:after="80"/>
        <w:jc w:val="both"/>
      </w:pPr>
      <w:r>
        <w:t xml:space="preserve">III - homologar:</w:t>
      </w:r>
    </w:p>
    <w:p>
      <w:pPr>
        <w:pStyle w:val="BodyText"/>
        <w:spacing w:after="80"/>
        <w:jc w:val="both"/>
      </w:pPr>
      <w:r>
        <w:t xml:space="preserve">a) o reconhecimento da procedência do pedido formulado na ação ou na reconvenção;</w:t>
      </w:r>
    </w:p>
    <w:p>
      <w:pPr>
        <w:pStyle w:val="BodyText"/>
        <w:spacing w:after="80"/>
        <w:jc w:val="both"/>
      </w:pPr>
      <w:r>
        <w:t xml:space="preserve">b) a transação;</w:t>
      </w:r>
    </w:p>
    <w:p>
      <w:pPr>
        <w:pStyle w:val="BodyText"/>
        <w:spacing w:after="80"/>
        <w:jc w:val="both"/>
      </w:pPr>
      <w:r>
        <w:t xml:space="preserve">c) a renúncia à pretensão formulada na ação ou na reconvenção.</w:t>
      </w:r>
    </w:p>
    <w:p>
      <w:pPr>
        <w:pStyle w:val="BodyText"/>
        <w:spacing w:after="80"/>
        <w:jc w:val="both"/>
      </w:pPr>
      <w:r>
        <w:t xml:space="preserve">Parágrafo único. Ressalvada a hipótese do § 1º do art. 332, a prescrição e a decadência não serão reconhecidas sem que antes seja dada às partes oportunidade de manifestar-se.</w:t>
      </w:r>
    </w:p>
    <w:bookmarkEnd w:id="217"/>
    <w:bookmarkStart w:id="218" w:name="art.-488"/>
    <w:p>
      <w:pPr>
        <w:pStyle w:val="Heading6"/>
        <w:pBdr>
          <w:left w:val="single" w:sz="36" w:space="4" w:color="2E75B6"/>
        </w:pBdr>
        <w:shd w:val="clear" w:color="auto" w:fill="E3EEF9"/>
        <w:spacing w:before="200" w:after="80"/>
        <w:ind w:left="85"/>
      </w:pPr>
      <w:r>
        <w:rPr>
          <w:i w:val="0"/>
          <w:color w:val="1F3A5F"/>
          <w:sz w:val="23"/>
        </w:rPr>
        <w:t xml:space="preserve">Art. 488</w:t>
      </w:r>
    </w:p>
    <w:p>
      <w:pPr>
        <w:pStyle w:val="FirstParagraph"/>
        <w:spacing w:after="80"/>
        <w:jc w:val="both"/>
      </w:pPr>
      <w:r>
        <w:rPr>
          <w:b/>
          <w:bCs/>
        </w:rPr>
        <w:t xml:space="preserve">Art. 488.</w:t>
      </w:r>
      <w:r>
        <w:t xml:space="preserve"> </w:t>
      </w:r>
      <w:r>
        <w:t xml:space="preserve">Desde que possível, o juiz resolverá o mérito sempre que a decisão for favorável à parte a quem aproveitaria eventual pronunciamento nos termos do art. 485.</w:t>
      </w:r>
    </w:p>
    <w:bookmarkEnd w:id="218"/>
    <w:bookmarkEnd w:id="219"/>
    <w:bookmarkStart w:id="227" w:name="X3d849dab50ea502cbefe704d06500a27f939f3e"/>
    <w:p>
      <w:pPr>
        <w:pStyle w:val="Heading5"/>
        <w:spacing w:before="140" w:after="20"/>
      </w:pPr>
      <w:r>
        <w:rPr>
          <w:i/>
          <w:color w:val="595959"/>
        </w:rPr>
        <w:t xml:space="preserve">Seção II: dos elementos e dos efeitos da sentença (arts. 489 a 495)</w:t>
      </w:r>
    </w:p>
    <w:bookmarkStart w:id="220" w:name="art.-489"/>
    <w:p>
      <w:pPr>
        <w:pStyle w:val="Heading6"/>
        <w:pBdr>
          <w:left w:val="single" w:sz="36" w:space="4" w:color="2E75B6"/>
        </w:pBdr>
        <w:shd w:val="clear" w:color="auto" w:fill="E3EEF9"/>
        <w:spacing w:before="200" w:after="80"/>
        <w:ind w:left="85"/>
      </w:pPr>
      <w:r>
        <w:rPr>
          <w:i w:val="0"/>
          <w:color w:val="1F3A5F"/>
          <w:sz w:val="23"/>
        </w:rPr>
        <w:t xml:space="preserve">Art. 489</w:t>
      </w:r>
    </w:p>
    <w:p>
      <w:pPr>
        <w:pStyle w:val="FirstParagraph"/>
        <w:spacing w:after="80"/>
        <w:jc w:val="both"/>
      </w:pPr>
      <w:r>
        <w:rPr>
          <w:b/>
          <w:bCs/>
        </w:rPr>
        <w:t xml:space="preserve">Art. 489.</w:t>
      </w:r>
      <w:r>
        <w:t xml:space="preserve"> </w:t>
      </w:r>
      <w:r>
        <w:t xml:space="preserve">São elementos essenciais da sentença:</w:t>
      </w:r>
    </w:p>
    <w:p>
      <w:pPr>
        <w:pStyle w:val="BodyText"/>
        <w:spacing w:after="80"/>
        <w:jc w:val="both"/>
      </w:pPr>
      <w:r>
        <w:t xml:space="preserve">I - o relatório, que conterá os nomes das partes, a identificação do caso, com a suma do pedido e da contestação, e o registro das principais ocorrências havidas no andamento do processo;</w:t>
      </w:r>
    </w:p>
    <w:p>
      <w:pPr>
        <w:pStyle w:val="BodyText"/>
        <w:spacing w:after="80"/>
        <w:jc w:val="both"/>
      </w:pPr>
      <w:r>
        <w:t xml:space="preserve">II - os fundamentos, em que o juiz analisará as questões de fato e de direito;</w:t>
      </w:r>
    </w:p>
    <w:p>
      <w:pPr>
        <w:pStyle w:val="BodyText"/>
        <w:spacing w:after="80"/>
        <w:jc w:val="both"/>
      </w:pPr>
      <w:r>
        <w:t xml:space="preserve">III - o dispositivo, em que o juiz resolverá as questões principais que as partes lhe submeterem.</w:t>
      </w:r>
    </w:p>
    <w:p>
      <w:pPr>
        <w:pStyle w:val="BodyText"/>
        <w:keepNext/>
        <w:spacing w:after="80"/>
        <w:jc w:val="both"/>
      </w:pPr>
      <w:r>
        <w:t xml:space="preserve">§ 1º Não se considera fundamentada qualquer decisão judicial, seja ela interlocutória, sentença ou acórdão, que: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65"/>
        <w:gridCol w:w="2881"/>
        <w:gridCol w:w="4409"/>
      </w:tblGrid>
      <w:tr>
        <w:trPr>
          <w:tblHeader w:val="on"/>
          <w:cantSplit/>
          <w:tblHeader/>
        </w:trPr>
        <w:tc>
          <w:tcPr>
            <w:tcW w:type="dxa" w:w="206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8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40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65"/>
          </w:tcPr>
          <w:p>
            <w:pPr>
              <w:pStyle w:val="Compact"/>
              <w:spacing w:line="276" w:lineRule="auto" w:before="40" w:after="40"/>
            </w:pPr>
            <w:r>
              <w:rPr>
                <w:rFonts w:ascii="Liberation Sans Narrow" w:hAnsi="Liberation Sans Narrow"/>
                <w:sz w:val="18"/>
              </w:rPr>
              <w:t xml:space="preserve">§ 1º: fundamentação per relationem e reprodução dos fundamentos da decisão agravada</w:t>
            </w:r>
          </w:p>
        </w:tc>
        <w:tc>
          <w:tcPr>
            <w:tcW w:type="dxa" w:w="2881"/>
          </w:tcPr>
          <w:p>
            <w:pPr>
              <w:pStyle w:val="Compact"/>
              <w:spacing w:line="276" w:lineRule="auto" w:before="40" w:after="40"/>
            </w:pPr>
            <w:r>
              <w:rPr>
                <w:rFonts w:ascii="Liberation Sans Narrow" w:hAnsi="Liberation Sans Narrow"/>
                <w:sz w:val="18"/>
              </w:rPr>
              <w:t xml:space="preserve">STJ, Tema Repetitivo 1306, REsp 2.148.059, Corte Especial, relator Min. Luis Felipe Salomão, julgado em 20/08/2025, DJEN de 05/09/2025</w:t>
            </w:r>
          </w:p>
        </w:tc>
        <w:tc>
          <w:tcPr>
            <w:tcW w:type="dxa" w:w="4409"/>
          </w:tcPr>
          <w:p>
            <w:pPr>
              <w:pStyle w:val="Compact"/>
              <w:spacing w:line="276" w:lineRule="auto" w:before="40" w:after="40"/>
            </w:pPr>
            <w:r>
              <w:rPr>
                <w:rFonts w:ascii="Liberation Sans Narrow" w:hAnsi="Liberation Sans Narrow"/>
                <w:sz w:val="18"/>
              </w:rPr>
              <w:t xml:space="preserve">1. A técnica da fundamentação por referência (per relationem) é permitida desde que o julgador, ao reproduzir trechos de decisão anterior (documentos e/ou pareceres) como razões de decidir, enfrente, ainda que de forma sucinta, as novas questões relevantes para o julgamento do processo, dispensada a análise pormenorizada de cada uma das alegações ou provas.2. O § 3º do artigo 1.021, do CPC não impede a reprodução dos fundamentos da decisão agravada como razões de decidir pela negativa de provimento de agravo interno quando a parte deixa de apresentar argumento novo para ser apreciado pelo colegiado.</w:t>
            </w:r>
          </w:p>
        </w:tc>
      </w:tr>
    </w:tbl>
    <w:p>
      <w:pPr>
        <w:pStyle w:val="BodyText"/>
        <w:spacing w:after="80"/>
        <w:jc w:val="both"/>
      </w:pPr>
      <w:r>
        <w:t xml:space="preserve">I - se limitar à indicação, à reprodução ou à paráfrase de ato normativo, sem explicar sua relação com a causa ou a questão decidida;</w:t>
      </w:r>
    </w:p>
    <w:p>
      <w:pPr>
        <w:pStyle w:val="BodyText"/>
        <w:spacing w:after="80"/>
        <w:jc w:val="both"/>
      </w:pPr>
      <w:r>
        <w:t xml:space="preserve">II - empregar conceitos jurídicos indeterminados, sem explicar o motivo concreto de sua incidência no caso;</w:t>
      </w:r>
    </w:p>
    <w:p>
      <w:pPr>
        <w:pStyle w:val="BodyText"/>
        <w:spacing w:after="80"/>
        <w:jc w:val="both"/>
      </w:pPr>
      <w:r>
        <w:t xml:space="preserve">III - invocar motivos que se prestariam a justificar qualquer outra decisão;</w:t>
      </w:r>
    </w:p>
    <w:p>
      <w:pPr>
        <w:pStyle w:val="BodyText"/>
        <w:spacing w:after="80"/>
        <w:jc w:val="both"/>
      </w:pPr>
      <w:r>
        <w:t xml:space="preserve">IV - não enfrentar todos os argumentos deduzidos no processo capazes de, em tese, infirmar a conclusão adotada pelo julgador;</w:t>
      </w:r>
    </w:p>
    <w:p>
      <w:pPr>
        <w:pStyle w:val="BodyText"/>
        <w:spacing w:after="80"/>
        <w:jc w:val="both"/>
      </w:pPr>
      <w:r>
        <w:t xml:space="preserve">V - se limitar a invocar precedente ou enunciado de súmula, sem identificar seus fundamentos determinantes nem demonstrar que o caso sob julgamento se ajusta àqueles fundamentos;</w:t>
      </w:r>
    </w:p>
    <w:p>
      <w:pPr>
        <w:pStyle w:val="BodyText"/>
        <w:spacing w:after="80"/>
        <w:jc w:val="both"/>
      </w:pPr>
      <w:r>
        <w:t xml:space="preserve">VI - deixar de seguir enunciado de súmula, jurisprudência ou precedente invocado pela parte, sem demonstrar a existência de distinção no caso em julgamento ou a superação do entendimento.</w:t>
      </w:r>
    </w:p>
    <w:p>
      <w:pPr>
        <w:pStyle w:val="BodyText"/>
        <w:spacing w:after="80"/>
        <w:jc w:val="both"/>
      </w:pPr>
      <w:r>
        <w:t xml:space="preserve">§ 2º No caso de colisão entre normas, o juiz deve justificar o objeto e os critérios gerais da ponderação efetuada, enunciando as razões que autorizam a interferência na norma afastada e as premissas fáticas que fundamentam a conclusão.</w:t>
      </w:r>
    </w:p>
    <w:p>
      <w:pPr>
        <w:pStyle w:val="BodyText"/>
        <w:spacing w:after="80"/>
        <w:jc w:val="both"/>
      </w:pPr>
      <w:r>
        <w:t xml:space="preserve">§ 3º A decisão judicial deve ser interpretada a partir da conjugação de todos os seus elementos e em conformidade com o princípio da boa-fé.</w:t>
      </w:r>
    </w:p>
    <w:bookmarkEnd w:id="220"/>
    <w:bookmarkStart w:id="221" w:name="art.-490"/>
    <w:p>
      <w:pPr>
        <w:pStyle w:val="Heading6"/>
        <w:pBdr>
          <w:left w:val="single" w:sz="36" w:space="4" w:color="2E75B6"/>
        </w:pBdr>
        <w:shd w:val="clear" w:color="auto" w:fill="E3EEF9"/>
        <w:spacing w:before="200" w:after="80"/>
        <w:ind w:left="85"/>
      </w:pPr>
      <w:r>
        <w:rPr>
          <w:i w:val="0"/>
          <w:color w:val="1F3A5F"/>
          <w:sz w:val="23"/>
        </w:rPr>
        <w:t xml:space="preserve">Art. 490</w:t>
      </w:r>
    </w:p>
    <w:p>
      <w:pPr>
        <w:pStyle w:val="FirstParagraph"/>
        <w:spacing w:after="80"/>
        <w:jc w:val="both"/>
      </w:pPr>
      <w:r>
        <w:rPr>
          <w:b/>
          <w:bCs/>
        </w:rPr>
        <w:t xml:space="preserve">Art. 490.</w:t>
      </w:r>
      <w:r>
        <w:t xml:space="preserve"> </w:t>
      </w:r>
      <w:r>
        <w:t xml:space="preserve">O juiz resolverá o mérito acolhendo ou rejeitando, no todo ou em parte, os pedidos formulados pelas partes.</w:t>
      </w:r>
    </w:p>
    <w:bookmarkEnd w:id="221"/>
    <w:bookmarkStart w:id="222" w:name="art.-491"/>
    <w:p>
      <w:pPr>
        <w:pStyle w:val="Heading6"/>
        <w:pBdr>
          <w:left w:val="single" w:sz="36" w:space="4" w:color="2E75B6"/>
        </w:pBdr>
        <w:shd w:val="clear" w:color="auto" w:fill="E3EEF9"/>
        <w:spacing w:before="200" w:after="80"/>
        <w:ind w:left="85"/>
      </w:pPr>
      <w:r>
        <w:rPr>
          <w:i w:val="0"/>
          <w:color w:val="1F3A5F"/>
          <w:sz w:val="23"/>
        </w:rPr>
        <w:t xml:space="preserve">Art. 491</w:t>
      </w:r>
    </w:p>
    <w:p>
      <w:pPr>
        <w:pStyle w:val="FirstParagraph"/>
        <w:keepNext/>
        <w:spacing w:after="80"/>
        <w:jc w:val="both"/>
      </w:pPr>
      <w:r>
        <w:rPr>
          <w:b/>
          <w:bCs/>
        </w:rPr>
        <w:t xml:space="preserve">Art. 491.</w:t>
      </w:r>
      <w:r>
        <w:t xml:space="preserve"> </w:t>
      </w:r>
      <w:r>
        <w:t xml:space="preserve">Na ação relativa à obrigação de pagar quantia, ainda que formulado pedido genérico, a decisão definirá desde logo a extensão da obrigação, o índice de correção monetária, a taxa de juros, o termo inicial de ambos e a periodicidade da capitalização dos juros, se for o caso, salvo quando: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80"/>
        <w:gridCol w:w="3241"/>
        <w:gridCol w:w="4333"/>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24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33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780"/>
          </w:tcPr>
          <w:p>
            <w:pPr>
              <w:pStyle w:val="Compact"/>
              <w:spacing w:line="276" w:lineRule="auto" w:before="40" w:after="40"/>
            </w:pPr>
            <w:r>
              <w:rPr>
                <w:rFonts w:ascii="Liberation Sans Narrow" w:hAnsi="Liberation Sans Narrow"/>
                <w:sz w:val="18"/>
              </w:rPr>
              <w:t xml:space="preserve">Caput — consectários legais de ordem pública</w:t>
            </w:r>
          </w:p>
        </w:tc>
        <w:tc>
          <w:tcPr>
            <w:tcW w:type="dxa" w:w="3241"/>
          </w:tcPr>
          <w:p>
            <w:pPr>
              <w:pStyle w:val="Compact"/>
              <w:spacing w:line="276" w:lineRule="auto" w:before="40" w:after="40"/>
            </w:pPr>
            <w:r>
              <w:rPr>
                <w:rFonts w:ascii="Liberation Sans Narrow" w:hAnsi="Liberation Sans Narrow"/>
                <w:sz w:val="18"/>
              </w:rPr>
              <w:t xml:space="preserve">STJ, AgInt no AgInt no AREsp 2.507.194, Quarta Turma, relatora Min. Maria Isabel Gallotti, julgado em 01/06/2026, DJEN de 08/06/2026</w:t>
            </w:r>
          </w:p>
        </w:tc>
        <w:tc>
          <w:tcPr>
            <w:tcW w:type="dxa" w:w="4333"/>
          </w:tcPr>
          <w:p>
            <w:pPr>
              <w:pStyle w:val="Compact"/>
              <w:spacing w:line="276" w:lineRule="auto" w:before="40" w:after="40"/>
            </w:pPr>
            <w:r>
              <w:rPr>
                <w:rFonts w:ascii="Liberation Sans Narrow" w:hAnsi="Liberation Sans Narrow"/>
                <w:sz w:val="18"/>
              </w:rPr>
              <w:t xml:space="preserve">A correção monetária e os juros de mora são consectários legais da condenação principal, de ordem pública, e podem ser analisados até de ofício; a aplicação ou alteração e a modificação de seu termo inicial não configuram julgamento extra petita nem reformatio in pejus.</w:t>
            </w:r>
          </w:p>
        </w:tc>
      </w:tr>
      <w:tr>
        <w:trPr>
          <w:cantSplit/>
        </w:trPr>
        <w:tc>
          <w:tcPr>
            <w:tcW w:type="dxa" w:w="1780"/>
          </w:tcPr>
          <w:p>
            <w:pPr>
              <w:pStyle w:val="Compact"/>
              <w:spacing w:line="276" w:lineRule="auto" w:before="40" w:after="40"/>
            </w:pPr>
            <w:r>
              <w:rPr>
                <w:rFonts w:ascii="Liberation Sans Narrow" w:hAnsi="Liberation Sans Narrow"/>
                <w:sz w:val="18"/>
              </w:rPr>
              <w:t xml:space="preserve">Caput — extensão da obrigação e remessa à liquidação</w:t>
            </w:r>
          </w:p>
        </w:tc>
        <w:tc>
          <w:tcPr>
            <w:tcW w:type="dxa" w:w="3241"/>
          </w:tcPr>
          <w:p>
            <w:pPr>
              <w:pStyle w:val="Compact"/>
              <w:spacing w:line="276" w:lineRule="auto" w:before="40" w:after="40"/>
            </w:pPr>
            <w:r>
              <w:rPr>
                <w:rFonts w:ascii="Liberation Sans Narrow" w:hAnsi="Liberation Sans Narrow"/>
                <w:sz w:val="18"/>
              </w:rPr>
              <w:t xml:space="preserve">STJ, REsp 2.191.153, Quarta Turma, relatora Min. Maria Isabel Gallotti, julgado em 30/03/2026, DJEN de 07/04/2026</w:t>
            </w:r>
          </w:p>
        </w:tc>
        <w:tc>
          <w:tcPr>
            <w:tcW w:type="dxa" w:w="4333"/>
          </w:tcPr>
          <w:p>
            <w:pPr>
              <w:pStyle w:val="Compact"/>
              <w:spacing w:line="276" w:lineRule="auto" w:before="40" w:after="40"/>
            </w:pPr>
            <w:r>
              <w:rPr>
                <w:rFonts w:ascii="Liberation Sans Narrow" w:hAnsi="Liberation Sans Narrow"/>
                <w:sz w:val="18"/>
              </w:rPr>
              <w:t xml:space="preserve">A remessa da quantificação dos danos para a liquidação de sentença age em consonância com o art. 491 do CPC e não configura julgamento extra ou ultra petita; o dissídio jurisprudencial exige similitude fática e divergência de teses.</w:t>
            </w:r>
          </w:p>
        </w:tc>
      </w:tr>
    </w:tbl>
    <w:p>
      <w:pPr>
        <w:pStyle w:val="BodyText"/>
        <w:spacing w:after="80"/>
        <w:jc w:val="both"/>
      </w:pPr>
      <w:r>
        <w:t xml:space="preserve">I - não for possível determinar, de modo definitivo, o montante devido;</w:t>
      </w:r>
    </w:p>
    <w:p>
      <w:pPr>
        <w:pStyle w:val="BodyText"/>
        <w:spacing w:after="80"/>
        <w:jc w:val="both"/>
      </w:pPr>
      <w:r>
        <w:t xml:space="preserve">II - a apuração do valor devido depender da produção de prova de realização demorada ou excessivamente dispendiosa, assim reconhecida na sentença.</w:t>
      </w:r>
    </w:p>
    <w:p>
      <w:pPr>
        <w:pStyle w:val="BodyText"/>
        <w:spacing w:after="80"/>
        <w:jc w:val="both"/>
      </w:pPr>
      <w:r>
        <w:t xml:space="preserve">§ 1º Nos casos previstos neste artigo, seguir-se-á a apuração do valor devido por liquidação.</w:t>
      </w:r>
    </w:p>
    <w:p>
      <w:pPr>
        <w:pStyle w:val="BodyText"/>
        <w:spacing w:after="80"/>
        <w:jc w:val="both"/>
      </w:pPr>
      <w:r>
        <w:t xml:space="preserve">§ 2º O disposto no caput também se aplica quando o acórdão alterar a sentença.</w:t>
      </w:r>
    </w:p>
    <w:bookmarkEnd w:id="222"/>
    <w:bookmarkStart w:id="223" w:name="art.-492"/>
    <w:p>
      <w:pPr>
        <w:pStyle w:val="Heading6"/>
        <w:pBdr>
          <w:left w:val="single" w:sz="36" w:space="4" w:color="2E75B6"/>
        </w:pBdr>
        <w:shd w:val="clear" w:color="auto" w:fill="E3EEF9"/>
        <w:spacing w:before="200" w:after="80"/>
        <w:ind w:left="85"/>
      </w:pPr>
      <w:r>
        <w:rPr>
          <w:i w:val="0"/>
          <w:color w:val="1F3A5F"/>
          <w:sz w:val="23"/>
        </w:rPr>
        <w:t xml:space="preserve">Art. 492</w:t>
      </w:r>
    </w:p>
    <w:p>
      <w:pPr>
        <w:pStyle w:val="FirstParagraph"/>
        <w:spacing w:after="80"/>
        <w:jc w:val="both"/>
      </w:pPr>
      <w:r>
        <w:rPr>
          <w:b/>
          <w:bCs/>
        </w:rPr>
        <w:t xml:space="preserve">Art. 492.</w:t>
      </w:r>
      <w:r>
        <w:t xml:space="preserve"> </w:t>
      </w:r>
      <w:r>
        <w:t xml:space="preserve">É vedado ao juiz proferir decisão de natureza diversa da pedida, bem como condenar a parte em quantidade superior ou em objeto diverso do que lhe foi demandado.</w:t>
      </w:r>
    </w:p>
    <w:p>
      <w:pPr>
        <w:pStyle w:val="BodyText"/>
        <w:keepNext/>
        <w:spacing w:after="80"/>
        <w:jc w:val="both"/>
      </w:pPr>
      <w:r>
        <w:t xml:space="preserve">Parágrafo único. A decisão deve ser certa, ainda que resolva relação jurídica condicional.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523"/>
        <w:gridCol w:w="2438"/>
        <w:gridCol w:w="4393"/>
      </w:tblGrid>
      <w:tr>
        <w:trPr>
          <w:tblHeader w:val="on"/>
          <w:cantSplit/>
          <w:tblHeader/>
        </w:trPr>
        <w:tc>
          <w:tcPr>
            <w:tcW w:type="dxa" w:w="2523"/>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43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39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523"/>
          </w:tcPr>
          <w:p>
            <w:pPr>
              <w:pStyle w:val="Compact"/>
              <w:spacing w:line="276" w:lineRule="auto" w:before="40" w:after="40"/>
            </w:pPr>
            <w:r>
              <w:rPr>
                <w:rFonts w:ascii="Liberation Sans Narrow" w:hAnsi="Liberation Sans Narrow"/>
                <w:sz w:val="18"/>
              </w:rPr>
              <w:t xml:space="preserve">Parágrafo único: decisão certa que resolve relação jurídica condicional (alimentos em parâmetros alternativos)</w:t>
            </w:r>
          </w:p>
        </w:tc>
        <w:tc>
          <w:tcPr>
            <w:tcW w:type="dxa" w:w="2439"/>
          </w:tcPr>
          <w:p>
            <w:pPr>
              <w:pStyle w:val="Compact"/>
              <w:spacing w:line="276" w:lineRule="auto" w:before="40" w:after="40"/>
            </w:pPr>
            <w:r>
              <w:rPr>
                <w:rFonts w:ascii="Liberation Sans Narrow" w:hAnsi="Liberation Sans Narrow"/>
                <w:sz w:val="18"/>
              </w:rPr>
              <w:t xml:space="preserve">STJ, REsp 2.219.394, Terceira Turma, relatora Min. Nancy Andrighi, julgado em 12/05/2026, DJEN de 28/05/2026</w:t>
            </w:r>
          </w:p>
        </w:tc>
        <w:tc>
          <w:tcPr>
            <w:tcW w:type="dxa" w:w="4393"/>
          </w:tcPr>
          <w:p>
            <w:pPr>
              <w:pStyle w:val="Compact"/>
              <w:spacing w:line="276" w:lineRule="auto" w:before="40" w:after="40"/>
            </w:pPr>
            <w:r>
              <w:rPr>
                <w:rFonts w:ascii="Liberation Sans Narrow" w:hAnsi="Liberation Sans Narrow"/>
                <w:sz w:val="18"/>
              </w:rPr>
              <w:t xml:space="preserve">Fixar alimentos em percentual do salário mínimo para a hipótese de desemprego ou trabalho informal do alimentante não é decisão condicional: é decisão certa, com eficácia variável, que se ajusta a circunstâncias objetivamente verificáveis.</w:t>
            </w:r>
          </w:p>
        </w:tc>
      </w:tr>
    </w:tbl>
    <w:bookmarkEnd w:id="223"/>
    <w:bookmarkStart w:id="224" w:name="art.-493"/>
    <w:p>
      <w:pPr>
        <w:pStyle w:val="Heading6"/>
        <w:pBdr>
          <w:left w:val="single" w:sz="36" w:space="4" w:color="2E75B6"/>
        </w:pBdr>
        <w:shd w:val="clear" w:color="auto" w:fill="E3EEF9"/>
        <w:spacing w:before="200" w:after="80"/>
        <w:ind w:left="85"/>
      </w:pPr>
      <w:r>
        <w:rPr>
          <w:i w:val="0"/>
          <w:color w:val="1F3A5F"/>
          <w:sz w:val="23"/>
        </w:rPr>
        <w:t xml:space="preserve">Art. 493</w:t>
      </w:r>
    </w:p>
    <w:p>
      <w:pPr>
        <w:pStyle w:val="FirstParagraph"/>
        <w:keepNext/>
        <w:spacing w:after="80"/>
        <w:jc w:val="both"/>
      </w:pPr>
      <w:r>
        <w:rPr>
          <w:b/>
          <w:bCs/>
        </w:rPr>
        <w:t xml:space="preserve">Art. 493.</w:t>
      </w:r>
      <w:r>
        <w:t xml:space="preserve"> </w:t>
      </w:r>
      <w:r>
        <w:t xml:space="preserve">Se, depois da propositura da ação, algum fato constitutivo, modificativo ou extintivo do direito influir no julgamento do mérito, caberá ao juiz tomá-lo em consideração, de ofício ou a requerimento da parte, no momento de proferir a decisão.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3083"/>
        <w:gridCol w:w="4367"/>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08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367"/>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Caput — fato superveniente ao ajuizamento (art. 493)</w:t>
            </w:r>
          </w:p>
        </w:tc>
        <w:tc>
          <w:tcPr>
            <w:tcW w:type="dxa" w:w="3083"/>
          </w:tcPr>
          <w:p>
            <w:pPr>
              <w:pStyle w:val="Compact"/>
              <w:spacing w:line="276" w:lineRule="auto" w:before="40" w:after="40"/>
            </w:pPr>
            <w:r>
              <w:rPr>
                <w:rFonts w:ascii="Liberation Sans Narrow" w:hAnsi="Liberation Sans Narrow"/>
                <w:sz w:val="18"/>
              </w:rPr>
              <w:t xml:space="preserve">STJ, Tema Repetitivo 995, REsp 1.727.063, Primeira Seção, relator Min. Mauro Campbell Marques, julgado em 23/10/2019, DJe de 02/12/2019</w:t>
            </w:r>
          </w:p>
        </w:tc>
        <w:tc>
          <w:tcPr>
            <w:tcW w:type="dxa" w:w="4367"/>
          </w:tcPr>
          <w:p>
            <w:pPr>
              <w:pStyle w:val="Compact"/>
              <w:spacing w:line="276" w:lineRule="auto" w:before="40" w:after="40"/>
            </w:pPr>
            <w:r>
              <w:rPr>
                <w:rFonts w:ascii="Liberation Sans Narrow" w:hAnsi="Liberation Sans Narrow"/>
                <w:sz w:val="18"/>
              </w:rPr>
              <w:t xml:space="preserve">É possível a reafirmação da DER (Data de Entrada do Requerimento) para o momento em que implementados os requisitos para a concessão do benefício, mesmo que isso se dê no interstício entre o ajuizamento da ação e a entrega da prestação jurisdicional nas instâncias ordinárias, nos termos dos arts. 493 e 933 do CPC/2015, observada a causa de pedir.</w:t>
            </w:r>
          </w:p>
        </w:tc>
      </w:tr>
      <w:tr>
        <w:trPr>
          <w:cantSplit/>
        </w:trPr>
        <w:tc>
          <w:tcPr>
            <w:tcW w:type="dxa" w:w="1905"/>
          </w:tcPr>
          <w:p>
            <w:pPr>
              <w:pStyle w:val="Compact"/>
              <w:spacing w:line="276" w:lineRule="auto" w:before="40" w:after="40"/>
            </w:pPr>
            <w:r>
              <w:rPr>
                <w:rFonts w:ascii="Liberation Sans Narrow" w:hAnsi="Liberation Sans Narrow"/>
                <w:sz w:val="18"/>
              </w:rPr>
              <w:t xml:space="preserve">Caput — fato superveniente no julgamento do recurso</w:t>
            </w:r>
          </w:p>
        </w:tc>
        <w:tc>
          <w:tcPr>
            <w:tcW w:type="dxa" w:w="3083"/>
          </w:tcPr>
          <w:p>
            <w:pPr>
              <w:pStyle w:val="Compact"/>
              <w:spacing w:line="276" w:lineRule="auto" w:before="40" w:after="40"/>
            </w:pPr>
            <w:r>
              <w:rPr>
                <w:rFonts w:ascii="Liberation Sans Narrow" w:hAnsi="Liberation Sans Narrow"/>
                <w:sz w:val="18"/>
              </w:rPr>
              <w:t xml:space="preserve">STJ, REsp 1.871.763, Quarta Turma, relatora Min. Maria Isabel Gallotti, julgado em 25/05/2026</w:t>
            </w:r>
          </w:p>
        </w:tc>
        <w:tc>
          <w:tcPr>
            <w:tcW w:type="dxa" w:w="4367"/>
          </w:tcPr>
          <w:p>
            <w:pPr>
              <w:pStyle w:val="Compact"/>
              <w:spacing w:line="276" w:lineRule="auto" w:before="40" w:after="40"/>
            </w:pPr>
            <w:r>
              <w:rPr>
                <w:rFonts w:ascii="Liberation Sans Narrow" w:hAnsi="Liberation Sans Narrow"/>
                <w:sz w:val="18"/>
              </w:rPr>
              <w:t xml:space="preserve">O fato superveniente que altera o quadro jurídico deve ser considerado no julgamento da causa (art. 493), inclusive na fase do recurso especial, quando já superada a fase de conhecimento.</w:t>
            </w:r>
          </w:p>
        </w:tc>
      </w:tr>
    </w:tbl>
    <w:p>
      <w:pPr>
        <w:pStyle w:val="BodyText"/>
        <w:spacing w:after="80"/>
        <w:jc w:val="both"/>
      </w:pPr>
      <w:r>
        <w:t xml:space="preserve">Parágrafo único. Se constatar de ofício o fato novo, o juiz ouvirá as partes sobre ele antes de decidir.</w:t>
      </w:r>
    </w:p>
    <w:bookmarkEnd w:id="224"/>
    <w:bookmarkStart w:id="225" w:name="art.-494"/>
    <w:p>
      <w:pPr>
        <w:pStyle w:val="Heading6"/>
        <w:pBdr>
          <w:left w:val="single" w:sz="36" w:space="4" w:color="2E75B6"/>
        </w:pBdr>
        <w:shd w:val="clear" w:color="auto" w:fill="E3EEF9"/>
        <w:spacing w:before="200" w:after="80"/>
        <w:ind w:left="85"/>
      </w:pPr>
      <w:r>
        <w:rPr>
          <w:i w:val="0"/>
          <w:color w:val="1F3A5F"/>
          <w:sz w:val="23"/>
        </w:rPr>
        <w:t xml:space="preserve">Art. 494</w:t>
      </w:r>
    </w:p>
    <w:p>
      <w:pPr>
        <w:pStyle w:val="FirstParagraph"/>
        <w:keepNext/>
        <w:spacing w:after="80"/>
        <w:jc w:val="both"/>
      </w:pPr>
      <w:r>
        <w:rPr>
          <w:b/>
          <w:bCs/>
        </w:rPr>
        <w:t xml:space="preserve">Art. 494.</w:t>
      </w:r>
      <w:r>
        <w:t xml:space="preserve"> </w:t>
      </w:r>
      <w:r>
        <w:t xml:space="preserve">Publicada a sentença, o juiz só poderá alterá-la: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95"/>
        <w:gridCol w:w="2804"/>
        <w:gridCol w:w="4756"/>
      </w:tblGrid>
      <w:tr>
        <w:trPr>
          <w:tblHeader w:val="on"/>
          <w:cantSplit/>
          <w:tblHeader/>
        </w:trPr>
        <w:tc>
          <w:tcPr>
            <w:tcW w:type="dxa" w:w="179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0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5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795"/>
          </w:tcPr>
          <w:p>
            <w:pPr>
              <w:pStyle w:val="Compact"/>
              <w:spacing w:line="276" w:lineRule="auto" w:before="40" w:after="40"/>
            </w:pPr>
            <w:r>
              <w:rPr>
                <w:rFonts w:ascii="Liberation Sans Narrow" w:hAnsi="Liberation Sans Narrow"/>
                <w:sz w:val="18"/>
              </w:rPr>
              <w:t xml:space="preserve">Alteração da sentença publicada: natureza do rol de hipóteses</w:t>
            </w:r>
          </w:p>
        </w:tc>
        <w:tc>
          <w:tcPr>
            <w:tcW w:type="dxa" w:w="2804"/>
          </w:tcPr>
          <w:p>
            <w:pPr>
              <w:pStyle w:val="Compact"/>
              <w:spacing w:line="276" w:lineRule="auto" w:before="40" w:after="40"/>
            </w:pPr>
            <w:r>
              <w:rPr>
                <w:rFonts w:ascii="Liberation Sans Narrow" w:hAnsi="Liberation Sans Narrow"/>
                <w:sz w:val="18"/>
              </w:rPr>
              <w:t xml:space="preserve">STJ, REsp 2.124.830, Terceira Turma, relator Min. Ricardo Villas Bôas Cueva, julgado em 14/05/2024, DJe de 16/05/2024</w:t>
            </w:r>
          </w:p>
        </w:tc>
        <w:tc>
          <w:tcPr>
            <w:tcW w:type="dxa" w:w="4756"/>
          </w:tcPr>
          <w:p>
            <w:pPr>
              <w:pStyle w:val="Compact"/>
              <w:spacing w:line="276" w:lineRule="auto" w:before="40" w:after="40"/>
            </w:pPr>
            <w:r>
              <w:rPr>
                <w:rFonts w:ascii="Liberation Sans Narrow" w:hAnsi="Liberation Sans Narrow"/>
                <w:sz w:val="18"/>
              </w:rPr>
              <w:t xml:space="preserve">O rol do art. 494, que excepciona o princípio da inalterabilidade da sentença, é meramente exemplificativo; o art. 139 impõe ao juiz o poder-dever de zelar pela regularidade do processo e de determinar o suprimento de pressupostos e o saneamento de vícios (inciso IX).</w:t>
            </w:r>
          </w:p>
        </w:tc>
      </w:tr>
    </w:tbl>
    <w:p>
      <w:pPr>
        <w:pStyle w:val="BodyText"/>
        <w:keepNext/>
        <w:spacing w:after="80"/>
        <w:jc w:val="both"/>
      </w:pPr>
      <w:r>
        <w:t xml:space="preserve">I - para corrigir-lhe, de ofício ou a requerimento da parte, inexatidões materiais ou erros de cálculo;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43"/>
        <w:gridCol w:w="2536"/>
        <w:gridCol w:w="4876"/>
      </w:tblGrid>
      <w:tr>
        <w:trPr>
          <w:tblHeader w:val="on"/>
          <w:cantSplit/>
          <w:tblHeader/>
        </w:trPr>
        <w:tc>
          <w:tcPr>
            <w:tcW w:type="dxa" w:w="1943"/>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3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7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43"/>
          </w:tcPr>
          <w:p>
            <w:pPr>
              <w:pStyle w:val="Compact"/>
              <w:spacing w:line="276" w:lineRule="auto" w:before="40" w:after="40"/>
            </w:pPr>
            <w:r>
              <w:rPr>
                <w:rFonts w:ascii="Liberation Sans Narrow" w:hAnsi="Liberation Sans Narrow"/>
                <w:sz w:val="18"/>
              </w:rPr>
              <w:t xml:space="preserve">I — correção de ofício de inexatidões materiais e erros de cálculo</w:t>
            </w:r>
          </w:p>
        </w:tc>
        <w:tc>
          <w:tcPr>
            <w:tcW w:type="dxa" w:w="2536"/>
          </w:tcPr>
          <w:p>
            <w:pPr>
              <w:pStyle w:val="Compact"/>
              <w:spacing w:line="276" w:lineRule="auto" w:before="40" w:after="40"/>
            </w:pPr>
            <w:r>
              <w:rPr>
                <w:rFonts w:ascii="Liberation Sans Narrow" w:hAnsi="Liberation Sans Narrow"/>
                <w:sz w:val="18"/>
              </w:rPr>
              <w:t xml:space="preserve">STJ, AREsp 2.798.949, Terceira Turma, relator Min. Ricardo Villas Bôas Cueva, julgado em 22/04/2026</w:t>
            </w:r>
          </w:p>
        </w:tc>
        <w:tc>
          <w:tcPr>
            <w:tcW w:type="dxa" w:w="4876"/>
          </w:tcPr>
          <w:p>
            <w:pPr>
              <w:pStyle w:val="Compact"/>
              <w:spacing w:line="276" w:lineRule="auto" w:before="40" w:after="40"/>
            </w:pPr>
            <w:r>
              <w:rPr>
                <w:rFonts w:ascii="Liberation Sans Narrow" w:hAnsi="Liberation Sans Narrow"/>
                <w:sz w:val="18"/>
              </w:rPr>
              <w:t xml:space="preserve">A correção de erro material não se sujeita à preclusão nem à coisa julgada, por constituir matéria de ordem pública cognoscível de ofício pelo julgador; não há decisão surpresa quando o resultado da lide está previsto objetivamente no regime do instrumento processual utilizado.</w:t>
            </w:r>
          </w:p>
        </w:tc>
      </w:tr>
    </w:tbl>
    <w:p>
      <w:pPr>
        <w:pStyle w:val="BodyText"/>
        <w:spacing w:after="80"/>
        <w:jc w:val="both"/>
      </w:pPr>
      <w:r>
        <w:t xml:space="preserve">II - por meio de embargos de declaração.</w:t>
      </w:r>
    </w:p>
    <w:bookmarkEnd w:id="225"/>
    <w:bookmarkStart w:id="226" w:name="art.-495"/>
    <w:p>
      <w:pPr>
        <w:pStyle w:val="Heading6"/>
        <w:pBdr>
          <w:left w:val="single" w:sz="36" w:space="4" w:color="2E75B6"/>
        </w:pBdr>
        <w:shd w:val="clear" w:color="auto" w:fill="E3EEF9"/>
        <w:spacing w:before="200" w:after="80"/>
        <w:ind w:left="85"/>
      </w:pPr>
      <w:r>
        <w:rPr>
          <w:i w:val="0"/>
          <w:color w:val="1F3A5F"/>
          <w:sz w:val="23"/>
        </w:rPr>
        <w:t xml:space="preserve">Art. 495</w:t>
      </w:r>
    </w:p>
    <w:p>
      <w:pPr>
        <w:pStyle w:val="FirstParagraph"/>
        <w:keepNext/>
        <w:spacing w:after="80"/>
        <w:jc w:val="both"/>
      </w:pPr>
      <w:r>
        <w:rPr>
          <w:b/>
          <w:bCs/>
        </w:rPr>
        <w:t xml:space="preserve">Art. 495.</w:t>
      </w:r>
      <w:r>
        <w:t xml:space="preserve"> </w:t>
      </w:r>
      <w:r>
        <w:t xml:space="preserve">A decisão que condenar o réu ao pagamento de prestação consistente em dinheiro e a que determinar a conversão de prestação de fazer, de não fazer ou de dar coisa em prestação pecuniária valerão como título constitutivo de hipoteca judiciária.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42"/>
        <w:gridCol w:w="2378"/>
        <w:gridCol w:w="5034"/>
      </w:tblGrid>
      <w:tr>
        <w:trPr>
          <w:tblHeader w:val="on"/>
          <w:cantSplit/>
          <w:tblHeader/>
        </w:trPr>
        <w:tc>
          <w:tcPr>
            <w:tcW w:type="dxa" w:w="1943"/>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37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03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43"/>
          </w:tcPr>
          <w:p>
            <w:pPr>
              <w:pStyle w:val="Compact"/>
              <w:spacing w:line="276" w:lineRule="auto" w:before="40" w:after="40"/>
            </w:pPr>
            <w:r>
              <w:rPr>
                <w:rFonts w:ascii="Liberation Sans Narrow" w:hAnsi="Liberation Sans Narrow"/>
                <w:sz w:val="18"/>
              </w:rPr>
              <w:t xml:space="preserve">Caput — hipoteca judiciária como efeito da decisão condenatória</w:t>
            </w:r>
          </w:p>
        </w:tc>
        <w:tc>
          <w:tcPr>
            <w:tcW w:type="dxa" w:w="2378"/>
          </w:tcPr>
          <w:p>
            <w:pPr>
              <w:pStyle w:val="Compact"/>
              <w:spacing w:line="276" w:lineRule="auto" w:before="40" w:after="40"/>
            </w:pPr>
            <w:r>
              <w:rPr>
                <w:rFonts w:ascii="Liberation Sans Narrow" w:hAnsi="Liberation Sans Narrow"/>
                <w:sz w:val="18"/>
              </w:rPr>
              <w:t xml:space="preserve">STJ, AREsp 2.385.745, Terceira Turma, relator Min. Moura Ribeiro, julgado em 23/03/2026</w:t>
            </w:r>
          </w:p>
        </w:tc>
        <w:tc>
          <w:tcPr>
            <w:tcW w:type="dxa" w:w="5034"/>
          </w:tcPr>
          <w:p>
            <w:pPr>
              <w:pStyle w:val="Compact"/>
              <w:spacing w:line="276" w:lineRule="auto" w:before="40" w:after="40"/>
            </w:pPr>
            <w:r>
              <w:rPr>
                <w:rFonts w:ascii="Liberation Sans Narrow" w:hAnsi="Liberation Sans Narrow"/>
                <w:sz w:val="18"/>
              </w:rPr>
              <w:t xml:space="preserve">As hipotecas judiciais são regulares quando lastreadas no título e sem limitação temporal na lavratura, inexistindo prejuízo na comunicação e não sendo possível a alegação de direito alheio em nome próprio; a revisão dessa conclusão demandaria reexame fático (Súmula 7 do STJ).</w:t>
            </w:r>
          </w:p>
        </w:tc>
      </w:tr>
    </w:tbl>
    <w:p>
      <w:pPr>
        <w:pStyle w:val="BodyText"/>
        <w:spacing w:after="80"/>
        <w:jc w:val="both"/>
      </w:pPr>
      <w:r>
        <w:t xml:space="preserve">§ 1º A decisão produz a hipoteca judiciária:</w:t>
      </w:r>
    </w:p>
    <w:p>
      <w:pPr>
        <w:pStyle w:val="BodyText"/>
        <w:spacing w:after="80"/>
        <w:jc w:val="both"/>
      </w:pPr>
      <w:r>
        <w:t xml:space="preserve">I - embora a condenação seja genérica;</w:t>
      </w:r>
    </w:p>
    <w:p>
      <w:pPr>
        <w:pStyle w:val="BodyText"/>
        <w:spacing w:after="80"/>
        <w:jc w:val="both"/>
      </w:pPr>
      <w:r>
        <w:t xml:space="preserve">II - ainda que o credor possa promover o cumprimento provisório da sentença ou esteja pendente arresto sobre bem do devedor;</w:t>
      </w:r>
    </w:p>
    <w:p>
      <w:pPr>
        <w:pStyle w:val="BodyText"/>
        <w:spacing w:after="80"/>
        <w:jc w:val="both"/>
      </w:pPr>
      <w:r>
        <w:t xml:space="preserve">III - mesmo que impugnada por recurso dotado de efeito suspensivo.</w:t>
      </w:r>
    </w:p>
    <w:p>
      <w:pPr>
        <w:pStyle w:val="BodyText"/>
        <w:spacing w:after="80"/>
        <w:jc w:val="both"/>
      </w:pPr>
      <w:r>
        <w:t xml:space="preserve">§ 2º A hipoteca judiciária poderá ser realizada mediante apresentação de cópia da sentença perante o cartório de registro imobiliário, independentemente de ordem judicial, de declaração expressa do juiz ou de demonstração de urgência.</w:t>
      </w:r>
    </w:p>
    <w:p>
      <w:pPr>
        <w:pStyle w:val="BodyText"/>
        <w:spacing w:after="80"/>
        <w:jc w:val="both"/>
      </w:pPr>
      <w:r>
        <w:t xml:space="preserve">§ 3º No prazo de até 15 (quinze) dias da data de realização da hipoteca, a parte informá-la-á ao juízo da causa, que determinará a intimação da outra parte para que tome ciência do ato.</w:t>
      </w:r>
    </w:p>
    <w:p>
      <w:pPr>
        <w:pStyle w:val="BodyText"/>
        <w:spacing w:after="80"/>
        <w:jc w:val="both"/>
      </w:pPr>
      <w:r>
        <w:t xml:space="preserve">§ 4º A hipoteca judiciária, uma vez constituída, implicará, para o credor hipotecário, o direito de preferência, quanto ao pagamento, em relação a outros credores, observada a prioridade no registro.</w:t>
      </w:r>
    </w:p>
    <w:p>
      <w:pPr>
        <w:pStyle w:val="BodyText"/>
        <w:spacing w:after="80"/>
        <w:jc w:val="both"/>
      </w:pPr>
      <w:r>
        <w:t xml:space="preserve">§ 5º Sobrevindo a reforma ou a invalidação da decisão que impôs o pagamento de quantia, a parte responderá, independentemente de culpa, pelos danos que a outra parte tiver sofrido em razão da constituição da garantia, devendo o valor da indenização ser liquidado e executado nos próprios autos.</w:t>
      </w:r>
    </w:p>
    <w:bookmarkEnd w:id="226"/>
    <w:bookmarkEnd w:id="227"/>
    <w:bookmarkStart w:id="229" w:name="X75b5e8ed16615fb4485108464ada4878c7ee421"/>
    <w:p>
      <w:pPr>
        <w:pStyle w:val="Heading5"/>
        <w:spacing w:before="140" w:after="20"/>
      </w:pPr>
      <w:r>
        <w:rPr>
          <w:i/>
          <w:color w:val="595959"/>
        </w:rPr>
        <w:t xml:space="preserve">Seção III: da remessa necessária (arts. 496)</w:t>
      </w:r>
    </w:p>
    <w:bookmarkStart w:id="228" w:name="art.-496"/>
    <w:p>
      <w:pPr>
        <w:pStyle w:val="Heading6"/>
        <w:pBdr>
          <w:left w:val="single" w:sz="36" w:space="4" w:color="2E75B6"/>
        </w:pBdr>
        <w:shd w:val="clear" w:color="auto" w:fill="E3EEF9"/>
        <w:spacing w:before="200" w:after="80"/>
        <w:ind w:left="85"/>
      </w:pPr>
      <w:r>
        <w:rPr>
          <w:i w:val="0"/>
          <w:color w:val="1F3A5F"/>
          <w:sz w:val="23"/>
        </w:rPr>
        <w:t xml:space="preserve">Art. 496</w:t>
      </w:r>
    </w:p>
    <w:p>
      <w:pPr>
        <w:pStyle w:val="FirstParagraph"/>
        <w:spacing w:after="80"/>
        <w:jc w:val="both"/>
      </w:pPr>
      <w:r>
        <w:rPr>
          <w:b/>
          <w:bCs/>
        </w:rPr>
        <w:t xml:space="preserve">Art. 496.</w:t>
      </w:r>
      <w:r>
        <w:t xml:space="preserve"> </w:t>
      </w:r>
      <w:r>
        <w:t xml:space="preserve">Está sujeita ao duplo grau de jurisdição, não produzindo efeito senão depois de confirmada pelo tribunal, a sentença:</w:t>
      </w:r>
    </w:p>
    <w:p>
      <w:pPr>
        <w:pStyle w:val="BodyText"/>
        <w:spacing w:after="80"/>
        <w:jc w:val="both"/>
      </w:pPr>
      <w:r>
        <w:t xml:space="preserve">I - proferida contra a União, os Estados, o Distrito Federal, os Municípios e suas respectivas autarquias e fundações de direito público;</w:t>
      </w:r>
    </w:p>
    <w:p>
      <w:pPr>
        <w:pStyle w:val="BodyText"/>
        <w:spacing w:after="80"/>
        <w:jc w:val="both"/>
      </w:pPr>
      <w:r>
        <w:t xml:space="preserve">II - que julgar procedentes, no todo ou em parte, os embargos à execução fiscal.</w:t>
      </w:r>
    </w:p>
    <w:p>
      <w:pPr>
        <w:pStyle w:val="BodyText"/>
        <w:spacing w:after="80"/>
        <w:jc w:val="both"/>
      </w:pPr>
      <w:r>
        <w:t xml:space="preserve">§ 1º Nos casos previstos neste artigo, não interposta a apelação no prazo legal, o juiz ordenará a remessa dos autos ao tribunal, e, se não o fizer, o presidente do respectivo tribunal avocá-los-á.</w:t>
      </w:r>
    </w:p>
    <w:p>
      <w:pPr>
        <w:pStyle w:val="BodyText"/>
        <w:spacing w:after="80"/>
        <w:jc w:val="both"/>
      </w:pPr>
      <w:r>
        <w:t xml:space="preserve">§ 2º Em qualquer dos casos referidos no § 1º, o tribunal julgará a remessa necessária.</w:t>
      </w:r>
    </w:p>
    <w:p>
      <w:pPr>
        <w:pStyle w:val="BodyText"/>
        <w:spacing w:after="80"/>
        <w:jc w:val="both"/>
      </w:pPr>
      <w:r>
        <w:t xml:space="preserve">§ 3º Não se aplica o disposto neste artigo quando a condenação ou o proveito econômico obtido na causa for de valor certo e líquido inferior a:</w:t>
      </w:r>
    </w:p>
    <w:p>
      <w:pPr>
        <w:pStyle w:val="BodyText"/>
        <w:keepNext/>
        <w:spacing w:after="80"/>
        <w:jc w:val="both"/>
      </w:pPr>
      <w:r>
        <w:t xml:space="preserve">I - 1.000 (mil) salários-mínimos para a União e as respectivas autarquias e fundações de direito público;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52"/>
        <w:gridCol w:w="2738"/>
        <w:gridCol w:w="4364"/>
      </w:tblGrid>
      <w:tr>
        <w:trPr>
          <w:tblHeader w:val="on"/>
          <w:cantSplit/>
          <w:tblHeader/>
        </w:trPr>
        <w:tc>
          <w:tcPr>
            <w:tcW w:type="dxa" w:w="2253"/>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3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36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53"/>
          </w:tcPr>
          <w:p>
            <w:pPr>
              <w:pStyle w:val="Compact"/>
              <w:spacing w:line="276" w:lineRule="auto" w:before="40" w:after="40"/>
            </w:pPr>
            <w:r>
              <w:rPr>
                <w:rFonts w:ascii="Liberation Sans Narrow" w:hAnsi="Liberation Sans Narrow"/>
                <w:sz w:val="18"/>
              </w:rPr>
              <w:t xml:space="preserve">§ 3º, I: dispensa de remessa necessária em demanda previdenciária de valor aferível por cálculo</w:t>
            </w:r>
          </w:p>
        </w:tc>
        <w:tc>
          <w:tcPr>
            <w:tcW w:type="dxa" w:w="2738"/>
          </w:tcPr>
          <w:p>
            <w:pPr>
              <w:pStyle w:val="Compact"/>
              <w:spacing w:line="276" w:lineRule="auto" w:before="40" w:after="40"/>
            </w:pPr>
            <w:r>
              <w:rPr>
                <w:rFonts w:ascii="Liberation Sans Narrow" w:hAnsi="Liberation Sans Narrow"/>
                <w:sz w:val="18"/>
              </w:rPr>
              <w:t xml:space="preserve">STJ, Tema Repetitivo 1081, REsp 1.882.236, Corte Especial, relator Min. Og Fernandes, julgado em 04/02/2026, DJEN de 12/02/2026</w:t>
            </w:r>
          </w:p>
        </w:tc>
        <w:tc>
          <w:tcPr>
            <w:tcW w:type="dxa" w:w="4364"/>
          </w:tcPr>
          <w:p>
            <w:pPr>
              <w:pStyle w:val="Compact"/>
              <w:spacing w:line="276" w:lineRule="auto" w:before="40" w:after="40"/>
            </w:pPr>
            <w:r>
              <w:rPr>
                <w:rFonts w:ascii="Liberation Sans Narrow" w:hAnsi="Liberation Sans Narrow"/>
                <w:sz w:val="18"/>
              </w:rPr>
              <w:t xml:space="preserve">A demanda previdenciária cujo valor da condenação seja aferível por simples cálculos aritméticos, com base nos parâmetros fixados na sentença, deve ser dispensada da remessa necessária quando for possível estimar que não excederá o limite previsto no art. 496, § 3º, I, do Código de Processo Civil.</w:t>
            </w:r>
          </w:p>
        </w:tc>
      </w:tr>
    </w:tbl>
    <w:p>
      <w:pPr>
        <w:pStyle w:val="BodyText"/>
        <w:spacing w:after="80"/>
        <w:jc w:val="both"/>
      </w:pPr>
      <w:r>
        <w:t xml:space="preserve">II - 500 (quinhentos) salários-mínimos para os Estados, o Distrito Federal, as respectivas autarquias e fundações de direito público e os Municípios que constituam capitais dos Estados;</w:t>
      </w:r>
    </w:p>
    <w:p>
      <w:pPr>
        <w:pStyle w:val="BodyText"/>
        <w:spacing w:after="80"/>
        <w:jc w:val="both"/>
      </w:pPr>
      <w:r>
        <w:t xml:space="preserve">III - 100 (cem) salários-mínimos para todos os demais Municípios e respectivas autarquias e fundações de direito público.</w:t>
      </w:r>
    </w:p>
    <w:p>
      <w:pPr>
        <w:pStyle w:val="BodyText"/>
        <w:spacing w:after="80"/>
        <w:jc w:val="both"/>
      </w:pPr>
      <w:r>
        <w:t xml:space="preserve">§ 4º Também não se aplica o disposto neste artigo quando a sentença estiver fundada em:</w:t>
      </w:r>
    </w:p>
    <w:p>
      <w:pPr>
        <w:pStyle w:val="BodyText"/>
        <w:spacing w:after="80"/>
        <w:jc w:val="both"/>
      </w:pPr>
      <w:r>
        <w:t xml:space="preserve">I - súmula de tribunal superior;</w:t>
      </w:r>
    </w:p>
    <w:p>
      <w:pPr>
        <w:pStyle w:val="BodyText"/>
        <w:spacing w:after="80"/>
        <w:jc w:val="both"/>
      </w:pPr>
      <w:r>
        <w:t xml:space="preserve">II - acórdão proferido pelo Supremo Tribunal Federal ou pelo Superior Tribunal de Justiça em julgamento de recursos repetitivos;</w:t>
      </w:r>
    </w:p>
    <w:p>
      <w:pPr>
        <w:pStyle w:val="BodyText"/>
        <w:spacing w:after="80"/>
        <w:jc w:val="both"/>
      </w:pPr>
      <w:r>
        <w:t xml:space="preserve">III - entendimento firmado em incidente de resolução de demandas repetitivas ou de assunção de competência;</w:t>
      </w:r>
    </w:p>
    <w:p>
      <w:pPr>
        <w:pStyle w:val="BodyText"/>
        <w:spacing w:after="80"/>
        <w:jc w:val="both"/>
      </w:pPr>
      <w:r>
        <w:t xml:space="preserve">IV - entendimento coincidente com orientação vinculante firmada no âmbito administrativo do próprio ente público, consolidada em manifestação, parecer ou súmula administrativa.</w:t>
      </w:r>
    </w:p>
    <w:bookmarkEnd w:id="228"/>
    <w:bookmarkEnd w:id="229"/>
    <w:bookmarkStart w:id="235" w:name="X96e78b9ae6cdea425c4b4116f12758562315831"/>
    <w:p>
      <w:pPr>
        <w:pStyle w:val="Heading5"/>
        <w:spacing w:before="140" w:after="20"/>
      </w:pPr>
      <w:r>
        <w:rPr>
          <w:i/>
          <w:color w:val="595959"/>
        </w:rPr>
        <w:t xml:space="preserve">Seção IV: do julgamento das ações relativas às prestações de fazer, de não fazer e de entregar coisa (arts. 497 a 501)</w:t>
      </w:r>
    </w:p>
    <w:bookmarkStart w:id="230" w:name="art.-497"/>
    <w:p>
      <w:pPr>
        <w:pStyle w:val="Heading6"/>
        <w:pBdr>
          <w:left w:val="single" w:sz="36" w:space="4" w:color="2E75B6"/>
        </w:pBdr>
        <w:shd w:val="clear" w:color="auto" w:fill="E3EEF9"/>
        <w:spacing w:before="200" w:after="80"/>
        <w:ind w:left="85"/>
      </w:pPr>
      <w:r>
        <w:rPr>
          <w:i w:val="0"/>
          <w:color w:val="1F3A5F"/>
          <w:sz w:val="23"/>
        </w:rPr>
        <w:t xml:space="preserve">Art. 497</w:t>
      </w:r>
    </w:p>
    <w:p>
      <w:pPr>
        <w:pStyle w:val="FirstParagraph"/>
        <w:keepNext/>
        <w:spacing w:after="80"/>
        <w:jc w:val="both"/>
      </w:pPr>
      <w:r>
        <w:rPr>
          <w:b/>
          <w:bCs/>
        </w:rPr>
        <w:t xml:space="preserve">Art. 497.</w:t>
      </w:r>
      <w:r>
        <w:t xml:space="preserve"> </w:t>
      </w:r>
      <w:r>
        <w:t xml:space="preserve">Na ação que tenha por objeto a prestação de fazer ou de não fazer, o juiz, se procedente o pedido, concederá a tutela específica ou determinará providências que assegurem a obtenção de tutela pelo resultado prático equivalente.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2633"/>
        <w:gridCol w:w="5066"/>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3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06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55"/>
          </w:tcPr>
          <w:p>
            <w:pPr>
              <w:pStyle w:val="Compact"/>
              <w:spacing w:line="276" w:lineRule="auto" w:before="40" w:after="40"/>
            </w:pPr>
            <w:r>
              <w:rPr>
                <w:rFonts w:ascii="Liberation Sans Narrow" w:hAnsi="Liberation Sans Narrow"/>
                <w:sz w:val="18"/>
              </w:rPr>
              <w:t xml:space="preserve">Arts. 497, 499, 500, 536 e 537: multa cominatória</w:t>
            </w:r>
          </w:p>
        </w:tc>
        <w:tc>
          <w:tcPr>
            <w:tcW w:type="dxa" w:w="2633"/>
          </w:tcPr>
          <w:p>
            <w:pPr>
              <w:pStyle w:val="Compact"/>
              <w:spacing w:line="276" w:lineRule="auto" w:before="40" w:after="40"/>
            </w:pPr>
            <w:r>
              <w:rPr>
                <w:rFonts w:ascii="Liberation Sans Narrow" w:hAnsi="Liberation Sans Narrow"/>
                <w:sz w:val="18"/>
              </w:rPr>
              <w:t xml:space="preserve">STJ, AgInt no AREsp 1.615.812, Quarta Turma, relatora Min. Maria Isabel Gallotti, DJe de 13/12/2024</w:t>
            </w:r>
          </w:p>
        </w:tc>
        <w:tc>
          <w:tcPr>
            <w:tcW w:type="dxa" w:w="5066"/>
          </w:tcPr>
          <w:p>
            <w:pPr>
              <w:pStyle w:val="Compact"/>
              <w:spacing w:line="276" w:lineRule="auto" w:before="40" w:after="40"/>
            </w:pPr>
            <w:r>
              <w:rPr>
                <w:rFonts w:ascii="Liberation Sans Narrow" w:hAnsi="Liberation Sans Narrow"/>
                <w:sz w:val="18"/>
              </w:rPr>
              <w:t xml:space="preserve">O valor da multa cominatória pode ser revisto a qualquer tempo (art. 537, § 1º), pois é fixado sob a cláusula</w:t>
            </w:r>
            <w:r>
              <w:rPr>
                <w:rFonts w:ascii="Liberation Sans Narrow" w:hAnsi="Liberation Sans Narrow"/>
                <w:sz w:val="18"/>
              </w:rPr>
              <w:t xml:space="preserve"> </w:t>
            </w:r>
            <w:r>
              <w:rPr>
                <w:rFonts w:ascii="Liberation Sans Narrow" w:hAnsi="Liberation Sans Narrow"/>
                <w:i/>
                <w:iCs/>
                <w:sz w:val="18"/>
              </w:rPr>
              <w:t xml:space="preserve">rebus sic stantibus</w:t>
            </w:r>
            <w:r>
              <w:rPr>
                <w:rFonts w:ascii="Liberation Sans Narrow" w:hAnsi="Liberation Sans Narrow"/>
                <w:sz w:val="18"/>
              </w:rPr>
              <w:t xml:space="preserve"> </w:t>
            </w:r>
            <w:r>
              <w:rPr>
                <w:rFonts w:ascii="Liberation Sans Narrow" w:hAnsi="Liberation Sans Narrow"/>
                <w:sz w:val="18"/>
              </w:rPr>
              <w:t xml:space="preserve">e não enseja preclusão nem coisa julgada. Em obrigação de pagar quantia certa, é descabida a multa diária como forma de compelir ao pagamento.</w:t>
            </w:r>
          </w:p>
        </w:tc>
      </w:tr>
    </w:tbl>
    <w:p>
      <w:pPr>
        <w:pStyle w:val="BodyText"/>
        <w:keepNext/>
        <w:spacing w:after="80"/>
        <w:jc w:val="both"/>
      </w:pPr>
      <w:r>
        <w:t xml:space="preserve">Parágrafo único. Para a concessão da tutela específica destinada a inibir a prática, a reiteração ou a continuação de um ilícito, ou a sua remoção, é irrelevante a demonstração da ocorrência de dano ou da existência de culpa ou dolo.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2"/>
        <w:gridCol w:w="2767"/>
        <w:gridCol w:w="5055"/>
      </w:tblGrid>
      <w:tr>
        <w:trPr>
          <w:tblHeader w:val="on"/>
          <w:cantSplit/>
          <w:tblHeader/>
        </w:trPr>
        <w:tc>
          <w:tcPr>
            <w:tcW w:type="dxa" w:w="1533"/>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6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05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3"/>
          </w:tcPr>
          <w:p>
            <w:pPr>
              <w:pStyle w:val="Compact"/>
              <w:spacing w:line="276" w:lineRule="auto" w:before="40" w:after="40"/>
            </w:pPr>
            <w:r>
              <w:rPr>
                <w:rFonts w:ascii="Liberation Sans Narrow" w:hAnsi="Liberation Sans Narrow"/>
                <w:sz w:val="18"/>
              </w:rPr>
              <w:t xml:space="preserve">Art. 497, parágrafo único: tutela inibitória</w:t>
            </w:r>
          </w:p>
        </w:tc>
        <w:tc>
          <w:tcPr>
            <w:tcW w:type="dxa" w:w="2767"/>
          </w:tcPr>
          <w:p>
            <w:pPr>
              <w:pStyle w:val="Compact"/>
              <w:spacing w:line="276" w:lineRule="auto" w:before="40" w:after="40"/>
            </w:pPr>
            <w:r>
              <w:rPr>
                <w:rFonts w:ascii="Liberation Sans Narrow" w:hAnsi="Liberation Sans Narrow"/>
                <w:sz w:val="18"/>
              </w:rPr>
              <w:t xml:space="preserve">STJ, REsp 2.200.460, Terceira Turma, relator Min. Moura Ribeiro, julgado em 22/04/2026, DJEN de 28/04/2026</w:t>
            </w:r>
          </w:p>
        </w:tc>
        <w:tc>
          <w:tcPr>
            <w:tcW w:type="dxa" w:w="5055"/>
          </w:tcPr>
          <w:p>
            <w:pPr>
              <w:pStyle w:val="Compact"/>
              <w:spacing w:line="276" w:lineRule="auto" w:before="40" w:after="40"/>
            </w:pPr>
            <w:r>
              <w:rPr>
                <w:rFonts w:ascii="Liberation Sans Narrow" w:hAnsi="Liberation Sans Narrow"/>
                <w:sz w:val="18"/>
              </w:rPr>
              <w:t xml:space="preserve">A tutela inibitória do art. 497, parágrafo único, pressupõe pedido procedente; mantida a improcedência (paródia em propaganda eleitoral, art. 47 da Lei de Direitos Autorais), não há tutela específica nem se discute a irrelevância da prova do dano.</w:t>
            </w:r>
          </w:p>
        </w:tc>
      </w:tr>
    </w:tbl>
    <w:bookmarkEnd w:id="230"/>
    <w:bookmarkStart w:id="231" w:name="art.-498"/>
    <w:p>
      <w:pPr>
        <w:pStyle w:val="Heading6"/>
        <w:pBdr>
          <w:left w:val="single" w:sz="36" w:space="4" w:color="2E75B6"/>
        </w:pBdr>
        <w:shd w:val="clear" w:color="auto" w:fill="E3EEF9"/>
        <w:spacing w:before="200" w:after="80"/>
        <w:ind w:left="85"/>
      </w:pPr>
      <w:r>
        <w:rPr>
          <w:i w:val="0"/>
          <w:color w:val="1F3A5F"/>
          <w:sz w:val="23"/>
        </w:rPr>
        <w:t xml:space="preserve">Art. 498</w:t>
      </w:r>
    </w:p>
    <w:p>
      <w:pPr>
        <w:pStyle w:val="FirstParagraph"/>
        <w:spacing w:after="80"/>
        <w:jc w:val="both"/>
      </w:pPr>
      <w:r>
        <w:rPr>
          <w:b/>
          <w:bCs/>
        </w:rPr>
        <w:t xml:space="preserve">Art. 498.</w:t>
      </w:r>
      <w:r>
        <w:t xml:space="preserve"> </w:t>
      </w:r>
      <w:r>
        <w:t xml:space="preserve">Na ação que tenha por objeto a entrega de coisa, o juiz, ao conceder a tutela específica, fixará o prazo para o cumprimento da obrigação.</w:t>
      </w:r>
    </w:p>
    <w:p>
      <w:pPr>
        <w:pStyle w:val="BodyText"/>
        <w:spacing w:after="80"/>
        <w:jc w:val="both"/>
      </w:pPr>
      <w:r>
        <w:t xml:space="preserve">Parágrafo único. Tratando-se de entrega de coisa determinada pelo gênero e pela quantidade, o autor individualizá-la-á na petição inicial, se lhe couber a escolha, ou, se a escolha couber ao réu, este a entregará individualizada, no prazo fixado pelo juiz.</w:t>
      </w:r>
    </w:p>
    <w:bookmarkEnd w:id="231"/>
    <w:bookmarkStart w:id="232" w:name="art.-499"/>
    <w:p>
      <w:pPr>
        <w:pStyle w:val="Heading6"/>
        <w:pBdr>
          <w:left w:val="single" w:sz="36" w:space="4" w:color="2E75B6"/>
        </w:pBdr>
        <w:shd w:val="clear" w:color="auto" w:fill="E3EEF9"/>
        <w:spacing w:before="200" w:after="80"/>
        <w:ind w:left="85"/>
      </w:pPr>
      <w:r>
        <w:rPr>
          <w:i w:val="0"/>
          <w:color w:val="1F3A5F"/>
          <w:sz w:val="23"/>
        </w:rPr>
        <w:t xml:space="preserve">Art. 499</w:t>
      </w:r>
    </w:p>
    <w:p>
      <w:pPr>
        <w:pStyle w:val="FirstParagraph"/>
        <w:keepNext/>
        <w:spacing w:after="80"/>
        <w:jc w:val="both"/>
      </w:pPr>
      <w:r>
        <w:rPr>
          <w:b/>
          <w:bCs/>
        </w:rPr>
        <w:t xml:space="preserve">Art. 499.</w:t>
      </w:r>
      <w:r>
        <w:t xml:space="preserve"> </w:t>
      </w:r>
      <w:r>
        <w:t xml:space="preserve">A obrigação somente será convertida em perdas e danos se o autor o requerer ou se impossível a tutela específica ou a obtenção de tutela pelo resultado prático equivalente.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60"/>
        <w:gridCol w:w="3010"/>
        <w:gridCol w:w="4684"/>
      </w:tblGrid>
      <w:tr>
        <w:trPr>
          <w:tblHeader w:val="on"/>
          <w:cantSplit/>
          <w:tblHeader/>
        </w:trPr>
        <w:tc>
          <w:tcPr>
            <w:tcW w:type="dxa" w:w="166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01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68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61"/>
          </w:tcPr>
          <w:p>
            <w:pPr>
              <w:pStyle w:val="Compact"/>
              <w:spacing w:line="276" w:lineRule="auto" w:before="40" w:after="40"/>
            </w:pPr>
            <w:r>
              <w:rPr>
                <w:rFonts w:ascii="Liberation Sans Narrow" w:hAnsi="Liberation Sans Narrow"/>
                <w:sz w:val="18"/>
              </w:rPr>
              <w:t xml:space="preserve">Caput — conversão em perdas e danos e astreintes</w:t>
            </w:r>
          </w:p>
        </w:tc>
        <w:tc>
          <w:tcPr>
            <w:tcW w:type="dxa" w:w="3010"/>
          </w:tcPr>
          <w:p>
            <w:pPr>
              <w:pStyle w:val="Compact"/>
              <w:spacing w:line="276" w:lineRule="auto" w:before="40" w:after="40"/>
            </w:pPr>
            <w:r>
              <w:rPr>
                <w:rFonts w:ascii="Liberation Sans Narrow" w:hAnsi="Liberation Sans Narrow"/>
                <w:sz w:val="18"/>
              </w:rPr>
              <w:t xml:space="preserve">STJ, AREsp 2.947.779, Quarta Turma, relator Min. Antonio Carlos Ferreira, julgado em 30/06/2026, DJEN de 03/07/2026</w:t>
            </w:r>
          </w:p>
        </w:tc>
        <w:tc>
          <w:tcPr>
            <w:tcW w:type="dxa" w:w="4684"/>
          </w:tcPr>
          <w:p>
            <w:pPr>
              <w:pStyle w:val="Compact"/>
              <w:spacing w:line="276" w:lineRule="auto" w:before="40" w:after="40"/>
            </w:pPr>
            <w:r>
              <w:rPr>
                <w:rFonts w:ascii="Liberation Sans Narrow" w:hAnsi="Liberation Sans Narrow"/>
                <w:sz w:val="18"/>
              </w:rPr>
              <w:t xml:space="preserve">A coexistência das astreintes com a possibilidade de conversão em perdas e danos pelo mesmo fato gerador — o inadimplemento — implica sobreposição de consequências jurídicas desprovida de respaldo sistêmico.</w:t>
            </w:r>
          </w:p>
        </w:tc>
      </w:tr>
    </w:tbl>
    <w:p>
      <w:pPr>
        <w:pStyle w:val="BodyText"/>
        <w:spacing w:after="80"/>
        <w:jc w:val="both"/>
      </w:pPr>
      <w:r>
        <w:t xml:space="preserve">Parágrafo único. Nas hipóteses de responsabilidade contratual previstas nos arts. 441, 618 e 757 da Lei nº 10.406, de 10 de janeiro de 2002 (Código Civil), e de responsabilidade subsidiária e solidária, se requerida a conversão da obrigação em perdas e danos, o juiz concederá, primeiramente, a faculdade para o cumprimento da tutela específica. (Incluído pela Lei nº 14.833, de 2024)</w:t>
      </w:r>
    </w:p>
    <w:bookmarkEnd w:id="232"/>
    <w:bookmarkStart w:id="233" w:name="art.-500"/>
    <w:p>
      <w:pPr>
        <w:pStyle w:val="Heading6"/>
        <w:pBdr>
          <w:left w:val="single" w:sz="36" w:space="4" w:color="2E75B6"/>
        </w:pBdr>
        <w:shd w:val="clear" w:color="auto" w:fill="E3EEF9"/>
        <w:spacing w:before="200" w:after="80"/>
        <w:ind w:left="85"/>
      </w:pPr>
      <w:r>
        <w:rPr>
          <w:i w:val="0"/>
          <w:color w:val="1F3A5F"/>
          <w:sz w:val="23"/>
        </w:rPr>
        <w:t xml:space="preserve">Art. 500</w:t>
      </w:r>
    </w:p>
    <w:p>
      <w:pPr>
        <w:pStyle w:val="FirstParagraph"/>
        <w:keepNext/>
        <w:spacing w:after="80"/>
        <w:jc w:val="both"/>
      </w:pPr>
      <w:r>
        <w:rPr>
          <w:b/>
          <w:bCs/>
        </w:rPr>
        <w:t xml:space="preserve">Art. 500.</w:t>
      </w:r>
      <w:r>
        <w:t xml:space="preserve"> </w:t>
      </w:r>
      <w:r>
        <w:t xml:space="preserve">A indenização por perdas e danos dar-se-á sem prejuízo da multa fixada periodicamente para compelir o réu ao cumprimento específico da obrigação.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2215"/>
        <w:gridCol w:w="523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21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23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Caput — exigibilidade da multa até a conversão</w:t>
            </w:r>
          </w:p>
        </w:tc>
        <w:tc>
          <w:tcPr>
            <w:tcW w:type="dxa" w:w="2215"/>
          </w:tcPr>
          <w:p>
            <w:pPr>
              <w:pStyle w:val="Compact"/>
              <w:spacing w:line="276" w:lineRule="auto" w:before="40" w:after="40"/>
            </w:pPr>
            <w:r>
              <w:rPr>
                <w:rFonts w:ascii="Liberation Sans Narrow" w:hAnsi="Liberation Sans Narrow"/>
                <w:sz w:val="18"/>
              </w:rPr>
              <w:t xml:space="preserve">STJ, REsp 2.231.891, Quarta Turma, relator Min. Raul Araújo, DJe de 22/04/2026</w:t>
            </w:r>
          </w:p>
        </w:tc>
        <w:tc>
          <w:tcPr>
            <w:tcW w:type="dxa" w:w="5234"/>
          </w:tcPr>
          <w:p>
            <w:pPr>
              <w:pStyle w:val="Compact"/>
              <w:spacing w:line="276" w:lineRule="auto" w:before="40" w:after="40"/>
            </w:pPr>
            <w:r>
              <w:rPr>
                <w:rFonts w:ascii="Liberation Sans Narrow" w:hAnsi="Liberation Sans Narrow"/>
                <w:sz w:val="18"/>
              </w:rPr>
              <w:t xml:space="preserve">Impossibilitado materialmente o cumprimento da obrigação por fato alheio à vontade do obrigado, a multa cominatória é exigível até o momento em que determinada a conversão em perdas e danos, devendo ser proporcional e razoável, à luz do valor da obrigação principal e das circunstâncias do caso.</w:t>
            </w:r>
          </w:p>
        </w:tc>
      </w:tr>
    </w:tbl>
    <w:bookmarkEnd w:id="233"/>
    <w:bookmarkStart w:id="234" w:name="art.-501"/>
    <w:p>
      <w:pPr>
        <w:pStyle w:val="Heading6"/>
        <w:pBdr>
          <w:left w:val="single" w:sz="36" w:space="4" w:color="2E75B6"/>
        </w:pBdr>
        <w:shd w:val="clear" w:color="auto" w:fill="E3EEF9"/>
        <w:spacing w:before="200" w:after="80"/>
        <w:ind w:left="85"/>
      </w:pPr>
      <w:r>
        <w:rPr>
          <w:i w:val="0"/>
          <w:color w:val="1F3A5F"/>
          <w:sz w:val="23"/>
        </w:rPr>
        <w:t xml:space="preserve">Art. 501</w:t>
      </w:r>
    </w:p>
    <w:p>
      <w:pPr>
        <w:pStyle w:val="FirstParagraph"/>
        <w:keepNext/>
        <w:spacing w:after="80"/>
        <w:jc w:val="both"/>
      </w:pPr>
      <w:r>
        <w:rPr>
          <w:b/>
          <w:bCs/>
        </w:rPr>
        <w:t xml:space="preserve">Art. 501.</w:t>
      </w:r>
      <w:r>
        <w:t xml:space="preserve"> </w:t>
      </w:r>
      <w:r>
        <w:t xml:space="preserve">Na ação que tenha por objeto a emissão de declaração de vontade, a sentença que julgar procedente o pedido, uma vez transitada em julgado, produzirá todos os efeitos da declaração não emitida.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36"/>
        <w:gridCol w:w="2072"/>
        <w:gridCol w:w="5146"/>
      </w:tblGrid>
      <w:tr>
        <w:trPr>
          <w:tblHeader w:val="on"/>
          <w:cantSplit/>
          <w:tblHeader/>
        </w:trPr>
        <w:tc>
          <w:tcPr>
            <w:tcW w:type="dxa" w:w="2137"/>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07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14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37"/>
          </w:tcPr>
          <w:p>
            <w:pPr>
              <w:pStyle w:val="Compact"/>
              <w:spacing w:line="276" w:lineRule="auto" w:before="40" w:after="40"/>
            </w:pPr>
            <w:r>
              <w:rPr>
                <w:rFonts w:ascii="Liberation Sans Narrow" w:hAnsi="Liberation Sans Narrow"/>
                <w:sz w:val="18"/>
              </w:rPr>
              <w:t xml:space="preserve">Caput — sentença que supre a declaração de vontade (aplicação narrada)</w:t>
            </w:r>
          </w:p>
        </w:tc>
        <w:tc>
          <w:tcPr>
            <w:tcW w:type="dxa" w:w="2072"/>
          </w:tcPr>
          <w:p>
            <w:pPr>
              <w:pStyle w:val="Compact"/>
              <w:spacing w:line="276" w:lineRule="auto" w:before="40" w:after="40"/>
            </w:pPr>
            <w:r>
              <w:rPr>
                <w:rFonts w:ascii="Liberation Sans Narrow" w:hAnsi="Liberation Sans Narrow"/>
                <w:sz w:val="18"/>
              </w:rPr>
              <w:t xml:space="preserve">STJ, REsp 2.239.347, Quarta Turma, relator Min. João Otávio de Noronha</w:t>
            </w:r>
          </w:p>
        </w:tc>
        <w:tc>
          <w:tcPr>
            <w:tcW w:type="dxa" w:w="5145"/>
          </w:tcPr>
          <w:p>
            <w:pPr>
              <w:pStyle w:val="Compact"/>
              <w:spacing w:line="276" w:lineRule="auto" w:before="40" w:after="40"/>
            </w:pPr>
            <w:r>
              <w:rPr>
                <w:rFonts w:ascii="Liberation Sans Narrow" w:hAnsi="Liberation Sans Narrow"/>
                <w:sz w:val="18"/>
              </w:rPr>
              <w:t xml:space="preserve">A sentença que julga procedente o pedido de emissão de declaração de vontade supre a manifestação não emitida e confere ao julgado eficácia de escritura definitiva, com a transferência do imóvel. Trecho: “Na sentença, o Juízo de primeiro grau supriu a declaração de vontade, conferiu à decisão eficácia de escritura definitiva e determinou a transferência do imóvel aos litigantes, em copropriedade igualitária”</w:t>
            </w:r>
          </w:p>
        </w:tc>
      </w:tr>
    </w:tbl>
    <w:bookmarkEnd w:id="234"/>
    <w:bookmarkEnd w:id="235"/>
    <w:bookmarkStart w:id="243" w:name="seção-v-da-coisa-julgada-arts.-502-a-508"/>
    <w:p>
      <w:pPr>
        <w:pStyle w:val="Heading5"/>
        <w:spacing w:before="140" w:after="20"/>
      </w:pPr>
      <w:r>
        <w:rPr>
          <w:i/>
          <w:color w:val="595959"/>
        </w:rPr>
        <w:t xml:space="preserve">Seção V: da coisa julgada (arts. 502 a 508)</w:t>
      </w:r>
    </w:p>
    <w:bookmarkStart w:id="236" w:name="art.-502"/>
    <w:p>
      <w:pPr>
        <w:pStyle w:val="Heading6"/>
        <w:pBdr>
          <w:left w:val="single" w:sz="36" w:space="4" w:color="2E75B6"/>
        </w:pBdr>
        <w:shd w:val="clear" w:color="auto" w:fill="E3EEF9"/>
        <w:spacing w:before="200" w:after="80"/>
        <w:ind w:left="85"/>
      </w:pPr>
      <w:r>
        <w:rPr>
          <w:i w:val="0"/>
          <w:color w:val="1F3A5F"/>
          <w:sz w:val="23"/>
        </w:rPr>
        <w:t xml:space="preserve">Art. 502</w:t>
      </w:r>
    </w:p>
    <w:p>
      <w:pPr>
        <w:pStyle w:val="FirstParagraph"/>
        <w:keepNext/>
        <w:spacing w:after="80"/>
        <w:jc w:val="both"/>
      </w:pPr>
      <w:r>
        <w:rPr>
          <w:b/>
          <w:bCs/>
        </w:rPr>
        <w:t xml:space="preserve">Art. 502.</w:t>
      </w:r>
      <w:r>
        <w:t xml:space="preserve"> </w:t>
      </w:r>
      <w:r>
        <w:t xml:space="preserve">Denomina-se coisa julgada material a autoridade que torna imutável e indiscutível a decisão de mérito não mais sujeita a recurso.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2585"/>
        <w:gridCol w:w="486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8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6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Caput — imutabilidade da decisão de mérito</w:t>
            </w:r>
          </w:p>
        </w:tc>
        <w:tc>
          <w:tcPr>
            <w:tcW w:type="dxa" w:w="2585"/>
          </w:tcPr>
          <w:p>
            <w:pPr>
              <w:pStyle w:val="Compact"/>
              <w:spacing w:line="276" w:lineRule="auto" w:before="40" w:after="40"/>
            </w:pPr>
            <w:r>
              <w:rPr>
                <w:rFonts w:ascii="Liberation Sans Narrow" w:hAnsi="Liberation Sans Narrow"/>
                <w:sz w:val="18"/>
              </w:rPr>
              <w:t xml:space="preserve">STJ, REsp 2.184.115, Terceira Turma, relatora Min. Nancy Andrighi, julgado em 10/03/2026</w:t>
            </w:r>
          </w:p>
        </w:tc>
        <w:tc>
          <w:tcPr>
            <w:tcW w:type="dxa" w:w="4864"/>
          </w:tcPr>
          <w:p>
            <w:pPr>
              <w:pStyle w:val="Compact"/>
              <w:spacing w:line="276" w:lineRule="auto" w:before="40" w:after="40"/>
            </w:pPr>
            <w:r>
              <w:rPr>
                <w:rFonts w:ascii="Liberation Sans Narrow" w:hAnsi="Liberation Sans Narrow"/>
                <w:sz w:val="18"/>
              </w:rPr>
              <w:t xml:space="preserve">A tentativa de rediscutir, na fase de cumprimento de sentença, a natureza jurídica definida no título judicial transitado em julgado viola diretamente a eficácia preclusiva da coisa julgada material.</w:t>
            </w:r>
          </w:p>
        </w:tc>
      </w:tr>
    </w:tbl>
    <w:bookmarkEnd w:id="236"/>
    <w:bookmarkStart w:id="237" w:name="art.-503"/>
    <w:p>
      <w:pPr>
        <w:pStyle w:val="Heading6"/>
        <w:pBdr>
          <w:left w:val="single" w:sz="36" w:space="4" w:color="2E75B6"/>
        </w:pBdr>
        <w:shd w:val="clear" w:color="auto" w:fill="E3EEF9"/>
        <w:spacing w:before="200" w:after="80"/>
        <w:ind w:left="85"/>
      </w:pPr>
      <w:r>
        <w:rPr>
          <w:i w:val="0"/>
          <w:color w:val="1F3A5F"/>
          <w:sz w:val="23"/>
        </w:rPr>
        <w:t xml:space="preserve">Art. 503</w:t>
      </w:r>
    </w:p>
    <w:p>
      <w:pPr>
        <w:pStyle w:val="FirstParagraph"/>
        <w:spacing w:after="80"/>
        <w:jc w:val="both"/>
      </w:pPr>
      <w:r>
        <w:rPr>
          <w:b/>
          <w:bCs/>
        </w:rPr>
        <w:t xml:space="preserve">Art. 503.</w:t>
      </w:r>
      <w:r>
        <w:t xml:space="preserve"> </w:t>
      </w:r>
      <w:r>
        <w:t xml:space="preserve">A decisão que julgar total ou parcialmente o mérito tem força de lei nos limites da questão principal expressamente decidida.</w:t>
      </w:r>
    </w:p>
    <w:p>
      <w:pPr>
        <w:pStyle w:val="BodyText"/>
        <w:keepNext/>
        <w:spacing w:after="80"/>
        <w:jc w:val="both"/>
      </w:pPr>
      <w:r>
        <w:t xml:space="preserve">§ 1º O disposto no caput aplica-se à resolução de questão prejudicial, decidida expressa e incidentemente no processo, se: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58"/>
        <w:gridCol w:w="2989"/>
        <w:gridCol w:w="4307"/>
      </w:tblGrid>
      <w:tr>
        <w:trPr>
          <w:tblHeader w:val="on"/>
          <w:cantSplit/>
          <w:tblHeader/>
        </w:trPr>
        <w:tc>
          <w:tcPr>
            <w:tcW w:type="dxa" w:w="2058"/>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98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307"/>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58"/>
          </w:tcPr>
          <w:p>
            <w:pPr>
              <w:pStyle w:val="Compact"/>
              <w:spacing w:line="276" w:lineRule="auto" w:before="40" w:after="40"/>
            </w:pPr>
            <w:r>
              <w:rPr>
                <w:rFonts w:ascii="Liberation Sans Narrow" w:hAnsi="Liberation Sans Narrow"/>
                <w:sz w:val="18"/>
              </w:rPr>
              <w:t xml:space="preserve">§ 1º — extensão da coisa julgada à questão prejudicial decidida na execução</w:t>
            </w:r>
          </w:p>
        </w:tc>
        <w:tc>
          <w:tcPr>
            <w:tcW w:type="dxa" w:w="2989"/>
          </w:tcPr>
          <w:p>
            <w:pPr>
              <w:pStyle w:val="Compact"/>
              <w:spacing w:line="276" w:lineRule="auto" w:before="40" w:after="40"/>
            </w:pPr>
            <w:r>
              <w:rPr>
                <w:rFonts w:ascii="Liberation Sans Narrow" w:hAnsi="Liberation Sans Narrow"/>
                <w:sz w:val="18"/>
              </w:rPr>
              <w:t xml:space="preserve">STJ, AgInt no AREsp 3.062.885, Terceira Turma, relator Min. Humberto Martins, julgado em 15/06/2026, DJEN de 18/06/2026</w:t>
            </w:r>
          </w:p>
        </w:tc>
        <w:tc>
          <w:tcPr>
            <w:tcW w:type="dxa" w:w="4307"/>
          </w:tcPr>
          <w:p>
            <w:pPr>
              <w:pStyle w:val="Compact"/>
              <w:spacing w:line="276" w:lineRule="auto" w:before="40" w:after="40"/>
            </w:pPr>
            <w:r>
              <w:rPr>
                <w:rFonts w:ascii="Liberation Sans Narrow" w:hAnsi="Liberation Sans Narrow"/>
                <w:sz w:val="18"/>
              </w:rPr>
              <w:t xml:space="preserve">Os efeitos da coisa julgada material se estendem à questão prejudicial decidida expressa e incidentemente, conforme os requisitos do art. 503, § 1º; a revisão das premissas fáticas sobre a violação ao princípio da não surpresa exige reexame de provas (Súmula 7/STJ).</w:t>
            </w:r>
          </w:p>
        </w:tc>
      </w:tr>
      <w:tr>
        <w:trPr>
          <w:cantSplit/>
        </w:trPr>
        <w:tc>
          <w:tcPr>
            <w:tcW w:type="dxa" w:w="2058"/>
          </w:tcPr>
          <w:p>
            <w:pPr>
              <w:pStyle w:val="Compact"/>
              <w:spacing w:line="276" w:lineRule="auto" w:before="40" w:after="40"/>
            </w:pPr>
            <w:r>
              <w:rPr>
                <w:rFonts w:ascii="Liberation Sans Narrow" w:hAnsi="Liberation Sans Narrow"/>
                <w:sz w:val="18"/>
              </w:rPr>
              <w:t xml:space="preserve">§ 1º — coisa julgada sobre questão prejudicial: requisitos</w:t>
            </w:r>
          </w:p>
        </w:tc>
        <w:tc>
          <w:tcPr>
            <w:tcW w:type="dxa" w:w="2989"/>
          </w:tcPr>
          <w:p>
            <w:pPr>
              <w:pStyle w:val="Compact"/>
              <w:spacing w:line="276" w:lineRule="auto" w:before="40" w:after="40"/>
            </w:pPr>
            <w:r>
              <w:rPr>
                <w:rFonts w:ascii="Liberation Sans Narrow" w:hAnsi="Liberation Sans Narrow"/>
                <w:sz w:val="18"/>
              </w:rPr>
              <w:t xml:space="preserve">STJ, REsp 2.218.679, Quarta Turma, relator Min. Raul Araújo, julgado em 09/03/2026, DJEN de 16/03/2026</w:t>
            </w:r>
          </w:p>
        </w:tc>
        <w:tc>
          <w:tcPr>
            <w:tcW w:type="dxa" w:w="4307"/>
          </w:tcPr>
          <w:p>
            <w:pPr>
              <w:pStyle w:val="Compact"/>
              <w:spacing w:line="276" w:lineRule="auto" w:before="40" w:after="40"/>
            </w:pPr>
            <w:r>
              <w:rPr>
                <w:rFonts w:ascii="Liberation Sans Narrow" w:hAnsi="Liberation Sans Narrow"/>
                <w:sz w:val="18"/>
              </w:rPr>
              <w:t xml:space="preserve">A decisão anterior forma coisa julgada material sobre a questão prejudicial, nos termos do art. 503, § 1º, quando a questão foi decidida expressa e incidentemente, houve contraditório pleno entre as partes, a decisão foi essencial ao julgamento do mérito e transitou em julgado.</w:t>
            </w:r>
          </w:p>
        </w:tc>
      </w:tr>
    </w:tbl>
    <w:p>
      <w:pPr>
        <w:pStyle w:val="BodyText"/>
        <w:spacing w:after="80"/>
        <w:jc w:val="both"/>
      </w:pPr>
      <w:r>
        <w:t xml:space="preserve">I - dessa resolução depender o julgamento do mérito;</w:t>
      </w:r>
    </w:p>
    <w:p>
      <w:pPr>
        <w:pStyle w:val="BodyText"/>
        <w:spacing w:after="80"/>
        <w:jc w:val="both"/>
      </w:pPr>
      <w:r>
        <w:t xml:space="preserve">II - a seu respeito tiver havido contraditório prévio e efetivo, não se aplicando no caso de revelia;</w:t>
      </w:r>
    </w:p>
    <w:p>
      <w:pPr>
        <w:pStyle w:val="BodyText"/>
        <w:spacing w:after="80"/>
        <w:jc w:val="both"/>
      </w:pPr>
      <w:r>
        <w:t xml:space="preserve">III - o juízo tiver competência em razão da matéria e da pessoa para resolvê-la como questão principal.</w:t>
      </w:r>
    </w:p>
    <w:p>
      <w:pPr>
        <w:pStyle w:val="BodyText"/>
        <w:spacing w:after="80"/>
        <w:jc w:val="both"/>
      </w:pPr>
      <w:r>
        <w:t xml:space="preserve">§ 2º A hipótese do § 1º não se aplica se no processo houver restrições probatórias ou limitações à cognição que impeçam o aprofundamento da análise da questão prejudicial.</w:t>
      </w:r>
    </w:p>
    <w:bookmarkEnd w:id="237"/>
    <w:bookmarkStart w:id="238" w:name="art.-504"/>
    <w:p>
      <w:pPr>
        <w:pStyle w:val="Heading6"/>
        <w:pBdr>
          <w:left w:val="single" w:sz="36" w:space="4" w:color="2E75B6"/>
        </w:pBdr>
        <w:shd w:val="clear" w:color="auto" w:fill="E3EEF9"/>
        <w:spacing w:before="200" w:after="80"/>
        <w:ind w:left="85"/>
      </w:pPr>
      <w:r>
        <w:rPr>
          <w:i w:val="0"/>
          <w:color w:val="1F3A5F"/>
          <w:sz w:val="23"/>
        </w:rPr>
        <w:t xml:space="preserve">Art. 504</w:t>
      </w:r>
    </w:p>
    <w:p>
      <w:pPr>
        <w:pStyle w:val="FirstParagraph"/>
        <w:spacing w:after="80"/>
        <w:jc w:val="both"/>
      </w:pPr>
      <w:r>
        <w:rPr>
          <w:b/>
          <w:bCs/>
        </w:rPr>
        <w:t xml:space="preserve">Art. 504.</w:t>
      </w:r>
      <w:r>
        <w:t xml:space="preserve"> </w:t>
      </w:r>
      <w:r>
        <w:t xml:space="preserve">Não fazem coisa julgada:</w:t>
      </w:r>
    </w:p>
    <w:p>
      <w:pPr>
        <w:pStyle w:val="BodyText"/>
        <w:keepNext/>
        <w:spacing w:after="80"/>
        <w:jc w:val="both"/>
      </w:pPr>
      <w:r>
        <w:t xml:space="preserve">I - os motivos, ainda que importantes para determinar o alcance da parte dispositiva da sentença;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04"/>
        <w:gridCol w:w="2516"/>
        <w:gridCol w:w="4534"/>
      </w:tblGrid>
      <w:tr>
        <w:trPr>
          <w:tblHeader w:val="on"/>
          <w:cantSplit/>
          <w:tblHeader/>
        </w:trPr>
        <w:tc>
          <w:tcPr>
            <w:tcW w:type="dxa" w:w="2304"/>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1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53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304"/>
          </w:tcPr>
          <w:p>
            <w:pPr>
              <w:pStyle w:val="Compact"/>
              <w:spacing w:line="276" w:lineRule="auto" w:before="40" w:after="40"/>
            </w:pPr>
            <w:r>
              <w:rPr>
                <w:rFonts w:ascii="Liberation Sans Narrow" w:hAnsi="Liberation Sans Narrow"/>
                <w:sz w:val="18"/>
              </w:rPr>
              <w:t xml:space="preserve">Incisos I e II: coisa julgada limitada ao dispositivo; obiter dictum; laudo sem contraditório</w:t>
            </w:r>
          </w:p>
        </w:tc>
        <w:tc>
          <w:tcPr>
            <w:tcW w:type="dxa" w:w="2517"/>
          </w:tcPr>
          <w:p>
            <w:pPr>
              <w:pStyle w:val="Compact"/>
              <w:spacing w:line="276" w:lineRule="auto" w:before="40" w:after="40"/>
            </w:pPr>
            <w:r>
              <w:rPr>
                <w:rFonts w:ascii="Liberation Sans Narrow" w:hAnsi="Liberation Sans Narrow"/>
                <w:sz w:val="18"/>
              </w:rPr>
              <w:t xml:space="preserve">STJ, REsp 2.173.008, Terceira Turma, relatora Min. Nancy Andrighi, julgado em 12/05/2026, DJEN de 06/07/2026</w:t>
            </w:r>
          </w:p>
        </w:tc>
        <w:tc>
          <w:tcPr>
            <w:tcW w:type="dxa" w:w="4533"/>
          </w:tcPr>
          <w:p>
            <w:pPr>
              <w:pStyle w:val="Compact"/>
              <w:spacing w:line="276" w:lineRule="auto" w:before="40" w:after="40"/>
            </w:pPr>
            <w:r>
              <w:rPr>
                <w:rFonts w:ascii="Liberation Sans Narrow" w:hAnsi="Liberation Sans Narrow"/>
                <w:sz w:val="18"/>
              </w:rPr>
              <w:t xml:space="preserve">A coisa julgada atinge só a parte dispositiva, não os motivos nem a verdade dos fatos (art. 504, I e II): a menção a parecer ou laudo na fundamentação é obiter dictum e não vincula a liquidação. Decidir com base em laudo contábil não submetido ao contraditório viola os arts. 9º e 10.</w:t>
            </w:r>
          </w:p>
        </w:tc>
      </w:tr>
    </w:tbl>
    <w:p>
      <w:pPr>
        <w:pStyle w:val="BodyText"/>
        <w:spacing w:after="80"/>
        <w:jc w:val="both"/>
      </w:pPr>
      <w:r>
        <w:t xml:space="preserve">II - a verdade dos fatos, estabelecida como fundamento da sentença.</w:t>
      </w:r>
    </w:p>
    <w:bookmarkEnd w:id="238"/>
    <w:bookmarkStart w:id="239" w:name="art.-505"/>
    <w:p>
      <w:pPr>
        <w:pStyle w:val="Heading6"/>
        <w:pBdr>
          <w:left w:val="single" w:sz="36" w:space="4" w:color="2E75B6"/>
        </w:pBdr>
        <w:shd w:val="clear" w:color="auto" w:fill="E3EEF9"/>
        <w:spacing w:before="200" w:after="80"/>
        <w:ind w:left="85"/>
      </w:pPr>
      <w:r>
        <w:rPr>
          <w:i w:val="0"/>
          <w:color w:val="1F3A5F"/>
          <w:sz w:val="23"/>
        </w:rPr>
        <w:t xml:space="preserve">Art. 505</w:t>
      </w:r>
    </w:p>
    <w:p>
      <w:pPr>
        <w:pStyle w:val="FirstParagraph"/>
        <w:spacing w:after="80"/>
        <w:jc w:val="both"/>
      </w:pPr>
      <w:r>
        <w:rPr>
          <w:b/>
          <w:bCs/>
        </w:rPr>
        <w:t xml:space="preserve">Art. 505.</w:t>
      </w:r>
      <w:r>
        <w:t xml:space="preserve"> </w:t>
      </w:r>
      <w:r>
        <w:t xml:space="preserve">Nenhum juiz decidirá novamente as questões já decididas relativas à mesma lide, salvo:</w:t>
      </w:r>
    </w:p>
    <w:p>
      <w:pPr>
        <w:pStyle w:val="BodyText"/>
        <w:keepNext/>
        <w:spacing w:after="80"/>
        <w:jc w:val="both"/>
      </w:pPr>
      <w:r>
        <w:t xml:space="preserve">I - se, tratando-se de relação jurídica de trato continuado, sobreveio modificação no estado de fato ou de direito, caso em que poderá a parte pedir a revisão do que foi estatuído na sentença;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27"/>
        <w:gridCol w:w="3226"/>
        <w:gridCol w:w="3801"/>
      </w:tblGrid>
      <w:tr>
        <w:trPr>
          <w:tblHeader w:val="on"/>
          <w:cantSplit/>
          <w:tblHeader/>
        </w:trPr>
        <w:tc>
          <w:tcPr>
            <w:tcW w:type="dxa" w:w="2327"/>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22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380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327"/>
          </w:tcPr>
          <w:p>
            <w:pPr>
              <w:pStyle w:val="Compact"/>
              <w:spacing w:line="276" w:lineRule="auto" w:before="40" w:after="40"/>
            </w:pPr>
            <w:r>
              <w:rPr>
                <w:rFonts w:ascii="Liberation Sans Narrow" w:hAnsi="Liberation Sans Narrow"/>
                <w:sz w:val="18"/>
              </w:rPr>
              <w:t xml:space="preserve">Inciso I: coisa julgada em relação tributária de trato sucessivo e decisão posterior do STF</w:t>
            </w:r>
          </w:p>
        </w:tc>
        <w:tc>
          <w:tcPr>
            <w:tcW w:type="dxa" w:w="3226"/>
          </w:tcPr>
          <w:p>
            <w:pPr>
              <w:pStyle w:val="Compact"/>
              <w:spacing w:line="276" w:lineRule="auto" w:before="40" w:after="40"/>
            </w:pPr>
            <w:r>
              <w:rPr>
                <w:rFonts w:ascii="Liberation Sans Narrow" w:hAnsi="Liberation Sans Narrow"/>
                <w:sz w:val="18"/>
              </w:rPr>
              <w:t xml:space="preserve">STF, Tema 881/STF (repercussão geral), RE 949.297, Tribunal Pleno, relator Min. Edson Fachin, julgado em 08/02/2023</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3801"/>
          </w:tcPr>
          <w:p>
            <w:pPr>
              <w:pStyle w:val="Compact"/>
              <w:spacing w:line="276" w:lineRule="auto" w:before="40" w:after="40"/>
            </w:pPr>
            <w:r>
              <w:rPr>
                <w:rFonts w:ascii="Liberation Sans Narrow" w:hAnsi="Liberation Sans Narrow"/>
                <w:sz w:val="18"/>
              </w:rPr>
              <w:t xml:space="preserve">Decisões do STF em controle incidental, anteriores ao regime de repercussão geral, não alteram automaticamente a coisa julgada formada, mesmo nas relações tributárias de trato sucessivo; já as proferidas em ação direta ou em repercussão geral interrompem automaticamente os efeitos temporais das decisões transitadas em julgado nessas relações, respeitadas a irretroatividade, a anterioridade anual e a noventena.</w:t>
            </w:r>
          </w:p>
        </w:tc>
      </w:tr>
      <w:tr>
        <w:trPr>
          <w:cantSplit/>
        </w:trPr>
        <w:tc>
          <w:tcPr>
            <w:tcW w:type="dxa" w:w="2327"/>
          </w:tcPr>
          <w:p>
            <w:pPr>
              <w:pStyle w:val="Compact"/>
              <w:spacing w:line="276" w:lineRule="auto" w:before="40" w:after="40"/>
            </w:pPr>
            <w:r>
              <w:rPr>
                <w:rFonts w:ascii="Liberation Sans Narrow" w:hAnsi="Liberation Sans Narrow"/>
                <w:sz w:val="18"/>
              </w:rPr>
              <w:t xml:space="preserve">Inciso I: coisa julgada em relação tributária de trato sucessivo e decisão posterior do STF</w:t>
            </w:r>
          </w:p>
        </w:tc>
        <w:tc>
          <w:tcPr>
            <w:tcW w:type="dxa" w:w="3226"/>
          </w:tcPr>
          <w:p>
            <w:pPr>
              <w:pStyle w:val="Compact"/>
              <w:spacing w:line="276" w:lineRule="auto" w:before="40" w:after="40"/>
            </w:pPr>
            <w:r>
              <w:rPr>
                <w:rFonts w:ascii="Liberation Sans Narrow" w:hAnsi="Liberation Sans Narrow"/>
                <w:sz w:val="18"/>
              </w:rPr>
              <w:t xml:space="preserve">STF, Tema 885/STF (repercussão geral), RE 955.227, Tribunal Pleno, relator Min. Luís Roberto Barroso, julgado em 08/02/2023</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3801"/>
          </w:tcPr>
          <w:p>
            <w:pPr>
              <w:pStyle w:val="Compact"/>
              <w:spacing w:line="276" w:lineRule="auto" w:before="40" w:after="40"/>
            </w:pPr>
            <w:r>
              <w:rPr>
                <w:rFonts w:ascii="Liberation Sans Narrow" w:hAnsi="Liberation Sans Narrow"/>
                <w:sz w:val="18"/>
              </w:rPr>
              <w:t xml:space="preserve">Decisões do STF em controle incidental, anteriores ao regime de repercussão geral, não alteram automaticamente a coisa julgada formada, mesmo nas relações tributárias de trato sucessivo; já as proferidas em ação direta ou em repercussão geral interrompem automaticamente os efeitos temporais das decisões transitadas em julgado nessas relações, respeitadas a irretroatividade, a anterioridade anual e a noventena.</w:t>
            </w:r>
          </w:p>
        </w:tc>
      </w:tr>
      <w:tr>
        <w:trPr>
          <w:cantSplit/>
        </w:trPr>
        <w:tc>
          <w:tcPr>
            <w:tcW w:type="dxa" w:w="2327"/>
          </w:tcPr>
          <w:p>
            <w:pPr>
              <w:pStyle w:val="Compact"/>
              <w:spacing w:line="276" w:lineRule="auto" w:before="40" w:after="40"/>
            </w:pPr>
            <w:r>
              <w:rPr>
                <w:rFonts w:ascii="Liberation Sans Narrow" w:hAnsi="Liberation Sans Narrow"/>
                <w:sz w:val="18"/>
              </w:rPr>
              <w:t xml:space="preserve">Inciso I: revisão da sentença em relação jurídica de trato sucessivo</w:t>
            </w:r>
          </w:p>
        </w:tc>
        <w:tc>
          <w:tcPr>
            <w:tcW w:type="dxa" w:w="3226"/>
          </w:tcPr>
          <w:p>
            <w:pPr>
              <w:pStyle w:val="Compact"/>
              <w:spacing w:line="276" w:lineRule="auto" w:before="40" w:after="40"/>
            </w:pPr>
            <w:r>
              <w:rPr>
                <w:rFonts w:ascii="Liberation Sans Narrow" w:hAnsi="Liberation Sans Narrow"/>
                <w:sz w:val="18"/>
              </w:rPr>
              <w:t xml:space="preserve">STJ, REsp 2.201.672, Quarta Turma, relator Min. Raul Araújo, julgado em 24/11/2025, DJEN de 03/12/2025</w:t>
            </w:r>
          </w:p>
        </w:tc>
        <w:tc>
          <w:tcPr>
            <w:tcW w:type="dxa" w:w="3801"/>
          </w:tcPr>
          <w:p>
            <w:pPr>
              <w:pStyle w:val="Compact"/>
              <w:spacing w:line="276" w:lineRule="auto" w:before="40" w:after="40"/>
            </w:pPr>
            <w:r>
              <w:rPr>
                <w:rFonts w:ascii="Liberation Sans Narrow" w:hAnsi="Liberation Sans Narrow"/>
                <w:sz w:val="18"/>
              </w:rPr>
              <w:t xml:space="preserve">A relação jurídica de trato sucessivo permite a revisão de sentença transitada em julgado quando muda o estado de fato ou de direito (art. 505, I); a cláusula rebus sic stantibus condiciona a manutenção do julgado à permanência das circunstâncias que o sustentaram.</w:t>
            </w:r>
          </w:p>
        </w:tc>
      </w:tr>
    </w:tbl>
    <w:p>
      <w:pPr>
        <w:pStyle w:val="BodyText"/>
        <w:spacing w:after="80"/>
        <w:jc w:val="both"/>
      </w:pPr>
      <w:r>
        <w:t xml:space="preserve">II - nos demais casos prescritos em lei.</w:t>
      </w:r>
    </w:p>
    <w:bookmarkEnd w:id="239"/>
    <w:bookmarkStart w:id="240" w:name="art.-506"/>
    <w:p>
      <w:pPr>
        <w:pStyle w:val="Heading6"/>
        <w:pBdr>
          <w:left w:val="single" w:sz="36" w:space="4" w:color="2E75B6"/>
        </w:pBdr>
        <w:shd w:val="clear" w:color="auto" w:fill="E3EEF9"/>
        <w:spacing w:before="200" w:after="80"/>
        <w:ind w:left="85"/>
      </w:pPr>
      <w:r>
        <w:rPr>
          <w:i w:val="0"/>
          <w:color w:val="1F3A5F"/>
          <w:sz w:val="23"/>
        </w:rPr>
        <w:t xml:space="preserve">Art. 506</w:t>
      </w:r>
    </w:p>
    <w:p>
      <w:pPr>
        <w:pStyle w:val="FirstParagraph"/>
        <w:keepNext/>
        <w:spacing w:after="80"/>
        <w:jc w:val="both"/>
      </w:pPr>
      <w:r>
        <w:rPr>
          <w:b/>
          <w:bCs/>
        </w:rPr>
        <w:t xml:space="preserve">Art. 506.</w:t>
      </w:r>
      <w:r>
        <w:t xml:space="preserve"> </w:t>
      </w:r>
      <w:r>
        <w:t xml:space="preserve">A sentença faz coisa julgada às partes entre as quais é dada, não prejudicando terceiros.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25"/>
        <w:gridCol w:w="2783"/>
        <w:gridCol w:w="4846"/>
      </w:tblGrid>
      <w:tr>
        <w:trPr>
          <w:tblHeader w:val="on"/>
          <w:cantSplit/>
          <w:tblHeader/>
        </w:trPr>
        <w:tc>
          <w:tcPr>
            <w:tcW w:type="dxa" w:w="172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8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4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725"/>
          </w:tcPr>
          <w:p>
            <w:pPr>
              <w:pStyle w:val="Compact"/>
              <w:spacing w:line="276" w:lineRule="auto" w:before="40" w:after="40"/>
            </w:pPr>
            <w:r>
              <w:rPr>
                <w:rFonts w:ascii="Liberation Sans Narrow" w:hAnsi="Liberation Sans Narrow"/>
                <w:sz w:val="18"/>
              </w:rPr>
              <w:t xml:space="preserve">Caput — coisa julgada e integrantes da entidade familiar</w:t>
            </w:r>
          </w:p>
        </w:tc>
        <w:tc>
          <w:tcPr>
            <w:tcW w:type="dxa" w:w="2783"/>
          </w:tcPr>
          <w:p>
            <w:pPr>
              <w:pStyle w:val="Compact"/>
              <w:spacing w:line="276" w:lineRule="auto" w:before="40" w:after="40"/>
            </w:pPr>
            <w:r>
              <w:rPr>
                <w:rFonts w:ascii="Liberation Sans Narrow" w:hAnsi="Liberation Sans Narrow"/>
                <w:sz w:val="18"/>
              </w:rPr>
              <w:t xml:space="preserve">STJ, REsp 2.267.093, Quarta Turma, relator Min. João Otávio de Noronha, julgado em 30/06/2026, DJEN de 06/07/2026</w:t>
            </w:r>
          </w:p>
        </w:tc>
        <w:tc>
          <w:tcPr>
            <w:tcW w:type="dxa" w:w="4846"/>
          </w:tcPr>
          <w:p>
            <w:pPr>
              <w:pStyle w:val="Compact"/>
              <w:spacing w:line="276" w:lineRule="auto" w:before="40" w:after="40"/>
            </w:pPr>
            <w:r>
              <w:rPr>
                <w:rFonts w:ascii="Liberation Sans Narrow" w:hAnsi="Liberation Sans Narrow"/>
                <w:sz w:val="18"/>
              </w:rPr>
              <w:t xml:space="preserve">Os fundamentos da sentença, embora não integrem a coisa julgada, delimitam o alcance do dispositivo; a decisão transitada em julgado que afasta a impenhorabilidade do bem de família impede sua rediscussão por outros integrantes da entidade familiar, em embargos de terceiro.</w:t>
            </w:r>
          </w:p>
        </w:tc>
      </w:tr>
    </w:tbl>
    <w:bookmarkEnd w:id="240"/>
    <w:bookmarkStart w:id="241" w:name="art.-507"/>
    <w:p>
      <w:pPr>
        <w:pStyle w:val="Heading6"/>
        <w:pBdr>
          <w:left w:val="single" w:sz="36" w:space="4" w:color="2E75B6"/>
        </w:pBdr>
        <w:shd w:val="clear" w:color="auto" w:fill="E3EEF9"/>
        <w:spacing w:before="200" w:after="80"/>
        <w:ind w:left="85"/>
      </w:pPr>
      <w:r>
        <w:rPr>
          <w:i w:val="0"/>
          <w:color w:val="1F3A5F"/>
          <w:sz w:val="23"/>
        </w:rPr>
        <w:t xml:space="preserve">Art. 507</w:t>
      </w:r>
    </w:p>
    <w:p>
      <w:pPr>
        <w:pStyle w:val="FirstParagraph"/>
        <w:keepNext/>
        <w:spacing w:after="80"/>
        <w:jc w:val="both"/>
      </w:pPr>
      <w:r>
        <w:rPr>
          <w:b/>
          <w:bCs/>
        </w:rPr>
        <w:t xml:space="preserve">Art. 507.</w:t>
      </w:r>
      <w:r>
        <w:t xml:space="preserve"> </w:t>
      </w:r>
      <w:r>
        <w:t xml:space="preserve">É vedado à parte discutir no curso do processo as questões já decididas a cujo respeito se operou a preclusão.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59"/>
        <w:gridCol w:w="2711"/>
        <w:gridCol w:w="4884"/>
      </w:tblGrid>
      <w:tr>
        <w:trPr>
          <w:tblHeader w:val="on"/>
          <w:cantSplit/>
          <w:tblHeader/>
        </w:trPr>
        <w:tc>
          <w:tcPr>
            <w:tcW w:type="dxa" w:w="176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1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8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760"/>
          </w:tcPr>
          <w:p>
            <w:pPr>
              <w:pStyle w:val="Compact"/>
              <w:spacing w:line="276" w:lineRule="auto" w:before="40" w:after="40"/>
            </w:pPr>
            <w:r>
              <w:rPr>
                <w:rFonts w:ascii="Liberation Sans Narrow" w:hAnsi="Liberation Sans Narrow"/>
                <w:sz w:val="18"/>
              </w:rPr>
              <w:t xml:space="preserve">Preclusão consumativa e agravo de instrumento prejudicado</w:t>
            </w:r>
          </w:p>
        </w:tc>
        <w:tc>
          <w:tcPr>
            <w:tcW w:type="dxa" w:w="2711"/>
          </w:tcPr>
          <w:p>
            <w:pPr>
              <w:pStyle w:val="Compact"/>
              <w:spacing w:line="276" w:lineRule="auto" w:before="40" w:after="40"/>
            </w:pPr>
            <w:r>
              <w:rPr>
                <w:rFonts w:ascii="Liberation Sans Narrow" w:hAnsi="Liberation Sans Narrow"/>
                <w:sz w:val="18"/>
              </w:rPr>
              <w:t xml:space="preserve">STJ, REsp 2.220.835, Terceira Turma, relatora Min. Nancy Andrighi, julgado em 03/03/2026, DJEN de 09/03/2026</w:t>
            </w:r>
          </w:p>
        </w:tc>
        <w:tc>
          <w:tcPr>
            <w:tcW w:type="dxa" w:w="4884"/>
          </w:tcPr>
          <w:p>
            <w:pPr>
              <w:pStyle w:val="Compact"/>
              <w:spacing w:line="276" w:lineRule="auto" w:before="40" w:after="40"/>
            </w:pPr>
            <w:r>
              <w:rPr>
                <w:rFonts w:ascii="Liberation Sans Narrow" w:hAnsi="Liberation Sans Narrow"/>
                <w:sz w:val="18"/>
              </w:rPr>
              <w:t xml:space="preserve">A preclusão consumativa exige efetivo pronunciamento judicial sobre a questão (</w:t>
            </w:r>
            <w:r>
              <w:rPr>
                <w:rFonts w:ascii="Liberation Sans Narrow" w:hAnsi="Liberation Sans Narrow"/>
                <w:sz w:val="18"/>
              </w:rPr>
              <w:t xml:space="preserve">“questões já decididas”</w:t>
            </w:r>
            <w:r>
              <w:rPr>
                <w:rFonts w:ascii="Liberation Sans Narrow" w:hAnsi="Liberation Sans Narrow"/>
                <w:sz w:val="18"/>
              </w:rPr>
              <w:t xml:space="preserve">, arts. 505 e 507). Interposto agravo de instrumento, a preclusão depende do julgamento da matéria recorrida; se o recurso é julgado prejudicado, não há preclusão.</w:t>
            </w:r>
          </w:p>
        </w:tc>
      </w:tr>
    </w:tbl>
    <w:bookmarkEnd w:id="241"/>
    <w:bookmarkStart w:id="242" w:name="art.-508"/>
    <w:p>
      <w:pPr>
        <w:pStyle w:val="Heading6"/>
        <w:pBdr>
          <w:left w:val="single" w:sz="36" w:space="4" w:color="2E75B6"/>
        </w:pBdr>
        <w:shd w:val="clear" w:color="auto" w:fill="E3EEF9"/>
        <w:spacing w:before="200" w:after="80"/>
        <w:ind w:left="85"/>
      </w:pPr>
      <w:r>
        <w:rPr>
          <w:i w:val="0"/>
          <w:color w:val="1F3A5F"/>
          <w:sz w:val="23"/>
        </w:rPr>
        <w:t xml:space="preserve">Art. 508</w:t>
      </w:r>
    </w:p>
    <w:p>
      <w:pPr>
        <w:pStyle w:val="FirstParagraph"/>
        <w:keepNext/>
        <w:spacing w:after="80"/>
        <w:jc w:val="both"/>
      </w:pPr>
      <w:r>
        <w:rPr>
          <w:b/>
          <w:bCs/>
        </w:rPr>
        <w:t xml:space="preserve">Art. 508.</w:t>
      </w:r>
      <w:r>
        <w:t xml:space="preserve"> </w:t>
      </w:r>
      <w:r>
        <w:t xml:space="preserve">Transitada em julgado a decisão de mérito, considerar-se-ão deduzidas e repelidas todas as alegações e as defesas que a parte poderia opor tanto ao acolhimento quanto à rejeição do pedido.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86"/>
        <w:gridCol w:w="2488"/>
        <w:gridCol w:w="5180"/>
      </w:tblGrid>
      <w:tr>
        <w:trPr>
          <w:tblHeader w:val="on"/>
          <w:cantSplit/>
          <w:tblHeader/>
        </w:trPr>
        <w:tc>
          <w:tcPr>
            <w:tcW w:type="dxa" w:w="1686"/>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48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18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86"/>
          </w:tcPr>
          <w:p>
            <w:pPr>
              <w:pStyle w:val="Compact"/>
              <w:spacing w:line="276" w:lineRule="auto" w:before="40" w:after="40"/>
            </w:pPr>
            <w:r>
              <w:rPr>
                <w:rFonts w:ascii="Liberation Sans Narrow" w:hAnsi="Liberation Sans Narrow"/>
                <w:sz w:val="18"/>
              </w:rPr>
              <w:t xml:space="preserve">Caput — dedução das alegações e juros não pedidos</w:t>
            </w:r>
          </w:p>
        </w:tc>
        <w:tc>
          <w:tcPr>
            <w:tcW w:type="dxa" w:w="2489"/>
          </w:tcPr>
          <w:p>
            <w:pPr>
              <w:pStyle w:val="Compact"/>
              <w:spacing w:line="276" w:lineRule="auto" w:before="40" w:after="40"/>
            </w:pPr>
            <w:r>
              <w:rPr>
                <w:rFonts w:ascii="Liberation Sans Narrow" w:hAnsi="Liberation Sans Narrow"/>
                <w:sz w:val="18"/>
              </w:rPr>
              <w:t xml:space="preserve">STJ, AgInt no EREsp 2.009.491, Segunda Seção, relator Min. Raul Araújo, DJe de 18/09/2026</w:t>
            </w:r>
          </w:p>
        </w:tc>
        <w:tc>
          <w:tcPr>
            <w:tcW w:type="dxa" w:w="5180"/>
          </w:tcPr>
          <w:p>
            <w:pPr>
              <w:pStyle w:val="Compact"/>
              <w:spacing w:line="276" w:lineRule="auto" w:before="40" w:after="40"/>
            </w:pPr>
            <w:r>
              <w:rPr>
                <w:rFonts w:ascii="Liberation Sans Narrow" w:hAnsi="Liberation Sans Narrow"/>
                <w:sz w:val="18"/>
              </w:rPr>
              <w:t xml:space="preserve">A coisa julgada formada em demanda anterior não alcança os juros remuneratórios quando não houve pedido nem decisão expressa sobre eles; a identidade temática e o julgamento superveniente de tema repetitivo não suprem a ausência originária do requisito de admissibilidade dos embargos de divergência.</w:t>
            </w:r>
          </w:p>
        </w:tc>
      </w:tr>
    </w:tbl>
    <w:bookmarkEnd w:id="242"/>
    <w:bookmarkEnd w:id="243"/>
    <w:bookmarkEnd w:id="244"/>
    <w:bookmarkStart w:id="249" w:name="Xc4e576c52e68e611206f197fbd975ed30d90cd5"/>
    <w:p>
      <w:pPr>
        <w:pStyle w:val="Heading4"/>
        <w:spacing w:before="160" w:after="40"/>
      </w:pPr>
      <w:r>
        <w:rPr>
          <w:smallCaps/>
          <w:color w:val="2E75B6"/>
        </w:rPr>
        <w:t xml:space="preserve">Capítulo XIV: da liquidação de sentença (arts. 509 a 512)</w:t>
      </w:r>
    </w:p>
    <w:bookmarkStart w:id="245" w:name="art.-509"/>
    <w:p>
      <w:pPr>
        <w:pStyle w:val="Heading6"/>
        <w:pBdr>
          <w:left w:val="single" w:sz="36" w:space="4" w:color="2E75B6"/>
        </w:pBdr>
        <w:shd w:val="clear" w:color="auto" w:fill="E3EEF9"/>
        <w:spacing w:before="200" w:after="80"/>
        <w:ind w:left="85"/>
      </w:pPr>
      <w:r>
        <w:rPr>
          <w:i w:val="0"/>
          <w:color w:val="1F3A5F"/>
          <w:sz w:val="23"/>
        </w:rPr>
        <w:t xml:space="preserve">Art. 509</w:t>
      </w:r>
    </w:p>
    <w:p>
      <w:pPr>
        <w:pStyle w:val="FirstParagraph"/>
        <w:keepNext/>
        <w:spacing w:after="80"/>
        <w:jc w:val="both"/>
      </w:pPr>
      <w:r>
        <w:rPr>
          <w:b/>
          <w:bCs/>
        </w:rPr>
        <w:t xml:space="preserve">Art. 509.</w:t>
      </w:r>
      <w:r>
        <w:t xml:space="preserve"> </w:t>
      </w:r>
      <w:r>
        <w:t xml:space="preserve">Quando a sentença condenar ao pagamento de quantia ilíquida, proceder-se-á à sua liquidação, a requerimento do credor ou do devedor: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79"/>
        <w:gridCol w:w="2747"/>
        <w:gridCol w:w="4228"/>
      </w:tblGrid>
      <w:tr>
        <w:trPr>
          <w:tblHeader w:val="on"/>
          <w:cantSplit/>
          <w:tblHeader/>
        </w:trPr>
        <w:tc>
          <w:tcPr>
            <w:tcW w:type="dxa" w:w="238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4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228"/>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380"/>
          </w:tcPr>
          <w:p>
            <w:pPr>
              <w:pStyle w:val="Compact"/>
              <w:spacing w:line="276" w:lineRule="auto" w:before="40" w:after="40"/>
            </w:pPr>
            <w:r>
              <w:rPr>
                <w:rFonts w:ascii="Liberation Sans Narrow" w:hAnsi="Liberation Sans Narrow"/>
                <w:sz w:val="18"/>
              </w:rPr>
              <w:t xml:space="preserve">Liquidação: execução individual de título coletivo sem prévia liquidação quando bastam cálculos aritméticos</w:t>
            </w:r>
          </w:p>
        </w:tc>
        <w:tc>
          <w:tcPr>
            <w:tcW w:type="dxa" w:w="2747"/>
          </w:tcPr>
          <w:p>
            <w:pPr>
              <w:pStyle w:val="Compact"/>
              <w:spacing w:line="276" w:lineRule="auto" w:before="40" w:after="40"/>
            </w:pPr>
            <w:r>
              <w:rPr>
                <w:rFonts w:ascii="Liberation Sans Narrow" w:hAnsi="Liberation Sans Narrow"/>
                <w:sz w:val="18"/>
              </w:rPr>
              <w:t xml:space="preserve">STJ, Tema Repetitivo 1169, REsp 1.978.629, Primeira Seção, relator Min. Benedito Gonçalves, julgado em 07/05/2026, DJEN de 01/06/2026</w:t>
            </w:r>
          </w:p>
        </w:tc>
        <w:tc>
          <w:tcPr>
            <w:tcW w:type="dxa" w:w="4228"/>
          </w:tcPr>
          <w:p>
            <w:pPr>
              <w:pStyle w:val="Compact"/>
              <w:spacing w:line="276" w:lineRule="auto" w:before="40" w:after="40"/>
            </w:pPr>
            <w:r>
              <w:rPr>
                <w:rFonts w:ascii="Liberation Sans Narrow" w:hAnsi="Liberation Sans Narrow"/>
                <w:sz w:val="18"/>
              </w:rPr>
              <w:t xml:space="preserve">(i) na execução individual do título formado em processo coletivo em favor de servidores públicos, sempre que demonstrado documentalmente que o exequente legitimado se encontre na situação estabelecida de forma genérica na sentença, a execução pode ocorrer sem a necessidade de prévia liquidação do julgado, quando for possível a apuração do crédito por simples cálculos aritméticos;(ii) cabe ao Juízo da execução, assegurado o contraditório ao executado, em sede de impugnação ao cumprimento de sentença, analisar, de forma concreta, se é necessária a prévia liquidação do julgado.</w:t>
            </w:r>
          </w:p>
        </w:tc>
      </w:tr>
    </w:tbl>
    <w:p>
      <w:pPr>
        <w:pStyle w:val="BodyText"/>
        <w:spacing w:after="80"/>
        <w:jc w:val="both"/>
      </w:pPr>
      <w:r>
        <w:t xml:space="preserve">I - por arbitramento, quando determinado pela sentença, convencionado pelas partes ou exigido pela natureza do objeto da liquidação;</w:t>
      </w:r>
    </w:p>
    <w:p>
      <w:pPr>
        <w:pStyle w:val="BodyText"/>
        <w:spacing w:after="80"/>
        <w:jc w:val="both"/>
      </w:pPr>
      <w:r>
        <w:t xml:space="preserve">II - pelo procedimento comum, quando houver necessidade de alegar e provar fato novo.</w:t>
      </w:r>
    </w:p>
    <w:p>
      <w:pPr>
        <w:pStyle w:val="BodyText"/>
        <w:spacing w:after="80"/>
        <w:jc w:val="both"/>
      </w:pPr>
      <w:r>
        <w:t xml:space="preserve">§ 1º Quando na sentença houver uma parte líquida e outra ilíquida, ao credor é lícito promover simultaneamente a execução daquela e, em autos apartados, a liquidação desta.</w:t>
      </w:r>
    </w:p>
    <w:p>
      <w:pPr>
        <w:pStyle w:val="BodyText"/>
        <w:spacing w:after="80"/>
        <w:jc w:val="both"/>
      </w:pPr>
      <w:r>
        <w:t xml:space="preserve">§ 2º Quando a apuração do valor depender apenas de cálculo aritmético, o credor poderá promover, desde logo, o cumprimento da sentença.</w:t>
      </w:r>
    </w:p>
    <w:p>
      <w:pPr>
        <w:pStyle w:val="BodyText"/>
        <w:spacing w:after="80"/>
        <w:jc w:val="both"/>
      </w:pPr>
      <w:r>
        <w:t xml:space="preserve">§ 3º O Conselho Nacional de Justiça desenvolverá e colocará à disposição dos interessados programa de atualização financeira.</w:t>
      </w:r>
    </w:p>
    <w:p>
      <w:pPr>
        <w:pStyle w:val="BodyText"/>
        <w:keepNext/>
        <w:spacing w:after="80"/>
        <w:jc w:val="both"/>
      </w:pPr>
      <w:r>
        <w:t xml:space="preserve">§ 4º Na liquidação é vedado discutir de novo a lide ou modificar a sentença que a julgou.</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72"/>
        <w:gridCol w:w="2721"/>
        <w:gridCol w:w="4461"/>
      </w:tblGrid>
      <w:tr>
        <w:trPr>
          <w:tblHeader w:val="on"/>
          <w:cantSplit/>
          <w:tblHeader/>
        </w:trPr>
        <w:tc>
          <w:tcPr>
            <w:tcW w:type="dxa" w:w="217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2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46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72"/>
          </w:tcPr>
          <w:p>
            <w:pPr>
              <w:pStyle w:val="Compact"/>
              <w:spacing w:line="276" w:lineRule="auto" w:before="40" w:after="40"/>
            </w:pPr>
            <w:r>
              <w:rPr>
                <w:rFonts w:ascii="Liberation Sans Narrow" w:hAnsi="Liberation Sans Narrow"/>
                <w:sz w:val="18"/>
              </w:rPr>
              <w:t xml:space="preserve">§ 4º — vedação de rediscutir a lide ou modificar a sentença na liquidação</w:t>
            </w:r>
          </w:p>
        </w:tc>
        <w:tc>
          <w:tcPr>
            <w:tcW w:type="dxa" w:w="2721"/>
          </w:tcPr>
          <w:p>
            <w:pPr>
              <w:pStyle w:val="Compact"/>
              <w:spacing w:line="276" w:lineRule="auto" w:before="40" w:after="40"/>
            </w:pPr>
            <w:r>
              <w:rPr>
                <w:rFonts w:ascii="Liberation Sans Narrow" w:hAnsi="Liberation Sans Narrow"/>
                <w:sz w:val="18"/>
              </w:rPr>
              <w:t xml:space="preserve">STJ, AgInt no REsp 2.128.649, Quarta Turma, relator Min. Antonio Carlos Ferreira, julgado em 22/06/2026</w:t>
            </w:r>
          </w:p>
        </w:tc>
        <w:tc>
          <w:tcPr>
            <w:tcW w:type="dxa" w:w="4461"/>
          </w:tcPr>
          <w:p>
            <w:pPr>
              <w:pStyle w:val="Compact"/>
              <w:spacing w:line="276" w:lineRule="auto" w:before="40" w:after="40"/>
            </w:pPr>
            <w:r>
              <w:rPr>
                <w:rFonts w:ascii="Liberation Sans Narrow" w:hAnsi="Liberation Sans Narrow"/>
                <w:sz w:val="18"/>
              </w:rPr>
              <w:t xml:space="preserve">A liquidação de sentença e o cumprimento de sentença estão limitados ao exato comando estabelecido no título executivo, sob pena de violação aos princípios da fidelidade ao título e da coisa julgada.</w:t>
            </w:r>
          </w:p>
        </w:tc>
      </w:tr>
    </w:tbl>
    <w:bookmarkEnd w:id="245"/>
    <w:bookmarkStart w:id="246" w:name="art.-510"/>
    <w:p>
      <w:pPr>
        <w:pStyle w:val="Heading6"/>
        <w:pBdr>
          <w:left w:val="single" w:sz="36" w:space="4" w:color="2E75B6"/>
        </w:pBdr>
        <w:shd w:val="clear" w:color="auto" w:fill="E3EEF9"/>
        <w:spacing w:before="200" w:after="80"/>
        <w:ind w:left="85"/>
      </w:pPr>
      <w:r>
        <w:rPr>
          <w:i w:val="0"/>
          <w:color w:val="1F3A5F"/>
          <w:sz w:val="23"/>
        </w:rPr>
        <w:t xml:space="preserve">Art. 510</w:t>
      </w:r>
    </w:p>
    <w:p>
      <w:pPr>
        <w:pStyle w:val="FirstParagraph"/>
        <w:keepNext/>
        <w:spacing w:after="80"/>
        <w:jc w:val="both"/>
      </w:pPr>
      <w:r>
        <w:rPr>
          <w:b/>
          <w:bCs/>
        </w:rPr>
        <w:t xml:space="preserve">Art. 510.</w:t>
      </w:r>
      <w:r>
        <w:t xml:space="preserve"> </w:t>
      </w:r>
      <w:r>
        <w:t xml:space="preserve">Na liquidação por arbitramento, o juiz intimará as partes para a apresentação de pareceres ou documentos elucidativos, no prazo que fixar, e, caso não possa decidir de plano, nomeará perito, observando-se, no que couber, o procedimento da prova pericial.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80"/>
        <w:gridCol w:w="2468"/>
        <w:gridCol w:w="5106"/>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46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10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780"/>
          </w:tcPr>
          <w:p>
            <w:pPr>
              <w:pStyle w:val="Compact"/>
              <w:spacing w:line="276" w:lineRule="auto" w:before="40" w:after="40"/>
            </w:pPr>
            <w:r>
              <w:rPr>
                <w:rFonts w:ascii="Liberation Sans Narrow" w:hAnsi="Liberation Sans Narrow"/>
                <w:sz w:val="18"/>
              </w:rPr>
              <w:t xml:space="preserve">Caput — prazo para manifestação sobre os cálculos</w:t>
            </w:r>
          </w:p>
        </w:tc>
        <w:tc>
          <w:tcPr>
            <w:tcW w:type="dxa" w:w="2468"/>
          </w:tcPr>
          <w:p>
            <w:pPr>
              <w:pStyle w:val="Compact"/>
              <w:spacing w:line="276" w:lineRule="auto" w:before="40" w:after="40"/>
            </w:pPr>
            <w:r>
              <w:rPr>
                <w:rFonts w:ascii="Liberation Sans Narrow" w:hAnsi="Liberation Sans Narrow"/>
                <w:sz w:val="18"/>
              </w:rPr>
              <w:t xml:space="preserve">STJ, AgInt no REsp 1.687.186, Terceira Turma, relator Min. Moura Ribeiro, DJe de 18/06/2021</w:t>
            </w:r>
          </w:p>
        </w:tc>
        <w:tc>
          <w:tcPr>
            <w:tcW w:type="dxa" w:w="5106"/>
          </w:tcPr>
          <w:p>
            <w:pPr>
              <w:pStyle w:val="Compact"/>
              <w:spacing w:line="276" w:lineRule="auto" w:before="40" w:after="40"/>
            </w:pPr>
            <w:r>
              <w:rPr>
                <w:rFonts w:ascii="Liberation Sans Narrow" w:hAnsi="Liberation Sans Narrow"/>
                <w:sz w:val="18"/>
              </w:rPr>
              <w:t xml:space="preserve">O prazo assinalado pelo julgador para o executado se manifestar sobre os valores informados pelo autor, na liquidação por arbitramento, tem natureza dilatória e pode ser prorrogado, desde que o magistrado não tenha reconhecido os efeitos da preclusão e não haja comportamento desidioso do litigante (arts. 139, VI, e parágrafo único, e 510 do CPC).</w:t>
            </w:r>
          </w:p>
        </w:tc>
      </w:tr>
    </w:tbl>
    <w:bookmarkEnd w:id="246"/>
    <w:bookmarkStart w:id="247" w:name="art.-511"/>
    <w:p>
      <w:pPr>
        <w:pStyle w:val="Heading6"/>
        <w:pBdr>
          <w:left w:val="single" w:sz="36" w:space="4" w:color="2E75B6"/>
        </w:pBdr>
        <w:shd w:val="clear" w:color="auto" w:fill="E3EEF9"/>
        <w:spacing w:before="200" w:after="80"/>
        <w:ind w:left="85"/>
      </w:pPr>
      <w:r>
        <w:rPr>
          <w:i w:val="0"/>
          <w:color w:val="1F3A5F"/>
          <w:sz w:val="23"/>
        </w:rPr>
        <w:t xml:space="preserve">Art. 511</w:t>
      </w:r>
    </w:p>
    <w:p>
      <w:pPr>
        <w:pStyle w:val="FirstParagraph"/>
        <w:keepNext/>
        <w:spacing w:after="80"/>
        <w:jc w:val="both"/>
      </w:pPr>
      <w:r>
        <w:rPr>
          <w:b/>
          <w:bCs/>
        </w:rPr>
        <w:t xml:space="preserve">Art. 511.</w:t>
      </w:r>
      <w:r>
        <w:t xml:space="preserve"> </w:t>
      </w:r>
      <w:r>
        <w:t xml:space="preserve">Na liquidação pelo procedimento comum, o juiz determinará a intimação do requerido, na pessoa de seu advogado ou da sociedade de advogados a que estiver vinculado, para, querendo, apresentar contestação no prazo de 15 (quinze) dias, observando-se, a seguir, no que couber, o disposto no Livro I da Parte Especial deste Código.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2561"/>
        <w:gridCol w:w="5262"/>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6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26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Caput — honorários na liquidação</w:t>
            </w:r>
          </w:p>
        </w:tc>
        <w:tc>
          <w:tcPr>
            <w:tcW w:type="dxa" w:w="2562"/>
          </w:tcPr>
          <w:p>
            <w:pPr>
              <w:pStyle w:val="Compact"/>
              <w:spacing w:line="276" w:lineRule="auto" w:before="40" w:after="40"/>
            </w:pPr>
            <w:r>
              <w:rPr>
                <w:rFonts w:ascii="Liberation Sans Narrow" w:hAnsi="Liberation Sans Narrow"/>
                <w:sz w:val="18"/>
              </w:rPr>
              <w:t xml:space="preserve">STJ, AgInt no REsp 1.940.884, Segunda Turma, relator Min. Francisco Falcão, DJe de 22/09/2021</w:t>
            </w:r>
          </w:p>
        </w:tc>
        <w:tc>
          <w:tcPr>
            <w:tcW w:type="dxa" w:w="5262"/>
          </w:tcPr>
          <w:p>
            <w:pPr>
              <w:pStyle w:val="Compact"/>
              <w:spacing w:line="276" w:lineRule="auto" w:before="40" w:after="40"/>
            </w:pPr>
            <w:r>
              <w:rPr>
                <w:rFonts w:ascii="Liberation Sans Narrow" w:hAnsi="Liberation Sans Narrow"/>
                <w:sz w:val="18"/>
              </w:rPr>
              <w:t xml:space="preserve">Cabem honorários advocatícios no cumprimento individual de sentença proferida contra a Fazenda Pública em ação coletiva, independentemente de ter sido ou não apresentada impugnação; a orientação foi firmada pela Corte Especial no REsp 1.648.238/RS.</w:t>
            </w:r>
          </w:p>
        </w:tc>
      </w:tr>
    </w:tbl>
    <w:bookmarkEnd w:id="247"/>
    <w:bookmarkStart w:id="248" w:name="art.-512"/>
    <w:p>
      <w:pPr>
        <w:pStyle w:val="Heading6"/>
        <w:pBdr>
          <w:left w:val="single" w:sz="36" w:space="4" w:color="2E75B6"/>
        </w:pBdr>
        <w:shd w:val="clear" w:color="auto" w:fill="E3EEF9"/>
        <w:spacing w:before="200" w:after="80"/>
        <w:ind w:left="85"/>
      </w:pPr>
      <w:r>
        <w:rPr>
          <w:i w:val="0"/>
          <w:color w:val="1F3A5F"/>
          <w:sz w:val="23"/>
        </w:rPr>
        <w:t xml:space="preserve">Art. 512</w:t>
      </w:r>
    </w:p>
    <w:p>
      <w:pPr>
        <w:pStyle w:val="FirstParagraph"/>
        <w:spacing w:after="80"/>
        <w:jc w:val="both"/>
      </w:pPr>
      <w:r>
        <w:rPr>
          <w:b/>
          <w:bCs/>
        </w:rPr>
        <w:t xml:space="preserve">Art. 512.</w:t>
      </w:r>
      <w:r>
        <w:t xml:space="preserve"> </w:t>
      </w:r>
      <w:r>
        <w:t xml:space="preserve">A liquidação poderá ser realizada na pendência de recurso, processando-se em autos apartados no juízo de origem, cumprindo ao liquidante instruir o pedido com cópias das peças processuais pertinentes.</w:t>
      </w:r>
    </w:p>
    <w:bookmarkEnd w:id="248"/>
    <w:bookmarkEnd w:id="249"/>
    <w:bookmarkEnd w:id="250"/>
    <w:bookmarkStart w:id="285" w:name="X3ec5025c2927365c2840220e432c4feaa7313e9"/>
    <w:p>
      <w:pPr>
        <w:pStyle w:val="Heading3"/>
        <w:pBdr>
          <w:bottom w:val="single" w:sz="8" w:space="2" w:color="2E75B6"/>
        </w:pBdr>
        <w:spacing w:before="200" w:after="80"/>
      </w:pPr>
      <w:r>
        <w:rPr>
          <w:sz w:val="24"/>
        </w:rPr>
        <w:t xml:space="preserve">Título II: do cumprimento da sentença (arts. 513 a 538)</w:t>
      </w:r>
    </w:p>
    <w:bookmarkStart w:id="258" w:name="Xd85571c001430b0bd2fb1e73a8509a1b2d1815f"/>
    <w:p>
      <w:pPr>
        <w:pStyle w:val="Heading4"/>
        <w:spacing w:before="160" w:after="40"/>
      </w:pPr>
      <w:r>
        <w:rPr>
          <w:smallCaps/>
          <w:color w:val="2E75B6"/>
        </w:rPr>
        <w:t xml:space="preserve">Capítulo I: disposições gerais (arts. 513 a 519)</w:t>
      </w:r>
    </w:p>
    <w:bookmarkStart w:id="251" w:name="art.-513"/>
    <w:p>
      <w:pPr>
        <w:pStyle w:val="Heading6"/>
        <w:pBdr>
          <w:left w:val="single" w:sz="36" w:space="4" w:color="2E75B6"/>
        </w:pBdr>
        <w:shd w:val="clear" w:color="auto" w:fill="E3EEF9"/>
        <w:spacing w:before="200" w:after="80"/>
        <w:ind w:left="85"/>
      </w:pPr>
      <w:r>
        <w:rPr>
          <w:i w:val="0"/>
          <w:color w:val="1F3A5F"/>
          <w:sz w:val="23"/>
        </w:rPr>
        <w:t xml:space="preserve">Art. 513</w:t>
      </w:r>
    </w:p>
    <w:p>
      <w:pPr>
        <w:pStyle w:val="FirstParagraph"/>
        <w:spacing w:after="80"/>
        <w:jc w:val="both"/>
      </w:pPr>
      <w:r>
        <w:rPr>
          <w:b/>
          <w:bCs/>
        </w:rPr>
        <w:t xml:space="preserve">Art. 513.</w:t>
      </w:r>
      <w:r>
        <w:t xml:space="preserve"> </w:t>
      </w:r>
      <w:r>
        <w:t xml:space="preserve">O cumprimento da sentença será feito segundo as regras deste Título, observando-se, no que couber e conforme a natureza da obrigação, o disposto no Livro II da Parte Especial deste Código.</w:t>
      </w:r>
    </w:p>
    <w:p>
      <w:pPr>
        <w:pStyle w:val="BodyText"/>
        <w:spacing w:after="80"/>
        <w:jc w:val="both"/>
      </w:pPr>
      <w:r>
        <w:t xml:space="preserve">§ 1º O cumprimento da sentença que reconhece o dever de pagar quantia, provisório ou definitivo, far-se-á a requerimento do exequente.</w:t>
      </w:r>
    </w:p>
    <w:p>
      <w:pPr>
        <w:pStyle w:val="BodyText"/>
        <w:spacing w:after="80"/>
        <w:jc w:val="both"/>
      </w:pPr>
      <w:r>
        <w:t xml:space="preserve">§ 2º O devedor será intimado para cumprir a sentença:</w:t>
      </w:r>
    </w:p>
    <w:p>
      <w:pPr>
        <w:pStyle w:val="BodyText"/>
        <w:spacing w:after="80"/>
        <w:jc w:val="both"/>
      </w:pPr>
      <w:r>
        <w:t xml:space="preserve">I - pelo Diário da Justiça, na pessoa de seu advogado constituído nos autos;</w:t>
      </w:r>
    </w:p>
    <w:p>
      <w:pPr>
        <w:pStyle w:val="BodyText"/>
        <w:spacing w:after="80"/>
        <w:jc w:val="both"/>
      </w:pPr>
      <w:r>
        <w:t xml:space="preserve">II - por carta com aviso de recebimento, quando representado pela Defensoria Pública ou quando não tiver procurador constituído nos autos, ressalvada a hipótese do inciso IV;</w:t>
      </w:r>
    </w:p>
    <w:p>
      <w:pPr>
        <w:pStyle w:val="BodyText"/>
        <w:spacing w:after="80"/>
        <w:jc w:val="both"/>
      </w:pPr>
      <w:r>
        <w:t xml:space="preserve">III - por meio eletrônico, quando, no caso do § 1º do art. 246, não tiver procurador constituído nos autos</w:t>
      </w:r>
    </w:p>
    <w:p>
      <w:pPr>
        <w:pStyle w:val="BodyText"/>
        <w:spacing w:after="80"/>
        <w:jc w:val="both"/>
      </w:pPr>
      <w:r>
        <w:t xml:space="preserve">IV - por edital, quando, citado na forma do art. 256, tiver sido revel na fase de conhecimento.</w:t>
      </w:r>
    </w:p>
    <w:p>
      <w:pPr>
        <w:pStyle w:val="BodyText"/>
        <w:spacing w:after="80"/>
        <w:jc w:val="both"/>
      </w:pPr>
      <w:r>
        <w:t xml:space="preserve">§ 3º Na hipótese do § 2º, incisos II e III, considera-se realizada a intimação quando o devedor houver mudado de endereço sem prévia comunicação ao juízo, observado o disposto no parágrafo único do art. 274.</w:t>
      </w:r>
    </w:p>
    <w:p>
      <w:pPr>
        <w:pStyle w:val="BodyText"/>
        <w:keepNext/>
        <w:spacing w:after="80"/>
        <w:jc w:val="both"/>
      </w:pPr>
      <w:r>
        <w:t xml:space="preserve">§ 4º Se o requerimento a que alude o § 1º for formulado após 1 (um) ano do trânsito em julgado da sentença, a intimação será feita na pessoa do devedor, por meio de carta com aviso de recebimento encaminhada ao endereço constante dos autos, observado o disposto no parágrafo único do art. 274 e no § 3º deste artigo.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86"/>
        <w:gridCol w:w="2810"/>
        <w:gridCol w:w="4358"/>
      </w:tblGrid>
      <w:tr>
        <w:trPr>
          <w:tblHeader w:val="on"/>
          <w:cantSplit/>
          <w:tblHeader/>
        </w:trPr>
        <w:tc>
          <w:tcPr>
            <w:tcW w:type="dxa" w:w="2186"/>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1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358"/>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86"/>
          </w:tcPr>
          <w:p>
            <w:pPr>
              <w:pStyle w:val="Compact"/>
              <w:spacing w:line="276" w:lineRule="auto" w:before="40" w:after="40"/>
            </w:pPr>
            <w:r>
              <w:rPr>
                <w:rFonts w:ascii="Liberation Sans Narrow" w:hAnsi="Liberation Sans Narrow"/>
                <w:sz w:val="18"/>
              </w:rPr>
              <w:t xml:space="preserve">§ 4º — intimação pessoal do executado</w:t>
            </w:r>
          </w:p>
        </w:tc>
        <w:tc>
          <w:tcPr>
            <w:tcW w:type="dxa" w:w="2810"/>
          </w:tcPr>
          <w:p>
            <w:pPr>
              <w:pStyle w:val="Compact"/>
              <w:spacing w:line="276" w:lineRule="auto" w:before="40" w:after="40"/>
            </w:pPr>
            <w:r>
              <w:rPr>
                <w:rFonts w:ascii="Liberation Sans Narrow" w:hAnsi="Liberation Sans Narrow"/>
                <w:sz w:val="18"/>
              </w:rPr>
              <w:t xml:space="preserve">STJ, AgInt no REsp 2.269.833, Quarta Turma, relatora Min. Maria Isabel Gallotti, DJe de 01/10/2026</w:t>
            </w:r>
          </w:p>
        </w:tc>
        <w:tc>
          <w:tcPr>
            <w:tcW w:type="dxa" w:w="4358"/>
          </w:tcPr>
          <w:p>
            <w:pPr>
              <w:pStyle w:val="Compact"/>
              <w:spacing w:line="276" w:lineRule="auto" w:before="40" w:after="40"/>
            </w:pPr>
            <w:r>
              <w:rPr>
                <w:rFonts w:ascii="Liberation Sans Narrow" w:hAnsi="Liberation Sans Narrow"/>
                <w:sz w:val="18"/>
              </w:rPr>
              <w:t xml:space="preserve">É necessária a intimação pessoal do executado para o cumprimento da sentença, mesmo após o transcurso de prazo superior a um ano (art. 513, § 4º); a decretação de nulidade, porém, depende da demonstração efetiva de prejuízo.</w:t>
            </w:r>
          </w:p>
        </w:tc>
      </w:tr>
      <w:tr>
        <w:trPr>
          <w:cantSplit/>
        </w:trPr>
        <w:tc>
          <w:tcPr>
            <w:tcW w:type="dxa" w:w="2186"/>
          </w:tcPr>
          <w:p>
            <w:pPr>
              <w:pStyle w:val="Compact"/>
              <w:spacing w:line="276" w:lineRule="auto" w:before="40" w:after="40"/>
            </w:pPr>
            <w:r>
              <w:rPr>
                <w:rFonts w:ascii="Liberation Sans Narrow" w:hAnsi="Liberation Sans Narrow"/>
                <w:sz w:val="18"/>
              </w:rPr>
              <w:t xml:space="preserve">§ 4º: intimação pessoal do executado quando o requerimento vem após mais de um ano do trânsito em julgado</w:t>
            </w:r>
          </w:p>
        </w:tc>
        <w:tc>
          <w:tcPr>
            <w:tcW w:type="dxa" w:w="2810"/>
          </w:tcPr>
          <w:p>
            <w:pPr>
              <w:pStyle w:val="Compact"/>
              <w:spacing w:line="276" w:lineRule="auto" w:before="40" w:after="40"/>
            </w:pPr>
            <w:r>
              <w:rPr>
                <w:rFonts w:ascii="Liberation Sans Narrow" w:hAnsi="Liberation Sans Narrow"/>
                <w:sz w:val="18"/>
              </w:rPr>
              <w:t xml:space="preserve">STJ, AREsp 2.407.683, Quarta Turma, relator Min. Raul Araújo, julgado em 16/12/2025, DJEN de 19/12/2025</w:t>
            </w:r>
          </w:p>
        </w:tc>
        <w:tc>
          <w:tcPr>
            <w:tcW w:type="dxa" w:w="4358"/>
          </w:tcPr>
          <w:p>
            <w:pPr>
              <w:pStyle w:val="Compact"/>
              <w:spacing w:line="276" w:lineRule="auto" w:before="40" w:after="40"/>
            </w:pPr>
            <w:r>
              <w:rPr>
                <w:rFonts w:ascii="Liberation Sans Narrow" w:hAnsi="Liberation Sans Narrow"/>
                <w:sz w:val="18"/>
              </w:rPr>
              <w:t xml:space="preserve">É necessária a intimação pessoal do executado quando o cumprimento é requerido após mais de um ano do trânsito em julgado (art. 513, § 4º). Sem intimação válida, não corre o prazo de 15 dias da impugnação, que é tempestiva; a regularidade formal do procedimento não ofende a coisa julgada.</w:t>
            </w:r>
          </w:p>
        </w:tc>
      </w:tr>
    </w:tbl>
    <w:p>
      <w:pPr>
        <w:pStyle w:val="BodyText"/>
        <w:spacing w:after="80"/>
        <w:jc w:val="both"/>
      </w:pPr>
      <w:r>
        <w:t xml:space="preserve">§ 5º O cumprimento da sentença não poderá ser promovido em face do fiador, do coobrigado ou do corresponsável que não tiver participado da fase de conhecimento.</w:t>
      </w:r>
    </w:p>
    <w:bookmarkEnd w:id="251"/>
    <w:bookmarkStart w:id="252" w:name="art.-514"/>
    <w:p>
      <w:pPr>
        <w:pStyle w:val="Heading6"/>
        <w:pBdr>
          <w:left w:val="single" w:sz="36" w:space="4" w:color="2E75B6"/>
        </w:pBdr>
        <w:shd w:val="clear" w:color="auto" w:fill="E3EEF9"/>
        <w:spacing w:before="200" w:after="80"/>
        <w:ind w:left="85"/>
      </w:pPr>
      <w:r>
        <w:rPr>
          <w:i w:val="0"/>
          <w:color w:val="1F3A5F"/>
          <w:sz w:val="23"/>
        </w:rPr>
        <w:t xml:space="preserve">Art. 514</w:t>
      </w:r>
    </w:p>
    <w:p>
      <w:pPr>
        <w:pStyle w:val="FirstParagraph"/>
        <w:spacing w:after="80"/>
        <w:jc w:val="both"/>
      </w:pPr>
      <w:r>
        <w:rPr>
          <w:b/>
          <w:bCs/>
        </w:rPr>
        <w:t xml:space="preserve">Art. 514.</w:t>
      </w:r>
      <w:r>
        <w:t xml:space="preserve"> </w:t>
      </w:r>
      <w:r>
        <w:t xml:space="preserve">Quando o juiz decidir relação jurídica sujeita a condição ou termo, o cumprimento da sentença dependerá de demonstração de que se realizou a condição ou de que ocorreu o termo.</w:t>
      </w:r>
    </w:p>
    <w:bookmarkEnd w:id="252"/>
    <w:bookmarkStart w:id="253" w:name="art.-515"/>
    <w:p>
      <w:pPr>
        <w:pStyle w:val="Heading6"/>
        <w:pBdr>
          <w:left w:val="single" w:sz="36" w:space="4" w:color="2E75B6"/>
        </w:pBdr>
        <w:shd w:val="clear" w:color="auto" w:fill="E3EEF9"/>
        <w:spacing w:before="200" w:after="80"/>
        <w:ind w:left="85"/>
      </w:pPr>
      <w:r>
        <w:rPr>
          <w:i w:val="0"/>
          <w:color w:val="1F3A5F"/>
          <w:sz w:val="23"/>
        </w:rPr>
        <w:t xml:space="preserve">Art. 515</w:t>
      </w:r>
    </w:p>
    <w:p>
      <w:pPr>
        <w:pStyle w:val="FirstParagraph"/>
        <w:spacing w:after="80"/>
        <w:jc w:val="both"/>
      </w:pPr>
      <w:r>
        <w:rPr>
          <w:b/>
          <w:bCs/>
        </w:rPr>
        <w:t xml:space="preserve">Art. 515.</w:t>
      </w:r>
      <w:r>
        <w:t xml:space="preserve"> </w:t>
      </w:r>
      <w:r>
        <w:t xml:space="preserve">São títulos executivos judiciais, cujo cumprimento dar-se-á de acordo com os artigos previstos neste Título:</w:t>
      </w:r>
    </w:p>
    <w:p>
      <w:pPr>
        <w:pStyle w:val="BodyText"/>
        <w:keepNext/>
        <w:spacing w:after="80"/>
        <w:jc w:val="both"/>
      </w:pPr>
      <w:r>
        <w:t xml:space="preserve">I - as decisões proferidas no processo civil que reconheçam a exigibilidade de obrigação de pagar quantia, de fazer, de não fazer ou de entregar coisa;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16"/>
        <w:gridCol w:w="3106"/>
        <w:gridCol w:w="4132"/>
      </w:tblGrid>
      <w:tr>
        <w:trPr>
          <w:tblHeader w:val="on"/>
          <w:cantSplit/>
          <w:tblHeader/>
        </w:trPr>
        <w:tc>
          <w:tcPr>
            <w:tcW w:type="dxa" w:w="2116"/>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10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13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16"/>
          </w:tcPr>
          <w:p>
            <w:pPr>
              <w:pStyle w:val="Compact"/>
              <w:spacing w:line="276" w:lineRule="auto" w:before="40" w:after="40"/>
            </w:pPr>
            <w:r>
              <w:rPr>
                <w:rFonts w:ascii="Liberation Sans Narrow" w:hAnsi="Liberation Sans Narrow"/>
                <w:sz w:val="18"/>
              </w:rPr>
              <w:t xml:space="preserve">Inciso I: a sentença, de procedência ou improcedência, como título executivo judicial</w:t>
            </w:r>
          </w:p>
        </w:tc>
        <w:tc>
          <w:tcPr>
            <w:tcW w:type="dxa" w:w="3106"/>
          </w:tcPr>
          <w:p>
            <w:pPr>
              <w:pStyle w:val="Compact"/>
              <w:spacing w:line="276" w:lineRule="auto" w:before="40" w:after="40"/>
            </w:pPr>
            <w:r>
              <w:rPr>
                <w:rFonts w:ascii="Liberation Sans Narrow" w:hAnsi="Liberation Sans Narrow"/>
                <w:sz w:val="18"/>
              </w:rPr>
              <w:t xml:space="preserve">STJ, Tema Repetitivo 889, REsp 1.324.152, Corte Especial, relator Min. Luis Felipe Salomão, julgado em 04/05/2016, DJe de 15/06/2016</w:t>
            </w:r>
          </w:p>
        </w:tc>
        <w:tc>
          <w:tcPr>
            <w:tcW w:type="dxa" w:w="4132"/>
          </w:tcPr>
          <w:p>
            <w:pPr>
              <w:pStyle w:val="Compact"/>
              <w:spacing w:line="276" w:lineRule="auto" w:before="40" w:after="40"/>
            </w:pPr>
            <w:r>
              <w:rPr>
                <w:rFonts w:ascii="Liberation Sans Narrow" w:hAnsi="Liberation Sans Narrow"/>
                <w:sz w:val="18"/>
              </w:rPr>
              <w:t xml:space="preserve">A sentença, qualquer que seja sua natureza, de procedência ou improcedência do pedido, constitui título executivo judicial, desde que estabeleça obrigação de pagar quantia, de fazer, não fazer ou entregar coisa, admitida sua prévia liquidação e execução nos próprios autos.</w:t>
            </w:r>
          </w:p>
        </w:tc>
      </w:tr>
      <w:tr>
        <w:trPr>
          <w:cantSplit/>
        </w:trPr>
        <w:tc>
          <w:tcPr>
            <w:tcW w:type="dxa" w:w="2116"/>
          </w:tcPr>
          <w:p>
            <w:pPr>
              <w:pStyle w:val="Compact"/>
              <w:spacing w:line="276" w:lineRule="auto" w:before="40" w:after="40"/>
            </w:pPr>
            <w:r>
              <w:rPr>
                <w:rFonts w:ascii="Liberation Sans Narrow" w:hAnsi="Liberation Sans Narrow"/>
                <w:sz w:val="18"/>
              </w:rPr>
              <w:t xml:space="preserve">I — decisão que reconhece exigibilidade de obrigação de pagar</w:t>
            </w:r>
          </w:p>
        </w:tc>
        <w:tc>
          <w:tcPr>
            <w:tcW w:type="dxa" w:w="3106"/>
          </w:tcPr>
          <w:p>
            <w:pPr>
              <w:pStyle w:val="Compact"/>
              <w:spacing w:line="276" w:lineRule="auto" w:before="40" w:after="40"/>
            </w:pPr>
            <w:r>
              <w:rPr>
                <w:rFonts w:ascii="Liberation Sans Narrow" w:hAnsi="Liberation Sans Narrow"/>
                <w:sz w:val="18"/>
              </w:rPr>
              <w:t xml:space="preserve">STJ, REsp 2.199.837, Quarta Turma, relator Min. João Otávio de Noronha, julgado em 22/06/2026, DJEN de 26/06/2026</w:t>
            </w:r>
          </w:p>
        </w:tc>
        <w:tc>
          <w:tcPr>
            <w:tcW w:type="dxa" w:w="4132"/>
          </w:tcPr>
          <w:p>
            <w:pPr>
              <w:pStyle w:val="Compact"/>
              <w:spacing w:line="276" w:lineRule="auto" w:before="40" w:after="40"/>
            </w:pPr>
            <w:r>
              <w:rPr>
                <w:rFonts w:ascii="Liberation Sans Narrow" w:hAnsi="Liberation Sans Narrow"/>
                <w:sz w:val="18"/>
              </w:rPr>
              <w:t xml:space="preserve">É possível à instituição financeira promover o cumprimento de sentença, após a compensação, para apurar e satisfazer eventual saldo remanescente em seu favor, nos próprios autos.</w:t>
            </w:r>
          </w:p>
        </w:tc>
      </w:tr>
    </w:tbl>
    <w:p>
      <w:pPr>
        <w:pStyle w:val="BodyText"/>
        <w:spacing w:after="80"/>
        <w:jc w:val="both"/>
      </w:pPr>
      <w:r>
        <w:t xml:space="preserve">II - a decisão homologatória de autocomposição judicial;</w:t>
      </w:r>
    </w:p>
    <w:p>
      <w:pPr>
        <w:pStyle w:val="BodyText"/>
        <w:spacing w:after="80"/>
        <w:jc w:val="both"/>
      </w:pPr>
      <w:r>
        <w:t xml:space="preserve">III - a decisão homologatória de autocomposição extrajudicial de qualquer natureza;</w:t>
      </w:r>
    </w:p>
    <w:p>
      <w:pPr>
        <w:pStyle w:val="BodyText"/>
        <w:spacing w:after="80"/>
        <w:jc w:val="both"/>
      </w:pPr>
      <w:r>
        <w:t xml:space="preserve">IV - o formal e a certidão de partilha, exclusivamente em relação ao inventariante, aos herdeiros e aos sucessores a título singular ou universal;</w:t>
      </w:r>
    </w:p>
    <w:p>
      <w:pPr>
        <w:pStyle w:val="BodyText"/>
        <w:spacing w:after="80"/>
        <w:jc w:val="both"/>
      </w:pPr>
      <w:r>
        <w:t xml:space="preserve">V - o crédito de auxiliar da justiça, quando as custas, emolumentos ou honorários tiverem sido aprovados por decisão judicial;</w:t>
      </w:r>
    </w:p>
    <w:p>
      <w:pPr>
        <w:pStyle w:val="BodyText"/>
        <w:spacing w:after="80"/>
        <w:jc w:val="both"/>
      </w:pPr>
      <w:r>
        <w:t xml:space="preserve">VI - a sentença penal condenatória transitada em julgado;</w:t>
      </w:r>
    </w:p>
    <w:p>
      <w:pPr>
        <w:pStyle w:val="BodyText"/>
        <w:spacing w:after="80"/>
        <w:jc w:val="both"/>
      </w:pPr>
      <w:r>
        <w:t xml:space="preserve">VII - a sentença arbitral;</w:t>
      </w:r>
    </w:p>
    <w:p>
      <w:pPr>
        <w:pStyle w:val="BodyText"/>
        <w:spacing w:after="80"/>
        <w:jc w:val="both"/>
      </w:pPr>
      <w:r>
        <w:t xml:space="preserve">VIII - a sentença estrangeira homologada pelo Superior Tribunal de Justiça;</w:t>
      </w:r>
    </w:p>
    <w:p>
      <w:pPr>
        <w:pStyle w:val="BodyText"/>
        <w:spacing w:after="80"/>
        <w:jc w:val="both"/>
      </w:pPr>
      <w:r>
        <w:t xml:space="preserve">IX - a decisão interlocutória estrangeira, após a concessão do exequatur à carta rogatória pelo Superior Tribunal de Justiça;</w:t>
      </w:r>
    </w:p>
    <w:p>
      <w:pPr>
        <w:pStyle w:val="BodyText"/>
        <w:spacing w:after="80"/>
        <w:jc w:val="both"/>
      </w:pPr>
      <w:r>
        <w:t xml:space="preserve">X - (VETADO).</w:t>
      </w:r>
    </w:p>
    <w:p>
      <w:pPr>
        <w:pStyle w:val="BodyText"/>
        <w:spacing w:after="80"/>
        <w:jc w:val="both"/>
      </w:pPr>
      <w:r>
        <w:t xml:space="preserve">§ 1º Nos casos dos incisos VI a IX, o devedor será citado no juízo cível para o cumprimento da sentença ou para a liquidação no prazo de 15 (quinze) dias.</w:t>
      </w:r>
    </w:p>
    <w:p>
      <w:pPr>
        <w:pStyle w:val="BodyText"/>
        <w:spacing w:after="80"/>
        <w:jc w:val="both"/>
      </w:pPr>
      <w:r>
        <w:t xml:space="preserve">§ 2º A autocomposição judicial pode envolver sujeito estranho ao processo e versar sobre relação jurídica que não tenha sido deduzida em juízo.</w:t>
      </w:r>
    </w:p>
    <w:bookmarkEnd w:id="253"/>
    <w:bookmarkStart w:id="254" w:name="art.-516"/>
    <w:p>
      <w:pPr>
        <w:pStyle w:val="Heading6"/>
        <w:pBdr>
          <w:left w:val="single" w:sz="36" w:space="4" w:color="2E75B6"/>
        </w:pBdr>
        <w:shd w:val="clear" w:color="auto" w:fill="E3EEF9"/>
        <w:spacing w:before="200" w:after="80"/>
        <w:ind w:left="85"/>
      </w:pPr>
      <w:r>
        <w:rPr>
          <w:i w:val="0"/>
          <w:color w:val="1F3A5F"/>
          <w:sz w:val="23"/>
        </w:rPr>
        <w:t xml:space="preserve">Art. 516</w:t>
      </w:r>
    </w:p>
    <w:p>
      <w:pPr>
        <w:pStyle w:val="FirstParagraph"/>
        <w:keepNext/>
        <w:spacing w:after="80"/>
        <w:jc w:val="both"/>
      </w:pPr>
      <w:r>
        <w:rPr>
          <w:b/>
          <w:bCs/>
        </w:rPr>
        <w:t xml:space="preserve">Art. 516.</w:t>
      </w:r>
      <w:r>
        <w:t xml:space="preserve"> </w:t>
      </w:r>
      <w:r>
        <w:t xml:space="preserve">O cumprimento da sentença efetuar-se-á perante: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30"/>
        <w:gridCol w:w="3148"/>
        <w:gridCol w:w="3877"/>
      </w:tblGrid>
      <w:tr>
        <w:trPr>
          <w:tblHeader w:val="on"/>
          <w:cantSplit/>
          <w:tblHeader/>
        </w:trPr>
        <w:tc>
          <w:tcPr>
            <w:tcW w:type="dxa" w:w="233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14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3877"/>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330"/>
          </w:tcPr>
          <w:p>
            <w:pPr>
              <w:pStyle w:val="Compact"/>
              <w:spacing w:line="276" w:lineRule="auto" w:before="40" w:after="40"/>
            </w:pPr>
            <w:r>
              <w:rPr>
                <w:rFonts w:ascii="Liberation Sans Narrow" w:hAnsi="Liberation Sans Narrow"/>
                <w:sz w:val="18"/>
              </w:rPr>
              <w:t xml:space="preserve">Competência para a execução de título formado em ação coletiva: Juizados Especiais da Fazenda Pública</w:t>
            </w:r>
          </w:p>
        </w:tc>
        <w:tc>
          <w:tcPr>
            <w:tcW w:type="dxa" w:w="3148"/>
          </w:tcPr>
          <w:p>
            <w:pPr>
              <w:pStyle w:val="Compact"/>
              <w:spacing w:line="276" w:lineRule="auto" w:before="40" w:after="40"/>
            </w:pPr>
            <w:r>
              <w:rPr>
                <w:rFonts w:ascii="Liberation Sans Narrow" w:hAnsi="Liberation Sans Narrow"/>
                <w:sz w:val="18"/>
              </w:rPr>
              <w:t xml:space="preserve">STJ, Tema Repetitivo 1029, REsp 1.804.186, Primeira Seção, relator Min. Herman Benjamin, julgado em 12/08/2020, DJe de 11/09/2020</w:t>
            </w:r>
          </w:p>
        </w:tc>
        <w:tc>
          <w:tcPr>
            <w:tcW w:type="dxa" w:w="3877"/>
          </w:tcPr>
          <w:p>
            <w:pPr>
              <w:pStyle w:val="Compact"/>
              <w:spacing w:line="276" w:lineRule="auto" w:before="40" w:after="40"/>
            </w:pPr>
            <w:r>
              <w:rPr>
                <w:rFonts w:ascii="Liberation Sans Narrow" w:hAnsi="Liberation Sans Narrow"/>
                <w:sz w:val="18"/>
              </w:rPr>
              <w:t xml:space="preserve">Não é possível propor nos Juizados Especiais da Fazenda Pública a execução de título executivo formado em Ação Coletiva que tramitou sob o rito ordinário, assim como impor o rito sumaríssimo da Lei 12.153/2009 ao juízo comum da execução.</w:t>
            </w:r>
          </w:p>
        </w:tc>
      </w:tr>
      <w:tr>
        <w:trPr>
          <w:cantSplit/>
        </w:trPr>
        <w:tc>
          <w:tcPr>
            <w:tcW w:type="dxa" w:w="2330"/>
          </w:tcPr>
          <w:p>
            <w:pPr>
              <w:pStyle w:val="Compact"/>
              <w:spacing w:line="276" w:lineRule="auto" w:before="40" w:after="40"/>
            </w:pPr>
            <w:r>
              <w:rPr>
                <w:rFonts w:ascii="Liberation Sans Narrow" w:hAnsi="Liberation Sans Narrow"/>
                <w:sz w:val="18"/>
              </w:rPr>
              <w:t xml:space="preserve">Competência para o cumprimento: juízo que decidiu a causa em primeiro grau (inciso II)</w:t>
            </w:r>
          </w:p>
        </w:tc>
        <w:tc>
          <w:tcPr>
            <w:tcW w:type="dxa" w:w="3148"/>
          </w:tcPr>
          <w:p>
            <w:pPr>
              <w:pStyle w:val="Compact"/>
              <w:spacing w:line="276" w:lineRule="auto" w:before="40" w:after="40"/>
            </w:pPr>
            <w:r>
              <w:rPr>
                <w:rFonts w:ascii="Liberation Sans Narrow" w:hAnsi="Liberation Sans Narrow"/>
                <w:sz w:val="18"/>
              </w:rPr>
              <w:t xml:space="preserve">STJ, CC 198.794, Primeira Seção, relator Min. Mauro Campbell Marques, julgado em 23/08/2023, DJe de 28/08/2023</w:t>
            </w:r>
          </w:p>
        </w:tc>
        <w:tc>
          <w:tcPr>
            <w:tcW w:type="dxa" w:w="3877"/>
          </w:tcPr>
          <w:p>
            <w:pPr>
              <w:pStyle w:val="Compact"/>
              <w:spacing w:line="276" w:lineRule="auto" w:before="40" w:after="40"/>
            </w:pPr>
            <w:r>
              <w:rPr>
                <w:rFonts w:ascii="Liberation Sans Narrow" w:hAnsi="Liberation Sans Narrow"/>
                <w:sz w:val="18"/>
              </w:rPr>
              <w:t xml:space="preserve">A execução do julgado compete ao juízo que decidiu a causa em primeiro grau (art. 516, II), inclusive no Juizado Especial Federal.</w:t>
            </w:r>
          </w:p>
        </w:tc>
      </w:tr>
      <w:tr>
        <w:trPr>
          <w:cantSplit/>
        </w:trPr>
        <w:tc>
          <w:tcPr>
            <w:tcW w:type="dxa" w:w="2330"/>
          </w:tcPr>
          <w:p>
            <w:pPr>
              <w:pStyle w:val="Compact"/>
              <w:spacing w:line="276" w:lineRule="auto" w:before="40" w:after="40"/>
            </w:pPr>
            <w:r>
              <w:rPr>
                <w:rFonts w:ascii="Liberation Sans Narrow" w:hAnsi="Liberation Sans Narrow"/>
                <w:sz w:val="18"/>
              </w:rPr>
              <w:t xml:space="preserve">Execução coletiva de sentença em ação civil pública: foro</w:t>
            </w:r>
          </w:p>
        </w:tc>
        <w:tc>
          <w:tcPr>
            <w:tcW w:type="dxa" w:w="3148"/>
          </w:tcPr>
          <w:p>
            <w:pPr>
              <w:pStyle w:val="Compact"/>
              <w:spacing w:line="276" w:lineRule="auto" w:before="40" w:after="40"/>
            </w:pPr>
            <w:r>
              <w:rPr>
                <w:rFonts w:ascii="Liberation Sans Narrow" w:hAnsi="Liberation Sans Narrow"/>
                <w:sz w:val="18"/>
              </w:rPr>
              <w:t xml:space="preserve">STJ, AgInt nos EDcl no CC 186.202, Segunda Seção, relator Min. Luis Felipe Salomão, julgado em 24/08/2022, DJe de 30/08/2022</w:t>
            </w:r>
          </w:p>
        </w:tc>
        <w:tc>
          <w:tcPr>
            <w:tcW w:type="dxa" w:w="3877"/>
          </w:tcPr>
          <w:p>
            <w:pPr>
              <w:pStyle w:val="Compact"/>
              <w:spacing w:line="276" w:lineRule="auto" w:before="40" w:after="40"/>
            </w:pPr>
            <w:r>
              <w:rPr>
                <w:rFonts w:ascii="Liberation Sans Narrow" w:hAnsi="Liberation Sans Narrow"/>
                <w:sz w:val="18"/>
              </w:rPr>
              <w:t xml:space="preserve">A execução de sentença proferida em ação civil pública não segue as regras comuns de competência do art. 516, porque não há interesse que justifique a prevenção do juízo da condenação; é vedada a escolha aleatória de foro, que deve ser o do domicílio do consumidor ou do réu, o de eleição ou o do local do cumprimento.</w:t>
            </w:r>
          </w:p>
        </w:tc>
      </w:tr>
    </w:tbl>
    <w:p>
      <w:pPr>
        <w:pStyle w:val="BodyText"/>
        <w:spacing w:after="80"/>
        <w:jc w:val="both"/>
      </w:pPr>
      <w:r>
        <w:t xml:space="preserve">I - os tribunais, nas causas de sua competência originária;</w:t>
      </w:r>
    </w:p>
    <w:p>
      <w:pPr>
        <w:pStyle w:val="BodyText"/>
        <w:keepNext/>
        <w:spacing w:after="80"/>
        <w:jc w:val="both"/>
      </w:pPr>
      <w:r>
        <w:t xml:space="preserve">II - o juízo que decidiu a causa no primeiro grau de jurisdição;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3030"/>
        <w:gridCol w:w="4295"/>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03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29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30"/>
          </w:tcPr>
          <w:p>
            <w:pPr>
              <w:pStyle w:val="Compact"/>
              <w:spacing w:line="276" w:lineRule="auto" w:before="40" w:after="40"/>
            </w:pPr>
            <w:r>
              <w:rPr>
                <w:rFonts w:ascii="Liberation Sans Narrow" w:hAnsi="Liberation Sans Narrow"/>
                <w:sz w:val="18"/>
              </w:rPr>
              <w:t xml:space="preserve">II — juízo que decidiu a causa em primeiro grau</w:t>
            </w:r>
          </w:p>
        </w:tc>
        <w:tc>
          <w:tcPr>
            <w:tcW w:type="dxa" w:w="3030"/>
          </w:tcPr>
          <w:p>
            <w:pPr>
              <w:pStyle w:val="Compact"/>
              <w:spacing w:line="276" w:lineRule="auto" w:before="40" w:after="40"/>
            </w:pPr>
            <w:r>
              <w:rPr>
                <w:rFonts w:ascii="Liberation Sans Narrow" w:hAnsi="Liberation Sans Narrow"/>
                <w:sz w:val="18"/>
              </w:rPr>
              <w:t xml:space="preserve">STJ, AgInt no CC 214.930, Primeira Seção, relatora Min. Maria Thereza de Assis Moura, julgado em 14/04/2026, DJEN de 17/04/2026</w:t>
            </w:r>
          </w:p>
        </w:tc>
        <w:tc>
          <w:tcPr>
            <w:tcW w:type="dxa" w:w="4295"/>
          </w:tcPr>
          <w:p>
            <w:pPr>
              <w:pStyle w:val="Compact"/>
              <w:spacing w:line="276" w:lineRule="auto" w:before="40" w:after="40"/>
            </w:pPr>
            <w:r>
              <w:rPr>
                <w:rFonts w:ascii="Liberation Sans Narrow" w:hAnsi="Liberation Sans Narrow"/>
                <w:sz w:val="18"/>
              </w:rPr>
              <w:t xml:space="preserve">A competência para o cumprimento de sentença é funcional e absoluta, do juízo que decidiu a causa em primeiro grau (art. 516, II), ainda que a execução se volte contra a União e envolva astreintes aplicadas pelo juízo estadual.</w:t>
            </w:r>
          </w:p>
        </w:tc>
      </w:tr>
      <w:tr>
        <w:trPr>
          <w:cantSplit/>
        </w:trPr>
        <w:tc>
          <w:tcPr>
            <w:tcW w:type="dxa" w:w="2030"/>
          </w:tcPr>
          <w:p>
            <w:pPr>
              <w:pStyle w:val="Compact"/>
              <w:spacing w:line="276" w:lineRule="auto" w:before="40" w:after="40"/>
            </w:pPr>
            <w:r>
              <w:rPr>
                <w:rFonts w:ascii="Liberation Sans Narrow" w:hAnsi="Liberation Sans Narrow"/>
                <w:sz w:val="18"/>
              </w:rPr>
              <w:t xml:space="preserve">Inciso II: perpetuatio jurisdictionis e honorários periciais</w:t>
            </w:r>
          </w:p>
        </w:tc>
        <w:tc>
          <w:tcPr>
            <w:tcW w:type="dxa" w:w="3030"/>
          </w:tcPr>
          <w:p>
            <w:pPr>
              <w:pStyle w:val="Compact"/>
              <w:spacing w:line="276" w:lineRule="auto" w:before="40" w:after="40"/>
            </w:pPr>
            <w:r>
              <w:rPr>
                <w:rFonts w:ascii="Liberation Sans Narrow" w:hAnsi="Liberation Sans Narrow"/>
                <w:sz w:val="18"/>
              </w:rPr>
              <w:t xml:space="preserve">STJ, CC 191.185, Primeira Seção, relator Min. Afrânio Vilela, julgado em 28/02/2024, DJe de 04/03/2024</w:t>
            </w:r>
          </w:p>
        </w:tc>
        <w:tc>
          <w:tcPr>
            <w:tcW w:type="dxa" w:w="4295"/>
          </w:tcPr>
          <w:p>
            <w:pPr>
              <w:pStyle w:val="Compact"/>
              <w:spacing w:line="276" w:lineRule="auto" w:before="40" w:after="40"/>
            </w:pPr>
            <w:r>
              <w:rPr>
                <w:rFonts w:ascii="Liberation Sans Narrow" w:hAnsi="Liberation Sans Narrow"/>
                <w:sz w:val="18"/>
              </w:rPr>
              <w:t xml:space="preserve">O juízo que decidiu a causa em primeiro grau é competente para o cumprimento de sentença (art. 516, II), em reafirmação do sincretismo processual e da perpetuatio jurisdictionis; o caso não se enquadra nas exceções à regra.</w:t>
            </w:r>
          </w:p>
        </w:tc>
      </w:tr>
    </w:tbl>
    <w:p>
      <w:pPr>
        <w:pStyle w:val="BodyText"/>
        <w:spacing w:after="80"/>
        <w:jc w:val="both"/>
      </w:pPr>
      <w:r>
        <w:t xml:space="preserve">III - o juízo cível competente, quando se tratar de sentença penal condenatória, de sentença arbitral, de sentença estrangeira ou de acórdão proferido pelo Tribunal Marítimo.</w:t>
      </w:r>
    </w:p>
    <w:p>
      <w:pPr>
        <w:pStyle w:val="BodyText"/>
        <w:spacing w:after="80"/>
        <w:jc w:val="both"/>
      </w:pPr>
      <w:r>
        <w:t xml:space="preserve">Parágrafo único. Nas hipóteses dos incisos II e III, o exequente poderá optar pelo juízo do atual domicílio do executado, pelo juízo do local onde se encontrem os bens sujeitos à execução ou pelo juízo do local onde deva ser executada a obrigação de fazer ou de não fazer, casos em que a remessa dos autos do processo será solicitada ao juízo de origem.</w:t>
      </w:r>
    </w:p>
    <w:bookmarkEnd w:id="254"/>
    <w:bookmarkStart w:id="255" w:name="art.-517"/>
    <w:p>
      <w:pPr>
        <w:pStyle w:val="Heading6"/>
        <w:pBdr>
          <w:left w:val="single" w:sz="36" w:space="4" w:color="2E75B6"/>
        </w:pBdr>
        <w:shd w:val="clear" w:color="auto" w:fill="E3EEF9"/>
        <w:spacing w:before="200" w:after="80"/>
        <w:ind w:left="85"/>
      </w:pPr>
      <w:r>
        <w:rPr>
          <w:i w:val="0"/>
          <w:color w:val="1F3A5F"/>
          <w:sz w:val="23"/>
        </w:rPr>
        <w:t xml:space="preserve">Art. 517</w:t>
      </w:r>
    </w:p>
    <w:p>
      <w:pPr>
        <w:pStyle w:val="FirstParagraph"/>
        <w:spacing w:after="80"/>
        <w:jc w:val="both"/>
      </w:pPr>
      <w:r>
        <w:rPr>
          <w:b/>
          <w:bCs/>
        </w:rPr>
        <w:t xml:space="preserve">Art. 517.</w:t>
      </w:r>
      <w:r>
        <w:t xml:space="preserve"> </w:t>
      </w:r>
      <w:r>
        <w:t xml:space="preserve">A decisão judicial transitada em julgado poderá ser levada a protesto, nos termos da lei, depois de transcorrido o prazo para pagamento voluntário previsto no art. 523.</w:t>
      </w:r>
    </w:p>
    <w:p>
      <w:pPr>
        <w:pStyle w:val="BodyText"/>
        <w:spacing w:after="80"/>
        <w:jc w:val="both"/>
      </w:pPr>
      <w:r>
        <w:t xml:space="preserve">§ 1º Para efetivar o protesto, incumbe ao exequente apresentar certidão de teor da decisão.</w:t>
      </w:r>
    </w:p>
    <w:p>
      <w:pPr>
        <w:pStyle w:val="BodyText"/>
        <w:spacing w:after="80"/>
        <w:jc w:val="both"/>
      </w:pPr>
      <w:r>
        <w:t xml:space="preserve">§ 2º A certidão de teor da decisão deverá ser fornecida no prazo de 3 (três) dias e indicará o nome e a qualificação do exequente e do executado, o número do processo, o valor da dívida e a data de decurso do prazo para pagamento voluntário.</w:t>
      </w:r>
    </w:p>
    <w:p>
      <w:pPr>
        <w:pStyle w:val="BodyText"/>
        <w:spacing w:after="80"/>
        <w:jc w:val="both"/>
      </w:pPr>
      <w:r>
        <w:t xml:space="preserve">§ 3º O executado que tiver proposto ação rescisória para impugnar a decisão exequenda pode requerer, a suas expensas e sob sua responsabilidade, a anotação da propositura da ação à margem do título protestado.</w:t>
      </w:r>
    </w:p>
    <w:p>
      <w:pPr>
        <w:pStyle w:val="BodyText"/>
        <w:spacing w:after="80"/>
        <w:jc w:val="both"/>
      </w:pPr>
      <w:r>
        <w:t xml:space="preserve">§ 4º A requerimento do executado, o protesto será cancelado por determinação do juiz, mediante ofício a ser expedido ao cartório, no prazo de 3 (três) dias, contado da data de protocolo do requerimento, desde que comprovada a satisfação integral da obrigação.</w:t>
      </w:r>
    </w:p>
    <w:bookmarkEnd w:id="255"/>
    <w:bookmarkStart w:id="256" w:name="art.-518"/>
    <w:p>
      <w:pPr>
        <w:pStyle w:val="Heading6"/>
        <w:pBdr>
          <w:left w:val="single" w:sz="36" w:space="4" w:color="2E75B6"/>
        </w:pBdr>
        <w:shd w:val="clear" w:color="auto" w:fill="E3EEF9"/>
        <w:spacing w:before="200" w:after="80"/>
        <w:ind w:left="85"/>
      </w:pPr>
      <w:r>
        <w:rPr>
          <w:i w:val="0"/>
          <w:color w:val="1F3A5F"/>
          <w:sz w:val="23"/>
        </w:rPr>
        <w:t xml:space="preserve">Art. 518</w:t>
      </w:r>
    </w:p>
    <w:p>
      <w:pPr>
        <w:pStyle w:val="FirstParagraph"/>
        <w:spacing w:after="80"/>
        <w:jc w:val="both"/>
      </w:pPr>
      <w:r>
        <w:rPr>
          <w:b/>
          <w:bCs/>
        </w:rPr>
        <w:t xml:space="preserve">Art. 518.</w:t>
      </w:r>
      <w:r>
        <w:t xml:space="preserve"> </w:t>
      </w:r>
      <w:r>
        <w:t xml:space="preserve">Todas as questões relativas à validade do procedimento de cumprimento da sentença e dos atos executivos subsequentes poderão ser arguidas pelo executado nos próprios autos e nestes serão decididas pelo juiz.</w:t>
      </w:r>
    </w:p>
    <w:bookmarkEnd w:id="256"/>
    <w:bookmarkStart w:id="257" w:name="art.-519"/>
    <w:p>
      <w:pPr>
        <w:pStyle w:val="Heading6"/>
        <w:pBdr>
          <w:left w:val="single" w:sz="36" w:space="4" w:color="2E75B6"/>
        </w:pBdr>
        <w:shd w:val="clear" w:color="auto" w:fill="E3EEF9"/>
        <w:spacing w:before="200" w:after="80"/>
        <w:ind w:left="85"/>
      </w:pPr>
      <w:r>
        <w:rPr>
          <w:i w:val="0"/>
          <w:color w:val="1F3A5F"/>
          <w:sz w:val="23"/>
        </w:rPr>
        <w:t xml:space="preserve">Art. 519</w:t>
      </w:r>
    </w:p>
    <w:p>
      <w:pPr>
        <w:pStyle w:val="FirstParagraph"/>
        <w:spacing w:after="80"/>
        <w:jc w:val="both"/>
      </w:pPr>
      <w:r>
        <w:rPr>
          <w:b/>
          <w:bCs/>
        </w:rPr>
        <w:t xml:space="preserve">Art. 519.</w:t>
      </w:r>
      <w:r>
        <w:t xml:space="preserve"> </w:t>
      </w:r>
      <w:r>
        <w:t xml:space="preserve">Aplicam-se as disposições relativas ao cumprimento da sentença, provisório ou definitivo, e à liquidação, no que couber, às decisões que concederem tutela provisória.</w:t>
      </w:r>
    </w:p>
    <w:bookmarkEnd w:id="257"/>
    <w:bookmarkEnd w:id="258"/>
    <w:bookmarkStart w:id="262" w:name="X6e3f4c34c95076495e165831abde2a0631ad0f2"/>
    <w:p>
      <w:pPr>
        <w:pStyle w:val="Heading4"/>
        <w:spacing w:before="160" w:after="40"/>
      </w:pPr>
      <w:r>
        <w:rPr>
          <w:smallCaps/>
          <w:color w:val="2E75B6"/>
        </w:rPr>
        <w:t xml:space="preserve">Capítulo II: do cumprimento provisório da sentença que reconhece a exigibilidade de obrigação de pagar quantia certa (arts. 520 a 522)</w:t>
      </w:r>
    </w:p>
    <w:bookmarkStart w:id="259" w:name="art.-520"/>
    <w:p>
      <w:pPr>
        <w:pStyle w:val="Heading6"/>
        <w:pBdr>
          <w:left w:val="single" w:sz="36" w:space="4" w:color="2E75B6"/>
        </w:pBdr>
        <w:shd w:val="clear" w:color="auto" w:fill="E3EEF9"/>
        <w:spacing w:before="200" w:after="80"/>
        <w:ind w:left="85"/>
      </w:pPr>
      <w:r>
        <w:rPr>
          <w:i w:val="0"/>
          <w:color w:val="1F3A5F"/>
          <w:sz w:val="23"/>
        </w:rPr>
        <w:t xml:space="preserve">Art. 520</w:t>
      </w:r>
    </w:p>
    <w:p>
      <w:pPr>
        <w:pStyle w:val="FirstParagraph"/>
        <w:spacing w:after="80"/>
        <w:jc w:val="both"/>
      </w:pPr>
      <w:r>
        <w:rPr>
          <w:b/>
          <w:bCs/>
        </w:rPr>
        <w:t xml:space="preserve">Art. 520.</w:t>
      </w:r>
      <w:r>
        <w:t xml:space="preserve"> </w:t>
      </w:r>
      <w:r>
        <w:t xml:space="preserve">O cumprimento provisório da sentença impugnada por recurso desprovido de efeito suspensivo será realizado da mesma forma que o cumprimento definitivo, sujeitando-se ao seguinte regime:</w:t>
      </w:r>
    </w:p>
    <w:p>
      <w:pPr>
        <w:pStyle w:val="BodyText"/>
        <w:spacing w:after="80"/>
        <w:jc w:val="both"/>
      </w:pPr>
      <w:r>
        <w:t xml:space="preserve">I - corre por iniciativa e responsabilidade do exequente, que se obriga, se a sentença for reformada, a reparar os danos que o executado haja sofrido;</w:t>
      </w:r>
    </w:p>
    <w:p>
      <w:pPr>
        <w:pStyle w:val="BodyText"/>
        <w:spacing w:after="80"/>
        <w:jc w:val="both"/>
      </w:pPr>
      <w:r>
        <w:t xml:space="preserve">II - fica sem efeito, sobrevindo decisão que modifique ou anule a sentença objeto da execução, restituindo-se as partes ao estado anterior e liquidando-se eventuais prejuízos nos mesmos autos;</w:t>
      </w:r>
    </w:p>
    <w:p>
      <w:pPr>
        <w:pStyle w:val="BodyText"/>
        <w:spacing w:after="80"/>
        <w:jc w:val="both"/>
      </w:pPr>
      <w:r>
        <w:t xml:space="preserve">III - se a sentença objeto de cumprimento provisório for modificada ou anulada apenas em parte, somente nesta ficará sem efeito a execução;</w:t>
      </w:r>
    </w:p>
    <w:p>
      <w:pPr>
        <w:pStyle w:val="BodyText"/>
        <w:keepNext/>
        <w:spacing w:after="80"/>
        <w:jc w:val="both"/>
      </w:pPr>
      <w:r>
        <w:t xml:space="preserve">IV - o levantamento de depósito em dinheiro e a prática de atos que importem transferência de posse ou alienação de propriedade ou de outro direito real, ou dos quais possa resultar grave dano ao executado, dependem de caução suficiente e idônea, arbitrada de plano pelo juiz e prestada nos próprios autos.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80"/>
        <w:gridCol w:w="2372"/>
        <w:gridCol w:w="5202"/>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37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20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780"/>
          </w:tcPr>
          <w:p>
            <w:pPr>
              <w:pStyle w:val="Compact"/>
              <w:spacing w:line="276" w:lineRule="auto" w:before="40" w:after="40"/>
            </w:pPr>
            <w:r>
              <w:rPr>
                <w:rFonts w:ascii="Liberation Sans Narrow" w:hAnsi="Liberation Sans Narrow"/>
                <w:sz w:val="18"/>
              </w:rPr>
              <w:t xml:space="preserve">IV — caução e levantamento de valores</w:t>
            </w:r>
          </w:p>
        </w:tc>
        <w:tc>
          <w:tcPr>
            <w:tcW w:type="dxa" w:w="2372"/>
          </w:tcPr>
          <w:p>
            <w:pPr>
              <w:pStyle w:val="Compact"/>
              <w:spacing w:line="276" w:lineRule="auto" w:before="40" w:after="40"/>
            </w:pPr>
            <w:r>
              <w:rPr>
                <w:rFonts w:ascii="Liberation Sans Narrow" w:hAnsi="Liberation Sans Narrow"/>
                <w:sz w:val="18"/>
              </w:rPr>
              <w:t xml:space="preserve">STJ, AgInt no REsp 2.254.607, Quarta Turma, relator Min. Raul Araújo, DJe de 25/09/2026</w:t>
            </w:r>
          </w:p>
        </w:tc>
        <w:tc>
          <w:tcPr>
            <w:tcW w:type="dxa" w:w="5202"/>
          </w:tcPr>
          <w:p>
            <w:pPr>
              <w:pStyle w:val="Compact"/>
              <w:spacing w:line="276" w:lineRule="auto" w:before="40" w:after="40"/>
            </w:pPr>
            <w:r>
              <w:rPr>
                <w:rFonts w:ascii="Liberation Sans Narrow" w:hAnsi="Liberation Sans Narrow"/>
                <w:sz w:val="18"/>
              </w:rPr>
              <w:t xml:space="preserve">O Tema 677/STJ — levantamento de depósito judicial condicionado à prestação de caução no cumprimento provisório — tem aplicação imediata aos processos em curso, inclusive quando o depósito foi efetuado sob o entendimento anterior, diante da ausência de modulação temporal.</w:t>
            </w:r>
          </w:p>
        </w:tc>
      </w:tr>
    </w:tbl>
    <w:p>
      <w:pPr>
        <w:pStyle w:val="BodyText"/>
        <w:spacing w:after="80"/>
        <w:jc w:val="both"/>
      </w:pPr>
      <w:r>
        <w:t xml:space="preserve">§ 1º No cumprimento provisório da sentença, o executado poderá apresentar impugnação, se quiser, nos termos do art. 525.</w:t>
      </w:r>
    </w:p>
    <w:p>
      <w:pPr>
        <w:pStyle w:val="BodyText"/>
        <w:spacing w:after="80"/>
        <w:jc w:val="both"/>
      </w:pPr>
      <w:r>
        <w:t xml:space="preserve">§ 2º A multa e os honorários a que se refere o § 1º do art. 523 são devidos no cumprimento provisório de sentença condenatória ao pagamento de quantia certa.</w:t>
      </w:r>
    </w:p>
    <w:p>
      <w:pPr>
        <w:pStyle w:val="BodyText"/>
        <w:spacing w:after="80"/>
        <w:jc w:val="both"/>
      </w:pPr>
      <w:r>
        <w:t xml:space="preserve">§ 3º Se o executado comparecer tempestivamente e depositar o valor, com a finalidade de isentar-se da multa, o ato não será havido como incompatível com o recurso por ele interposto.</w:t>
      </w:r>
    </w:p>
    <w:p>
      <w:pPr>
        <w:pStyle w:val="BodyText"/>
        <w:spacing w:after="80"/>
        <w:jc w:val="both"/>
      </w:pPr>
      <w:r>
        <w:t xml:space="preserve">§ 4º A restituição ao estado anterior a que se refere o inciso II não implica o desfazimento da transferência de posse ou da alienação de propriedade ou de outro direito real eventualmente já realizada, ressalvado, sempre, o direito à reparação dos prejuízos causados ao executado.</w:t>
      </w:r>
    </w:p>
    <w:p>
      <w:pPr>
        <w:pStyle w:val="BodyText"/>
        <w:spacing w:after="80"/>
        <w:jc w:val="both"/>
      </w:pPr>
      <w:r>
        <w:t xml:space="preserve">§ 5º Ao cumprimento provisório de sentença que reconheça obrigação de fazer, de não fazer ou de dar coisa aplica-se, no que couber, o disposto neste Capítulo.</w:t>
      </w:r>
    </w:p>
    <w:bookmarkEnd w:id="259"/>
    <w:bookmarkStart w:id="260" w:name="art.-521"/>
    <w:p>
      <w:pPr>
        <w:pStyle w:val="Heading6"/>
        <w:pBdr>
          <w:left w:val="single" w:sz="36" w:space="4" w:color="2E75B6"/>
        </w:pBdr>
        <w:shd w:val="clear" w:color="auto" w:fill="E3EEF9"/>
        <w:spacing w:before="200" w:after="80"/>
        <w:ind w:left="85"/>
      </w:pPr>
      <w:r>
        <w:rPr>
          <w:i w:val="0"/>
          <w:color w:val="1F3A5F"/>
          <w:sz w:val="23"/>
        </w:rPr>
        <w:t xml:space="preserve">Art. 521</w:t>
      </w:r>
    </w:p>
    <w:p>
      <w:pPr>
        <w:pStyle w:val="FirstParagraph"/>
        <w:keepNext/>
        <w:spacing w:after="80"/>
        <w:jc w:val="both"/>
      </w:pPr>
      <w:r>
        <w:rPr>
          <w:b/>
          <w:bCs/>
        </w:rPr>
        <w:t xml:space="preserve">Art. 521.</w:t>
      </w:r>
      <w:r>
        <w:t xml:space="preserve"> </w:t>
      </w:r>
      <w:r>
        <w:t xml:space="preserve">A caução prevista no inciso IV do art. 520 poderá ser dispensada nos casos em que: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2624"/>
        <w:gridCol w:w="4701"/>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2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0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30"/>
          </w:tcPr>
          <w:p>
            <w:pPr>
              <w:pStyle w:val="Compact"/>
              <w:spacing w:line="276" w:lineRule="auto" w:before="40" w:after="40"/>
            </w:pPr>
            <w:r>
              <w:rPr>
                <w:rFonts w:ascii="Liberation Sans Narrow" w:hAnsi="Liberation Sans Narrow"/>
                <w:sz w:val="18"/>
              </w:rPr>
              <w:t xml:space="preserve">Cumprimento definitivo: levantamento de valores incontroversos sem caução</w:t>
            </w:r>
          </w:p>
        </w:tc>
        <w:tc>
          <w:tcPr>
            <w:tcW w:type="dxa" w:w="2624"/>
          </w:tcPr>
          <w:p>
            <w:pPr>
              <w:pStyle w:val="Compact"/>
              <w:spacing w:line="276" w:lineRule="auto" w:before="40" w:after="40"/>
            </w:pPr>
            <w:r>
              <w:rPr>
                <w:rFonts w:ascii="Liberation Sans Narrow" w:hAnsi="Liberation Sans Narrow"/>
                <w:sz w:val="18"/>
              </w:rPr>
              <w:t xml:space="preserve">STJ, REsp 2.100.037, Terceira Turma, relator Min. Humberto Martins, julgado em 13/10/2025, DJEN de 16/10/2025</w:t>
            </w:r>
          </w:p>
        </w:tc>
        <w:tc>
          <w:tcPr>
            <w:tcW w:type="dxa" w:w="4701"/>
          </w:tcPr>
          <w:p>
            <w:pPr>
              <w:pStyle w:val="Compact"/>
              <w:spacing w:line="276" w:lineRule="auto" w:before="40" w:after="40"/>
            </w:pPr>
            <w:r>
              <w:rPr>
                <w:rFonts w:ascii="Liberation Sans Narrow" w:hAnsi="Liberation Sans Narrow"/>
                <w:sz w:val="18"/>
              </w:rPr>
              <w:t xml:space="preserve">O cumprimento de sentença transitada em julgado é definitivo, ainda que pendente recurso contra a rejeição da impugnação ou da exceção de pré-executividade. A ausência de efeito suspensivo nos recursos especial e extraordinário não impede o levantamento de valores incontroversos, e a caução não é exigida no cumprimento definitivo.</w:t>
            </w:r>
          </w:p>
        </w:tc>
      </w:tr>
    </w:tbl>
    <w:p>
      <w:pPr>
        <w:pStyle w:val="BodyText"/>
        <w:spacing w:after="80"/>
        <w:jc w:val="both"/>
      </w:pPr>
      <w:r>
        <w:t xml:space="preserve">I - o crédito for de natureza alimentar, independentemente de sua origem;</w:t>
      </w:r>
    </w:p>
    <w:p>
      <w:pPr>
        <w:pStyle w:val="BodyText"/>
        <w:spacing w:after="80"/>
        <w:jc w:val="both"/>
      </w:pPr>
      <w:r>
        <w:t xml:space="preserve">II - o credor demonstrar situação de necessidade;</w:t>
      </w:r>
    </w:p>
    <w:p>
      <w:pPr>
        <w:pStyle w:val="BodyText"/>
        <w:spacing w:after="80"/>
        <w:jc w:val="both"/>
      </w:pPr>
      <w:r>
        <w:t xml:space="preserve">III – pender o agravo do art. 1.042; (Redação dada pela Lei nº 13.256, de 2016) (Vigência)</w:t>
      </w:r>
    </w:p>
    <w:p>
      <w:pPr>
        <w:pStyle w:val="BodyText"/>
        <w:spacing w:after="80"/>
        <w:jc w:val="both"/>
      </w:pPr>
      <w:r>
        <w:t xml:space="preserve">IV - a sentença a ser provisoriamente cumprida estiver em consonância com súmula da jurisprudência do Supremo Tribunal Federal ou do Superior Tribunal de Justiça ou em conformidade com acórdão proferido no julgamento de casos repetitivos.</w:t>
      </w:r>
    </w:p>
    <w:p>
      <w:pPr>
        <w:pStyle w:val="BodyText"/>
        <w:keepNext/>
        <w:spacing w:after="80"/>
        <w:jc w:val="both"/>
      </w:pPr>
      <w:r>
        <w:t xml:space="preserve">Parágrafo único. A exigência de caução será mantida quando da dispensa possa resultar manifesto risco de grave dano de difícil ou incerta reparação.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89"/>
        <w:gridCol w:w="3236"/>
        <w:gridCol w:w="4329"/>
      </w:tblGrid>
      <w:tr>
        <w:trPr>
          <w:tblHeader w:val="on"/>
          <w:cantSplit/>
          <w:tblHeader/>
        </w:trPr>
        <w:tc>
          <w:tcPr>
            <w:tcW w:type="dxa" w:w="179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23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32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790"/>
          </w:tcPr>
          <w:p>
            <w:pPr>
              <w:pStyle w:val="Compact"/>
              <w:spacing w:line="276" w:lineRule="auto" w:before="40" w:after="40"/>
            </w:pPr>
            <w:r>
              <w:rPr>
                <w:rFonts w:ascii="Liberation Sans Narrow" w:hAnsi="Liberation Sans Narrow"/>
                <w:sz w:val="18"/>
              </w:rPr>
              <w:t xml:space="preserve">Parágrafo único — dispensa da caução e risco de dano</w:t>
            </w:r>
          </w:p>
        </w:tc>
        <w:tc>
          <w:tcPr>
            <w:tcW w:type="dxa" w:w="3236"/>
          </w:tcPr>
          <w:p>
            <w:pPr>
              <w:pStyle w:val="Compact"/>
              <w:spacing w:line="276" w:lineRule="auto" w:before="40" w:after="40"/>
            </w:pPr>
            <w:r>
              <w:rPr>
                <w:rFonts w:ascii="Liberation Sans Narrow" w:hAnsi="Liberation Sans Narrow"/>
                <w:sz w:val="18"/>
              </w:rPr>
              <w:t xml:space="preserve">STJ, AgInt na TutCautAnt 144, Terceira Turma, relator Min. Marco Aurélio Bellizze, julgado em 26/02/2024, DJe de 28/02/2024</w:t>
            </w:r>
          </w:p>
        </w:tc>
        <w:tc>
          <w:tcPr>
            <w:tcW w:type="dxa" w:w="4329"/>
          </w:tcPr>
          <w:p>
            <w:pPr>
              <w:pStyle w:val="Compact"/>
              <w:spacing w:line="276" w:lineRule="auto" w:before="40" w:after="40"/>
            </w:pPr>
            <w:r>
              <w:rPr>
                <w:rFonts w:ascii="Liberation Sans Narrow" w:hAnsi="Liberation Sans Narrow"/>
                <w:sz w:val="18"/>
              </w:rPr>
              <w:t xml:space="preserve">Ainda que presente hipótese de dispensa da caução do art. 521, a garantia será exigida quando a dispensa puder resultar manifesto risco de grave dano de difícil ou incerta reparação.</w:t>
            </w:r>
          </w:p>
        </w:tc>
      </w:tr>
    </w:tbl>
    <w:bookmarkEnd w:id="260"/>
    <w:bookmarkStart w:id="261" w:name="art.-522"/>
    <w:p>
      <w:pPr>
        <w:pStyle w:val="Heading6"/>
        <w:pBdr>
          <w:left w:val="single" w:sz="36" w:space="4" w:color="2E75B6"/>
        </w:pBdr>
        <w:shd w:val="clear" w:color="auto" w:fill="E3EEF9"/>
        <w:spacing w:before="200" w:after="80"/>
        <w:ind w:left="85"/>
      </w:pPr>
      <w:r>
        <w:rPr>
          <w:i w:val="0"/>
          <w:color w:val="1F3A5F"/>
          <w:sz w:val="23"/>
        </w:rPr>
        <w:t xml:space="preserve">Art. 522</w:t>
      </w:r>
    </w:p>
    <w:p>
      <w:pPr>
        <w:pStyle w:val="FirstParagraph"/>
        <w:spacing w:after="80"/>
        <w:jc w:val="both"/>
      </w:pPr>
      <w:r>
        <w:rPr>
          <w:b/>
          <w:bCs/>
        </w:rPr>
        <w:t xml:space="preserve">Art. 522.</w:t>
      </w:r>
      <w:r>
        <w:t xml:space="preserve"> </w:t>
      </w:r>
      <w:r>
        <w:t xml:space="preserve">O cumprimento provisório da sentença será requerido por petição dirigida ao juízo competente.</w:t>
      </w:r>
    </w:p>
    <w:p>
      <w:pPr>
        <w:pStyle w:val="BodyText"/>
        <w:spacing w:after="80"/>
        <w:jc w:val="both"/>
      </w:pPr>
      <w:r>
        <w:t xml:space="preserve">Parágrafo único. Não sendo eletrônicos os autos, a petição será acompanhada de cópias das seguintes peças do processo, cuja autenticidade poderá ser certificada pelo próprio advogado, sob sua responsabilidade pessoal:</w:t>
      </w:r>
    </w:p>
    <w:p>
      <w:pPr>
        <w:pStyle w:val="BodyText"/>
        <w:spacing w:after="80"/>
        <w:jc w:val="both"/>
      </w:pPr>
      <w:r>
        <w:t xml:space="preserve">I - decisão exequenda;</w:t>
      </w:r>
    </w:p>
    <w:p>
      <w:pPr>
        <w:pStyle w:val="BodyText"/>
        <w:spacing w:after="80"/>
        <w:jc w:val="both"/>
      </w:pPr>
      <w:r>
        <w:t xml:space="preserve">II - certidão de interposição do recurso não dotado de efeito suspensivo;</w:t>
      </w:r>
    </w:p>
    <w:p>
      <w:pPr>
        <w:pStyle w:val="BodyText"/>
        <w:spacing w:after="80"/>
        <w:jc w:val="both"/>
      </w:pPr>
      <w:r>
        <w:t xml:space="preserve">III - procurações outorgadas pelas partes;</w:t>
      </w:r>
    </w:p>
    <w:p>
      <w:pPr>
        <w:pStyle w:val="BodyText"/>
        <w:spacing w:after="80"/>
        <w:jc w:val="both"/>
      </w:pPr>
      <w:r>
        <w:t xml:space="preserve">IV - decisão de habilitação, se for o caso;</w:t>
      </w:r>
    </w:p>
    <w:p>
      <w:pPr>
        <w:pStyle w:val="BodyText"/>
        <w:spacing w:after="80"/>
        <w:jc w:val="both"/>
      </w:pPr>
      <w:r>
        <w:t xml:space="preserve">V - facultativamente, outras peças processuais consideradas necessárias para demonstrar a existência do crédito.</w:t>
      </w:r>
    </w:p>
    <w:bookmarkEnd w:id="261"/>
    <w:bookmarkEnd w:id="262"/>
    <w:bookmarkStart w:id="268" w:name="Xd2d9f3be43731ebec4fa4164bebdd26690bc534"/>
    <w:p>
      <w:pPr>
        <w:pStyle w:val="Heading4"/>
        <w:spacing w:before="160" w:after="40"/>
      </w:pPr>
      <w:r>
        <w:rPr>
          <w:smallCaps/>
          <w:color w:val="2E75B6"/>
        </w:rPr>
        <w:t xml:space="preserve">Capítulo III: do cumprimento definitivo da sentença que reconhece a exigibilidade de obrigação de pagar quantia certa (arts. 523 a 527)</w:t>
      </w:r>
    </w:p>
    <w:bookmarkStart w:id="263" w:name="art.-523"/>
    <w:p>
      <w:pPr>
        <w:pStyle w:val="Heading6"/>
        <w:pBdr>
          <w:left w:val="single" w:sz="36" w:space="4" w:color="2E75B6"/>
        </w:pBdr>
        <w:shd w:val="clear" w:color="auto" w:fill="E3EEF9"/>
        <w:spacing w:before="200" w:after="80"/>
        <w:ind w:left="85"/>
      </w:pPr>
      <w:r>
        <w:rPr>
          <w:i w:val="0"/>
          <w:color w:val="1F3A5F"/>
          <w:sz w:val="23"/>
        </w:rPr>
        <w:t xml:space="preserve">Art. 523</w:t>
      </w:r>
    </w:p>
    <w:p>
      <w:pPr>
        <w:pStyle w:val="FirstParagraph"/>
        <w:keepNext/>
        <w:spacing w:after="80"/>
        <w:jc w:val="both"/>
      </w:pPr>
      <w:r>
        <w:rPr>
          <w:b/>
          <w:bCs/>
        </w:rPr>
        <w:t xml:space="preserve">Art. 523.</w:t>
      </w:r>
      <w:r>
        <w:t xml:space="preserve"> </w:t>
      </w:r>
      <w:r>
        <w:t xml:space="preserve">No caso de condenação em quantia certa, ou já fixada em liquidação, e no caso de decisão sobre parcela incontroversa, o cumprimento definitivo da sentença far-se-á a requerimento do exequente, sendo o executado intimado para pagar o débito, no prazo de 15 (quinze) dias, acrescido de custas, se houver.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17"/>
        <w:gridCol w:w="3236"/>
        <w:gridCol w:w="3901"/>
      </w:tblGrid>
      <w:tr>
        <w:trPr>
          <w:tblHeader w:val="on"/>
          <w:cantSplit/>
          <w:tblHeader/>
        </w:trPr>
        <w:tc>
          <w:tcPr>
            <w:tcW w:type="dxa" w:w="2217"/>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23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390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17"/>
          </w:tcPr>
          <w:p>
            <w:pPr>
              <w:pStyle w:val="Compact"/>
              <w:spacing w:line="276" w:lineRule="auto" w:before="40" w:after="40"/>
            </w:pPr>
            <w:r>
              <w:rPr>
                <w:rFonts w:ascii="Liberation Sans Narrow" w:hAnsi="Liberation Sans Narrow"/>
                <w:sz w:val="18"/>
              </w:rPr>
              <w:t xml:space="preserve">Honorários no cumprimento de sentença proferida em mandado de segurança</w:t>
            </w:r>
          </w:p>
        </w:tc>
        <w:tc>
          <w:tcPr>
            <w:tcW w:type="dxa" w:w="3236"/>
          </w:tcPr>
          <w:p>
            <w:pPr>
              <w:pStyle w:val="Compact"/>
              <w:spacing w:line="276" w:lineRule="auto" w:before="40" w:after="40"/>
            </w:pPr>
            <w:r>
              <w:rPr>
                <w:rFonts w:ascii="Liberation Sans Narrow" w:hAnsi="Liberation Sans Narrow"/>
                <w:sz w:val="18"/>
              </w:rPr>
              <w:t xml:space="preserve">STJ, Tema Repetitivo 1232, REsp 2.053.306, Primeira Seção, relator Min. Sérgio Kukina, julgado em 27/11/2024, DJe de 04/12/2024</w:t>
            </w:r>
          </w:p>
        </w:tc>
        <w:tc>
          <w:tcPr>
            <w:tcW w:type="dxa" w:w="3901"/>
          </w:tcPr>
          <w:p>
            <w:pPr>
              <w:pStyle w:val="Compact"/>
              <w:spacing w:line="276" w:lineRule="auto" w:before="40" w:after="40"/>
            </w:pPr>
            <w:r>
              <w:rPr>
                <w:rFonts w:ascii="Liberation Sans Narrow" w:hAnsi="Liberation Sans Narrow"/>
                <w:sz w:val="18"/>
              </w:rPr>
              <w:t xml:space="preserve">Nos termos do art. 25 da Lei n. 12.016/2009, não se revela cabível a fixação de honorários de sucumbência em cumprimento de sentença proferida em mandado de segurança individual, ainda que dela resultem efeitos patrimoniais a serem saldados dentro dos mesmos autos.</w:t>
            </w:r>
          </w:p>
        </w:tc>
      </w:tr>
      <w:tr>
        <w:trPr>
          <w:cantSplit/>
        </w:trPr>
        <w:tc>
          <w:tcPr>
            <w:tcW w:type="dxa" w:w="2217"/>
          </w:tcPr>
          <w:p>
            <w:pPr>
              <w:pStyle w:val="Compact"/>
              <w:spacing w:line="276" w:lineRule="auto" w:before="40" w:after="40"/>
            </w:pPr>
            <w:r>
              <w:rPr>
                <w:rFonts w:ascii="Liberation Sans Narrow" w:hAnsi="Liberation Sans Narrow"/>
                <w:sz w:val="18"/>
              </w:rPr>
              <w:t xml:space="preserve">Cumprimento provisório convolado em definitivo: intimação do devedor</w:t>
            </w:r>
          </w:p>
        </w:tc>
        <w:tc>
          <w:tcPr>
            <w:tcW w:type="dxa" w:w="3236"/>
          </w:tcPr>
          <w:p>
            <w:pPr>
              <w:pStyle w:val="Compact"/>
              <w:spacing w:line="276" w:lineRule="auto" w:before="40" w:after="40"/>
            </w:pPr>
            <w:r>
              <w:rPr>
                <w:rFonts w:ascii="Liberation Sans Narrow" w:hAnsi="Liberation Sans Narrow"/>
                <w:sz w:val="18"/>
              </w:rPr>
              <w:t xml:space="preserve">STJ, REsp 1.997.512, Terceira Turma, relator Min. Ricardo Villas Bôas Cueva, julgado em 17/03/2026, DJEN de 20/03/2026</w:t>
            </w:r>
          </w:p>
        </w:tc>
        <w:tc>
          <w:tcPr>
            <w:tcW w:type="dxa" w:w="3901"/>
          </w:tcPr>
          <w:p>
            <w:pPr>
              <w:pStyle w:val="Compact"/>
              <w:spacing w:line="276" w:lineRule="auto" w:before="40" w:after="40"/>
            </w:pPr>
            <w:r>
              <w:rPr>
                <w:rFonts w:ascii="Liberation Sans Narrow" w:hAnsi="Liberation Sans Narrow"/>
                <w:sz w:val="18"/>
              </w:rPr>
              <w:t xml:space="preserve">Convolado o cumprimento provisório em definitivo, o devedor deve ser intimado para dar início ao prazo de 15 dias para pagar ou impugnar (art. 523, caput). Ainda que tenha havido intimação no cumprimento provisório, o cumprimento definitivo depende de iniciativa do credor após o trânsito em julgado.</w:t>
            </w:r>
          </w:p>
        </w:tc>
      </w:tr>
      <w:tr>
        <w:trPr>
          <w:cantSplit/>
        </w:trPr>
        <w:tc>
          <w:tcPr>
            <w:tcW w:type="dxa" w:w="2217"/>
          </w:tcPr>
          <w:p>
            <w:pPr>
              <w:pStyle w:val="Compact"/>
              <w:spacing w:line="276" w:lineRule="auto" w:before="40" w:after="40"/>
            </w:pPr>
            <w:r>
              <w:rPr>
                <w:rFonts w:ascii="Liberation Sans Narrow" w:hAnsi="Liberation Sans Narrow"/>
                <w:sz w:val="18"/>
              </w:rPr>
              <w:t xml:space="preserve">Caput: natureza do prazo de 15 dias para o pagamento voluntário</w:t>
            </w:r>
          </w:p>
        </w:tc>
        <w:tc>
          <w:tcPr>
            <w:tcW w:type="dxa" w:w="3236"/>
          </w:tcPr>
          <w:p>
            <w:pPr>
              <w:pStyle w:val="Compact"/>
              <w:spacing w:line="276" w:lineRule="auto" w:before="40" w:after="40"/>
            </w:pPr>
            <w:r>
              <w:rPr>
                <w:rFonts w:ascii="Liberation Sans Narrow" w:hAnsi="Liberation Sans Narrow"/>
                <w:sz w:val="18"/>
              </w:rPr>
              <w:t xml:space="preserve">STJ, REsp 1.708.348, Terceira Turma, relator Min. Marco Aurélio Bellizze, julgado em 25/06/2019, DJe de 01/08/2019</w:t>
            </w:r>
          </w:p>
        </w:tc>
        <w:tc>
          <w:tcPr>
            <w:tcW w:type="dxa" w:w="3901"/>
          </w:tcPr>
          <w:p>
            <w:pPr>
              <w:pStyle w:val="Compact"/>
              <w:spacing w:line="276" w:lineRule="auto" w:before="40" w:after="40"/>
            </w:pPr>
            <w:r>
              <w:rPr>
                <w:rFonts w:ascii="Liberation Sans Narrow" w:hAnsi="Liberation Sans Narrow"/>
                <w:sz w:val="18"/>
              </w:rPr>
              <w:t xml:space="preserve">O prazo de 15 dias do art. 523, caput, tem natureza processual e conta-se em dias úteis (art. 219). A intimação se faz, em regra, na pessoa do advogado (art. 513, § 2º, I), a quem cabe comunicar o cliente das consequências do não pagamento.</w:t>
            </w:r>
          </w:p>
        </w:tc>
      </w:tr>
      <w:tr>
        <w:trPr>
          <w:cantSplit/>
        </w:trPr>
        <w:tc>
          <w:tcPr>
            <w:tcW w:type="dxa" w:w="2217"/>
          </w:tcPr>
          <w:p>
            <w:pPr>
              <w:pStyle w:val="Compact"/>
              <w:spacing w:line="276" w:lineRule="auto" w:before="40" w:after="40"/>
            </w:pPr>
            <w:r>
              <w:rPr>
                <w:rFonts w:ascii="Liberation Sans Narrow" w:hAnsi="Liberation Sans Narrow"/>
                <w:sz w:val="18"/>
              </w:rPr>
              <w:t xml:space="preserve">Caput: prazo em dobro para litisconsortes com procuradores distintos (autos físicos)</w:t>
            </w:r>
          </w:p>
        </w:tc>
        <w:tc>
          <w:tcPr>
            <w:tcW w:type="dxa" w:w="3236"/>
          </w:tcPr>
          <w:p>
            <w:pPr>
              <w:pStyle w:val="Compact"/>
              <w:spacing w:line="276" w:lineRule="auto" w:before="40" w:after="40"/>
            </w:pPr>
            <w:r>
              <w:rPr>
                <w:rFonts w:ascii="Liberation Sans Narrow" w:hAnsi="Liberation Sans Narrow"/>
                <w:sz w:val="18"/>
              </w:rPr>
              <w:t xml:space="preserve">STJ, REsp 1.693.784, Quarta Turma, relator Min. Luis Felipe Salomão, julgado em 28/11/2017, DJe de 05/02/2018</w:t>
            </w:r>
          </w:p>
        </w:tc>
        <w:tc>
          <w:tcPr>
            <w:tcW w:type="dxa" w:w="3901"/>
          </w:tcPr>
          <w:p>
            <w:pPr>
              <w:pStyle w:val="Compact"/>
              <w:spacing w:line="276" w:lineRule="auto" w:before="40" w:after="40"/>
            </w:pPr>
            <w:r>
              <w:rPr>
                <w:rFonts w:ascii="Liberation Sans Narrow" w:hAnsi="Liberation Sans Narrow"/>
                <w:sz w:val="18"/>
              </w:rPr>
              <w:t xml:space="preserve">O prazo de 15 dias úteis para o pagamento voluntário é contado em dobro quando há litisconsortes com procuradores de escritórios distintos, em autos físicos (art. 229), pois a intimação se faz pelo advogado, a quem cabe avisar o devedor.</w:t>
            </w:r>
          </w:p>
        </w:tc>
      </w:tr>
    </w:tbl>
    <w:p>
      <w:pPr>
        <w:pStyle w:val="BodyText"/>
        <w:keepNext/>
        <w:spacing w:after="80"/>
        <w:jc w:val="both"/>
      </w:pPr>
      <w:r>
        <w:t xml:space="preserve">§ 1º Não ocorrendo pagamento voluntário no prazo do caput , o débito será acrescido de multa de dez por cento e, também, de honorários de advogado de dez por cento.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40"/>
        <w:gridCol w:w="3019"/>
        <w:gridCol w:w="4595"/>
      </w:tblGrid>
      <w:tr>
        <w:trPr>
          <w:tblHeader w:val="on"/>
          <w:cantSplit/>
          <w:tblHeader/>
        </w:trPr>
        <w:tc>
          <w:tcPr>
            <w:tcW w:type="dxa" w:w="174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01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59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741"/>
          </w:tcPr>
          <w:p>
            <w:pPr>
              <w:pStyle w:val="Compact"/>
              <w:spacing w:line="276" w:lineRule="auto" w:before="40" w:after="40"/>
            </w:pPr>
            <w:r>
              <w:rPr>
                <w:rFonts w:ascii="Liberation Sans Narrow" w:hAnsi="Liberation Sans Narrow"/>
                <w:sz w:val="18"/>
              </w:rPr>
              <w:t xml:space="preserve">§ 1º — multa e pagamento voluntário</w:t>
            </w:r>
          </w:p>
        </w:tc>
        <w:tc>
          <w:tcPr>
            <w:tcW w:type="dxa" w:w="3019"/>
          </w:tcPr>
          <w:p>
            <w:pPr>
              <w:pStyle w:val="Compact"/>
              <w:spacing w:line="276" w:lineRule="auto" w:before="40" w:after="40"/>
            </w:pPr>
            <w:r>
              <w:rPr>
                <w:rFonts w:ascii="Liberation Sans Narrow" w:hAnsi="Liberation Sans Narrow"/>
                <w:sz w:val="18"/>
              </w:rPr>
              <w:t xml:space="preserve">STJ, AgInt no AREsp 3.049.826, Quarta Turma, relatora Min. Maria Isabel Gallotti, DJe de 18/09/2026</w:t>
            </w:r>
          </w:p>
        </w:tc>
        <w:tc>
          <w:tcPr>
            <w:tcW w:type="dxa" w:w="4594"/>
          </w:tcPr>
          <w:p>
            <w:pPr>
              <w:pStyle w:val="Compact"/>
              <w:spacing w:line="276" w:lineRule="auto" w:before="40" w:after="40"/>
            </w:pPr>
            <w:r>
              <w:rPr>
                <w:rFonts w:ascii="Liberation Sans Narrow" w:hAnsi="Liberation Sans Narrow"/>
                <w:sz w:val="18"/>
              </w:rPr>
              <w:t xml:space="preserve">O depósito judicial realizado como contracautela em ação cautelar de sustação de protesto não configura pagamento voluntário nem purga a mora, incidindo a multa do art. 523, § 1º, conforme o Tema 677/STJ.</w:t>
            </w:r>
          </w:p>
        </w:tc>
      </w:tr>
      <w:tr>
        <w:trPr>
          <w:cantSplit/>
        </w:trPr>
        <w:tc>
          <w:tcPr>
            <w:tcW w:type="dxa" w:w="1741"/>
          </w:tcPr>
          <w:p>
            <w:pPr>
              <w:pStyle w:val="Compact"/>
              <w:spacing w:line="276" w:lineRule="auto" w:before="40" w:after="40"/>
            </w:pPr>
            <w:r>
              <w:rPr>
                <w:rFonts w:ascii="Liberation Sans Narrow" w:hAnsi="Liberation Sans Narrow"/>
                <w:sz w:val="18"/>
              </w:rPr>
              <w:t xml:space="preserve">§ 1º: multa de 10% e depósito integral no prazo sem impugnação</w:t>
            </w:r>
          </w:p>
        </w:tc>
        <w:tc>
          <w:tcPr>
            <w:tcW w:type="dxa" w:w="3019"/>
          </w:tcPr>
          <w:p>
            <w:pPr>
              <w:pStyle w:val="Compact"/>
              <w:spacing w:line="276" w:lineRule="auto" w:before="40" w:after="40"/>
            </w:pPr>
            <w:r>
              <w:rPr>
                <w:rFonts w:ascii="Liberation Sans Narrow" w:hAnsi="Liberation Sans Narrow"/>
                <w:sz w:val="18"/>
              </w:rPr>
              <w:t xml:space="preserve">STJ, REsp 1.834.337, Terceira Turma, relatora Min. Nancy Andrighi, julgado em 03/12/2019, DJe de 05/12/2019</w:t>
            </w:r>
          </w:p>
        </w:tc>
        <w:tc>
          <w:tcPr>
            <w:tcW w:type="dxa" w:w="4594"/>
          </w:tcPr>
          <w:p>
            <w:pPr>
              <w:pStyle w:val="Compact"/>
              <w:spacing w:line="276" w:lineRule="auto" w:before="40" w:after="40"/>
            </w:pPr>
            <w:r>
              <w:rPr>
                <w:rFonts w:ascii="Liberation Sans Narrow" w:hAnsi="Liberation Sans Narrow"/>
                <w:sz w:val="18"/>
              </w:rPr>
              <w:t xml:space="preserve">A multa do art. 523, § 1º, depende da intempestividade do pagamento ou da resistência na fase de cumprimento. Não se aplica ao devedor que deposita integralmente a quantia no prazo legal e não impugna, pelo caráter coercitivo da multa.</w:t>
            </w:r>
          </w:p>
        </w:tc>
      </w:tr>
    </w:tbl>
    <w:p>
      <w:pPr>
        <w:pStyle w:val="BodyText"/>
        <w:spacing w:after="80"/>
        <w:jc w:val="both"/>
      </w:pPr>
      <w:r>
        <w:t xml:space="preserve">§ 2º Efetuado o pagamento parcial no prazo previsto no caput , a multa e os honorários previstos no § 1º incidirão sobre o restante.</w:t>
      </w:r>
    </w:p>
    <w:p>
      <w:pPr>
        <w:pStyle w:val="BodyText"/>
        <w:spacing w:after="80"/>
        <w:jc w:val="both"/>
      </w:pPr>
      <w:r>
        <w:t xml:space="preserve">§ 3º Não efetuado tempestivamente o pagamento voluntário, será expedido, desde logo, mandado de penhora e avaliação, seguindo-se os atos de expropriação.</w:t>
      </w:r>
    </w:p>
    <w:bookmarkEnd w:id="263"/>
    <w:bookmarkStart w:id="264" w:name="art.-524"/>
    <w:p>
      <w:pPr>
        <w:pStyle w:val="Heading6"/>
        <w:pBdr>
          <w:left w:val="single" w:sz="36" w:space="4" w:color="2E75B6"/>
        </w:pBdr>
        <w:shd w:val="clear" w:color="auto" w:fill="E3EEF9"/>
        <w:spacing w:before="200" w:after="80"/>
        <w:ind w:left="85"/>
      </w:pPr>
      <w:r>
        <w:rPr>
          <w:i w:val="0"/>
          <w:color w:val="1F3A5F"/>
          <w:sz w:val="23"/>
        </w:rPr>
        <w:t xml:space="preserve">Art. 524</w:t>
      </w:r>
    </w:p>
    <w:p>
      <w:pPr>
        <w:pStyle w:val="FirstParagraph"/>
        <w:keepNext/>
        <w:spacing w:after="80"/>
        <w:jc w:val="both"/>
      </w:pPr>
      <w:r>
        <w:rPr>
          <w:b/>
          <w:bCs/>
        </w:rPr>
        <w:t xml:space="preserve">Art. 524.</w:t>
      </w:r>
      <w:r>
        <w:t xml:space="preserve"> </w:t>
      </w:r>
      <w:r>
        <w:t xml:space="preserve">O requerimento previsto no art. 523 será instruído com demonstrativo discriminado e atualizado do crédito, devendo a petição conter: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08"/>
        <w:gridCol w:w="2469"/>
        <w:gridCol w:w="4577"/>
      </w:tblGrid>
      <w:tr>
        <w:trPr>
          <w:tblHeader w:val="on"/>
          <w:cantSplit/>
          <w:tblHeader/>
        </w:trPr>
        <w:tc>
          <w:tcPr>
            <w:tcW w:type="dxa" w:w="2308"/>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47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577"/>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308"/>
          </w:tcPr>
          <w:p>
            <w:pPr>
              <w:pStyle w:val="Compact"/>
              <w:spacing w:line="276" w:lineRule="auto" w:before="40" w:after="40"/>
            </w:pPr>
            <w:r>
              <w:rPr>
                <w:rFonts w:ascii="Liberation Sans Narrow" w:hAnsi="Liberation Sans Narrow"/>
                <w:sz w:val="18"/>
              </w:rPr>
              <w:t xml:space="preserve">Caput — demonstrativo discriminado e atualizado do crédito (regularização antes da extinção)</w:t>
            </w:r>
          </w:p>
        </w:tc>
        <w:tc>
          <w:tcPr>
            <w:tcW w:type="dxa" w:w="2470"/>
          </w:tcPr>
          <w:p>
            <w:pPr>
              <w:pStyle w:val="Compact"/>
              <w:spacing w:line="276" w:lineRule="auto" w:before="40" w:after="40"/>
            </w:pPr>
            <w:r>
              <w:rPr>
                <w:rFonts w:ascii="Liberation Sans Narrow" w:hAnsi="Liberation Sans Narrow"/>
                <w:sz w:val="18"/>
              </w:rPr>
              <w:t xml:space="preserve">STJ, AgInt no AREsp 3.102.461, Segunda Turma, relator Min. Marco Aurélio Bellizze, julgado em 24/06/2026</w:t>
            </w:r>
          </w:p>
        </w:tc>
        <w:tc>
          <w:tcPr>
            <w:tcW w:type="dxa" w:w="4577"/>
          </w:tcPr>
          <w:p>
            <w:pPr>
              <w:pStyle w:val="Compact"/>
              <w:spacing w:line="276" w:lineRule="auto" w:before="40" w:after="40"/>
            </w:pPr>
            <w:r>
              <w:rPr>
                <w:rFonts w:ascii="Liberation Sans Narrow" w:hAnsi="Liberation Sans Narrow"/>
                <w:sz w:val="18"/>
              </w:rPr>
              <w:t xml:space="preserve">A ausência do demonstrativo do débito não autoriza a extinção imediata da execução: antes de extingui-la, o juiz deve intimar o exequente a fim de que regularize a deficiência do demonstrativo discriminado e atualizado exigido pelo art. 524.</w:t>
            </w:r>
          </w:p>
        </w:tc>
      </w:tr>
    </w:tbl>
    <w:p>
      <w:pPr>
        <w:pStyle w:val="BodyText"/>
        <w:spacing w:after="80"/>
        <w:jc w:val="both"/>
      </w:pPr>
      <w:r>
        <w:t xml:space="preserve">I - o nome completo, o número de inscrição no Cadastro de Pessoas Físicas ou no Cadastro Nacional da Pessoa Jurídica do exequente e do executado, observado o disposto no art. 319, §§ 1º a 3º;</w:t>
      </w:r>
    </w:p>
    <w:p>
      <w:pPr>
        <w:pStyle w:val="BodyText"/>
        <w:spacing w:after="80"/>
        <w:jc w:val="both"/>
      </w:pPr>
      <w:r>
        <w:t xml:space="preserve">II - o índice de correção monetária adotado;</w:t>
      </w:r>
    </w:p>
    <w:p>
      <w:pPr>
        <w:pStyle w:val="BodyText"/>
        <w:spacing w:after="80"/>
        <w:jc w:val="both"/>
      </w:pPr>
      <w:r>
        <w:t xml:space="preserve">III - os juros aplicados e as respectivas taxas;</w:t>
      </w:r>
    </w:p>
    <w:p>
      <w:pPr>
        <w:pStyle w:val="BodyText"/>
        <w:spacing w:after="80"/>
        <w:jc w:val="both"/>
      </w:pPr>
      <w:r>
        <w:t xml:space="preserve">IV - o termo inicial e o termo final dos juros e da correção monetária utilizados;</w:t>
      </w:r>
    </w:p>
    <w:p>
      <w:pPr>
        <w:pStyle w:val="BodyText"/>
        <w:spacing w:after="80"/>
        <w:jc w:val="both"/>
      </w:pPr>
      <w:r>
        <w:t xml:space="preserve">V - a periodicidade da capitalização dos juros, se for o caso;</w:t>
      </w:r>
    </w:p>
    <w:p>
      <w:pPr>
        <w:pStyle w:val="BodyText"/>
        <w:spacing w:after="80"/>
        <w:jc w:val="both"/>
      </w:pPr>
      <w:r>
        <w:t xml:space="preserve">VI - especificação dos eventuais descontos obrigatórios realizados;</w:t>
      </w:r>
    </w:p>
    <w:p>
      <w:pPr>
        <w:pStyle w:val="BodyText"/>
        <w:spacing w:after="80"/>
        <w:jc w:val="both"/>
      </w:pPr>
      <w:r>
        <w:t xml:space="preserve">VII - indicação dos bens passíveis de penhora, sempre que possível.</w:t>
      </w:r>
    </w:p>
    <w:p>
      <w:pPr>
        <w:pStyle w:val="BodyText"/>
        <w:spacing w:after="80"/>
        <w:jc w:val="both"/>
      </w:pPr>
      <w:r>
        <w:t xml:space="preserve">§ 1º Quando o valor apontado no demonstrativo aparentemente exceder os limites da condenação, a execução será iniciada pelo valor pretendido, mas a penhora terá por base a importância que o juiz entender adequada.</w:t>
      </w:r>
    </w:p>
    <w:p>
      <w:pPr>
        <w:pStyle w:val="BodyText"/>
        <w:spacing w:after="80"/>
        <w:jc w:val="both"/>
      </w:pPr>
      <w:r>
        <w:t xml:space="preserve">§ 2º Para a verificação dos cálculos, o juiz poderá valer-se de contabilista do juízo, que terá o prazo máximo de 30 (trinta) dias para efetuá-la, exceto se outro lhe for determinado.</w:t>
      </w:r>
    </w:p>
    <w:p>
      <w:pPr>
        <w:pStyle w:val="BodyText"/>
        <w:spacing w:after="80"/>
        <w:jc w:val="both"/>
      </w:pPr>
      <w:r>
        <w:t xml:space="preserve">§ 3º Quando a elaboração do demonstrativo depender de dados em poder de terceiros ou do executado, o juiz poderá requisitá-los, sob cominação do crime de desobediência.</w:t>
      </w:r>
    </w:p>
    <w:p>
      <w:pPr>
        <w:pStyle w:val="BodyText"/>
        <w:spacing w:after="80"/>
        <w:jc w:val="both"/>
      </w:pPr>
      <w:r>
        <w:t xml:space="preserve">§ 4º Quando a complementação do demonstrativo depender de dados adicionais em poder do executado, o juiz poderá, a requerimento do exequente, requisitá-los, fixando prazo de até 30 (trinta) dias para o cumprimento da diligência.</w:t>
      </w:r>
    </w:p>
    <w:p>
      <w:pPr>
        <w:pStyle w:val="BodyText"/>
        <w:spacing w:after="80"/>
        <w:jc w:val="both"/>
      </w:pPr>
      <w:r>
        <w:t xml:space="preserve">§ 5º Se os dados adicionais a que se refere o § 4º não forem apresentados pelo executado, sem justificativa, no prazo designado, reputar-se-ão corretos os cálculos apresentados pelo exequente apenas com base nos dados de que dispõe.</w:t>
      </w:r>
    </w:p>
    <w:bookmarkEnd w:id="264"/>
    <w:bookmarkStart w:id="265" w:name="art.-525"/>
    <w:p>
      <w:pPr>
        <w:pStyle w:val="Heading6"/>
        <w:pBdr>
          <w:left w:val="single" w:sz="36" w:space="4" w:color="2E75B6"/>
        </w:pBdr>
        <w:shd w:val="clear" w:color="auto" w:fill="E3EEF9"/>
        <w:spacing w:before="200" w:after="80"/>
        <w:ind w:left="85"/>
      </w:pPr>
      <w:r>
        <w:rPr>
          <w:i w:val="0"/>
          <w:color w:val="1F3A5F"/>
          <w:sz w:val="23"/>
        </w:rPr>
        <w:t xml:space="preserve">Art. 525</w:t>
      </w:r>
    </w:p>
    <w:p>
      <w:pPr>
        <w:pStyle w:val="FirstParagraph"/>
        <w:keepNext/>
        <w:spacing w:after="80"/>
        <w:jc w:val="both"/>
      </w:pPr>
      <w:r>
        <w:rPr>
          <w:b/>
          <w:bCs/>
        </w:rPr>
        <w:t xml:space="preserve">Art. 525.</w:t>
      </w:r>
      <w:r>
        <w:t xml:space="preserve"> </w:t>
      </w:r>
      <w:r>
        <w:t xml:space="preserve">Transcorrido o prazo previsto no art. 523 sem o pagamento voluntário, inicia-se o prazo de 15 (quinze) dias para que o executado, independentemente de penhora ou nova intimação, apresente, nos próprios autos, sua impugnação.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432"/>
        <w:gridCol w:w="2688"/>
        <w:gridCol w:w="4234"/>
      </w:tblGrid>
      <w:tr>
        <w:trPr>
          <w:tblHeader w:val="on"/>
          <w:cantSplit/>
          <w:tblHeader/>
        </w:trPr>
        <w:tc>
          <w:tcPr>
            <w:tcW w:type="dxa" w:w="243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8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23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432"/>
          </w:tcPr>
          <w:p>
            <w:pPr>
              <w:pStyle w:val="Compact"/>
              <w:spacing w:line="276" w:lineRule="auto" w:before="40" w:after="40"/>
            </w:pPr>
            <w:r>
              <w:rPr>
                <w:rFonts w:ascii="Liberation Sans Narrow" w:hAnsi="Liberation Sans Narrow"/>
                <w:sz w:val="18"/>
              </w:rPr>
              <w:t xml:space="preserve">Impugnação ao cumprimento: impenhorabilidade de quantia até 40 salários mínimos não é matéria de ordem pública</w:t>
            </w:r>
          </w:p>
        </w:tc>
        <w:tc>
          <w:tcPr>
            <w:tcW w:type="dxa" w:w="2688"/>
          </w:tcPr>
          <w:p>
            <w:pPr>
              <w:pStyle w:val="Compact"/>
              <w:spacing w:line="276" w:lineRule="auto" w:before="40" w:after="40"/>
            </w:pPr>
            <w:r>
              <w:rPr>
                <w:rFonts w:ascii="Liberation Sans Narrow" w:hAnsi="Liberation Sans Narrow"/>
                <w:sz w:val="18"/>
              </w:rPr>
              <w:t xml:space="preserve">STJ, Tema Repetitivo 1235, REsp 2.061.973, Corte Especial, relatora Min. Nancy Andrighi, julgado em 02/10/2024, DJe de 07/10/2024</w:t>
            </w:r>
          </w:p>
        </w:tc>
        <w:tc>
          <w:tcPr>
            <w:tcW w:type="dxa" w:w="4234"/>
          </w:tcPr>
          <w:p>
            <w:pPr>
              <w:pStyle w:val="Compact"/>
              <w:spacing w:line="276" w:lineRule="auto" w:before="40" w:after="40"/>
            </w:pPr>
            <w:r>
              <w:rPr>
                <w:rFonts w:ascii="Liberation Sans Narrow" w:hAnsi="Liberation Sans Narrow"/>
                <w:sz w:val="18"/>
              </w:rPr>
              <w:t xml:space="preserve">A impenhorabilidade de quantia inferior a 40 salários mínimos (art. 833, X, do CPC) não é matéria de ordem pública e não pode ser reconhecida de ofício pelo juiz, devendo ser arguida pelo executado no primeiro momento em que lhe couber falar nos autos ou em sede de embargos à execução ou impugnação ao cumprimento de sentença, sob pena de preclusão.</w:t>
            </w:r>
          </w:p>
        </w:tc>
      </w:tr>
    </w:tbl>
    <w:p>
      <w:pPr>
        <w:pStyle w:val="BodyText"/>
        <w:keepNext/>
        <w:spacing w:after="80"/>
        <w:jc w:val="both"/>
      </w:pPr>
      <w:r>
        <w:t xml:space="preserve">§ 1º Na impugnação, o executado poderá alegar: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93"/>
        <w:gridCol w:w="2619"/>
        <w:gridCol w:w="4442"/>
      </w:tblGrid>
      <w:tr>
        <w:trPr>
          <w:tblHeader w:val="on"/>
          <w:cantSplit/>
          <w:tblHeader/>
        </w:trPr>
        <w:tc>
          <w:tcPr>
            <w:tcW w:type="dxa" w:w="2293"/>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1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44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93"/>
          </w:tcPr>
          <w:p>
            <w:pPr>
              <w:pStyle w:val="Compact"/>
              <w:spacing w:line="276" w:lineRule="auto" w:before="40" w:after="40"/>
            </w:pPr>
            <w:r>
              <w:rPr>
                <w:rFonts w:ascii="Liberation Sans Narrow" w:hAnsi="Liberation Sans Narrow"/>
                <w:sz w:val="18"/>
              </w:rPr>
              <w:t xml:space="preserve">§§ 1º e 6º: garantia do juízo não é requisito da impugnação nem altera o termo inicial do prazo</w:t>
            </w:r>
          </w:p>
        </w:tc>
        <w:tc>
          <w:tcPr>
            <w:tcW w:type="dxa" w:w="2619"/>
          </w:tcPr>
          <w:p>
            <w:pPr>
              <w:pStyle w:val="Compact"/>
              <w:spacing w:line="276" w:lineRule="auto" w:before="40" w:after="40"/>
            </w:pPr>
            <w:r>
              <w:rPr>
                <w:rFonts w:ascii="Liberation Sans Narrow" w:hAnsi="Liberation Sans Narrow"/>
                <w:sz w:val="18"/>
              </w:rPr>
              <w:t xml:space="preserve">STJ, REsp 1.761.068, Terceira Turma, relator Min. Ricardo Villas Bôas Cueva, julgado em 15/12/2020, DJe de 18/12/2020</w:t>
            </w:r>
          </w:p>
        </w:tc>
        <w:tc>
          <w:tcPr>
            <w:tcW w:type="dxa" w:w="4442"/>
          </w:tcPr>
          <w:p>
            <w:pPr>
              <w:pStyle w:val="Compact"/>
              <w:spacing w:line="276" w:lineRule="auto" w:before="40" w:after="40"/>
            </w:pPr>
            <w:r>
              <w:rPr>
                <w:rFonts w:ascii="Liberation Sans Narrow" w:hAnsi="Liberation Sans Narrow"/>
                <w:sz w:val="18"/>
              </w:rPr>
              <w:t xml:space="preserve">No CPC/2015 a garantia do juízo deixa de ser requisito da impugnação e passa a ser apenas condição para a suspensão dos atos executivos (§ 6º); por isso, o depósito feito durante o prazo de pagamento voluntário não modifica o termo inicial do prazo de 15 dias para impugnar.</w:t>
            </w:r>
          </w:p>
        </w:tc>
      </w:tr>
    </w:tbl>
    <w:p>
      <w:pPr>
        <w:pStyle w:val="BodyText"/>
        <w:spacing w:after="80"/>
        <w:jc w:val="both"/>
      </w:pPr>
      <w:r>
        <w:t xml:space="preserve">I - falta ou nulidade da citação se, na fase de conhecimento, o processo correu à revelia;</w:t>
      </w:r>
    </w:p>
    <w:p>
      <w:pPr>
        <w:pStyle w:val="BodyText"/>
        <w:spacing w:after="80"/>
        <w:jc w:val="both"/>
      </w:pPr>
      <w:r>
        <w:t xml:space="preserve">II - ilegitimidade de parte;</w:t>
      </w:r>
    </w:p>
    <w:p>
      <w:pPr>
        <w:pStyle w:val="BodyText"/>
        <w:spacing w:after="80"/>
        <w:jc w:val="both"/>
      </w:pPr>
      <w:r>
        <w:t xml:space="preserve">III - inexequibilidade do título ou inexigibilidade da obrigação;</w:t>
      </w:r>
    </w:p>
    <w:p>
      <w:pPr>
        <w:pStyle w:val="BodyText"/>
        <w:spacing w:after="80"/>
        <w:jc w:val="both"/>
      </w:pPr>
      <w:r>
        <w:t xml:space="preserve">IV - penhora incorreta ou avaliação errônea;</w:t>
      </w:r>
    </w:p>
    <w:p>
      <w:pPr>
        <w:pStyle w:val="BodyText"/>
        <w:spacing w:after="80"/>
        <w:jc w:val="both"/>
      </w:pPr>
      <w:r>
        <w:t xml:space="preserve">V - excesso de execução ou cumulação indevida de execuções;</w:t>
      </w:r>
    </w:p>
    <w:p>
      <w:pPr>
        <w:pStyle w:val="BodyText"/>
        <w:spacing w:after="80"/>
        <w:jc w:val="both"/>
      </w:pPr>
      <w:r>
        <w:t xml:space="preserve">VI - incompetência absoluta ou relativa do juízo da execução;</w:t>
      </w:r>
    </w:p>
    <w:p>
      <w:pPr>
        <w:pStyle w:val="BodyText"/>
        <w:spacing w:after="80"/>
        <w:jc w:val="both"/>
      </w:pPr>
      <w:r>
        <w:t xml:space="preserve">VII - qualquer causa modificativa ou extintiva da obrigação, como pagamento, novação, compensação, transação ou prescrição, desde que supervenientes à sentença.</w:t>
      </w:r>
    </w:p>
    <w:p>
      <w:pPr>
        <w:pStyle w:val="BodyText"/>
        <w:spacing w:after="80"/>
        <w:jc w:val="both"/>
      </w:pPr>
      <w:r>
        <w:t xml:space="preserve">§ 2º A alegação de impedimento ou suspeição observará o disposto nos arts. 146 e 148.</w:t>
      </w:r>
    </w:p>
    <w:p>
      <w:pPr>
        <w:pStyle w:val="BodyText"/>
        <w:spacing w:after="80"/>
        <w:jc w:val="both"/>
      </w:pPr>
      <w:r>
        <w:t xml:space="preserve">§ 3º Aplica-se à impugnação o disposto no art. 229.</w:t>
      </w:r>
    </w:p>
    <w:p>
      <w:pPr>
        <w:pStyle w:val="BodyText"/>
        <w:keepNext/>
        <w:spacing w:after="80"/>
        <w:jc w:val="both"/>
      </w:pPr>
      <w:r>
        <w:t xml:space="preserve">§ 4º Quando o executado alegar que o exequente, em excesso de execução, pleiteia quantia superior à resultante da sentença, cumprir-lhe-á declarar de imediato o valor que entende correto, apresentando demonstrativo discriminado e atualizado de seu cálculo.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74"/>
        <w:gridCol w:w="2293"/>
        <w:gridCol w:w="4687"/>
      </w:tblGrid>
      <w:tr>
        <w:trPr>
          <w:tblHeader w:val="on"/>
          <w:cantSplit/>
          <w:tblHeader/>
        </w:trPr>
        <w:tc>
          <w:tcPr>
            <w:tcW w:type="dxa" w:w="2374"/>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29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687"/>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374"/>
          </w:tcPr>
          <w:p>
            <w:pPr>
              <w:pStyle w:val="Compact"/>
              <w:spacing w:line="276" w:lineRule="auto" w:before="40" w:after="40"/>
            </w:pPr>
            <w:r>
              <w:rPr>
                <w:rFonts w:ascii="Liberation Sans Narrow" w:hAnsi="Liberation Sans Narrow"/>
                <w:sz w:val="18"/>
              </w:rPr>
              <w:t xml:space="preserve">§ 4º — indicação do valor correto e demonstrativo na alegação de excesso de execução</w:t>
            </w:r>
          </w:p>
        </w:tc>
        <w:tc>
          <w:tcPr>
            <w:tcW w:type="dxa" w:w="2293"/>
          </w:tcPr>
          <w:p>
            <w:pPr>
              <w:pStyle w:val="Compact"/>
              <w:spacing w:line="276" w:lineRule="auto" w:before="40" w:after="40"/>
            </w:pPr>
            <w:r>
              <w:rPr>
                <w:rFonts w:ascii="Liberation Sans Narrow" w:hAnsi="Liberation Sans Narrow"/>
                <w:sz w:val="18"/>
              </w:rPr>
              <w:t xml:space="preserve">STJ, AREsp 2.708.360, Quarta Turma, relator Min. Raul Araújo, julgado em 09/03/2026</w:t>
            </w:r>
          </w:p>
        </w:tc>
        <w:tc>
          <w:tcPr>
            <w:tcW w:type="dxa" w:w="4687"/>
          </w:tcPr>
          <w:p>
            <w:pPr>
              <w:pStyle w:val="Compact"/>
              <w:spacing w:line="276" w:lineRule="auto" w:before="40" w:after="40"/>
            </w:pPr>
            <w:r>
              <w:rPr>
                <w:rFonts w:ascii="Liberation Sans Narrow" w:hAnsi="Liberation Sans Narrow"/>
                <w:sz w:val="18"/>
              </w:rPr>
              <w:t xml:space="preserve">A impugnação ao cumprimento de sentença fundada em excesso de execução exige a indicação do valor tido por correto e a apresentação de demonstrativo discriminado e atualizado do débito, sob pena de rejeição liminar.</w:t>
            </w:r>
          </w:p>
        </w:tc>
      </w:tr>
    </w:tbl>
    <w:p>
      <w:pPr>
        <w:pStyle w:val="BodyText"/>
        <w:spacing w:after="80"/>
        <w:jc w:val="both"/>
      </w:pPr>
      <w:r>
        <w:t xml:space="preserve">§ 5º Na hipótese do § 4º, não apontado o valor correto ou não apresentado o demonstrativo, a impugnação será liminarmente rejeitada, se o excesso de execução for o seu único fundamento, ou, se houver outro, a impugnação será processada, mas o juiz não examinará a alegação de excesso de execução.</w:t>
      </w:r>
    </w:p>
    <w:p>
      <w:pPr>
        <w:pStyle w:val="BodyText"/>
        <w:keepNext/>
        <w:spacing w:after="80"/>
        <w:jc w:val="both"/>
      </w:pPr>
      <w:r>
        <w:t xml:space="preserve">§ 6º A apresentação de impugnação não impede a prática dos atos executivos, inclusive os de expropriação, podendo o juiz, a requerimento do executado e desde que garantido o juízo com penhora, caução ou depósito suficientes, atribuir-lhe efeito suspensivo, se seus fundamentos forem relevantes e se o prosseguimento da execução for manifestamente suscetível de causar ao executado grave dano de difícil ou incerta reparação.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79"/>
        <w:gridCol w:w="2702"/>
        <w:gridCol w:w="4673"/>
      </w:tblGrid>
      <w:tr>
        <w:trPr>
          <w:tblHeader w:val="on"/>
          <w:cantSplit/>
          <w:tblHeader/>
        </w:trPr>
        <w:tc>
          <w:tcPr>
            <w:tcW w:type="dxa" w:w="1979"/>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0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67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79"/>
          </w:tcPr>
          <w:p>
            <w:pPr>
              <w:pStyle w:val="Compact"/>
              <w:spacing w:line="276" w:lineRule="auto" w:before="40" w:after="40"/>
            </w:pPr>
            <w:r>
              <w:rPr>
                <w:rFonts w:ascii="Liberation Sans Narrow" w:hAnsi="Liberation Sans Narrow"/>
                <w:sz w:val="18"/>
              </w:rPr>
              <w:t xml:space="preserve">§ 6º: impugnação sem efeito suspensivo e execução da parte incontroversa</w:t>
            </w:r>
          </w:p>
        </w:tc>
        <w:tc>
          <w:tcPr>
            <w:tcW w:type="dxa" w:w="2702"/>
          </w:tcPr>
          <w:p>
            <w:pPr>
              <w:pStyle w:val="Compact"/>
              <w:spacing w:line="276" w:lineRule="auto" w:before="40" w:after="40"/>
            </w:pPr>
            <w:r>
              <w:rPr>
                <w:rFonts w:ascii="Liberation Sans Narrow" w:hAnsi="Liberation Sans Narrow"/>
                <w:sz w:val="18"/>
              </w:rPr>
              <w:t xml:space="preserve">STJ, REsp 2.077.121, Terceira Turma, relator Min. Marco Aurélio Bellizze, julgado em 08/08/2023, DJe de 15/08/2023</w:t>
            </w:r>
          </w:p>
        </w:tc>
        <w:tc>
          <w:tcPr>
            <w:tcW w:type="dxa" w:w="4673"/>
          </w:tcPr>
          <w:p>
            <w:pPr>
              <w:pStyle w:val="Compact"/>
              <w:spacing w:line="276" w:lineRule="auto" w:before="40" w:after="40"/>
            </w:pPr>
            <w:r>
              <w:rPr>
                <w:rFonts w:ascii="Liberation Sans Narrow" w:hAnsi="Liberation Sans Narrow"/>
                <w:sz w:val="18"/>
              </w:rPr>
              <w:t xml:space="preserve">A impugnação não tem, em regra, efeito suspensivo: nada impede os atos executivos, inclusive de expropriação, e o exequente tem direito à execução do valor incontroverso. O efeito suspensivo exige requerimento do executado, relevância dos fundamentos, risco de dano grave e garantia do juízo.</w:t>
            </w:r>
          </w:p>
        </w:tc>
      </w:tr>
    </w:tbl>
    <w:p>
      <w:pPr>
        <w:pStyle w:val="BodyText"/>
        <w:spacing w:after="80"/>
        <w:jc w:val="both"/>
      </w:pPr>
      <w:r>
        <w:t xml:space="preserve">§ 7º A concessão de efeito suspensivo a que se refere o § 6º não impedirá a efetivação dos atos de substituição, de reforço ou de redução da penhora e de avaliação dos bens</w:t>
      </w:r>
    </w:p>
    <w:p>
      <w:pPr>
        <w:pStyle w:val="BodyText"/>
        <w:spacing w:after="80"/>
        <w:jc w:val="both"/>
      </w:pPr>
      <w:r>
        <w:t xml:space="preserve">§ 8º Quando o efeito suspensivo atribuído à impugnação disser respeito apenas a parte do objeto da execução, esta prosseguirá quanto à parte restante.</w:t>
      </w:r>
    </w:p>
    <w:p>
      <w:pPr>
        <w:pStyle w:val="BodyText"/>
        <w:spacing w:after="80"/>
        <w:jc w:val="both"/>
      </w:pPr>
      <w:r>
        <w:t xml:space="preserve">§ 9º A concessão de efeito suspensivo à impugnação deduzida por um dos executados não suspenderá a execução contra os que não impugnaram, quando o respectivo fundamento disser respeito exclusivamente ao impugnante.</w:t>
      </w:r>
    </w:p>
    <w:p>
      <w:pPr>
        <w:pStyle w:val="BodyText"/>
        <w:spacing w:after="80"/>
        <w:jc w:val="both"/>
      </w:pPr>
      <w:r>
        <w:t xml:space="preserve">§ 10. Ainda que atribuído efeito suspensivo à impugnação, é lícito ao exequente requerer o prosseguimento da execução, oferecendo e prestando, nos próprios autos, caução suficiente e idônea a ser arbitrada pelo juiz.</w:t>
      </w:r>
    </w:p>
    <w:p>
      <w:pPr>
        <w:pStyle w:val="BodyText"/>
        <w:spacing w:after="80"/>
        <w:jc w:val="both"/>
      </w:pPr>
      <w:r>
        <w:t xml:space="preserve">§ 11. As questões relativas a fato superveniente ao término do prazo para apresentação da impugnação, assim como aquelas relativas à validade e à adequação da penhora, da avaliação e dos atos executivos subsequentes, podem ser arguidas por simples petição, tendo o executado, em qualquer dos casos, o prazo de 15 (quinze) dias para formular esta arguição, contado da comprovada ciência do fato ou da intimação do ato.</w:t>
      </w:r>
    </w:p>
    <w:p>
      <w:pPr>
        <w:pStyle w:val="BodyText"/>
        <w:spacing w:after="80"/>
        <w:jc w:val="both"/>
      </w:pPr>
      <w:r>
        <w:t xml:space="preserve">§ 12. Para efeito do disposto no inciso III do § 1º deste artigo, considera-se também inexigível a obrigação reconhecida em título executivo judicial fundado em lei ou ato normativo considerado inconstitucional pelo Supremo Tribunal Federal, ou fundado em aplicação ou interpretação da lei ou do ato normativo tido pelo Supremo Tribunal Federal como incompatível com a Constituição Federal, em controle de constitucionalidade concentrado ou difuso.</w:t>
      </w:r>
    </w:p>
    <w:p>
      <w:pPr>
        <w:pStyle w:val="BodyText"/>
        <w:spacing w:after="80"/>
        <w:jc w:val="both"/>
      </w:pPr>
      <w:r>
        <w:t xml:space="preserve">§ 13. No caso do § 12, os efeitos da decisão do Supremo Tribunal Federal poderão ser modulados no tempo, em atenção à segurança jurídica.</w:t>
      </w:r>
    </w:p>
    <w:p>
      <w:pPr>
        <w:pStyle w:val="BodyText"/>
        <w:spacing w:after="80"/>
        <w:jc w:val="both"/>
      </w:pPr>
      <w:r>
        <w:t xml:space="preserve">§ 14. A decisão do Supremo Tribunal Federal referida no § 12 deve ser anterior ao trânsito em julgado da decisão exequenda. (Vide AR 2876)</w:t>
      </w:r>
    </w:p>
    <w:p>
      <w:pPr>
        <w:pStyle w:val="BodyText"/>
        <w:keepNext/>
        <w:spacing w:after="80"/>
        <w:jc w:val="both"/>
      </w:pPr>
      <w:r>
        <w:t xml:space="preserve">§ 15. Se a decisão referida no § 12 for proferida após o trânsito em julgado da decisão exequenda, caberá ação rescisória, cujo prazo será contado do trânsito em julgado da decisão proferida pelo Supremo Tribunal Federal. (Vide AR 2876)</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Remissão do texto legal sem julgado localizado.</w:t>
            </w:r>
            <w:r>
              <w:rPr>
                <w:sz w:val="22"/>
              </w:rPr>
              <w:t xml:space="preserve"> </w:t>
            </w:r>
            <w:r>
              <w:rPr>
                <w:sz w:val="22"/>
              </w:rPr>
              <w:t xml:space="preserve">O texto dos §§ 14 e 15 do art. 525 remete à AR 2876. A consulta por número ao controle concentrado do STF (curadoria interna), à busca híbrida do STF e ao repositório externo (por classe e número) não a localizou; sem Tribunal, relator, data e tese confirmados nas fontes, o julgado não é citado nem resumido. Ver as pendências.</w:t>
            </w:r>
          </w:p>
        </w:tc>
      </w:tr>
    </w:tbl>
    <w:p>
      <w:pPr>
        <w:spacing w:after="40"/>
      </w:pPr>
    </w:p>
    <w:bookmarkEnd w:id="265"/>
    <w:bookmarkStart w:id="266" w:name="art.-526"/>
    <w:p>
      <w:pPr>
        <w:pStyle w:val="Heading6"/>
        <w:pBdr>
          <w:left w:val="single" w:sz="36" w:space="4" w:color="2E75B6"/>
        </w:pBdr>
        <w:shd w:val="clear" w:color="auto" w:fill="E3EEF9"/>
        <w:spacing w:before="200" w:after="80"/>
        <w:ind w:left="85"/>
      </w:pPr>
      <w:r>
        <w:rPr>
          <w:i w:val="0"/>
          <w:color w:val="1F3A5F"/>
          <w:sz w:val="23"/>
        </w:rPr>
        <w:t xml:space="preserve">Art. 526</w:t>
      </w:r>
    </w:p>
    <w:p>
      <w:pPr>
        <w:pStyle w:val="FirstParagraph"/>
        <w:keepNext/>
        <w:spacing w:after="80"/>
        <w:jc w:val="both"/>
      </w:pPr>
      <w:r>
        <w:rPr>
          <w:b/>
          <w:bCs/>
        </w:rPr>
        <w:t xml:space="preserve">Art. 526.</w:t>
      </w:r>
      <w:r>
        <w:t xml:space="preserve"> </w:t>
      </w:r>
      <w:r>
        <w:t xml:space="preserve">É lícito ao réu, antes de ser intimado para o cumprimento da sentença, comparecer em juízo e oferecer em pagamento o valor que entender devido, apresentando memória discriminada do cálculo.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80"/>
        <w:gridCol w:w="2700"/>
        <w:gridCol w:w="487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0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7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780"/>
          </w:tcPr>
          <w:p>
            <w:pPr>
              <w:pStyle w:val="Compact"/>
              <w:spacing w:line="276" w:lineRule="auto" w:before="40" w:after="40"/>
            </w:pPr>
            <w:r>
              <w:rPr>
                <w:rFonts w:ascii="Liberation Sans Narrow" w:hAnsi="Liberation Sans Narrow"/>
                <w:sz w:val="18"/>
              </w:rPr>
              <w:t xml:space="preserve">Depósito em garantia do juízo e consectários da mora</w:t>
            </w:r>
          </w:p>
        </w:tc>
        <w:tc>
          <w:tcPr>
            <w:tcW w:type="dxa" w:w="2700"/>
          </w:tcPr>
          <w:p>
            <w:pPr>
              <w:pStyle w:val="Compact"/>
              <w:spacing w:line="276" w:lineRule="auto" w:before="40" w:after="40"/>
            </w:pPr>
            <w:r>
              <w:rPr>
                <w:rFonts w:ascii="Liberation Sans Narrow" w:hAnsi="Liberation Sans Narrow"/>
                <w:sz w:val="18"/>
              </w:rPr>
              <w:t xml:space="preserve">STJ, Tema Repetitivo 677, REsp 1.820.963, Corte Especial, relatora Min. Nancy Andrighi, julgado em 19/10/2022</w:t>
            </w:r>
          </w:p>
        </w:tc>
        <w:tc>
          <w:tcPr>
            <w:tcW w:type="dxa" w:w="4874"/>
          </w:tcPr>
          <w:p>
            <w:pPr>
              <w:pStyle w:val="Compact"/>
              <w:spacing w:line="276" w:lineRule="auto" w:before="40" w:after="40"/>
            </w:pPr>
            <w:r>
              <w:rPr>
                <w:rFonts w:ascii="Liberation Sans Narrow" w:hAnsi="Liberation Sans Narrow"/>
                <w:sz w:val="18"/>
              </w:rPr>
              <w:t xml:space="preserve">Na execução, o depósito efetuado a título de garantia do juízo ou decorrente da penhora de ativos financeiros não isenta o devedor do pagamento dos consectários de sua mora, conforme previstos no título executivo, devendo-se, quando da efetiva entrega do dinheiro ao credor, deduzir do montante final devido o saldo da conta judicial.</w:t>
            </w:r>
          </w:p>
        </w:tc>
      </w:tr>
    </w:tbl>
    <w:p>
      <w:pPr>
        <w:pStyle w:val="BodyText"/>
        <w:spacing w:after="80"/>
        <w:jc w:val="both"/>
      </w:pPr>
      <w:r>
        <w:t xml:space="preserve">§ 1º O autor será ouvido no prazo de 5 (cinco) dias, podendo impugnar o valor depositado, sem prejuízo do levantamento do depósito a título de parcela incontroversa.</w:t>
      </w:r>
    </w:p>
    <w:p>
      <w:pPr>
        <w:pStyle w:val="BodyText"/>
        <w:spacing w:after="80"/>
        <w:jc w:val="both"/>
      </w:pPr>
      <w:r>
        <w:t xml:space="preserve">§ 2º Concluindo o juiz pela insuficiência do depósito, sobre a diferença incidirão multa de dez por cento e honorários advocatícios, também fixados em dez por cento, seguindo-se a execução com penhora e atos subsequentes.</w:t>
      </w:r>
    </w:p>
    <w:p>
      <w:pPr>
        <w:pStyle w:val="BodyText"/>
        <w:spacing w:after="80"/>
        <w:jc w:val="both"/>
      </w:pPr>
      <w:r>
        <w:t xml:space="preserve">§ 3º Se o autor não se opuser, o juiz declarará satisfeita a obrigação e extinguirá o processo.</w:t>
      </w:r>
    </w:p>
    <w:bookmarkEnd w:id="266"/>
    <w:bookmarkStart w:id="267" w:name="art.-527"/>
    <w:p>
      <w:pPr>
        <w:pStyle w:val="Heading6"/>
        <w:pBdr>
          <w:left w:val="single" w:sz="36" w:space="4" w:color="2E75B6"/>
        </w:pBdr>
        <w:shd w:val="clear" w:color="auto" w:fill="E3EEF9"/>
        <w:spacing w:before="200" w:after="80"/>
        <w:ind w:left="85"/>
      </w:pPr>
      <w:r>
        <w:rPr>
          <w:i w:val="0"/>
          <w:color w:val="1F3A5F"/>
          <w:sz w:val="23"/>
        </w:rPr>
        <w:t xml:space="preserve">Art. 527</w:t>
      </w:r>
    </w:p>
    <w:p>
      <w:pPr>
        <w:pStyle w:val="FirstParagraph"/>
        <w:keepNext/>
        <w:spacing w:after="80"/>
        <w:jc w:val="both"/>
      </w:pPr>
      <w:r>
        <w:rPr>
          <w:b/>
          <w:bCs/>
        </w:rPr>
        <w:t xml:space="preserve">Art. 527.</w:t>
      </w:r>
      <w:r>
        <w:t xml:space="preserve"> </w:t>
      </w:r>
      <w:r>
        <w:t xml:space="preserve">Aplicam-se as disposições deste Capítulo ao cumprimento provisório da sentença, no que couber.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2791"/>
        <w:gridCol w:w="4907"/>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9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907"/>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55"/>
          </w:tcPr>
          <w:p>
            <w:pPr>
              <w:pStyle w:val="Compact"/>
              <w:spacing w:line="276" w:lineRule="auto" w:before="40" w:after="40"/>
            </w:pPr>
            <w:r>
              <w:rPr>
                <w:rFonts w:ascii="Liberation Sans Narrow" w:hAnsi="Liberation Sans Narrow"/>
                <w:sz w:val="18"/>
              </w:rPr>
              <w:t xml:space="preserve">Caput — alimentos provisórios e termo inicial</w:t>
            </w:r>
          </w:p>
        </w:tc>
        <w:tc>
          <w:tcPr>
            <w:tcW w:type="dxa" w:w="2792"/>
          </w:tcPr>
          <w:p>
            <w:pPr>
              <w:pStyle w:val="Compact"/>
              <w:spacing w:line="276" w:lineRule="auto" w:before="40" w:after="40"/>
            </w:pPr>
            <w:r>
              <w:rPr>
                <w:rFonts w:ascii="Liberation Sans Narrow" w:hAnsi="Liberation Sans Narrow"/>
                <w:sz w:val="18"/>
              </w:rPr>
              <w:t xml:space="preserve">STJ, REsp 2.235.890, Quarta Turma, relator Min. João Otávio de Noronha, julgado em 09/02/2026, DJEN de 13/02/2026</w:t>
            </w:r>
          </w:p>
        </w:tc>
        <w:tc>
          <w:tcPr>
            <w:tcW w:type="dxa" w:w="4907"/>
          </w:tcPr>
          <w:p>
            <w:pPr>
              <w:pStyle w:val="Compact"/>
              <w:spacing w:line="276" w:lineRule="auto" w:before="40" w:after="40"/>
            </w:pPr>
            <w:r>
              <w:rPr>
                <w:rFonts w:ascii="Liberation Sans Narrow" w:hAnsi="Liberation Sans Narrow"/>
                <w:sz w:val="18"/>
              </w:rPr>
              <w:t xml:space="preserve">A decisão que fixa ou altera alimentos provisórios retroage à data da citação, ainda que proferida incidentalmente, inclusive nas hipóteses de majoração ou redução do encargo, ressalvadas a irrepetibilidade dos valores pagos e a impossibilidade de compensar o excesso com prestações vincendas.</w:t>
            </w:r>
          </w:p>
        </w:tc>
      </w:tr>
    </w:tbl>
    <w:bookmarkEnd w:id="267"/>
    <w:bookmarkEnd w:id="268"/>
    <w:bookmarkStart w:id="275" w:name="X54881230a72dd68e5a1d36f5fc327b090f6a1f4"/>
    <w:p>
      <w:pPr>
        <w:pStyle w:val="Heading4"/>
        <w:spacing w:before="160" w:after="40"/>
      </w:pPr>
      <w:r>
        <w:rPr>
          <w:smallCaps/>
          <w:color w:val="2E75B6"/>
        </w:rPr>
        <w:t xml:space="preserve">Capítulo IV: do cumprimento de sentença que reconheça a exigibilidade de obrigação de prestar alimentos (arts. 528 a 533)</w:t>
      </w:r>
    </w:p>
    <w:bookmarkStart w:id="269" w:name="art.-528"/>
    <w:p>
      <w:pPr>
        <w:pStyle w:val="Heading6"/>
        <w:pBdr>
          <w:left w:val="single" w:sz="36" w:space="4" w:color="2E75B6"/>
        </w:pBdr>
        <w:shd w:val="clear" w:color="auto" w:fill="E3EEF9"/>
        <w:spacing w:before="200" w:after="80"/>
        <w:ind w:left="85"/>
      </w:pPr>
      <w:r>
        <w:rPr>
          <w:i w:val="0"/>
          <w:color w:val="1F3A5F"/>
          <w:sz w:val="23"/>
        </w:rPr>
        <w:t xml:space="preserve">Art. 528</w:t>
      </w:r>
    </w:p>
    <w:p>
      <w:pPr>
        <w:pStyle w:val="FirstParagraph"/>
        <w:keepNext/>
        <w:spacing w:after="80"/>
        <w:jc w:val="both"/>
      </w:pPr>
      <w:r>
        <w:rPr>
          <w:b/>
          <w:bCs/>
        </w:rPr>
        <w:t xml:space="preserve">Art. 528.</w:t>
      </w:r>
      <w:r>
        <w:t xml:space="preserve"> </w:t>
      </w:r>
      <w:r>
        <w:t xml:space="preserve">No cumprimento de sentença que condene ao pagamento de prestação alimentícia ou de decisão interlocutória que fixe alimentos, o juiz, a requerimento do exequente, mandará intimar o executado pessoalmente para, em 3 (três) dias, pagar o débito, provar que o fez ou justificar a impossibilidade de efetuá-lo.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83"/>
        <w:gridCol w:w="2664"/>
        <w:gridCol w:w="4607"/>
      </w:tblGrid>
      <w:tr>
        <w:trPr>
          <w:tblHeader w:val="on"/>
          <w:cantSplit/>
          <w:tblHeader/>
        </w:trPr>
        <w:tc>
          <w:tcPr>
            <w:tcW w:type="dxa" w:w="2083"/>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6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607"/>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83"/>
          </w:tcPr>
          <w:p>
            <w:pPr>
              <w:pStyle w:val="Compact"/>
              <w:spacing w:line="276" w:lineRule="auto" w:before="40" w:after="40"/>
            </w:pPr>
            <w:r>
              <w:rPr>
                <w:rFonts w:ascii="Liberation Sans Narrow" w:hAnsi="Liberation Sans Narrow"/>
                <w:sz w:val="18"/>
              </w:rPr>
              <w:t xml:space="preserve">Prisão civil suspensa na pandemia: constrição patrimonial sem conversão do rito</w:t>
            </w:r>
          </w:p>
        </w:tc>
        <w:tc>
          <w:tcPr>
            <w:tcW w:type="dxa" w:w="2664"/>
          </w:tcPr>
          <w:p>
            <w:pPr>
              <w:pStyle w:val="Compact"/>
              <w:spacing w:line="276" w:lineRule="auto" w:before="40" w:after="40"/>
            </w:pPr>
            <w:r>
              <w:rPr>
                <w:rFonts w:ascii="Liberation Sans Narrow" w:hAnsi="Liberation Sans Narrow"/>
                <w:sz w:val="18"/>
              </w:rPr>
              <w:t xml:space="preserve">STJ, REsp 1.914.052, Terceira Turma, relator Min. Marco Aurélio Bellizze, julgado em 22/06/2021, DJe de 28/06/2021</w:t>
            </w:r>
          </w:p>
        </w:tc>
        <w:tc>
          <w:tcPr>
            <w:tcW w:type="dxa" w:w="4607"/>
          </w:tcPr>
          <w:p>
            <w:pPr>
              <w:pStyle w:val="Compact"/>
              <w:spacing w:line="276" w:lineRule="auto" w:before="40" w:after="40"/>
            </w:pPr>
            <w:r>
              <w:rPr>
                <w:rFonts w:ascii="Liberation Sans Narrow" w:hAnsi="Liberation Sans Narrow"/>
                <w:sz w:val="18"/>
              </w:rPr>
              <w:t xml:space="preserve">No contexto da suspensão de todas as prisões civis por alimentos durante a pandemia, admitiu-se a constrição patrimonial do devedor sem converter o rito da prisão, em interpretação sistemático-teleológica para equilibrar a relação entre as partes. Em regra, quem opta pelo rito da prisão só alcança a penhora se o devedor não pagar mesmo depois da prisão (art. 530).</w:t>
            </w:r>
          </w:p>
        </w:tc>
      </w:tr>
    </w:tbl>
    <w:p>
      <w:pPr>
        <w:pStyle w:val="BodyText"/>
        <w:spacing w:after="80"/>
        <w:jc w:val="both"/>
      </w:pPr>
      <w:r>
        <w:t xml:space="preserve">§ 1º Caso o executado, no prazo referido no caput , não efetue o pagamento, não prove que o efetuou ou não apresente justificativa da impossibilidade de efetuá-lo, o juiz mandará protestar o pronunciamento judicial, aplicando-se, no que couber, o disposto no art. 517 .</w:t>
      </w:r>
    </w:p>
    <w:p>
      <w:pPr>
        <w:pStyle w:val="BodyText"/>
        <w:spacing w:after="80"/>
        <w:jc w:val="both"/>
      </w:pPr>
      <w:r>
        <w:t xml:space="preserve">§ 2º Somente a comprovação de fato que gere a impossibilidade absoluta de pagar justificará o inadimplemento.</w:t>
      </w:r>
    </w:p>
    <w:p>
      <w:pPr>
        <w:pStyle w:val="BodyText"/>
        <w:keepNext/>
        <w:spacing w:after="80"/>
        <w:jc w:val="both"/>
      </w:pPr>
      <w:r>
        <w:t xml:space="preserve">§ 3º Se o executado não pagar ou se a justificativa apresentada não for aceita, o juiz, além de mandar protestar o pronunciamento judicial na forma do § 1º, decretar-lhe-á a prisão pelo prazo de 1 (um) a 3 (três) meses.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38"/>
        <w:gridCol w:w="3041"/>
        <w:gridCol w:w="4075"/>
      </w:tblGrid>
      <w:tr>
        <w:trPr>
          <w:tblHeader w:val="on"/>
          <w:cantSplit/>
          <w:tblHeader/>
        </w:trPr>
        <w:tc>
          <w:tcPr>
            <w:tcW w:type="dxa" w:w="2238"/>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04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07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38"/>
          </w:tcPr>
          <w:p>
            <w:pPr>
              <w:pStyle w:val="Compact"/>
              <w:spacing w:line="276" w:lineRule="auto" w:before="40" w:after="40"/>
            </w:pPr>
            <w:r>
              <w:rPr>
                <w:rFonts w:ascii="Liberation Sans Narrow" w:hAnsi="Liberation Sans Narrow"/>
                <w:sz w:val="18"/>
              </w:rPr>
              <w:t xml:space="preserve">§ 3º — decretação da prisão: pagamento parcial e ação revisional</w:t>
            </w:r>
          </w:p>
        </w:tc>
        <w:tc>
          <w:tcPr>
            <w:tcW w:type="dxa" w:w="3041"/>
          </w:tcPr>
          <w:p>
            <w:pPr>
              <w:pStyle w:val="Compact"/>
              <w:spacing w:line="276" w:lineRule="auto" w:before="40" w:after="40"/>
            </w:pPr>
            <w:r>
              <w:rPr>
                <w:rFonts w:ascii="Liberation Sans Narrow" w:hAnsi="Liberation Sans Narrow"/>
                <w:sz w:val="18"/>
              </w:rPr>
              <w:t xml:space="preserve">STJ, AREsp 3.192.274, Quarta Turma, relator Min. João Otávio de Noronha, julgado em 12/08/2026</w:t>
            </w:r>
          </w:p>
        </w:tc>
        <w:tc>
          <w:tcPr>
            <w:tcW w:type="dxa" w:w="4075"/>
          </w:tcPr>
          <w:p>
            <w:pPr>
              <w:pStyle w:val="Compact"/>
              <w:spacing w:line="276" w:lineRule="auto" w:before="40" w:after="40"/>
            </w:pPr>
            <w:r>
              <w:rPr>
                <w:rFonts w:ascii="Liberation Sans Narrow" w:hAnsi="Liberation Sans Narrow"/>
                <w:sz w:val="18"/>
              </w:rPr>
              <w:t xml:space="preserve">O pagamento parcial do débito não afasta a prisão civil, e a ação revisional de alimentos não suspende a exigibilidade da obrigação alimentar.</w:t>
            </w:r>
          </w:p>
        </w:tc>
      </w:tr>
      <w:tr>
        <w:trPr>
          <w:cantSplit/>
        </w:trPr>
        <w:tc>
          <w:tcPr>
            <w:tcW w:type="dxa" w:w="2238"/>
          </w:tcPr>
          <w:p>
            <w:pPr>
              <w:pStyle w:val="Compact"/>
              <w:spacing w:line="276" w:lineRule="auto" w:before="40" w:after="40"/>
            </w:pPr>
            <w:r>
              <w:rPr>
                <w:rFonts w:ascii="Liberation Sans Narrow" w:hAnsi="Liberation Sans Narrow"/>
                <w:sz w:val="18"/>
              </w:rPr>
              <w:t xml:space="preserve">§§ 3º e 8º: prisão civil e conversão de ofício do rito (acórdão mais recente)</w:t>
            </w:r>
          </w:p>
        </w:tc>
        <w:tc>
          <w:tcPr>
            <w:tcW w:type="dxa" w:w="3041"/>
          </w:tcPr>
          <w:p>
            <w:pPr>
              <w:pStyle w:val="Compact"/>
              <w:spacing w:line="276" w:lineRule="auto" w:before="40" w:after="40"/>
            </w:pPr>
            <w:r>
              <w:rPr>
                <w:rFonts w:ascii="Liberation Sans Narrow" w:hAnsi="Liberation Sans Narrow"/>
                <w:sz w:val="18"/>
              </w:rPr>
              <w:t xml:space="preserve">STJ, REsp 2.236.955, Terceira Turma, relator Min. Ricardo Villas Bôas Cueva, julgado em 09/03/2026, DJEN de 12/03/2026</w:t>
            </w:r>
          </w:p>
        </w:tc>
        <w:tc>
          <w:tcPr>
            <w:tcW w:type="dxa" w:w="4075"/>
          </w:tcPr>
          <w:p>
            <w:pPr>
              <w:pStyle w:val="Compact"/>
              <w:spacing w:line="276" w:lineRule="auto" w:before="40" w:after="40"/>
            </w:pPr>
            <w:r>
              <w:rPr>
                <w:rFonts w:ascii="Liberation Sans Narrow" w:hAnsi="Liberation Sans Narrow"/>
                <w:sz w:val="18"/>
              </w:rPr>
              <w:t xml:space="preserve">Escolhido o procedimento que admite a prisão civil, não é possível convertê-lo de ofício para o rito da execução por quantia certa; o pagamento parcial do débito ou o decurso de tempo razoável desde o ajuizamento não afastam o caráter emergencial dos alimentos.</w:t>
            </w:r>
          </w:p>
        </w:tc>
      </w:tr>
      <w:tr>
        <w:trPr>
          <w:cantSplit/>
        </w:trPr>
        <w:tc>
          <w:tcPr>
            <w:tcW w:type="dxa" w:w="2238"/>
          </w:tcPr>
          <w:p>
            <w:pPr>
              <w:pStyle w:val="Compact"/>
              <w:spacing w:line="276" w:lineRule="auto" w:before="40" w:after="40"/>
            </w:pPr>
            <w:r>
              <w:rPr>
                <w:rFonts w:ascii="Liberation Sans Narrow" w:hAnsi="Liberation Sans Narrow"/>
                <w:sz w:val="18"/>
              </w:rPr>
              <w:t xml:space="preserve">§§ 3º e 8º: escolha do rito da prisão civil e vedação de conversão de ofício</w:t>
            </w:r>
          </w:p>
        </w:tc>
        <w:tc>
          <w:tcPr>
            <w:tcW w:type="dxa" w:w="3041"/>
          </w:tcPr>
          <w:p>
            <w:pPr>
              <w:pStyle w:val="Compact"/>
              <w:spacing w:line="276" w:lineRule="auto" w:before="40" w:after="40"/>
            </w:pPr>
            <w:r>
              <w:rPr>
                <w:rFonts w:ascii="Liberation Sans Narrow" w:hAnsi="Liberation Sans Narrow"/>
                <w:sz w:val="18"/>
              </w:rPr>
              <w:t xml:space="preserve">STJ, REsp 1.773.359, Terceira Turma, relator Min. Marco Aurélio Bellizze, julgado em 13/08/2019, DJe de 16/08/2019</w:t>
            </w:r>
          </w:p>
        </w:tc>
        <w:tc>
          <w:tcPr>
            <w:tcW w:type="dxa" w:w="4075"/>
          </w:tcPr>
          <w:p>
            <w:pPr>
              <w:pStyle w:val="Compact"/>
              <w:spacing w:line="276" w:lineRule="auto" w:before="40" w:after="40"/>
            </w:pPr>
            <w:r>
              <w:rPr>
                <w:rFonts w:ascii="Liberation Sans Narrow" w:hAnsi="Liberation Sans Narrow"/>
                <w:sz w:val="18"/>
              </w:rPr>
              <w:t xml:space="preserve">Feita a escolha do rito que admite a prisão civil, e observada a Súmula 309/STJ (três últimas prestações anteriores ao ajuizamento e as vincendas), o juiz não pode convertê-lo, de ofício, para o rito da execução por quantia certa (§ 8º). O pagamento parcial e o decurso de tempo razoável desde o ajuizamento não afastam o caráter urgente dos alimentos.</w:t>
            </w:r>
          </w:p>
        </w:tc>
      </w:tr>
    </w:tbl>
    <w:p>
      <w:pPr>
        <w:pStyle w:val="BodyText"/>
        <w:spacing w:after="80"/>
        <w:jc w:val="both"/>
      </w:pPr>
      <w:r>
        <w:t xml:space="preserve">§ 4º A prisão será cumprida em regime fechado, devendo o preso ficar separado dos presos comuns.</w:t>
      </w:r>
    </w:p>
    <w:p>
      <w:pPr>
        <w:pStyle w:val="BodyText"/>
        <w:spacing w:after="80"/>
        <w:jc w:val="both"/>
      </w:pPr>
      <w:r>
        <w:t xml:space="preserve">§ 5º O cumprimento da pena não exime o executado do pagamento das prestações vencidas e vincendas.</w:t>
      </w:r>
    </w:p>
    <w:p>
      <w:pPr>
        <w:pStyle w:val="BodyText"/>
        <w:spacing w:after="80"/>
        <w:jc w:val="both"/>
      </w:pPr>
      <w:r>
        <w:t xml:space="preserve">§ 6º Paga a prestação alimentícia, o juiz suspenderá o cumprimento da ordem de prisão.</w:t>
      </w:r>
    </w:p>
    <w:p>
      <w:pPr>
        <w:pStyle w:val="BodyText"/>
        <w:spacing w:after="80"/>
        <w:jc w:val="both"/>
      </w:pPr>
      <w:r>
        <w:t xml:space="preserve">§ 7º O débito alimentar que autoriza a prisão civil do alimentante é o que compreende até as 3 (três) prestações anteriores ao ajuizamento da execução e as que se vencerem no curso do processo.</w:t>
      </w:r>
    </w:p>
    <w:p>
      <w:pPr>
        <w:pStyle w:val="BodyText"/>
        <w:spacing w:after="80"/>
        <w:jc w:val="both"/>
      </w:pPr>
      <w:r>
        <w:t xml:space="preserve">§ 8º O exequente pode optar por promover o cumprimento da sentença ou decisão desde logo, nos termos do disposto neste Livro, Título II, Capítulo III, caso em que não será admissível a prisão do executado, e, recaindo a penhora em dinheiro, a concessão de efeito suspensivo à impugnação não obsta a que o exequente levante mensalmente a importância da prestação.</w:t>
      </w:r>
    </w:p>
    <w:p>
      <w:pPr>
        <w:pStyle w:val="BodyText"/>
        <w:spacing w:after="80"/>
        <w:jc w:val="both"/>
      </w:pPr>
      <w:r>
        <w:t xml:space="preserve">§ 9º Além das opções previstas no art. 516, parágrafo único, o exequente pode promover o cumprimento da sentença ou decisão que condena ao pagamento de prestação alimentícia no juízo de seu domicílio.</w:t>
      </w:r>
    </w:p>
    <w:bookmarkEnd w:id="269"/>
    <w:bookmarkStart w:id="270" w:name="art.-529"/>
    <w:p>
      <w:pPr>
        <w:pStyle w:val="Heading6"/>
        <w:pBdr>
          <w:left w:val="single" w:sz="36" w:space="4" w:color="2E75B6"/>
        </w:pBdr>
        <w:shd w:val="clear" w:color="auto" w:fill="E3EEF9"/>
        <w:spacing w:before="200" w:after="80"/>
        <w:ind w:left="85"/>
      </w:pPr>
      <w:r>
        <w:rPr>
          <w:i w:val="0"/>
          <w:color w:val="1F3A5F"/>
          <w:sz w:val="23"/>
        </w:rPr>
        <w:t xml:space="preserve">Art. 529</w:t>
      </w:r>
    </w:p>
    <w:p>
      <w:pPr>
        <w:pStyle w:val="FirstParagraph"/>
        <w:spacing w:after="80"/>
        <w:jc w:val="both"/>
      </w:pPr>
      <w:r>
        <w:rPr>
          <w:b/>
          <w:bCs/>
        </w:rPr>
        <w:t xml:space="preserve">Art. 529.</w:t>
      </w:r>
      <w:r>
        <w:t xml:space="preserve"> </w:t>
      </w:r>
      <w:r>
        <w:t xml:space="preserve">Quando o executado for funcionário público, militar, diretor ou gerente de empresa ou empregado sujeito à legislação do trabalho, o exequente poderá requerer o desconto em folha de pagamento da importância da prestação alimentícia.</w:t>
      </w:r>
    </w:p>
    <w:p>
      <w:pPr>
        <w:pStyle w:val="BodyText"/>
        <w:spacing w:after="80"/>
        <w:jc w:val="both"/>
      </w:pPr>
      <w:r>
        <w:t xml:space="preserve">§ 1º Ao proferir a decisão, o juiz oficiará à autoridade, à empresa ou ao empregador, determinando, sob pena de crime de desobediência, o desconto a partir da primeira remuneração posterior do executado, a contar do protocolo do ofício.</w:t>
      </w:r>
    </w:p>
    <w:p>
      <w:pPr>
        <w:pStyle w:val="BodyText"/>
        <w:spacing w:after="80"/>
        <w:jc w:val="both"/>
      </w:pPr>
      <w:r>
        <w:t xml:space="preserve">§ 2º O ofício conterá o nome e o número de inscrição no Cadastro de Pessoas Físicas do exequente e do executado, a importância a ser descontada mensalmente, o tempo de sua duração e a conta na qual deve ser feito o depósito.</w:t>
      </w:r>
    </w:p>
    <w:p>
      <w:pPr>
        <w:pStyle w:val="BodyText"/>
        <w:spacing w:after="80"/>
        <w:jc w:val="both"/>
      </w:pPr>
      <w:r>
        <w:t xml:space="preserve">§ 3º Sem prejuízo do pagamento dos alimentos vincendos, o débito objeto de execução pode ser descontado dos rendimentos ou rendas do executado, de forma parcelada, nos termos do caput deste artigo, contanto que, somado à parcela devida, não ultrapasse cinquenta por cento de seus ganhos líquidos.</w:t>
      </w:r>
    </w:p>
    <w:bookmarkEnd w:id="270"/>
    <w:bookmarkStart w:id="271" w:name="art.-530"/>
    <w:p>
      <w:pPr>
        <w:pStyle w:val="Heading6"/>
        <w:pBdr>
          <w:left w:val="single" w:sz="36" w:space="4" w:color="2E75B6"/>
        </w:pBdr>
        <w:shd w:val="clear" w:color="auto" w:fill="E3EEF9"/>
        <w:spacing w:before="200" w:after="80"/>
        <w:ind w:left="85"/>
      </w:pPr>
      <w:r>
        <w:rPr>
          <w:i w:val="0"/>
          <w:color w:val="1F3A5F"/>
          <w:sz w:val="23"/>
        </w:rPr>
        <w:t xml:space="preserve">Art. 530</w:t>
      </w:r>
    </w:p>
    <w:p>
      <w:pPr>
        <w:pStyle w:val="FirstParagraph"/>
        <w:keepNext/>
        <w:spacing w:after="80"/>
        <w:jc w:val="both"/>
      </w:pPr>
      <w:r>
        <w:rPr>
          <w:b/>
          <w:bCs/>
        </w:rPr>
        <w:t xml:space="preserve">Art. 530.</w:t>
      </w:r>
      <w:r>
        <w:t xml:space="preserve"> </w:t>
      </w:r>
      <w:r>
        <w:t xml:space="preserve">Não cumprida a obrigação, observar-se-á o disposto nos arts. 831 e seguintes.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97"/>
        <w:gridCol w:w="2979"/>
        <w:gridCol w:w="4778"/>
      </w:tblGrid>
      <w:tr>
        <w:trPr>
          <w:tblHeader w:val="on"/>
          <w:cantSplit/>
          <w:tblHeader/>
        </w:trPr>
        <w:tc>
          <w:tcPr>
            <w:tcW w:type="dxa" w:w="1597"/>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97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78"/>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97"/>
          </w:tcPr>
          <w:p>
            <w:pPr>
              <w:pStyle w:val="Compact"/>
              <w:spacing w:line="276" w:lineRule="auto" w:before="40" w:after="40"/>
            </w:pPr>
            <w:r>
              <w:rPr>
                <w:rFonts w:ascii="Liberation Sans Narrow" w:hAnsi="Liberation Sans Narrow"/>
                <w:sz w:val="18"/>
              </w:rPr>
              <w:t xml:space="preserve">Caput — orientação de aplicação (aplicação narrada)</w:t>
            </w:r>
          </w:p>
        </w:tc>
        <w:tc>
          <w:tcPr>
            <w:tcW w:type="dxa" w:w="2979"/>
          </w:tcPr>
          <w:p>
            <w:pPr>
              <w:pStyle w:val="Compact"/>
              <w:spacing w:line="276" w:lineRule="auto" w:before="40" w:after="40"/>
            </w:pPr>
            <w:r>
              <w:rPr>
                <w:rFonts w:ascii="Liberation Sans Narrow" w:hAnsi="Liberation Sans Narrow"/>
                <w:sz w:val="18"/>
              </w:rPr>
              <w:t xml:space="preserve">STJ, AgInt no recurso em</w:t>
            </w:r>
            <w:r>
              <w:rPr>
                <w:rFonts w:ascii="Liberation Sans Narrow" w:hAnsi="Liberation Sans Narrow"/>
                <w:sz w:val="18"/>
              </w:rPr>
              <w:t xml:space="preserve"> </w:t>
            </w:r>
            <w:r>
              <w:rPr>
                <w:rFonts w:ascii="Liberation Sans Narrow" w:hAnsi="Liberation Sans Narrow"/>
                <w:i/>
                <w:iCs/>
                <w:sz w:val="18"/>
              </w:rPr>
              <w:t xml:space="preserve">habeas corpus</w:t>
            </w:r>
            <w:r>
              <w:rPr>
                <w:rFonts w:ascii="Liberation Sans Narrow" w:hAnsi="Liberation Sans Narrow"/>
                <w:sz w:val="18"/>
              </w:rPr>
              <w:t xml:space="preserve"> </w:t>
            </w:r>
            <w:r>
              <w:rPr>
                <w:rFonts w:ascii="Liberation Sans Narrow" w:hAnsi="Liberation Sans Narrow"/>
                <w:sz w:val="18"/>
              </w:rPr>
              <w:t xml:space="preserve">(RHC) 228.585, Quarta Turma, relatora Min. Maria Isabel Gallotti, julgado em 12/08/2026</w:t>
            </w:r>
          </w:p>
        </w:tc>
        <w:tc>
          <w:tcPr>
            <w:tcW w:type="dxa" w:w="4778"/>
          </w:tcPr>
          <w:p>
            <w:pPr>
              <w:pStyle w:val="Compact"/>
              <w:spacing w:line="276" w:lineRule="auto" w:before="40" w:after="40"/>
            </w:pPr>
            <w:r>
              <w:rPr>
                <w:rFonts w:ascii="Liberation Sans Narrow" w:hAnsi="Liberation Sans Narrow"/>
                <w:sz w:val="18"/>
              </w:rPr>
              <w:t xml:space="preserve">No caso, não cumprida a obrigação alimentar, assentou-se que o caminho expropriatório dos arts. 831 e seguintes, para o qual remete este artigo, só se abre por opção do credor: a conversão do rito coercitivo (prisão civil do art. 528, § 3º, cabível enquanto subsistir débito atual) para o expropriatório não pode ser imposta de ofício pelo juiz. Trecho: “Subsistindo débito alimentar atual, revela-se cabível a prisão civil prevista no art.”</w:t>
            </w:r>
          </w:p>
        </w:tc>
      </w:tr>
    </w:tbl>
    <w:bookmarkEnd w:id="271"/>
    <w:bookmarkStart w:id="272" w:name="art.-531"/>
    <w:p>
      <w:pPr>
        <w:pStyle w:val="Heading6"/>
        <w:pBdr>
          <w:left w:val="single" w:sz="36" w:space="4" w:color="2E75B6"/>
        </w:pBdr>
        <w:shd w:val="clear" w:color="auto" w:fill="E3EEF9"/>
        <w:spacing w:before="200" w:after="80"/>
        <w:ind w:left="85"/>
      </w:pPr>
      <w:r>
        <w:rPr>
          <w:i w:val="0"/>
          <w:color w:val="1F3A5F"/>
          <w:sz w:val="23"/>
        </w:rPr>
        <w:t xml:space="preserve">Art. 531</w:t>
      </w:r>
    </w:p>
    <w:p>
      <w:pPr>
        <w:pStyle w:val="FirstParagraph"/>
        <w:spacing w:after="80"/>
        <w:jc w:val="both"/>
      </w:pPr>
      <w:r>
        <w:rPr>
          <w:b/>
          <w:bCs/>
        </w:rPr>
        <w:t xml:space="preserve">Art. 531.</w:t>
      </w:r>
      <w:r>
        <w:t xml:space="preserve"> </w:t>
      </w:r>
      <w:r>
        <w:t xml:space="preserve">O disposto neste Capítulo aplica-se aos alimentos definitivos ou provisórios.</w:t>
      </w:r>
    </w:p>
    <w:p>
      <w:pPr>
        <w:pStyle w:val="BodyText"/>
        <w:spacing w:after="80"/>
        <w:jc w:val="both"/>
      </w:pPr>
      <w:r>
        <w:t xml:space="preserve">§ 1º A execução dos alimentos provisórios, bem como a dos alimentos fixados em sentença ainda não transitada em julgado, se processa em autos apartados.</w:t>
      </w:r>
    </w:p>
    <w:p>
      <w:pPr>
        <w:pStyle w:val="BodyText"/>
        <w:keepNext/>
        <w:spacing w:after="80"/>
        <w:jc w:val="both"/>
      </w:pPr>
      <w:r>
        <w:t xml:space="preserve">§ 2º O cumprimento definitivo da obrigação de prestar alimentos será processado nos mesmos autos em que tenha sido proferida a sentença.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44"/>
        <w:gridCol w:w="2633"/>
        <w:gridCol w:w="4777"/>
      </w:tblGrid>
      <w:tr>
        <w:trPr>
          <w:tblHeader w:val="on"/>
          <w:cantSplit/>
          <w:tblHeader/>
        </w:trPr>
        <w:tc>
          <w:tcPr>
            <w:tcW w:type="dxa" w:w="1944"/>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3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77"/>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44"/>
          </w:tcPr>
          <w:p>
            <w:pPr>
              <w:pStyle w:val="Compact"/>
              <w:spacing w:line="276" w:lineRule="auto" w:before="40" w:after="40"/>
            </w:pPr>
            <w:r>
              <w:rPr>
                <w:rFonts w:ascii="Liberation Sans Narrow" w:hAnsi="Liberation Sans Narrow"/>
                <w:sz w:val="18"/>
              </w:rPr>
              <w:t xml:space="preserve">§ 2º: cumulação, no mesmo processo, de alimentos pretéritos e atuais</w:t>
            </w:r>
          </w:p>
        </w:tc>
        <w:tc>
          <w:tcPr>
            <w:tcW w:type="dxa" w:w="2633"/>
          </w:tcPr>
          <w:p>
            <w:pPr>
              <w:pStyle w:val="Compact"/>
              <w:spacing w:line="276" w:lineRule="auto" w:before="40" w:after="40"/>
            </w:pPr>
            <w:r>
              <w:rPr>
                <w:rFonts w:ascii="Liberation Sans Narrow" w:hAnsi="Liberation Sans Narrow"/>
                <w:sz w:val="18"/>
              </w:rPr>
              <w:t xml:space="preserve">STJ, REsp 2.004.516, Terceira Turma, relatora Min. Nancy Andrighi, julgado em 18/10/2022, DJe de 21/10/2022</w:t>
            </w:r>
          </w:p>
        </w:tc>
        <w:tc>
          <w:tcPr>
            <w:tcW w:type="dxa" w:w="4777"/>
          </w:tcPr>
          <w:p>
            <w:pPr>
              <w:pStyle w:val="Compact"/>
              <w:spacing w:line="276" w:lineRule="auto" w:before="40" w:after="40"/>
            </w:pPr>
            <w:r>
              <w:rPr>
                <w:rFonts w:ascii="Liberation Sans Narrow" w:hAnsi="Liberation Sans Narrow"/>
                <w:sz w:val="18"/>
              </w:rPr>
              <w:t xml:space="preserve">É possível cumular, no mesmo cumprimento de sentença, a cobrança dos alimentos pretéritos (penhora e expropriação) e dos atuais (coerção pessoal): o art. 780 se destina ao processo de execução de título extrajudicial, e o art. 531, § 2º, rege o cumprimento definitivo no mesmo processo. O art. 528, § 8º, só veda a prisão para os pretéritos, e exige que se especifiquem as parcelas de cada técnica.</w:t>
            </w:r>
          </w:p>
        </w:tc>
      </w:tr>
    </w:tbl>
    <w:bookmarkEnd w:id="272"/>
    <w:bookmarkStart w:id="273" w:name="art.-532"/>
    <w:p>
      <w:pPr>
        <w:pStyle w:val="Heading6"/>
        <w:pBdr>
          <w:left w:val="single" w:sz="36" w:space="4" w:color="2E75B6"/>
        </w:pBdr>
        <w:shd w:val="clear" w:color="auto" w:fill="E3EEF9"/>
        <w:spacing w:before="200" w:after="80"/>
        <w:ind w:left="85"/>
      </w:pPr>
      <w:r>
        <w:rPr>
          <w:i w:val="0"/>
          <w:color w:val="1F3A5F"/>
          <w:sz w:val="23"/>
        </w:rPr>
        <w:t xml:space="preserve">Art. 532</w:t>
      </w:r>
    </w:p>
    <w:p>
      <w:pPr>
        <w:pStyle w:val="FirstParagraph"/>
        <w:spacing w:after="80"/>
        <w:jc w:val="both"/>
      </w:pPr>
      <w:r>
        <w:rPr>
          <w:b/>
          <w:bCs/>
        </w:rPr>
        <w:t xml:space="preserve">Art. 532.</w:t>
      </w:r>
      <w:r>
        <w:t xml:space="preserve"> </w:t>
      </w:r>
      <w:r>
        <w:t xml:space="preserve">Verificada a conduta procrastinatória do executado, o juiz deverá, se for o caso, dar ciência ao Ministério Público dos indícios da prática do crime de abandono material.</w:t>
      </w:r>
    </w:p>
    <w:bookmarkEnd w:id="273"/>
    <w:bookmarkStart w:id="274" w:name="art.-533"/>
    <w:p>
      <w:pPr>
        <w:pStyle w:val="Heading6"/>
        <w:pBdr>
          <w:left w:val="single" w:sz="36" w:space="4" w:color="2E75B6"/>
        </w:pBdr>
        <w:shd w:val="clear" w:color="auto" w:fill="E3EEF9"/>
        <w:spacing w:before="200" w:after="80"/>
        <w:ind w:left="85"/>
      </w:pPr>
      <w:r>
        <w:rPr>
          <w:i w:val="0"/>
          <w:color w:val="1F3A5F"/>
          <w:sz w:val="23"/>
        </w:rPr>
        <w:t xml:space="preserve">Art. 533</w:t>
      </w:r>
    </w:p>
    <w:p>
      <w:pPr>
        <w:pStyle w:val="FirstParagraph"/>
        <w:keepNext/>
        <w:spacing w:after="80"/>
        <w:jc w:val="both"/>
      </w:pPr>
      <w:r>
        <w:rPr>
          <w:b/>
          <w:bCs/>
        </w:rPr>
        <w:t xml:space="preserve">Art. 533.</w:t>
      </w:r>
      <w:r>
        <w:t xml:space="preserve"> </w:t>
      </w:r>
      <w:r>
        <w:t xml:space="preserve">Quando a indenização por ato ilícito incluir prestação de alimentos, caberá ao executado, a requerimento do exequente, constituir capital cuja renda assegure o pagamento do valor mensal da pensão.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07"/>
        <w:gridCol w:w="2994"/>
        <w:gridCol w:w="4153"/>
      </w:tblGrid>
      <w:tr>
        <w:trPr>
          <w:tblHeader w:val="on"/>
          <w:cantSplit/>
          <w:tblHeader/>
        </w:trPr>
        <w:tc>
          <w:tcPr>
            <w:tcW w:type="dxa" w:w="2208"/>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99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15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08"/>
          </w:tcPr>
          <w:p>
            <w:pPr>
              <w:pStyle w:val="Compact"/>
              <w:spacing w:line="276" w:lineRule="auto" w:before="40" w:after="40"/>
            </w:pPr>
            <w:r>
              <w:rPr>
                <w:rFonts w:ascii="Liberation Sans Narrow" w:hAnsi="Liberation Sans Narrow"/>
                <w:sz w:val="18"/>
              </w:rPr>
              <w:t xml:space="preserve">Caput — constituição de capital a requerimento do exequente</w:t>
            </w:r>
          </w:p>
        </w:tc>
        <w:tc>
          <w:tcPr>
            <w:tcW w:type="dxa" w:w="2994"/>
          </w:tcPr>
          <w:p>
            <w:pPr>
              <w:pStyle w:val="Compact"/>
              <w:spacing w:line="276" w:lineRule="auto" w:before="40" w:after="40"/>
            </w:pPr>
            <w:r>
              <w:rPr>
                <w:rFonts w:ascii="Liberation Sans Narrow" w:hAnsi="Liberation Sans Narrow"/>
                <w:sz w:val="18"/>
              </w:rPr>
              <w:t xml:space="preserve">STJ, AREsp 3.070.969, Quarta Turma, relator Min. João Otávio de Noronha, julgado em 30/06/2026</w:t>
            </w:r>
          </w:p>
        </w:tc>
        <w:tc>
          <w:tcPr>
            <w:tcW w:type="dxa" w:w="4152"/>
          </w:tcPr>
          <w:p>
            <w:pPr>
              <w:pStyle w:val="Compact"/>
              <w:spacing w:line="276" w:lineRule="auto" w:before="40" w:after="40"/>
            </w:pPr>
            <w:r>
              <w:rPr>
                <w:rFonts w:ascii="Liberation Sans Narrow" w:hAnsi="Liberation Sans Narrow"/>
                <w:sz w:val="18"/>
              </w:rPr>
              <w:t xml:space="preserve">A constituição de capital prevista no art. 533 é devida em consonância com a Súmula 313 do STJ, independentemente da condição econômica do devedor.</w:t>
            </w:r>
          </w:p>
        </w:tc>
      </w:tr>
    </w:tbl>
    <w:p>
      <w:pPr>
        <w:pStyle w:val="BodyText"/>
        <w:spacing w:after="80"/>
        <w:jc w:val="both"/>
      </w:pPr>
      <w:r>
        <w:t xml:space="preserve">§ 1º O capital a que se refere o caput , representado por imóveis ou por direitos reais sobre imóveis suscetíveis de alienação, títulos da dívida pública ou aplicações financeiras em banco oficial, será inalienável e impenhorável enquanto durar a obrigação do executado, além de constituir-se em patrimônio de afetação.</w:t>
      </w:r>
    </w:p>
    <w:p>
      <w:pPr>
        <w:pStyle w:val="BodyText"/>
        <w:spacing w:after="80"/>
        <w:jc w:val="both"/>
      </w:pPr>
      <w:r>
        <w:t xml:space="preserve">§ 2º O juiz poderá substituir a constituição do capital pela inclusão do exequente em folha de pagamento de pessoa jurídica de notória capacidade econômica ou, a requerimento do executado, por fiança bancária ou garantia real, em valor a ser arbitrado de imediato pelo juiz.</w:t>
      </w:r>
    </w:p>
    <w:p>
      <w:pPr>
        <w:pStyle w:val="BodyText"/>
        <w:spacing w:after="80"/>
        <w:jc w:val="both"/>
      </w:pPr>
      <w:r>
        <w:t xml:space="preserve">§ 3º Se sobrevier modificação nas condições econômicas, poderá a parte requerer, conforme as circunstâncias, redução ou aumento da prestação.</w:t>
      </w:r>
    </w:p>
    <w:p>
      <w:pPr>
        <w:pStyle w:val="BodyText"/>
        <w:spacing w:after="80"/>
        <w:jc w:val="both"/>
      </w:pPr>
      <w:r>
        <w:t xml:space="preserve">§ 4º A prestação alimentícia poderá ser fixada tomando por base o salário-mínimo.</w:t>
      </w:r>
    </w:p>
    <w:p>
      <w:pPr>
        <w:pStyle w:val="BodyText"/>
        <w:spacing w:after="80"/>
        <w:jc w:val="both"/>
      </w:pPr>
      <w:r>
        <w:t xml:space="preserve">§ 5º Finda a obrigação de prestar alimentos, o juiz mandará liberar o capital, cessar o desconto em folha ou cancelar as garantias prestadas.</w:t>
      </w:r>
    </w:p>
    <w:bookmarkEnd w:id="274"/>
    <w:bookmarkEnd w:id="275"/>
    <w:bookmarkStart w:id="278" w:name="X276b2b3b0ba2776b63f6b219baaf57fb3950cc2"/>
    <w:p>
      <w:pPr>
        <w:pStyle w:val="Heading4"/>
        <w:spacing w:before="160" w:after="40"/>
      </w:pPr>
      <w:r>
        <w:rPr>
          <w:smallCaps/>
          <w:color w:val="2E75B6"/>
        </w:rPr>
        <w:t xml:space="preserve">Capítulo V: do cumprimento de sentença que reconheça a exigibilidade de obrigação de pagar quantia certa pela fazenda pública (arts. 534 a 535)</w:t>
      </w:r>
    </w:p>
    <w:bookmarkStart w:id="276" w:name="art.-534"/>
    <w:p>
      <w:pPr>
        <w:pStyle w:val="Heading6"/>
        <w:pBdr>
          <w:left w:val="single" w:sz="36" w:space="4" w:color="2E75B6"/>
        </w:pBdr>
        <w:shd w:val="clear" w:color="auto" w:fill="E3EEF9"/>
        <w:spacing w:before="200" w:after="80"/>
        <w:ind w:left="85"/>
      </w:pPr>
      <w:r>
        <w:rPr>
          <w:i w:val="0"/>
          <w:color w:val="1F3A5F"/>
          <w:sz w:val="23"/>
        </w:rPr>
        <w:t xml:space="preserve">Art. 534</w:t>
      </w:r>
    </w:p>
    <w:p>
      <w:pPr>
        <w:pStyle w:val="FirstParagraph"/>
        <w:keepNext/>
        <w:spacing w:after="80"/>
        <w:jc w:val="both"/>
      </w:pPr>
      <w:r>
        <w:rPr>
          <w:b/>
          <w:bCs/>
        </w:rPr>
        <w:t xml:space="preserve">Art. 534.</w:t>
      </w:r>
      <w:r>
        <w:t xml:space="preserve"> </w:t>
      </w:r>
      <w:r>
        <w:t xml:space="preserve">No cumprimento de sentença que impuser à Fazenda Pública o dever de pagar quantia certa, o exequente apresentará demonstrativo discriminado e atualizado do crédito contendo: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425"/>
        <w:gridCol w:w="3152"/>
        <w:gridCol w:w="3776"/>
      </w:tblGrid>
      <w:tr>
        <w:trPr>
          <w:tblHeader w:val="on"/>
          <w:cantSplit/>
          <w:tblHeader/>
        </w:trPr>
        <w:tc>
          <w:tcPr>
            <w:tcW w:type="dxa" w:w="2426"/>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15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377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426"/>
          </w:tcPr>
          <w:p>
            <w:pPr>
              <w:pStyle w:val="Compact"/>
              <w:spacing w:line="276" w:lineRule="auto" w:before="40" w:after="40"/>
            </w:pPr>
            <w:r>
              <w:rPr>
                <w:rFonts w:ascii="Liberation Sans Narrow" w:hAnsi="Liberation Sans Narrow"/>
                <w:sz w:val="18"/>
              </w:rPr>
              <w:t xml:space="preserve">Cumprimento contra a Fazenda Pública: prescrição da pretensão executória e obrigação de implantar em folha</w:t>
            </w:r>
          </w:p>
        </w:tc>
        <w:tc>
          <w:tcPr>
            <w:tcW w:type="dxa" w:w="3152"/>
          </w:tcPr>
          <w:p>
            <w:pPr>
              <w:pStyle w:val="Compact"/>
              <w:spacing w:line="276" w:lineRule="auto" w:before="40" w:after="40"/>
            </w:pPr>
            <w:r>
              <w:rPr>
                <w:rFonts w:ascii="Liberation Sans Narrow" w:hAnsi="Liberation Sans Narrow"/>
                <w:sz w:val="18"/>
              </w:rPr>
              <w:t xml:space="preserve">STJ, Tema Repetitivo 1311, REsp 2.057.984, Primeira Seção, relatora Min. Maria Thereza de Assis Moura, julgado em 11/06/2025, DJEN de 16/06/2025</w:t>
            </w:r>
          </w:p>
        </w:tc>
        <w:tc>
          <w:tcPr>
            <w:tcW w:type="dxa" w:w="3776"/>
          </w:tcPr>
          <w:p>
            <w:pPr>
              <w:pStyle w:val="Compact"/>
              <w:spacing w:line="276" w:lineRule="auto" w:before="40" w:after="40"/>
            </w:pPr>
            <w:r>
              <w:rPr>
                <w:rFonts w:ascii="Liberation Sans Narrow" w:hAnsi="Liberation Sans Narrow"/>
                <w:sz w:val="18"/>
              </w:rPr>
              <w:t xml:space="preserve">O curso do prazo prescricional da obrigação de pagar quantia certa pela fazenda pública não é suspenso durante o cumprimento da obrigação de implantar em folha de pagamento imposta na mesma sentença.</w:t>
            </w:r>
          </w:p>
        </w:tc>
      </w:tr>
      <w:tr>
        <w:trPr>
          <w:cantSplit/>
        </w:trPr>
        <w:tc>
          <w:tcPr>
            <w:tcW w:type="dxa" w:w="2426"/>
          </w:tcPr>
          <w:p>
            <w:pPr>
              <w:pStyle w:val="Compact"/>
              <w:spacing w:line="276" w:lineRule="auto" w:before="40" w:after="40"/>
            </w:pPr>
            <w:r>
              <w:rPr>
                <w:rFonts w:ascii="Liberation Sans Narrow" w:hAnsi="Liberation Sans Narrow"/>
                <w:sz w:val="18"/>
              </w:rPr>
              <w:t xml:space="preserve">Cumprimento de sentença contra a Fazenda Pública sem impugnação: honorários</w:t>
            </w:r>
          </w:p>
        </w:tc>
        <w:tc>
          <w:tcPr>
            <w:tcW w:type="dxa" w:w="3152"/>
          </w:tcPr>
          <w:p>
            <w:pPr>
              <w:pStyle w:val="Compact"/>
              <w:spacing w:line="276" w:lineRule="auto" w:before="40" w:after="40"/>
            </w:pPr>
            <w:r>
              <w:rPr>
                <w:rFonts w:ascii="Liberation Sans Narrow" w:hAnsi="Liberation Sans Narrow"/>
                <w:sz w:val="18"/>
              </w:rPr>
              <w:t xml:space="preserve">STJ, Tema Repetitivo 1190, REsp 2.029.636, Primeira Seção, relator Min. Herman Benjamin, julgado em 20/06/2024, DJe de 01/07/2024</w:t>
            </w:r>
          </w:p>
        </w:tc>
        <w:tc>
          <w:tcPr>
            <w:tcW w:type="dxa" w:w="3776"/>
          </w:tcPr>
          <w:p>
            <w:pPr>
              <w:pStyle w:val="Compact"/>
              <w:spacing w:line="276" w:lineRule="auto" w:before="40" w:after="40"/>
            </w:pPr>
            <w:r>
              <w:rPr>
                <w:rFonts w:ascii="Liberation Sans Narrow" w:hAnsi="Liberation Sans Narrow"/>
                <w:sz w:val="18"/>
              </w:rPr>
              <w:t xml:space="preserve">Na ausência de impugnação à pretensão executória, não são devidos honorários advocatícios sucumbenciais em cumprimento de sentença contra a Fazenda Pública, ainda que o crédito esteja submetido a pagamento por meio de Requisição de Pequeno Valor - RPV.</w:t>
            </w:r>
          </w:p>
        </w:tc>
      </w:tr>
      <w:tr>
        <w:trPr>
          <w:cantSplit/>
        </w:trPr>
        <w:tc>
          <w:tcPr>
            <w:tcW w:type="dxa" w:w="2426"/>
          </w:tcPr>
          <w:p>
            <w:pPr>
              <w:pStyle w:val="Compact"/>
              <w:spacing w:line="276" w:lineRule="auto" w:before="40" w:after="40"/>
            </w:pPr>
            <w:r>
              <w:rPr>
                <w:rFonts w:ascii="Liberation Sans Narrow" w:hAnsi="Liberation Sans Narrow"/>
                <w:sz w:val="18"/>
              </w:rPr>
              <w:t xml:space="preserve">Cumprimento contra a Fazenda sem impugnação: honorários e requisição de pequeno valor</w:t>
            </w:r>
          </w:p>
        </w:tc>
        <w:tc>
          <w:tcPr>
            <w:tcW w:type="dxa" w:w="3152"/>
          </w:tcPr>
          <w:p>
            <w:pPr>
              <w:pStyle w:val="Compact"/>
              <w:spacing w:line="276" w:lineRule="auto" w:before="40" w:after="40"/>
            </w:pPr>
            <w:r>
              <w:rPr>
                <w:rFonts w:ascii="Liberation Sans Narrow" w:hAnsi="Liberation Sans Narrow"/>
                <w:sz w:val="18"/>
              </w:rPr>
              <w:t xml:space="preserve">STF, ACO 1.051, Tribunal Pleno, relator Min. Nunes Marques, julgado em 26/08/2024</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3776"/>
          </w:tcPr>
          <w:p>
            <w:pPr>
              <w:pStyle w:val="Compact"/>
              <w:spacing w:line="276" w:lineRule="auto" w:before="40" w:after="40"/>
            </w:pPr>
            <w:r>
              <w:rPr>
                <w:rFonts w:ascii="Liberation Sans Narrow" w:hAnsi="Liberation Sans Narrow"/>
                <w:sz w:val="18"/>
              </w:rPr>
              <w:t xml:space="preserve">Não são devidos honorários advocatícios em cumprimento de sentença contra a Fazenda Pública sem impugnação; a lógica do art. 85, § 7º, vale tanto para precatório quanto para requisição de pequeno valor, pois a Fazenda não pode pagar de imediato.</w:t>
            </w:r>
          </w:p>
        </w:tc>
      </w:tr>
    </w:tbl>
    <w:p>
      <w:pPr>
        <w:pStyle w:val="BodyText"/>
        <w:spacing w:after="80"/>
        <w:jc w:val="both"/>
      </w:pPr>
      <w:r>
        <w:t xml:space="preserve">I - o nome completo e o número de inscrição no Cadastro de Pessoas Físicas ou no Cadastro Nacional da Pessoa Jurídica do exequente;</w:t>
      </w:r>
    </w:p>
    <w:p>
      <w:pPr>
        <w:pStyle w:val="BodyText"/>
        <w:spacing w:after="80"/>
        <w:jc w:val="both"/>
      </w:pPr>
      <w:r>
        <w:t xml:space="preserve">II - o índice de correção monetária adotado;</w:t>
      </w:r>
    </w:p>
    <w:p>
      <w:pPr>
        <w:pStyle w:val="BodyText"/>
        <w:spacing w:after="80"/>
        <w:jc w:val="both"/>
      </w:pPr>
      <w:r>
        <w:t xml:space="preserve">III - os juros aplicados e as respectivas taxas;</w:t>
      </w:r>
    </w:p>
    <w:p>
      <w:pPr>
        <w:pStyle w:val="BodyText"/>
        <w:spacing w:after="80"/>
        <w:jc w:val="both"/>
      </w:pPr>
      <w:r>
        <w:t xml:space="preserve">IV - o termo inicial e o termo final dos juros e da correção monetária utilizados;</w:t>
      </w:r>
    </w:p>
    <w:p>
      <w:pPr>
        <w:pStyle w:val="BodyText"/>
        <w:spacing w:after="80"/>
        <w:jc w:val="both"/>
      </w:pPr>
      <w:r>
        <w:t xml:space="preserve">V - a periodicidade da capitalização dos juros, se for o caso;</w:t>
      </w:r>
    </w:p>
    <w:p>
      <w:pPr>
        <w:pStyle w:val="BodyText"/>
        <w:spacing w:after="80"/>
        <w:jc w:val="both"/>
      </w:pPr>
      <w:r>
        <w:t xml:space="preserve">VI - a especificação dos eventuais descontos obrigatórios realizados.</w:t>
      </w:r>
    </w:p>
    <w:p>
      <w:pPr>
        <w:pStyle w:val="BodyText"/>
        <w:spacing w:after="80"/>
        <w:jc w:val="both"/>
      </w:pPr>
      <w:r>
        <w:t xml:space="preserve">§ 1º Havendo pluralidade de exequentes, cada um deverá apresentar o seu próprio demonstrativo, aplicando-se à hipótese, se for o caso, o disposto nos §§ 1º e 2º do art. 113.</w:t>
      </w:r>
    </w:p>
    <w:p>
      <w:pPr>
        <w:pStyle w:val="BodyText"/>
        <w:spacing w:after="80"/>
        <w:jc w:val="both"/>
      </w:pPr>
      <w:r>
        <w:t xml:space="preserve">§ 2º A multa prevista no § 1º do art. 523 não se aplica à Fazenda Pública.</w:t>
      </w:r>
    </w:p>
    <w:bookmarkEnd w:id="276"/>
    <w:bookmarkStart w:id="277" w:name="art.-535"/>
    <w:p>
      <w:pPr>
        <w:pStyle w:val="Heading6"/>
        <w:pBdr>
          <w:left w:val="single" w:sz="36" w:space="4" w:color="2E75B6"/>
        </w:pBdr>
        <w:shd w:val="clear" w:color="auto" w:fill="E3EEF9"/>
        <w:spacing w:before="200" w:after="80"/>
        <w:ind w:left="85"/>
      </w:pPr>
      <w:r>
        <w:rPr>
          <w:i w:val="0"/>
          <w:color w:val="1F3A5F"/>
          <w:sz w:val="23"/>
        </w:rPr>
        <w:t xml:space="preserve">Art. 535</w:t>
      </w:r>
    </w:p>
    <w:p>
      <w:pPr>
        <w:pStyle w:val="FirstParagraph"/>
        <w:keepNext/>
        <w:spacing w:after="80"/>
        <w:jc w:val="both"/>
      </w:pPr>
      <w:r>
        <w:rPr>
          <w:b/>
          <w:bCs/>
        </w:rPr>
        <w:t xml:space="preserve">Art. 535.</w:t>
      </w:r>
      <w:r>
        <w:t xml:space="preserve"> </w:t>
      </w:r>
      <w:r>
        <w:t xml:space="preserve">A Fazenda Pública será intimada na pessoa de seu representante judicial, por carga, remessa ou meio eletrônico, para, querendo, no prazo de 30 (trinta) dias e nos próprios autos, impugnar a execução, podendo arguir: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803"/>
        <w:gridCol w:w="3090"/>
        <w:gridCol w:w="4462"/>
      </w:tblGrid>
      <w:tr>
        <w:trPr>
          <w:tblHeader w:val="on"/>
          <w:cantSplit/>
          <w:tblHeader/>
        </w:trPr>
        <w:tc>
          <w:tcPr>
            <w:tcW w:type="dxa" w:w="1803"/>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09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46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803"/>
          </w:tcPr>
          <w:p>
            <w:pPr>
              <w:pStyle w:val="Compact"/>
              <w:spacing w:line="276" w:lineRule="auto" w:before="40" w:after="40"/>
            </w:pPr>
            <w:r>
              <w:rPr>
                <w:rFonts w:ascii="Liberation Sans Narrow" w:hAnsi="Liberation Sans Narrow"/>
                <w:sz w:val="18"/>
              </w:rPr>
              <w:t xml:space="preserve">Ação rescisória e modulação de efeitos do STF (Tema 69): honorários</w:t>
            </w:r>
          </w:p>
        </w:tc>
        <w:tc>
          <w:tcPr>
            <w:tcW w:type="dxa" w:w="3090"/>
          </w:tcPr>
          <w:p>
            <w:pPr>
              <w:pStyle w:val="Compact"/>
              <w:spacing w:line="276" w:lineRule="auto" w:before="40" w:after="40"/>
            </w:pPr>
            <w:r>
              <w:rPr>
                <w:rFonts w:ascii="Liberation Sans Narrow" w:hAnsi="Liberation Sans Narrow"/>
                <w:sz w:val="18"/>
              </w:rPr>
              <w:t xml:space="preserve">STJ, Tema Repetitivo 1419, REsp 2.222.626, Primeira Seção, relatora Min. Maria Thereza de Assis Moura, julgado em 20/08/2026, DJEN de 27/08/2026</w:t>
            </w:r>
          </w:p>
        </w:tc>
        <w:tc>
          <w:tcPr>
            <w:tcW w:type="dxa" w:w="4462"/>
          </w:tcPr>
          <w:p>
            <w:pPr>
              <w:pStyle w:val="Compact"/>
              <w:spacing w:line="276" w:lineRule="auto" w:before="40" w:after="40"/>
            </w:pPr>
            <w:r>
              <w:rPr>
                <w:rFonts w:ascii="Liberation Sans Narrow" w:hAnsi="Liberation Sans Narrow"/>
                <w:sz w:val="18"/>
              </w:rPr>
              <w:t xml:space="preserve">A decisão que, para aplicar a modulação de efeitos realizada pelo STF no Tema 69 da repercussão geral, julga procedente ação rescisória contestada até 11/9/2024 não deve condenar ao pagamento de honorários advocatícios de sucumbência.</w:t>
            </w:r>
          </w:p>
        </w:tc>
      </w:tr>
    </w:tbl>
    <w:p>
      <w:pPr>
        <w:pStyle w:val="BodyText"/>
        <w:spacing w:after="80"/>
        <w:jc w:val="both"/>
      </w:pPr>
      <w:r>
        <w:t xml:space="preserve">I - falta ou nulidade da citação se, na fase de conhecimento, o processo correu à revelia;</w:t>
      </w:r>
    </w:p>
    <w:p>
      <w:pPr>
        <w:pStyle w:val="BodyText"/>
        <w:spacing w:after="80"/>
        <w:jc w:val="both"/>
      </w:pPr>
      <w:r>
        <w:t xml:space="preserve">II - ilegitimidade de parte;</w:t>
      </w:r>
    </w:p>
    <w:p>
      <w:pPr>
        <w:pStyle w:val="BodyText"/>
        <w:spacing w:after="80"/>
        <w:jc w:val="both"/>
      </w:pPr>
      <w:r>
        <w:t xml:space="preserve">III - inexequibilidade do título ou inexigibilidade da obrigação;</w:t>
      </w:r>
    </w:p>
    <w:p>
      <w:pPr>
        <w:pStyle w:val="BodyText"/>
        <w:spacing w:after="80"/>
        <w:jc w:val="both"/>
      </w:pPr>
      <w:r>
        <w:t xml:space="preserve">IV - excesso de execução ou cumulação indevida de execuções;</w:t>
      </w:r>
    </w:p>
    <w:p>
      <w:pPr>
        <w:pStyle w:val="BodyText"/>
        <w:spacing w:after="80"/>
        <w:jc w:val="both"/>
      </w:pPr>
      <w:r>
        <w:t xml:space="preserve">V - incompetência absoluta ou relativa do juízo da execução;</w:t>
      </w:r>
    </w:p>
    <w:p>
      <w:pPr>
        <w:pStyle w:val="BodyText"/>
        <w:spacing w:after="80"/>
        <w:jc w:val="both"/>
      </w:pPr>
      <w:r>
        <w:t xml:space="preserve">VI - qualquer causa modificativa ou extintiva da obrigação, como pagamento, novação, compensação, transação ou prescrição, desde que supervenientes ao trânsito em julgado da sentença.</w:t>
      </w:r>
    </w:p>
    <w:p>
      <w:pPr>
        <w:pStyle w:val="BodyText"/>
        <w:spacing w:after="80"/>
        <w:jc w:val="both"/>
      </w:pPr>
      <w:r>
        <w:t xml:space="preserve">§ 1º A alegação de impedimento ou suspeição observará o disposto nos arts. 146 e 148.</w:t>
      </w:r>
    </w:p>
    <w:p>
      <w:pPr>
        <w:pStyle w:val="BodyText"/>
        <w:spacing w:after="80"/>
        <w:jc w:val="both"/>
      </w:pPr>
      <w:r>
        <w:t xml:space="preserve">§ 2º Quando se alegar que o exequente, em excesso de execução, pleiteia quantia superior à resultante do título, cumprirá à executada declarar de imediato o valor que entende correto, sob pena de não conhecimento da arguição.</w:t>
      </w:r>
    </w:p>
    <w:p>
      <w:pPr>
        <w:pStyle w:val="BodyText"/>
        <w:spacing w:after="80"/>
        <w:jc w:val="both"/>
      </w:pPr>
      <w:r>
        <w:t xml:space="preserve">§ 3º Não impugnada a execução ou rejeitadas as arguições da executada:</w:t>
      </w:r>
    </w:p>
    <w:p>
      <w:pPr>
        <w:pStyle w:val="BodyText"/>
        <w:spacing w:after="80"/>
        <w:jc w:val="both"/>
      </w:pPr>
      <w:r>
        <w:t xml:space="preserve">I - expedir-se-á, por intermédio do presidente do tribunal competente, precatório em favor do exequente, observando-se o disposto na Constituição Federal;</w:t>
      </w:r>
    </w:p>
    <w:p>
      <w:pPr>
        <w:pStyle w:val="BodyText"/>
        <w:keepNext/>
        <w:spacing w:after="80"/>
        <w:jc w:val="both"/>
      </w:pPr>
      <w:r>
        <w:t xml:space="preserve">II - por ordem do juiz, dirigida à autoridade na pessoa de quem o ente público foi citado para o processo, o pagamento de obrigação de pequeno valor será realizado no prazo de 2 (dois) meses contado da entrega da requisição, mediante depósito na agência de banco oficial mais próxima da residência do exequente. (Vide ADI 5534) (Vide ADI nº 5492)</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23"/>
        <w:gridCol w:w="2503"/>
        <w:gridCol w:w="4628"/>
      </w:tblGrid>
      <w:tr>
        <w:trPr>
          <w:tblHeader w:val="on"/>
          <w:cantSplit/>
          <w:tblHeader/>
        </w:trPr>
        <w:tc>
          <w:tcPr>
            <w:tcW w:type="dxa" w:w="2223"/>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0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628"/>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23"/>
          </w:tcPr>
          <w:p>
            <w:pPr>
              <w:pStyle w:val="Compact"/>
              <w:spacing w:line="276" w:lineRule="auto" w:before="40" w:after="40"/>
            </w:pPr>
            <w:r>
              <w:rPr>
                <w:rFonts w:ascii="Liberation Sans Narrow" w:hAnsi="Liberation Sans Narrow"/>
                <w:sz w:val="18"/>
              </w:rPr>
              <w:t xml:space="preserve">§ 3º, II: depósito em</w:t>
            </w:r>
            <w:r>
              <w:rPr>
                <w:rFonts w:ascii="Liberation Sans Narrow" w:hAnsi="Liberation Sans Narrow"/>
                <w:sz w:val="18"/>
              </w:rPr>
              <w:t xml:space="preserve"> </w:t>
            </w:r>
            <w:r>
              <w:rPr>
                <w:rFonts w:ascii="Liberation Sans Narrow" w:hAnsi="Liberation Sans Narrow"/>
                <w:sz w:val="18"/>
              </w:rPr>
              <w:t xml:space="preserve">“agência de banco oficial”</w:t>
            </w:r>
          </w:p>
        </w:tc>
        <w:tc>
          <w:tcPr>
            <w:tcW w:type="dxa" w:w="2503"/>
          </w:tcPr>
          <w:p>
            <w:pPr>
              <w:pStyle w:val="Compact"/>
              <w:spacing w:line="276" w:lineRule="auto" w:before="40" w:after="40"/>
            </w:pPr>
            <w:r>
              <w:rPr>
                <w:rFonts w:ascii="Liberation Sans Narrow" w:hAnsi="Liberation Sans Narrow"/>
                <w:sz w:val="18"/>
              </w:rPr>
              <w:t xml:space="preserve">STF, ADI 5.492, Tribunal Pleno, relator Min. Dias Toffoli, julgado em 24/04/2023</w:t>
            </w:r>
          </w:p>
        </w:tc>
        <w:tc>
          <w:tcPr>
            <w:tcW w:type="dxa" w:w="4628"/>
          </w:tcPr>
          <w:p>
            <w:pPr>
              <w:pStyle w:val="Compact"/>
              <w:spacing w:line="276" w:lineRule="auto" w:before="40" w:after="40"/>
            </w:pPr>
            <w:r>
              <w:rPr>
                <w:rFonts w:ascii="Liberation Sans Narrow" w:hAnsi="Liberation Sans Narrow"/>
                <w:sz w:val="18"/>
              </w:rPr>
              <w:t xml:space="preserve">Declarada a inconstitucionalidade da expressão</w:t>
            </w:r>
            <w:r>
              <w:rPr>
                <w:rFonts w:ascii="Liberation Sans Narrow" w:hAnsi="Liberation Sans Narrow"/>
                <w:sz w:val="18"/>
              </w:rPr>
              <w:t xml:space="preserve"> </w:t>
            </w:r>
            <w:r>
              <w:rPr>
                <w:rFonts w:ascii="Liberation Sans Narrow" w:hAnsi="Liberation Sans Narrow"/>
                <w:sz w:val="18"/>
              </w:rPr>
              <w:t xml:space="preserve">“de banco oficial”</w:t>
            </w:r>
            <w:r>
              <w:rPr>
                <w:rFonts w:ascii="Liberation Sans Narrow" w:hAnsi="Liberation Sans Narrow"/>
                <w:sz w:val="18"/>
              </w:rPr>
              <w:t xml:space="preserve"> </w:t>
            </w:r>
            <w:r>
              <w:rPr>
                <w:rFonts w:ascii="Liberation Sans Narrow" w:hAnsi="Liberation Sans Narrow"/>
                <w:sz w:val="18"/>
              </w:rPr>
              <w:t xml:space="preserve">do art. 535, § 3º, II, com interpretação conforme: a</w:t>
            </w:r>
            <w:r>
              <w:rPr>
                <w:rFonts w:ascii="Liberation Sans Narrow" w:hAnsi="Liberation Sans Narrow"/>
                <w:sz w:val="18"/>
              </w:rPr>
              <w:t xml:space="preserve"> </w:t>
            </w:r>
            <w:r>
              <w:rPr>
                <w:rFonts w:ascii="Liberation Sans Narrow" w:hAnsi="Liberation Sans Narrow"/>
                <w:sz w:val="18"/>
              </w:rPr>
              <w:t xml:space="preserve">“agência”</w:t>
            </w:r>
            <w:r>
              <w:rPr>
                <w:rFonts w:ascii="Liberation Sans Narrow" w:hAnsi="Liberation Sans Narrow"/>
                <w:sz w:val="18"/>
              </w:rPr>
              <w:t xml:space="preserve"> </w:t>
            </w:r>
            <w:r>
              <w:rPr>
                <w:rFonts w:ascii="Liberation Sans Narrow" w:hAnsi="Liberation Sans Narrow"/>
                <w:sz w:val="18"/>
              </w:rPr>
              <w:t xml:space="preserve">pode ser de instituição financeira pública ou privada. A ementa registra que a Constituição não exige o depósito em banco público dos valores referidos nos arts. 840, I, e 535, § 3º, II.</w:t>
            </w:r>
          </w:p>
        </w:tc>
      </w:tr>
      <w:tr>
        <w:trPr>
          <w:cantSplit/>
        </w:trPr>
        <w:tc>
          <w:tcPr>
            <w:tcW w:type="dxa" w:w="2223"/>
          </w:tcPr>
          <w:p>
            <w:pPr>
              <w:pStyle w:val="Compact"/>
              <w:spacing w:line="276" w:lineRule="auto" w:before="40" w:after="40"/>
            </w:pPr>
            <w:r>
              <w:rPr>
                <w:rFonts w:ascii="Liberation Sans Narrow" w:hAnsi="Liberation Sans Narrow"/>
                <w:sz w:val="18"/>
              </w:rPr>
              <w:t xml:space="preserve">§ 3º, II: prazo para pagamento da obrigação de pequeno valor (competência legislativa)</w:t>
            </w:r>
          </w:p>
        </w:tc>
        <w:tc>
          <w:tcPr>
            <w:tcW w:type="dxa" w:w="2503"/>
          </w:tcPr>
          <w:p>
            <w:pPr>
              <w:pStyle w:val="Compact"/>
              <w:spacing w:line="276" w:lineRule="auto" w:before="40" w:after="40"/>
            </w:pPr>
            <w:r>
              <w:rPr>
                <w:rFonts w:ascii="Liberation Sans Narrow" w:hAnsi="Liberation Sans Narrow"/>
                <w:sz w:val="18"/>
              </w:rPr>
              <w:t xml:space="preserve">STF, ADI 5.534, Tribunal Pleno, relator Min. Dias Toffoli, julgado em 19/12/2020</w:t>
            </w:r>
          </w:p>
        </w:tc>
        <w:tc>
          <w:tcPr>
            <w:tcW w:type="dxa" w:w="4628"/>
          </w:tcPr>
          <w:p>
            <w:pPr>
              <w:pStyle w:val="Compact"/>
              <w:spacing w:line="276" w:lineRule="auto" w:before="40" w:after="40"/>
            </w:pPr>
            <w:r>
              <w:rPr>
                <w:rFonts w:ascii="Liberation Sans Narrow" w:hAnsi="Liberation Sans Narrow"/>
                <w:sz w:val="18"/>
              </w:rPr>
              <w:t xml:space="preserve">Julgada parcialmente procedente. O art. 535, § 3º, II, tem natureza processual e a competência para dispor sobre o prazo de pagamento da requisição de pequeno valor é privativa da União; a autonomia dos estados limita-se a fixar o valor referencial. Declarada a constitucionalidade do dispositivo.</w:t>
            </w:r>
          </w:p>
        </w:tc>
      </w:tr>
    </w:tbl>
    <w:p>
      <w:pPr>
        <w:pStyle w:val="BodyText"/>
        <w:keepNext/>
        <w:spacing w:after="80"/>
        <w:jc w:val="both"/>
      </w:pPr>
      <w:r>
        <w:t xml:space="preserve">§ 4º Tratando-se de impugnação parcial, a parte não questionada pela executada será, desde logo, objeto de cumprimento. (Vide ADI 5534)</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23"/>
        <w:gridCol w:w="2401"/>
        <w:gridCol w:w="4730"/>
      </w:tblGrid>
      <w:tr>
        <w:trPr>
          <w:tblHeader w:val="on"/>
          <w:cantSplit/>
          <w:tblHeader/>
        </w:trPr>
        <w:tc>
          <w:tcPr>
            <w:tcW w:type="dxa" w:w="2223"/>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40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3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23"/>
          </w:tcPr>
          <w:p>
            <w:pPr>
              <w:pStyle w:val="Compact"/>
              <w:spacing w:line="276" w:lineRule="auto" w:before="40" w:after="40"/>
            </w:pPr>
            <w:r>
              <w:rPr>
                <w:rFonts w:ascii="Liberation Sans Narrow" w:hAnsi="Liberation Sans Narrow"/>
                <w:sz w:val="18"/>
              </w:rPr>
              <w:t xml:space="preserve">§ 4º: impugnação parcial e regime de pagamento do valor incontroverso</w:t>
            </w:r>
          </w:p>
        </w:tc>
        <w:tc>
          <w:tcPr>
            <w:tcW w:type="dxa" w:w="2401"/>
          </w:tcPr>
          <w:p>
            <w:pPr>
              <w:pStyle w:val="Compact"/>
              <w:spacing w:line="276" w:lineRule="auto" w:before="40" w:after="40"/>
            </w:pPr>
            <w:r>
              <w:rPr>
                <w:rFonts w:ascii="Liberation Sans Narrow" w:hAnsi="Liberation Sans Narrow"/>
                <w:sz w:val="18"/>
              </w:rPr>
              <w:t xml:space="preserve">STF, ADI 5.534, Tribunal Pleno, relator Min. Dias Toffoli, julgado em 19/12/2020</w:t>
            </w:r>
          </w:p>
        </w:tc>
        <w:tc>
          <w:tcPr>
            <w:tcW w:type="dxa" w:w="4730"/>
          </w:tcPr>
          <w:p>
            <w:pPr>
              <w:pStyle w:val="Compact"/>
              <w:spacing w:line="276" w:lineRule="auto" w:before="40" w:after="40"/>
            </w:pPr>
            <w:r>
              <w:rPr>
                <w:rFonts w:ascii="Liberation Sans Narrow" w:hAnsi="Liberation Sans Narrow"/>
                <w:sz w:val="18"/>
              </w:rPr>
              <w:t xml:space="preserve">Interpretação conforme à Constituição ao § 4º: para determinar o regime de pagamento (precatório ou requisição de pequeno valor) do valor incontroverso, deve-se observar o valor total da condenação.</w:t>
            </w:r>
          </w:p>
        </w:tc>
      </w:tr>
    </w:tbl>
    <w:p>
      <w:pPr>
        <w:pStyle w:val="BodyText"/>
        <w:spacing w:after="80"/>
        <w:jc w:val="both"/>
      </w:pPr>
      <w:r>
        <w:t xml:space="preserve">§ 5º Para efeito do disposto no inciso III do caput deste artigo, considera-se também inexigível a obrigação reconhecida em título executivo judicial fundado em lei ou ato normativo considerado inconstitucional pelo Supremo Tribunal Federal, ou fundado em aplicação ou interpretação da lei ou do ato normativo tido pelo Supremo Tribunal Federal como incompatível com a Constituição Federal , em controle de constitucionalidade concentrado ou difuso.</w:t>
      </w:r>
    </w:p>
    <w:p>
      <w:pPr>
        <w:pStyle w:val="BodyText"/>
        <w:spacing w:after="80"/>
        <w:jc w:val="both"/>
      </w:pPr>
      <w:r>
        <w:t xml:space="preserve">§ 6º No caso do § 5º, os efeitos da decisão do Supremo Tribunal Federal poderão ser modulados no tempo, de modo a favorecer a segurança jurídica.</w:t>
      </w:r>
    </w:p>
    <w:p>
      <w:pPr>
        <w:pStyle w:val="BodyText"/>
        <w:spacing w:after="80"/>
        <w:jc w:val="both"/>
      </w:pPr>
      <w:r>
        <w:t xml:space="preserve">§ 7º A decisão do Supremo Tribunal Federal referida no § 5º deve ter sido proferida antes do trânsito em julgado da decisão exequenda. (Vide AR 2876)</w:t>
      </w:r>
    </w:p>
    <w:p>
      <w:pPr>
        <w:pStyle w:val="BodyText"/>
        <w:keepNext/>
        <w:spacing w:after="80"/>
        <w:jc w:val="both"/>
      </w:pPr>
      <w:r>
        <w:t xml:space="preserve">§ 8º Se a decisão referida no § 5º for proferida após o trânsito em julgado da decisão exequenda, caberá ação rescisória, cujo prazo será contado do trânsito em julgado da decisão proferida pelo Supremo Tribunal Federal. (Vide AR 2876)</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Remissão do texto legal sem julgado localizado.</w:t>
            </w:r>
            <w:r>
              <w:rPr>
                <w:sz w:val="22"/>
              </w:rPr>
              <w:t xml:space="preserve"> </w:t>
            </w:r>
            <w:r>
              <w:rPr>
                <w:sz w:val="22"/>
              </w:rPr>
              <w:t xml:space="preserve">O texto dos §§ 7º e 8º do art. 535 remete à AR 2876. A consulta por número ao controle concentrado do STF (curadoria interna), à busca híbrida do STF e ao repositório externo (por classe e número) não a localizou; sem Tribunal, relator, data e tese confirmados nas fontes, o julgado não é citado nem resumido. Ver as pendências.</w:t>
            </w:r>
          </w:p>
        </w:tc>
      </w:tr>
    </w:tbl>
    <w:p>
      <w:pPr>
        <w:spacing w:after="40"/>
      </w:pPr>
    </w:p>
    <w:bookmarkEnd w:id="277"/>
    <w:bookmarkEnd w:id="278"/>
    <w:bookmarkStart w:id="284" w:name="X14db69b2088e079132914154af358a4ff9cefea"/>
    <w:p>
      <w:pPr>
        <w:pStyle w:val="Heading4"/>
        <w:spacing w:before="160" w:after="40"/>
      </w:pPr>
      <w:r>
        <w:rPr>
          <w:smallCaps/>
          <w:color w:val="2E75B6"/>
        </w:rPr>
        <w:t xml:space="preserve">Capítulo VI: do cumprimento de sentença que reconheça a exigibilidade de obrigação de fazer, de não fazer ou de entregar coisa (arts. 536 a 538)</w:t>
      </w:r>
    </w:p>
    <w:bookmarkStart w:id="281" w:name="X683c54d865f73618dc66cfbd0c1b2d9315aa570"/>
    <w:p>
      <w:pPr>
        <w:pStyle w:val="Heading5"/>
        <w:spacing w:before="140" w:after="20"/>
      </w:pPr>
      <w:r>
        <w:rPr>
          <w:i/>
          <w:color w:val="595959"/>
        </w:rPr>
        <w:t xml:space="preserve">Seção I: do cumprimento de sentença que reconheça a exigibilidade de obrigação de fazer ou de não fazer (arts. 536 a 537)</w:t>
      </w:r>
    </w:p>
    <w:bookmarkStart w:id="279" w:name="art.-536"/>
    <w:p>
      <w:pPr>
        <w:pStyle w:val="Heading6"/>
        <w:pBdr>
          <w:left w:val="single" w:sz="36" w:space="4" w:color="2E75B6"/>
        </w:pBdr>
        <w:shd w:val="clear" w:color="auto" w:fill="E3EEF9"/>
        <w:spacing w:before="200" w:after="80"/>
        <w:ind w:left="85"/>
      </w:pPr>
      <w:r>
        <w:rPr>
          <w:i w:val="0"/>
          <w:color w:val="1F3A5F"/>
          <w:sz w:val="23"/>
        </w:rPr>
        <w:t xml:space="preserve">Art. 536</w:t>
      </w:r>
    </w:p>
    <w:p>
      <w:pPr>
        <w:pStyle w:val="FirstParagraph"/>
        <w:keepNext/>
        <w:spacing w:after="80"/>
        <w:jc w:val="both"/>
      </w:pPr>
      <w:r>
        <w:rPr>
          <w:b/>
          <w:bCs/>
        </w:rPr>
        <w:t xml:space="preserve">Art. 536.</w:t>
      </w:r>
      <w:r>
        <w:t xml:space="preserve"> </w:t>
      </w:r>
      <w:r>
        <w:t xml:space="preserve">No cumprimento de sentença que reconheça a exigibilidade de obrigação de fazer ou de não fazer, o juiz poderá, de ofício ou a requerimento, para a efetivação da tutela específica ou a obtenção de tutela pelo resultado prático equivalente, determinar as medidas necessárias à satisfação do exequente.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3139"/>
        <w:gridCol w:w="4311"/>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13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31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Multa cominatória e bloqueio de ativos</w:t>
            </w:r>
          </w:p>
        </w:tc>
        <w:tc>
          <w:tcPr>
            <w:tcW w:type="dxa" w:w="3139"/>
          </w:tcPr>
          <w:p>
            <w:pPr>
              <w:pStyle w:val="Compact"/>
              <w:spacing w:line="276" w:lineRule="auto" w:before="40" w:after="40"/>
            </w:pPr>
            <w:r>
              <w:rPr>
                <w:rFonts w:ascii="Liberation Sans Narrow" w:hAnsi="Liberation Sans Narrow"/>
                <w:sz w:val="18"/>
              </w:rPr>
              <w:t xml:space="preserve">STJ, AREsp 2.812.711, Quarta Turma, relator Min. Raul Araújo, DJe de 29/10/2025</w:t>
            </w:r>
          </w:p>
        </w:tc>
        <w:tc>
          <w:tcPr>
            <w:tcW w:type="dxa" w:w="4311"/>
          </w:tcPr>
          <w:p>
            <w:pPr>
              <w:pStyle w:val="Compact"/>
              <w:spacing w:line="276" w:lineRule="auto" w:before="40" w:after="40"/>
            </w:pPr>
            <w:r>
              <w:rPr>
                <w:rFonts w:ascii="Liberation Sans Narrow" w:hAnsi="Liberation Sans Narrow"/>
                <w:sz w:val="18"/>
              </w:rPr>
              <w:t xml:space="preserve">Manteve-se a multa cominatória e o bloqueio de ativos financeiros por reputá-los proporcionais e necessários ao cumprimento da obrigação de fornecer medicamento essencial, diante do reiterado descumprimento da liminar; o recurso especial não foi conhecido.</w:t>
            </w:r>
          </w:p>
        </w:tc>
      </w:tr>
      <w:tr>
        <w:trPr>
          <w:cantSplit/>
        </w:trPr>
        <w:tc>
          <w:tcPr>
            <w:tcW w:type="dxa" w:w="1905"/>
          </w:tcPr>
          <w:p>
            <w:pPr>
              <w:pStyle w:val="Compact"/>
              <w:spacing w:line="276" w:lineRule="auto" w:before="40" w:after="40"/>
            </w:pPr>
            <w:r>
              <w:rPr>
                <w:rFonts w:ascii="Liberation Sans Narrow" w:hAnsi="Liberation Sans Narrow"/>
                <w:sz w:val="18"/>
              </w:rPr>
              <w:t xml:space="preserve">Exigibilidade da multa: intimação pessoal do devedor</w:t>
            </w:r>
          </w:p>
        </w:tc>
        <w:tc>
          <w:tcPr>
            <w:tcW w:type="dxa" w:w="3139"/>
          </w:tcPr>
          <w:p>
            <w:pPr>
              <w:pStyle w:val="Compact"/>
              <w:spacing w:line="276" w:lineRule="auto" w:before="40" w:after="40"/>
            </w:pPr>
            <w:r>
              <w:rPr>
                <w:rFonts w:ascii="Liberation Sans Narrow" w:hAnsi="Liberation Sans Narrow"/>
                <w:sz w:val="18"/>
              </w:rPr>
              <w:t xml:space="preserve">STJ, AgInt no REsp 2.019.036, Primeira Turma, relator Min. Manoel Erhardt (Desembargador Convocado do TRF5), julgado em 05/12/2022, DJe de 07/12/2022</w:t>
            </w:r>
          </w:p>
        </w:tc>
        <w:tc>
          <w:tcPr>
            <w:tcW w:type="dxa" w:w="4311"/>
          </w:tcPr>
          <w:p>
            <w:pPr>
              <w:pStyle w:val="Compact"/>
              <w:spacing w:line="276" w:lineRule="auto" w:before="40" w:after="40"/>
            </w:pPr>
            <w:r>
              <w:rPr>
                <w:rFonts w:ascii="Liberation Sans Narrow" w:hAnsi="Liberation Sans Narrow"/>
                <w:sz w:val="18"/>
              </w:rPr>
              <w:t xml:space="preserve">É indispensável a prévia intimação pessoal do devedor para cobrar a multa por descumprimento de obrigação de fazer ou não fazer (Súmula 410/STJ), cujo teor permanece hígido após o CPC/2015; a intimação do advogado não supre.</w:t>
            </w:r>
          </w:p>
        </w:tc>
      </w:tr>
      <w:tr>
        <w:trPr>
          <w:cantSplit/>
        </w:trPr>
        <w:tc>
          <w:tcPr>
            <w:tcW w:type="dxa" w:w="1905"/>
          </w:tcPr>
          <w:p>
            <w:pPr>
              <w:pStyle w:val="Compact"/>
              <w:spacing w:line="276" w:lineRule="auto" w:before="40" w:after="40"/>
            </w:pPr>
            <w:r>
              <w:rPr>
                <w:rFonts w:ascii="Liberation Sans Narrow" w:hAnsi="Liberation Sans Narrow"/>
                <w:sz w:val="18"/>
              </w:rPr>
              <w:t xml:space="preserve">Multa e Fazenda Pública; revisão do valor</w:t>
            </w:r>
          </w:p>
        </w:tc>
        <w:tc>
          <w:tcPr>
            <w:tcW w:type="dxa" w:w="3139"/>
          </w:tcPr>
          <w:p>
            <w:pPr>
              <w:pStyle w:val="Compact"/>
              <w:spacing w:line="276" w:lineRule="auto" w:before="40" w:after="40"/>
            </w:pPr>
            <w:r>
              <w:rPr>
                <w:rFonts w:ascii="Liberation Sans Narrow" w:hAnsi="Liberation Sans Narrow"/>
                <w:sz w:val="18"/>
              </w:rPr>
              <w:t xml:space="preserve">STJ, AgInt no REsp 2.012.959, Segunda Turma, relator Min. Herman Benjamin, DJe de 04/11/2022</w:t>
            </w:r>
          </w:p>
        </w:tc>
        <w:tc>
          <w:tcPr>
            <w:tcW w:type="dxa" w:w="4311"/>
          </w:tcPr>
          <w:p>
            <w:pPr>
              <w:pStyle w:val="Compact"/>
              <w:spacing w:line="276" w:lineRule="auto" w:before="40" w:after="40"/>
            </w:pPr>
            <w:r>
              <w:rPr>
                <w:rFonts w:ascii="Liberation Sans Narrow" w:hAnsi="Liberation Sans Narrow"/>
                <w:sz w:val="18"/>
              </w:rPr>
              <w:t xml:space="preserve">Cita o recurso repetitivo REsp 1.474.665/RS: é possível impor multa à Fazenda Pública nas obrigações de fazer. A redução do valor da astreinte implica, em regra, reexame de fatos (Súmula 7/STJ), salvo valor irrisório ou exorbitante.</w:t>
            </w:r>
          </w:p>
        </w:tc>
      </w:tr>
    </w:tbl>
    <w:p>
      <w:pPr>
        <w:pStyle w:val="BodyText"/>
        <w:keepNext/>
        <w:spacing w:after="80"/>
        <w:jc w:val="both"/>
      </w:pPr>
      <w:r>
        <w:t xml:space="preserve">§ 1º Para atender ao disposto no caput , o juiz poderá determinar, entre outras medidas, a imposição de multa, a busca e apreensão, a remoção de pessoas e coisas, o desfazimento de obras e o impedimento de atividade nociva, podendo, caso necessário, requisitar o auxílio de força policial.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98"/>
        <w:gridCol w:w="2683"/>
        <w:gridCol w:w="4673"/>
      </w:tblGrid>
      <w:tr>
        <w:trPr>
          <w:tblHeader w:val="on"/>
          <w:cantSplit/>
          <w:tblHeader/>
        </w:trPr>
        <w:tc>
          <w:tcPr>
            <w:tcW w:type="dxa" w:w="1998"/>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8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67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98"/>
          </w:tcPr>
          <w:p>
            <w:pPr>
              <w:pStyle w:val="Compact"/>
              <w:spacing w:line="276" w:lineRule="auto" w:before="40" w:after="40"/>
            </w:pPr>
            <w:r>
              <w:rPr>
                <w:rFonts w:ascii="Liberation Sans Narrow" w:hAnsi="Liberation Sans Narrow"/>
                <w:sz w:val="18"/>
              </w:rPr>
              <w:t xml:space="preserve">Art. 536, § 1º, e art. 506: astreintes e gestor público que não foi parte</w:t>
            </w:r>
          </w:p>
        </w:tc>
        <w:tc>
          <w:tcPr>
            <w:tcW w:type="dxa" w:w="2684"/>
          </w:tcPr>
          <w:p>
            <w:pPr>
              <w:pStyle w:val="Compact"/>
              <w:spacing w:line="276" w:lineRule="auto" w:before="40" w:after="40"/>
            </w:pPr>
            <w:r>
              <w:rPr>
                <w:rFonts w:ascii="Liberation Sans Narrow" w:hAnsi="Liberation Sans Narrow"/>
                <w:sz w:val="18"/>
              </w:rPr>
              <w:t xml:space="preserve">STJ, AREsp 3.154.571, Segunda Turma, relator Min. Teodoro Silva Santos, julgado em 12/08/2026, DJEN de 18/08/2026</w:t>
            </w:r>
          </w:p>
        </w:tc>
        <w:tc>
          <w:tcPr>
            <w:tcW w:type="dxa" w:w="4672"/>
          </w:tcPr>
          <w:p>
            <w:pPr>
              <w:pStyle w:val="Compact"/>
              <w:spacing w:line="276" w:lineRule="auto" w:before="40" w:after="40"/>
            </w:pPr>
            <w:r>
              <w:rPr>
                <w:rFonts w:ascii="Liberation Sans Narrow" w:hAnsi="Liberation Sans Narrow"/>
                <w:sz w:val="18"/>
              </w:rPr>
              <w:t xml:space="preserve">Em obrigação de fazer cabe multa cominatória à Fazenda Pública, mas não se estende a multa ao gestor público que não participou da lide, sob pena de ofensa ao contraditório, à ampla defesa e ao art. 506 (cita REsp 1.315.719/SE, AgRg no AREsp 196.946/SE e REsp 1.728.528/PB). Recurso especial provido.</w:t>
            </w:r>
          </w:p>
        </w:tc>
      </w:tr>
    </w:tbl>
    <w:p>
      <w:pPr>
        <w:pStyle w:val="BodyText"/>
        <w:spacing w:after="80"/>
        <w:jc w:val="both"/>
      </w:pPr>
      <w:r>
        <w:t xml:space="preserve">§ 2º O mandado de busca e apreensão de pessoas e coisas será cumprido por 2 (dois) oficiais de justiça, observando-se o disposto no art. 846, §§ 1º a 4º, se houver necessidade de arrombamento.</w:t>
      </w:r>
    </w:p>
    <w:p>
      <w:pPr>
        <w:pStyle w:val="BodyText"/>
        <w:spacing w:after="80"/>
        <w:jc w:val="both"/>
      </w:pPr>
      <w:r>
        <w:t xml:space="preserve">§ 3º O executado incidirá nas penas de litigância de má-fé quando injustificadamente descumprir a ordem judicial, sem prejuízo de sua responsabilização por crime de desobediência.</w:t>
      </w:r>
    </w:p>
    <w:p>
      <w:pPr>
        <w:pStyle w:val="BodyText"/>
        <w:spacing w:after="80"/>
        <w:jc w:val="both"/>
      </w:pPr>
      <w:r>
        <w:t xml:space="preserve">§ 4º No cumprimento de sentença que reconheça a exigibilidade de obrigação de fazer ou de não fazer, aplica-se o art. 525, no que couber.</w:t>
      </w:r>
    </w:p>
    <w:p>
      <w:pPr>
        <w:pStyle w:val="BodyText"/>
        <w:spacing w:after="80"/>
        <w:jc w:val="both"/>
      </w:pPr>
      <w:r>
        <w:t xml:space="preserve">§ 5º O disposto neste artigo aplica-se, no que couber, ao cumprimento de sentença que reconheça deveres de fazer e de não fazer de natureza não obrigacional.</w:t>
      </w:r>
    </w:p>
    <w:bookmarkEnd w:id="279"/>
    <w:bookmarkStart w:id="280" w:name="art.-537"/>
    <w:p>
      <w:pPr>
        <w:pStyle w:val="Heading6"/>
        <w:pBdr>
          <w:left w:val="single" w:sz="36" w:space="4" w:color="2E75B6"/>
        </w:pBdr>
        <w:shd w:val="clear" w:color="auto" w:fill="E3EEF9"/>
        <w:spacing w:before="200" w:after="80"/>
        <w:ind w:left="85"/>
      </w:pPr>
      <w:r>
        <w:rPr>
          <w:i w:val="0"/>
          <w:color w:val="1F3A5F"/>
          <w:sz w:val="23"/>
        </w:rPr>
        <w:t xml:space="preserve">Art. 537</w:t>
      </w:r>
    </w:p>
    <w:p>
      <w:pPr>
        <w:pStyle w:val="FirstParagraph"/>
        <w:keepNext/>
        <w:spacing w:after="80"/>
        <w:jc w:val="both"/>
      </w:pPr>
      <w:r>
        <w:rPr>
          <w:b/>
          <w:bCs/>
        </w:rPr>
        <w:t xml:space="preserve">Art. 537.</w:t>
      </w:r>
      <w:r>
        <w:t xml:space="preserve"> </w:t>
      </w:r>
      <w:r>
        <w:t xml:space="preserve">A multa independe de requerimento da parte e poderá ser aplicada na fase de conhecimento, em tutela provisória ou na sentença, ou na fase de execução, desde que seja suficiente e compatível com a obrigação e que se determine prazo razoável para cumprimento do preceito.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23"/>
        <w:gridCol w:w="3233"/>
        <w:gridCol w:w="3898"/>
      </w:tblGrid>
      <w:tr>
        <w:trPr>
          <w:tblHeader w:val="on"/>
          <w:cantSplit/>
          <w:tblHeader/>
        </w:trPr>
        <w:tc>
          <w:tcPr>
            <w:tcW w:type="dxa" w:w="2224"/>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23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3898"/>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24"/>
          </w:tcPr>
          <w:p>
            <w:pPr>
              <w:pStyle w:val="Compact"/>
              <w:spacing w:line="276" w:lineRule="auto" w:before="40" w:after="40"/>
            </w:pPr>
            <w:r>
              <w:rPr>
                <w:rFonts w:ascii="Liberation Sans Narrow" w:hAnsi="Liberation Sans Narrow"/>
                <w:sz w:val="18"/>
              </w:rPr>
              <w:t xml:space="preserve">Multa cominatória em obrigação de fazer ou não fazer: intimação e termo inicial</w:t>
            </w:r>
          </w:p>
        </w:tc>
        <w:tc>
          <w:tcPr>
            <w:tcW w:type="dxa" w:w="3233"/>
          </w:tcPr>
          <w:p>
            <w:pPr>
              <w:pStyle w:val="Compact"/>
              <w:spacing w:line="276" w:lineRule="auto" w:before="40" w:after="40"/>
            </w:pPr>
            <w:r>
              <w:rPr>
                <w:rFonts w:ascii="Liberation Sans Narrow" w:hAnsi="Liberation Sans Narrow"/>
                <w:sz w:val="18"/>
              </w:rPr>
              <w:t xml:space="preserve">STJ, Tema Repetitivo 1296, REsp 2.096.505, Corte Especial, relatora Min. Nancy Andrighi, julgado em 04/03/2026, DJEN de 20/03/2026</w:t>
            </w:r>
          </w:p>
        </w:tc>
        <w:tc>
          <w:tcPr>
            <w:tcW w:type="dxa" w:w="3898"/>
          </w:tcPr>
          <w:p>
            <w:pPr>
              <w:pStyle w:val="Compact"/>
              <w:spacing w:line="276" w:lineRule="auto" w:before="40" w:after="40"/>
            </w:pPr>
            <w:r>
              <w:rPr>
                <w:rFonts w:ascii="Liberation Sans Narrow" w:hAnsi="Liberation Sans Narrow"/>
                <w:sz w:val="18"/>
              </w:rPr>
              <w:t xml:space="preserve">A prévia intimação pessoal do devedor para o cumprimento de obrigação de fazer ou de não fazer especificada na decisão judicial é pressuposto para a incidência da multa coercitiva, nos termos da Súmula n. 410/STJ, cujo teor permanece hígido após a entrada em vigor do CPC de 2015.</w:t>
            </w:r>
          </w:p>
        </w:tc>
      </w:tr>
      <w:tr>
        <w:trPr>
          <w:cantSplit/>
        </w:trPr>
        <w:tc>
          <w:tcPr>
            <w:tcW w:type="dxa" w:w="2224"/>
          </w:tcPr>
          <w:p>
            <w:pPr>
              <w:pStyle w:val="Compact"/>
              <w:spacing w:line="276" w:lineRule="auto" w:before="40" w:after="40"/>
            </w:pPr>
            <w:r>
              <w:rPr>
                <w:rFonts w:ascii="Liberation Sans Narrow" w:hAnsi="Liberation Sans Narrow"/>
                <w:sz w:val="18"/>
              </w:rPr>
              <w:t xml:space="preserve">Multa diária (astreintes) contra ente público para fornecimento de medicamento</w:t>
            </w:r>
          </w:p>
        </w:tc>
        <w:tc>
          <w:tcPr>
            <w:tcW w:type="dxa" w:w="3233"/>
          </w:tcPr>
          <w:p>
            <w:pPr>
              <w:pStyle w:val="Compact"/>
              <w:spacing w:line="276" w:lineRule="auto" w:before="40" w:after="40"/>
            </w:pPr>
            <w:r>
              <w:rPr>
                <w:rFonts w:ascii="Liberation Sans Narrow" w:hAnsi="Liberation Sans Narrow"/>
                <w:sz w:val="18"/>
              </w:rPr>
              <w:t xml:space="preserve">STJ, Tema Repetitivo 98, REsp 1.474.665, Primeira Seção, relator Min. Benedito Gonçalves, julgado em 26/04/2017, DJe de 22/06/2017</w:t>
            </w:r>
          </w:p>
        </w:tc>
        <w:tc>
          <w:tcPr>
            <w:tcW w:type="dxa" w:w="3898"/>
          </w:tcPr>
          <w:p>
            <w:pPr>
              <w:pStyle w:val="Compact"/>
              <w:spacing w:line="276" w:lineRule="auto" w:before="40" w:after="40"/>
            </w:pPr>
            <w:r>
              <w:rPr>
                <w:rFonts w:ascii="Liberation Sans Narrow" w:hAnsi="Liberation Sans Narrow"/>
                <w:sz w:val="18"/>
              </w:rPr>
              <w:t xml:space="preserve">Possibilidade de imposição de multa diária (astreintes) a ente público, para compeli-lo a fornecer medicamento à pessoa desprovida de recursos financeiros.</w:t>
            </w:r>
          </w:p>
        </w:tc>
      </w:tr>
      <w:tr>
        <w:trPr>
          <w:cantSplit/>
        </w:trPr>
        <w:tc>
          <w:tcPr>
            <w:tcW w:type="dxa" w:w="2224"/>
          </w:tcPr>
          <w:p>
            <w:pPr>
              <w:pStyle w:val="Compact"/>
              <w:spacing w:line="276" w:lineRule="auto" w:before="40" w:after="40"/>
            </w:pPr>
            <w:r>
              <w:rPr>
                <w:rFonts w:ascii="Liberation Sans Narrow" w:hAnsi="Liberation Sans Narrow"/>
                <w:sz w:val="18"/>
              </w:rPr>
              <w:t xml:space="preserve">Multa cominatória: exigibilidade condicionada e redução do valor diário</w:t>
            </w:r>
          </w:p>
        </w:tc>
        <w:tc>
          <w:tcPr>
            <w:tcW w:type="dxa" w:w="3233"/>
          </w:tcPr>
          <w:p>
            <w:pPr>
              <w:pStyle w:val="Compact"/>
              <w:spacing w:line="276" w:lineRule="auto" w:before="40" w:after="40"/>
            </w:pPr>
            <w:r>
              <w:rPr>
                <w:rFonts w:ascii="Liberation Sans Narrow" w:hAnsi="Liberation Sans Narrow"/>
                <w:sz w:val="18"/>
              </w:rPr>
              <w:t xml:space="preserve">STJ, REsp 1.963.548, Quarta Turma, relatora Min. Maria Isabel Gallotti, julgado em 30/06/2026, DJEN de 03/07/2026</w:t>
            </w:r>
          </w:p>
        </w:tc>
        <w:tc>
          <w:tcPr>
            <w:tcW w:type="dxa" w:w="3898"/>
          </w:tcPr>
          <w:p>
            <w:pPr>
              <w:pStyle w:val="Compact"/>
              <w:spacing w:line="276" w:lineRule="auto" w:before="40" w:after="40"/>
            </w:pPr>
            <w:r>
              <w:rPr>
                <w:rFonts w:ascii="Liberation Sans Narrow" w:hAnsi="Liberation Sans Narrow"/>
                <w:sz w:val="18"/>
              </w:rPr>
              <w:t xml:space="preserve">A multa cominatória só é exigível a partir de decisão que reconheça especificamente o inadimplemento. Se a sentença concede prazo adicional para cumprimento, o termo inicial é o trânsito em julgado da sentença. Admite-se reduzir o valor diário exorbitante, inclusive em recurso.</w:t>
            </w:r>
          </w:p>
        </w:tc>
      </w:tr>
    </w:tbl>
    <w:p>
      <w:pPr>
        <w:pStyle w:val="BodyText"/>
        <w:keepNext/>
        <w:spacing w:after="80"/>
        <w:jc w:val="both"/>
      </w:pPr>
      <w:r>
        <w:t xml:space="preserve">§ 1º O juiz poderá, de ofício ou a requerimento, modificar o valor ou a periodicidade da multa vincenda ou excluí-la, caso verifique que: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97"/>
        <w:gridCol w:w="3193"/>
        <w:gridCol w:w="4064"/>
      </w:tblGrid>
      <w:tr>
        <w:trPr>
          <w:tblHeader w:val="on"/>
          <w:cantSplit/>
          <w:tblHeader/>
        </w:trPr>
        <w:tc>
          <w:tcPr>
            <w:tcW w:type="dxa" w:w="2098"/>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19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06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98"/>
          </w:tcPr>
          <w:p>
            <w:pPr>
              <w:pStyle w:val="Compact"/>
              <w:spacing w:line="276" w:lineRule="auto" w:before="40" w:after="40"/>
            </w:pPr>
            <w:r>
              <w:rPr>
                <w:rFonts w:ascii="Liberation Sans Narrow" w:hAnsi="Liberation Sans Narrow"/>
                <w:sz w:val="18"/>
              </w:rPr>
              <w:t xml:space="preserve">§ 1º: multa vencida não pode ser revista; apenas a vincenda</w:t>
            </w:r>
          </w:p>
        </w:tc>
        <w:tc>
          <w:tcPr>
            <w:tcW w:type="dxa" w:w="3193"/>
          </w:tcPr>
          <w:p>
            <w:pPr>
              <w:pStyle w:val="Compact"/>
              <w:spacing w:line="276" w:lineRule="auto" w:before="40" w:after="40"/>
            </w:pPr>
            <w:r>
              <w:rPr>
                <w:rFonts w:ascii="Liberation Sans Narrow" w:hAnsi="Liberation Sans Narrow"/>
                <w:sz w:val="18"/>
              </w:rPr>
              <w:t xml:space="preserve">STJ, EAREsp 1.479.019, Corte Especial, relator Min. João Otávio de Noronha, julgado em 07/05/2025, DJEN de 19/05/2025</w:t>
            </w:r>
          </w:p>
        </w:tc>
        <w:tc>
          <w:tcPr>
            <w:tcW w:type="dxa" w:w="4064"/>
          </w:tcPr>
          <w:p>
            <w:pPr>
              <w:pStyle w:val="Compact"/>
              <w:spacing w:line="276" w:lineRule="auto" w:before="40" w:after="40"/>
            </w:pPr>
            <w:r>
              <w:rPr>
                <w:rFonts w:ascii="Liberation Sans Narrow" w:hAnsi="Liberation Sans Narrow"/>
                <w:sz w:val="18"/>
              </w:rPr>
              <w:t xml:space="preserve">Pelo art. 537, § 1º, a modificação das astreintes só é possível quanto à multa vincenda. O valor acumulado da multa vencida não é revisável, e a pendência de discussão sobre a multa não afeta o seu vencimento. O problema dos valores elevados se combate preventivamente: conversão da obrigação em perdas e danos, de ofício, diante da inércia abusiva do credor (art. 499), e preferência por ordens a órgãos públicos e instituições privadas que levem ao resultado prático equivalente.</w:t>
            </w:r>
          </w:p>
        </w:tc>
      </w:tr>
      <w:tr>
        <w:trPr>
          <w:cantSplit/>
        </w:trPr>
        <w:tc>
          <w:tcPr>
            <w:tcW w:type="dxa" w:w="2098"/>
          </w:tcPr>
          <w:p>
            <w:pPr>
              <w:pStyle w:val="Compact"/>
              <w:spacing w:line="276" w:lineRule="auto" w:before="40" w:after="40"/>
            </w:pPr>
            <w:r>
              <w:rPr>
                <w:rFonts w:ascii="Liberation Sans Narrow" w:hAnsi="Liberation Sans Narrow"/>
                <w:sz w:val="18"/>
              </w:rPr>
              <w:t xml:space="preserve">§ 1º: multa vencida sob o CPC/1973 e direito intertemporal</w:t>
            </w:r>
          </w:p>
        </w:tc>
        <w:tc>
          <w:tcPr>
            <w:tcW w:type="dxa" w:w="3193"/>
          </w:tcPr>
          <w:p>
            <w:pPr>
              <w:pStyle w:val="Compact"/>
              <w:spacing w:line="276" w:lineRule="auto" w:before="40" w:after="40"/>
            </w:pPr>
            <w:r>
              <w:rPr>
                <w:rFonts w:ascii="Liberation Sans Narrow" w:hAnsi="Liberation Sans Narrow"/>
                <w:sz w:val="18"/>
              </w:rPr>
              <w:t xml:space="preserve">STJ, AgInt no REsp 1.769.265, Quarta Turma, relatora Min. Maria Isabel Gallotti, julgado em 12/08/2026, DJEN de 17/08/2026</w:t>
            </w:r>
          </w:p>
        </w:tc>
        <w:tc>
          <w:tcPr>
            <w:tcW w:type="dxa" w:w="4064"/>
          </w:tcPr>
          <w:p>
            <w:pPr>
              <w:pStyle w:val="Compact"/>
              <w:spacing w:line="276" w:lineRule="auto" w:before="40" w:after="40"/>
            </w:pPr>
            <w:r>
              <w:rPr>
                <w:rFonts w:ascii="Liberation Sans Narrow" w:hAnsi="Liberation Sans Narrow"/>
                <w:sz w:val="18"/>
              </w:rPr>
              <w:t xml:space="preserve">A restrição do art. 537, § 1º, à multa vincenda não se aplica às multas vencidas na vigência do CPC/1973, segundo a teoria do isolamento dos atos processuais e o tempus regit actum. São devidos honorários pelo acolhimento, ainda que parcial, da impugnação por excesso de execução (Tema 410).</w:t>
            </w:r>
          </w:p>
        </w:tc>
      </w:tr>
      <w:tr>
        <w:trPr>
          <w:cantSplit/>
        </w:trPr>
        <w:tc>
          <w:tcPr>
            <w:tcW w:type="dxa" w:w="2098"/>
          </w:tcPr>
          <w:p>
            <w:pPr>
              <w:pStyle w:val="Compact"/>
              <w:spacing w:line="276" w:lineRule="auto" w:before="40" w:after="40"/>
            </w:pPr>
            <w:r>
              <w:rPr>
                <w:rFonts w:ascii="Liberation Sans Narrow" w:hAnsi="Liberation Sans Narrow"/>
                <w:sz w:val="18"/>
              </w:rPr>
              <w:t xml:space="preserve">§ 1º: multa vencida, revisão impossível (aplicação do precedente da Corte Especial)</w:t>
            </w:r>
          </w:p>
        </w:tc>
        <w:tc>
          <w:tcPr>
            <w:tcW w:type="dxa" w:w="3193"/>
          </w:tcPr>
          <w:p>
            <w:pPr>
              <w:pStyle w:val="Compact"/>
              <w:spacing w:line="276" w:lineRule="auto" w:before="40" w:after="40"/>
            </w:pPr>
            <w:r>
              <w:rPr>
                <w:rFonts w:ascii="Liberation Sans Narrow" w:hAnsi="Liberation Sans Narrow"/>
                <w:sz w:val="18"/>
              </w:rPr>
              <w:t xml:space="preserve">STJ, REsp 2.013.922, Terceira Turma, relator Min. Humberto Martins, julgado em 11/11/2025, DJEN de 27/11/2025</w:t>
            </w:r>
          </w:p>
        </w:tc>
        <w:tc>
          <w:tcPr>
            <w:tcW w:type="dxa" w:w="4064"/>
          </w:tcPr>
          <w:p>
            <w:pPr>
              <w:pStyle w:val="Compact"/>
              <w:spacing w:line="276" w:lineRule="auto" w:before="40" w:after="40"/>
            </w:pPr>
            <w:r>
              <w:rPr>
                <w:rFonts w:ascii="Liberation Sans Narrow" w:hAnsi="Liberation Sans Narrow"/>
                <w:sz w:val="18"/>
              </w:rPr>
              <w:t xml:space="preserve">O valor acumulado da multa vencida não pode ser revisto: a modificação das astreintes só alcança a multa vincenda (art. 537, § 1º), conforme o precedente vinculante da Corte Especial.</w:t>
            </w:r>
          </w:p>
        </w:tc>
      </w:tr>
    </w:tbl>
    <w:p>
      <w:pPr>
        <w:pStyle w:val="BodyText"/>
        <w:spacing w:after="80"/>
        <w:jc w:val="both"/>
      </w:pPr>
      <w:r>
        <w:t xml:space="preserve">I - se tornou insuficiente ou excessiva;</w:t>
      </w:r>
    </w:p>
    <w:p>
      <w:pPr>
        <w:pStyle w:val="BodyText"/>
        <w:spacing w:after="80"/>
        <w:jc w:val="both"/>
      </w:pPr>
      <w:r>
        <w:t xml:space="preserve">II - o obrigado demonstrou cumprimento parcial superveniente da obrigação ou justa causa para o descumprimento.</w:t>
      </w:r>
    </w:p>
    <w:p>
      <w:pPr>
        <w:pStyle w:val="BodyText"/>
        <w:spacing w:after="80"/>
        <w:jc w:val="both"/>
      </w:pPr>
      <w:r>
        <w:t xml:space="preserve">§ 2º O valor da multa será devido ao exequente.</w:t>
      </w:r>
    </w:p>
    <w:p>
      <w:pPr>
        <w:pStyle w:val="BodyText"/>
        <w:keepNext/>
        <w:spacing w:after="80"/>
        <w:jc w:val="both"/>
      </w:pPr>
      <w:r>
        <w:t xml:space="preserve">§ 3º A decisão que fixa a multa é passível de cumprimento provisório, devendo ser depositada em juízo, permitido o levantamento do valor após o trânsito em julgado da sentença favorável à parte. (Redação dada pela Lei nº 13.256, de 2016) (Vigência)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38"/>
        <w:gridCol w:w="2818"/>
        <w:gridCol w:w="4598"/>
      </w:tblGrid>
      <w:tr>
        <w:trPr>
          <w:tblHeader w:val="on"/>
          <w:cantSplit/>
          <w:tblHeader/>
        </w:trPr>
        <w:tc>
          <w:tcPr>
            <w:tcW w:type="dxa" w:w="1938"/>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1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598"/>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38"/>
          </w:tcPr>
          <w:p>
            <w:pPr>
              <w:pStyle w:val="Compact"/>
              <w:spacing w:line="276" w:lineRule="auto" w:before="40" w:after="40"/>
            </w:pPr>
            <w:r>
              <w:rPr>
                <w:rFonts w:ascii="Liberation Sans Narrow" w:hAnsi="Liberation Sans Narrow"/>
                <w:sz w:val="18"/>
              </w:rPr>
              <w:t xml:space="preserve">§ 3º: execução provisória da multa fixada em tutela provisória</w:t>
            </w:r>
          </w:p>
        </w:tc>
        <w:tc>
          <w:tcPr>
            <w:tcW w:type="dxa" w:w="2819"/>
          </w:tcPr>
          <w:p>
            <w:pPr>
              <w:pStyle w:val="Compact"/>
              <w:spacing w:line="276" w:lineRule="auto" w:before="40" w:after="40"/>
            </w:pPr>
            <w:r>
              <w:rPr>
                <w:rFonts w:ascii="Liberation Sans Narrow" w:hAnsi="Liberation Sans Narrow"/>
                <w:sz w:val="18"/>
              </w:rPr>
              <w:t xml:space="preserve">STJ, AREsp 2.079.649, Segunda Turma, relator Min. Francisco Falcão, julgado em 07/03/2023, DJe de 10/03/2023</w:t>
            </w:r>
          </w:p>
        </w:tc>
        <w:tc>
          <w:tcPr>
            <w:tcW w:type="dxa" w:w="4598"/>
          </w:tcPr>
          <w:p>
            <w:pPr>
              <w:pStyle w:val="Compact"/>
              <w:spacing w:line="276" w:lineRule="auto" w:before="40" w:after="40"/>
            </w:pPr>
            <w:r>
              <w:rPr>
                <w:rFonts w:ascii="Liberation Sans Narrow" w:hAnsi="Liberation Sans Narrow"/>
                <w:sz w:val="18"/>
              </w:rPr>
              <w:t xml:space="preserve">Com o CPC/2015, a multa cominatória fixada em tutela provisória pode ser executada provisoriamente, sem confirmação prévia em sentença de mérito (art. 537, § 3º); o entendimento do Tema 743/STJ foi superado.</w:t>
            </w:r>
          </w:p>
        </w:tc>
      </w:tr>
    </w:tbl>
    <w:p>
      <w:pPr>
        <w:pStyle w:val="BodyText"/>
        <w:spacing w:after="80"/>
        <w:jc w:val="both"/>
      </w:pPr>
      <w:r>
        <w:t xml:space="preserve">§ 4º A multa será devida desde o dia em que se configurar o descumprimento da decisão e incidirá enquanto não for cumprida a decisão que a tiver cominado.</w:t>
      </w:r>
    </w:p>
    <w:p>
      <w:pPr>
        <w:pStyle w:val="BodyText"/>
        <w:spacing w:after="80"/>
        <w:jc w:val="both"/>
      </w:pPr>
      <w:r>
        <w:t xml:space="preserve">§ 5º O disposto neste artigo aplica-se, no que couber, ao cumprimento de sentença que reconheça deveres de fazer e de não fazer de natureza não obrigacional.</w:t>
      </w:r>
    </w:p>
    <w:bookmarkEnd w:id="280"/>
    <w:bookmarkEnd w:id="281"/>
    <w:bookmarkStart w:id="283" w:name="X7c84a2864e3786c0984f87e5f73cf8161ca8d59"/>
    <w:p>
      <w:pPr>
        <w:pStyle w:val="Heading5"/>
        <w:spacing w:before="140" w:after="20"/>
      </w:pPr>
      <w:r>
        <w:rPr>
          <w:i/>
          <w:color w:val="595959"/>
        </w:rPr>
        <w:t xml:space="preserve">Seção II: do cumprimento de sentença que reconheça a exigibilidade de obrigação de entregar coisa (arts. 538)</w:t>
      </w:r>
    </w:p>
    <w:bookmarkStart w:id="282" w:name="art.-538"/>
    <w:p>
      <w:pPr>
        <w:pStyle w:val="Heading6"/>
        <w:pBdr>
          <w:left w:val="single" w:sz="36" w:space="4" w:color="2E75B6"/>
        </w:pBdr>
        <w:shd w:val="clear" w:color="auto" w:fill="E3EEF9"/>
        <w:spacing w:before="200" w:after="80"/>
        <w:ind w:left="85"/>
      </w:pPr>
      <w:r>
        <w:rPr>
          <w:i w:val="0"/>
          <w:color w:val="1F3A5F"/>
          <w:sz w:val="23"/>
        </w:rPr>
        <w:t xml:space="preserve">Art. 538</w:t>
      </w:r>
    </w:p>
    <w:p>
      <w:pPr>
        <w:pStyle w:val="FirstParagraph"/>
        <w:keepNext/>
        <w:spacing w:after="80"/>
        <w:jc w:val="both"/>
      </w:pPr>
      <w:r>
        <w:rPr>
          <w:b/>
          <w:bCs/>
        </w:rPr>
        <w:t xml:space="preserve">Art. 538.</w:t>
      </w:r>
      <w:r>
        <w:t xml:space="preserve"> </w:t>
      </w:r>
      <w:r>
        <w:t xml:space="preserve">Não cumprida a obrigação de entregar coisa no prazo estabelecido na sentença, será expedido mandado de busca e apreensão ou de imissão na posse em favor do credor, conforme se tratar de coisa móvel ou imóvel.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59"/>
        <w:gridCol w:w="2372"/>
        <w:gridCol w:w="5022"/>
      </w:tblGrid>
      <w:tr>
        <w:trPr>
          <w:tblHeader w:val="on"/>
          <w:cantSplit/>
          <w:tblHeader/>
        </w:trPr>
        <w:tc>
          <w:tcPr>
            <w:tcW w:type="dxa" w:w="1959"/>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37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02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59"/>
          </w:tcPr>
          <w:p>
            <w:pPr>
              <w:pStyle w:val="Compact"/>
              <w:spacing w:line="276" w:lineRule="auto" w:before="40" w:after="40"/>
            </w:pPr>
            <w:r>
              <w:rPr>
                <w:rFonts w:ascii="Liberation Sans Narrow" w:hAnsi="Liberation Sans Narrow"/>
                <w:sz w:val="18"/>
              </w:rPr>
              <w:t xml:space="preserve">Caput — imissão na posse na entrega de coisa (aplicação narrada)</w:t>
            </w:r>
          </w:p>
        </w:tc>
        <w:tc>
          <w:tcPr>
            <w:tcW w:type="dxa" w:w="2373"/>
          </w:tcPr>
          <w:p>
            <w:pPr>
              <w:pStyle w:val="Compact"/>
              <w:spacing w:line="276" w:lineRule="auto" w:before="40" w:after="40"/>
            </w:pPr>
            <w:r>
              <w:rPr>
                <w:rFonts w:ascii="Liberation Sans Narrow" w:hAnsi="Liberation Sans Narrow"/>
                <w:sz w:val="18"/>
              </w:rPr>
              <w:t xml:space="preserve">STJ, AREsp 3.137.923, Terceira Turma, relator Min. Moura Ribeiro, julgado em 30/06/2026</w:t>
            </w:r>
          </w:p>
        </w:tc>
        <w:tc>
          <w:tcPr>
            <w:tcW w:type="dxa" w:w="5022"/>
          </w:tcPr>
          <w:p>
            <w:pPr>
              <w:pStyle w:val="Compact"/>
              <w:spacing w:line="276" w:lineRule="auto" w:before="40" w:after="40"/>
            </w:pPr>
            <w:r>
              <w:rPr>
                <w:rFonts w:ascii="Liberation Sans Narrow" w:hAnsi="Liberation Sans Narrow"/>
                <w:sz w:val="18"/>
              </w:rPr>
              <w:t xml:space="preserve">O cumprimento de sentença que determina a imissão na posse segue o rito de entrega de coisa certa, e é válida a intimação do devedor na pessoa do advogado quando inequívoca a ciência do ato. Trecho: “A insurgência a respeito da ausência de intimação pessoal e da adoção de rito de entrega de coisa certa confronta premissas fáticas fixadas no acórdão (trânsito em julgado mantendo a imissão, intimação válida na pessoa do advogado, ciência inequívoca e natureza de imissão na posse)”</w:t>
            </w:r>
          </w:p>
        </w:tc>
      </w:tr>
    </w:tbl>
    <w:p>
      <w:pPr>
        <w:pStyle w:val="BodyText"/>
        <w:spacing w:after="80"/>
        <w:jc w:val="both"/>
      </w:pPr>
      <w:r>
        <w:t xml:space="preserve">§ 1º A existência de benfeitorias deve ser alegada na fase de conhecimento, em contestação, de forma discriminada e com atribuição, sempre que possível e justificadamente, do respectivo valor.</w:t>
      </w:r>
    </w:p>
    <w:p>
      <w:pPr>
        <w:pStyle w:val="BodyText"/>
        <w:spacing w:after="80"/>
        <w:jc w:val="both"/>
      </w:pPr>
      <w:r>
        <w:t xml:space="preserve">§ 2º O direito de retenção por benfeitorias deve ser exercido na contestação, na fase de conhecimento.</w:t>
      </w:r>
    </w:p>
    <w:p>
      <w:pPr>
        <w:pStyle w:val="BodyText"/>
        <w:spacing w:after="80"/>
        <w:jc w:val="both"/>
      </w:pPr>
      <w:r>
        <w:t xml:space="preserve">§ 3º Aplicam-se ao procedimento previsto neste artigo, no que couber, as disposições sobre o cumprimento de obrigação de fazer ou de não fazer.</w:t>
      </w:r>
    </w:p>
    <w:bookmarkEnd w:id="282"/>
    <w:bookmarkEnd w:id="283"/>
    <w:bookmarkEnd w:id="284"/>
    <w:bookmarkEnd w:id="285"/>
    <w:bookmarkStart w:id="561" w:name="X000f95865c80307fe4d543c6d0d5a70e500a4e8"/>
    <w:p>
      <w:pPr>
        <w:pStyle w:val="Heading3"/>
        <w:pBdr>
          <w:bottom w:val="single" w:sz="8" w:space="2" w:color="2E75B6"/>
        </w:pBdr>
        <w:spacing w:before="200" w:after="80"/>
      </w:pPr>
      <w:r>
        <w:rPr>
          <w:sz w:val="24"/>
        </w:rPr>
        <w:t xml:space="preserve">Título III: dos procedimentos especiais (arts. 539 a 770)</w:t>
      </w:r>
    </w:p>
    <w:bookmarkStart w:id="297" w:name="X9021759c10b21340dfe35ee12057665c3b3485e"/>
    <w:p>
      <w:pPr>
        <w:pStyle w:val="Heading4"/>
        <w:spacing w:before="160" w:after="40"/>
      </w:pPr>
      <w:r>
        <w:rPr>
          <w:smallCaps/>
          <w:color w:val="2E75B6"/>
        </w:rPr>
        <w:t xml:space="preserve">Capítulo I: da ação de consignação em pagamento (arts. 539 a 549)</w:t>
      </w:r>
    </w:p>
    <w:bookmarkStart w:id="286" w:name="art.-539"/>
    <w:p>
      <w:pPr>
        <w:pStyle w:val="Heading6"/>
        <w:pBdr>
          <w:left w:val="single" w:sz="36" w:space="4" w:color="2E75B6"/>
        </w:pBdr>
        <w:shd w:val="clear" w:color="auto" w:fill="E3EEF9"/>
        <w:spacing w:before="200" w:after="80"/>
        <w:ind w:left="85"/>
      </w:pPr>
      <w:r>
        <w:rPr>
          <w:i w:val="0"/>
          <w:color w:val="1F3A5F"/>
          <w:sz w:val="23"/>
        </w:rPr>
        <w:t xml:space="preserve">Art. 539</w:t>
      </w:r>
    </w:p>
    <w:p>
      <w:pPr>
        <w:pStyle w:val="FirstParagraph"/>
        <w:keepNext/>
        <w:spacing w:after="80"/>
        <w:jc w:val="both"/>
      </w:pPr>
      <w:r>
        <w:rPr>
          <w:b/>
          <w:bCs/>
        </w:rPr>
        <w:t xml:space="preserve">Art. 539.</w:t>
      </w:r>
      <w:r>
        <w:t xml:space="preserve"> </w:t>
      </w:r>
      <w:r>
        <w:t xml:space="preserve">Nos casos previstos em lei, poderá o devedor ou terceiro requerer, com efeito de pagamento, a consignação da quantia ou da coisa devida.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30"/>
        <w:gridCol w:w="2446"/>
        <w:gridCol w:w="5178"/>
      </w:tblGrid>
      <w:tr>
        <w:trPr>
          <w:tblHeader w:val="on"/>
          <w:cantSplit/>
          <w:tblHeader/>
        </w:trPr>
        <w:tc>
          <w:tcPr>
            <w:tcW w:type="dxa" w:w="17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44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178"/>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731"/>
          </w:tcPr>
          <w:p>
            <w:pPr>
              <w:pStyle w:val="Compact"/>
              <w:spacing w:line="276" w:lineRule="auto" w:before="40" w:after="40"/>
            </w:pPr>
            <w:r>
              <w:rPr>
                <w:rFonts w:ascii="Liberation Sans Narrow" w:hAnsi="Liberation Sans Narrow"/>
                <w:sz w:val="18"/>
              </w:rPr>
              <w:t xml:space="preserve">Caput — orientação de aplicação (aplicação narrada)</w:t>
            </w:r>
          </w:p>
        </w:tc>
        <w:tc>
          <w:tcPr>
            <w:tcW w:type="dxa" w:w="2446"/>
          </w:tcPr>
          <w:p>
            <w:pPr>
              <w:pStyle w:val="Compact"/>
              <w:spacing w:line="276" w:lineRule="auto" w:before="40" w:after="40"/>
            </w:pPr>
            <w:r>
              <w:rPr>
                <w:rFonts w:ascii="Liberation Sans Narrow" w:hAnsi="Liberation Sans Narrow"/>
                <w:sz w:val="18"/>
              </w:rPr>
              <w:t xml:space="preserve">STJ, AREsp 3.196.739, Terceira Turma, relator Min. Moura Ribeiro, julgado em 01/06/2026</w:t>
            </w:r>
          </w:p>
        </w:tc>
        <w:tc>
          <w:tcPr>
            <w:tcW w:type="dxa" w:w="5178"/>
          </w:tcPr>
          <w:p>
            <w:pPr>
              <w:pStyle w:val="Compact"/>
              <w:spacing w:line="276" w:lineRule="auto" w:before="40" w:after="40"/>
            </w:pPr>
            <w:r>
              <w:rPr>
                <w:rFonts w:ascii="Liberation Sans Narrow" w:hAnsi="Liberation Sans Narrow"/>
                <w:sz w:val="18"/>
              </w:rPr>
              <w:t xml:space="preserve">A consignação em pagamento por dúvida quanto ao credor legítimo justifica-se quando a notificação não confere segurança suficiente ao devedor, incidindo o art. 335, IV, do Código Civil. Trecho: “A consignação em pagamento por dúvida quanto ao credor legítimo se justifica quando a notificação não confere segurança suficiente ao devedor em contexto de valor elevado, incidindo o art.”</w:t>
            </w:r>
          </w:p>
        </w:tc>
      </w:tr>
    </w:tbl>
    <w:p>
      <w:pPr>
        <w:pStyle w:val="BodyText"/>
        <w:spacing w:after="80"/>
        <w:jc w:val="both"/>
      </w:pPr>
      <w:r>
        <w:t xml:space="preserve">§ 1º Tratando-se de obrigação em dinheiro, poderá o valor ser depositado em estabelecimento bancário, oficial onde houver, situado no lugar do pagamento, cientificando-se o credor por carta com aviso de recebimento, assinado o prazo de 10 (dez) dias para a manifestação de recusa.</w:t>
      </w:r>
    </w:p>
    <w:p>
      <w:pPr>
        <w:pStyle w:val="BodyText"/>
        <w:spacing w:after="80"/>
        <w:jc w:val="both"/>
      </w:pPr>
      <w:r>
        <w:t xml:space="preserve">§ 2º Decorrido o prazo do § 1º, contado do retorno do aviso de recebimento, sem a manifestação de recusa, considerar-se-á o devedor liberado da obrigação, ficando à disposição do credor a quantia depositada.</w:t>
      </w:r>
    </w:p>
    <w:p>
      <w:pPr>
        <w:pStyle w:val="BodyText"/>
        <w:spacing w:after="80"/>
        <w:jc w:val="both"/>
      </w:pPr>
      <w:r>
        <w:t xml:space="preserve">§ 3º Ocorrendo a recusa, manifestada por escrito ao estabelecimento bancário, poderá ser proposta, dentro de 1 (um) mês, a ação de consignação, instruindo-se a inicial com a prova do depósito e da recusa.</w:t>
      </w:r>
    </w:p>
    <w:p>
      <w:pPr>
        <w:pStyle w:val="BodyText"/>
        <w:spacing w:after="80"/>
        <w:jc w:val="both"/>
      </w:pPr>
      <w:r>
        <w:t xml:space="preserve">§ 4º Não proposta a ação no prazo do § 3º, ficará sem efeito o depósito, podendo levantá-lo o depositante.</w:t>
      </w:r>
    </w:p>
    <w:bookmarkEnd w:id="286"/>
    <w:bookmarkStart w:id="287" w:name="art.-540"/>
    <w:p>
      <w:pPr>
        <w:pStyle w:val="Heading6"/>
        <w:pBdr>
          <w:left w:val="single" w:sz="36" w:space="4" w:color="2E75B6"/>
        </w:pBdr>
        <w:shd w:val="clear" w:color="auto" w:fill="E3EEF9"/>
        <w:spacing w:before="200" w:after="80"/>
        <w:ind w:left="85"/>
      </w:pPr>
      <w:r>
        <w:rPr>
          <w:i w:val="0"/>
          <w:color w:val="1F3A5F"/>
          <w:sz w:val="23"/>
        </w:rPr>
        <w:t xml:space="preserve">Art. 540</w:t>
      </w:r>
    </w:p>
    <w:p>
      <w:pPr>
        <w:pStyle w:val="FirstParagraph"/>
        <w:spacing w:after="80"/>
        <w:jc w:val="both"/>
      </w:pPr>
      <w:r>
        <w:rPr>
          <w:b/>
          <w:bCs/>
        </w:rPr>
        <w:t xml:space="preserve">Art. 540.</w:t>
      </w:r>
      <w:r>
        <w:t xml:space="preserve"> </w:t>
      </w:r>
      <w:r>
        <w:t xml:space="preserve">Requerer-se-á a consignação no lugar do pagamento, cessando para o devedor, à data do depósito, os juros e os riscos, salvo se a demanda for julgada improcedente.</w:t>
      </w:r>
    </w:p>
    <w:bookmarkEnd w:id="287"/>
    <w:bookmarkStart w:id="288" w:name="art.-541"/>
    <w:p>
      <w:pPr>
        <w:pStyle w:val="Heading6"/>
        <w:pBdr>
          <w:left w:val="single" w:sz="36" w:space="4" w:color="2E75B6"/>
        </w:pBdr>
        <w:shd w:val="clear" w:color="auto" w:fill="E3EEF9"/>
        <w:spacing w:before="200" w:after="80"/>
        <w:ind w:left="85"/>
      </w:pPr>
      <w:r>
        <w:rPr>
          <w:i w:val="0"/>
          <w:color w:val="1F3A5F"/>
          <w:sz w:val="23"/>
        </w:rPr>
        <w:t xml:space="preserve">Art. 541</w:t>
      </w:r>
    </w:p>
    <w:p>
      <w:pPr>
        <w:pStyle w:val="FirstParagraph"/>
        <w:spacing w:after="80"/>
        <w:jc w:val="both"/>
      </w:pPr>
      <w:r>
        <w:rPr>
          <w:b/>
          <w:bCs/>
        </w:rPr>
        <w:t xml:space="preserve">Art. 541.</w:t>
      </w:r>
      <w:r>
        <w:t xml:space="preserve"> </w:t>
      </w:r>
      <w:r>
        <w:t xml:space="preserve">Tratando-se de prestações sucessivas, consignada uma delas, pode o devedor continuar a depositar, no mesmo processo e sem mais formalidades, as que se forem vencendo, desde que o faça em até 5 (cinco) dias contados da data do respectivo vencimento.</w:t>
      </w:r>
    </w:p>
    <w:bookmarkEnd w:id="288"/>
    <w:bookmarkStart w:id="289" w:name="art.-542"/>
    <w:p>
      <w:pPr>
        <w:pStyle w:val="Heading6"/>
        <w:pBdr>
          <w:left w:val="single" w:sz="36" w:space="4" w:color="2E75B6"/>
        </w:pBdr>
        <w:shd w:val="clear" w:color="auto" w:fill="E3EEF9"/>
        <w:spacing w:before="200" w:after="80"/>
        <w:ind w:left="85"/>
      </w:pPr>
      <w:r>
        <w:rPr>
          <w:i w:val="0"/>
          <w:color w:val="1F3A5F"/>
          <w:sz w:val="23"/>
        </w:rPr>
        <w:t xml:space="preserve">Art. 542</w:t>
      </w:r>
    </w:p>
    <w:p>
      <w:pPr>
        <w:pStyle w:val="FirstParagraph"/>
        <w:spacing w:after="80"/>
        <w:jc w:val="both"/>
      </w:pPr>
      <w:r>
        <w:rPr>
          <w:b/>
          <w:bCs/>
        </w:rPr>
        <w:t xml:space="preserve">Art. 542.</w:t>
      </w:r>
      <w:r>
        <w:t xml:space="preserve"> </w:t>
      </w:r>
      <w:r>
        <w:t xml:space="preserve">Na petição inicial, o autor requererá:</w:t>
      </w:r>
    </w:p>
    <w:p>
      <w:pPr>
        <w:pStyle w:val="BodyText"/>
        <w:spacing w:after="80"/>
        <w:jc w:val="both"/>
      </w:pPr>
      <w:r>
        <w:t xml:space="preserve">I - o depósito da quantia ou da coisa devida, a ser efetivado no prazo de 5 (cinco) dias contados do deferimento, ressalvada a hipótese do art. 539, § 3º;</w:t>
      </w:r>
    </w:p>
    <w:p>
      <w:pPr>
        <w:pStyle w:val="BodyText"/>
        <w:spacing w:after="80"/>
        <w:jc w:val="both"/>
      </w:pPr>
      <w:r>
        <w:t xml:space="preserve">II - a citação do réu para levantar o depósito ou oferecer contestação.</w:t>
      </w:r>
    </w:p>
    <w:p>
      <w:pPr>
        <w:pStyle w:val="BodyText"/>
        <w:spacing w:after="80"/>
        <w:jc w:val="both"/>
      </w:pPr>
      <w:r>
        <w:t xml:space="preserve">Parágrafo único. Não realizado o depósito no prazo do inciso I, o processo será extinto sem resolução do mérito.</w:t>
      </w:r>
    </w:p>
    <w:bookmarkEnd w:id="289"/>
    <w:bookmarkStart w:id="290" w:name="art.-543"/>
    <w:p>
      <w:pPr>
        <w:pStyle w:val="Heading6"/>
        <w:pBdr>
          <w:left w:val="single" w:sz="36" w:space="4" w:color="2E75B6"/>
        </w:pBdr>
        <w:shd w:val="clear" w:color="auto" w:fill="E3EEF9"/>
        <w:spacing w:before="200" w:after="80"/>
        <w:ind w:left="85"/>
      </w:pPr>
      <w:r>
        <w:rPr>
          <w:i w:val="0"/>
          <w:color w:val="1F3A5F"/>
          <w:sz w:val="23"/>
        </w:rPr>
        <w:t xml:space="preserve">Art. 543</w:t>
      </w:r>
    </w:p>
    <w:p>
      <w:pPr>
        <w:pStyle w:val="FirstParagraph"/>
        <w:spacing w:after="80"/>
        <w:jc w:val="both"/>
      </w:pPr>
      <w:r>
        <w:rPr>
          <w:b/>
          <w:bCs/>
        </w:rPr>
        <w:t xml:space="preserve">Art. 543.</w:t>
      </w:r>
      <w:r>
        <w:t xml:space="preserve"> </w:t>
      </w:r>
      <w:r>
        <w:t xml:space="preserve">Se o objeto da prestação for coisa indeterminada e a escolha couber ao credor, será este citado para exercer o direito dentro de 5 (cinco) dias, se outro prazo não constar de lei ou do contrato, ou para aceitar que o devedor a faça, devendo o juiz, ao despachar a petição inicial, fixar lugar, dia e hora em que se fará a entrega, sob pena de depósito.</w:t>
      </w:r>
    </w:p>
    <w:bookmarkEnd w:id="290"/>
    <w:bookmarkStart w:id="291" w:name="art.-544"/>
    <w:p>
      <w:pPr>
        <w:pStyle w:val="Heading6"/>
        <w:pBdr>
          <w:left w:val="single" w:sz="36" w:space="4" w:color="2E75B6"/>
        </w:pBdr>
        <w:shd w:val="clear" w:color="auto" w:fill="E3EEF9"/>
        <w:spacing w:before="200" w:after="80"/>
        <w:ind w:left="85"/>
      </w:pPr>
      <w:r>
        <w:rPr>
          <w:i w:val="0"/>
          <w:color w:val="1F3A5F"/>
          <w:sz w:val="23"/>
        </w:rPr>
        <w:t xml:space="preserve">Art. 544</w:t>
      </w:r>
    </w:p>
    <w:p>
      <w:pPr>
        <w:pStyle w:val="FirstParagraph"/>
        <w:spacing w:after="80"/>
        <w:jc w:val="both"/>
      </w:pPr>
      <w:r>
        <w:rPr>
          <w:b/>
          <w:bCs/>
        </w:rPr>
        <w:t xml:space="preserve">Art. 544.</w:t>
      </w:r>
      <w:r>
        <w:t xml:space="preserve"> </w:t>
      </w:r>
      <w:r>
        <w:t xml:space="preserve">Na contestação, o réu poderá alegar que:</w:t>
      </w:r>
    </w:p>
    <w:p>
      <w:pPr>
        <w:pStyle w:val="BodyText"/>
        <w:spacing w:after="80"/>
        <w:jc w:val="both"/>
      </w:pPr>
      <w:r>
        <w:t xml:space="preserve">I - não houve recusa ou mora em receber a quantia ou a coisa devida;</w:t>
      </w:r>
    </w:p>
    <w:p>
      <w:pPr>
        <w:pStyle w:val="BodyText"/>
        <w:keepNext/>
        <w:spacing w:after="80"/>
        <w:jc w:val="both"/>
      </w:pPr>
      <w:r>
        <w:t xml:space="preserve">II - foi justa a recusa;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5"/>
        <w:gridCol w:w="2351"/>
        <w:gridCol w:w="4978"/>
      </w:tblGrid>
      <w:tr>
        <w:trPr>
          <w:tblHeader w:val="on"/>
          <w:cantSplit/>
          <w:tblHeader/>
        </w:trPr>
        <w:tc>
          <w:tcPr>
            <w:tcW w:type="dxa" w:w="202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35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977"/>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25"/>
          </w:tcPr>
          <w:p>
            <w:pPr>
              <w:pStyle w:val="Compact"/>
              <w:spacing w:line="276" w:lineRule="auto" w:before="40" w:after="40"/>
            </w:pPr>
            <w:r>
              <w:rPr>
                <w:rFonts w:ascii="Liberation Sans Narrow" w:hAnsi="Liberation Sans Narrow"/>
                <w:sz w:val="18"/>
              </w:rPr>
              <w:t xml:space="preserve">II — justeza da recusa (orientação de aplicação) (aplicação narrada)</w:t>
            </w:r>
          </w:p>
        </w:tc>
        <w:tc>
          <w:tcPr>
            <w:tcW w:type="dxa" w:w="2351"/>
          </w:tcPr>
          <w:p>
            <w:pPr>
              <w:pStyle w:val="Compact"/>
              <w:spacing w:line="276" w:lineRule="auto" w:before="40" w:after="40"/>
            </w:pPr>
            <w:r>
              <w:rPr>
                <w:rFonts w:ascii="Liberation Sans Narrow" w:hAnsi="Liberation Sans Narrow"/>
                <w:sz w:val="18"/>
              </w:rPr>
              <w:t xml:space="preserve">STJ, AREsp 2.606.973, Terceira Turma, relator Min. Moura Ribeiro, julgado em 09/02/2026</w:t>
            </w:r>
          </w:p>
        </w:tc>
        <w:tc>
          <w:tcPr>
            <w:tcW w:type="dxa" w:w="4977"/>
          </w:tcPr>
          <w:p>
            <w:pPr>
              <w:pStyle w:val="Compact"/>
              <w:spacing w:line="276" w:lineRule="auto" w:before="40" w:after="40"/>
            </w:pPr>
            <w:r>
              <w:rPr>
                <w:rFonts w:ascii="Liberation Sans Narrow" w:hAnsi="Liberation Sans Narrow"/>
                <w:sz w:val="18"/>
              </w:rPr>
              <w:t xml:space="preserve">A consignação que se limita ao repasse de contribuições de custeio decorrentes de sentença trabalhista não se confunde com a revisão de complementação de aposentadoria; a recusa do credor é injustificada, pois a ação consignatória visa apenas liberar a patrocinadora da mora quanto ao repasse do valor do custeio. Trecho: “O acórdão recorrido, ao distinguir a controvérsia dos Temas 955 e 1.021 do STJ, notadamente ao reconhecer que o objeto da Ação de Consignação em Pagamento trata-se do recolhimento das parcelas deferidas que se caracterizam como salário de contribuição (custeio) e não da concessão ou revisão da complementação de aposentadoria, encontra-se em consonância com o entendimento desta Corte Superior no sentido de que a discussão sobre a recomposição da reserva matemática e a inviabilidade da revisão de benefício são questões que transcendem a natureza da ação consignatória, a qual visa apenas liberar a patrocinadora da mora quanto ao repasse do valor do custeio.”</w:t>
            </w:r>
          </w:p>
        </w:tc>
      </w:tr>
    </w:tbl>
    <w:p>
      <w:pPr>
        <w:pStyle w:val="BodyText"/>
        <w:spacing w:after="80"/>
        <w:jc w:val="both"/>
      </w:pPr>
      <w:r>
        <w:t xml:space="preserve">III - o depósito não se efetuou no prazo ou no lugar do pagamento;</w:t>
      </w:r>
    </w:p>
    <w:p>
      <w:pPr>
        <w:pStyle w:val="BodyText"/>
        <w:keepNext/>
        <w:spacing w:after="80"/>
        <w:jc w:val="both"/>
      </w:pPr>
      <w:r>
        <w:t xml:space="preserve">IV - o depósito não é integral.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2775"/>
        <w:gridCol w:w="504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7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04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IV — tese</w:t>
            </w:r>
          </w:p>
        </w:tc>
        <w:tc>
          <w:tcPr>
            <w:tcW w:type="dxa" w:w="2775"/>
          </w:tcPr>
          <w:p>
            <w:pPr>
              <w:pStyle w:val="Compact"/>
              <w:spacing w:line="276" w:lineRule="auto" w:before="40" w:after="40"/>
            </w:pPr>
            <w:r>
              <w:rPr>
                <w:rFonts w:ascii="Liberation Sans Narrow" w:hAnsi="Liberation Sans Narrow"/>
                <w:sz w:val="18"/>
              </w:rPr>
              <w:t xml:space="preserve">STJ, REsp 1.990.608, Quarta Turma, relator Min. João Otávio de Noronha, julgado em 09/03/2026</w:t>
            </w:r>
          </w:p>
        </w:tc>
        <w:tc>
          <w:tcPr>
            <w:tcW w:type="dxa" w:w="5049"/>
          </w:tcPr>
          <w:p>
            <w:pPr>
              <w:pStyle w:val="Compact"/>
              <w:spacing w:line="276" w:lineRule="auto" w:before="40" w:after="40"/>
            </w:pPr>
            <w:r>
              <w:rPr>
                <w:rFonts w:ascii="Liberation Sans Narrow" w:hAnsi="Liberation Sans Narrow"/>
                <w:sz w:val="18"/>
              </w:rPr>
              <w:t xml:space="preserve">Constatada a insuficiência do depósito, impõe-se o julgamento de improcedência do pedido consignatório, pois o pagamento parcial não extingue o vínculo obrigacional nem libera o devedor (Tema 967/STJ).</w:t>
            </w:r>
          </w:p>
        </w:tc>
      </w:tr>
    </w:tbl>
    <w:p>
      <w:pPr>
        <w:pStyle w:val="BodyText"/>
        <w:spacing w:after="80"/>
        <w:jc w:val="both"/>
      </w:pPr>
      <w:r>
        <w:t xml:space="preserve">Parágrafo único. No caso do inciso IV, a alegação somente será admissível se o réu indicar o montante que entende devido.</w:t>
      </w:r>
    </w:p>
    <w:bookmarkEnd w:id="291"/>
    <w:bookmarkStart w:id="292" w:name="art.-545"/>
    <w:p>
      <w:pPr>
        <w:pStyle w:val="Heading6"/>
        <w:pBdr>
          <w:left w:val="single" w:sz="36" w:space="4" w:color="2E75B6"/>
        </w:pBdr>
        <w:shd w:val="clear" w:color="auto" w:fill="E3EEF9"/>
        <w:spacing w:before="200" w:after="80"/>
        <w:ind w:left="85"/>
      </w:pPr>
      <w:r>
        <w:rPr>
          <w:i w:val="0"/>
          <w:color w:val="1F3A5F"/>
          <w:sz w:val="23"/>
        </w:rPr>
        <w:t xml:space="preserve">Art. 545</w:t>
      </w:r>
    </w:p>
    <w:p>
      <w:pPr>
        <w:pStyle w:val="FirstParagraph"/>
        <w:keepNext/>
        <w:spacing w:after="80"/>
        <w:jc w:val="both"/>
      </w:pPr>
      <w:r>
        <w:rPr>
          <w:b/>
          <w:bCs/>
        </w:rPr>
        <w:t xml:space="preserve">Art. 545.</w:t>
      </w:r>
      <w:r>
        <w:t xml:space="preserve"> </w:t>
      </w:r>
      <w:r>
        <w:t xml:space="preserve">Alegada a insuficiência do depósito, é lícito ao autor completá-lo, em 10 (dez) dias, salvo se corresponder a prestação cujo inadimplemento acarrete a rescisão do contrato.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45"/>
        <w:gridCol w:w="3339"/>
        <w:gridCol w:w="4071"/>
      </w:tblGrid>
      <w:tr>
        <w:trPr>
          <w:tblHeader w:val="on"/>
          <w:cantSplit/>
          <w:tblHeader/>
        </w:trPr>
        <w:tc>
          <w:tcPr>
            <w:tcW w:type="dxa" w:w="194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33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07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45"/>
          </w:tcPr>
          <w:p>
            <w:pPr>
              <w:pStyle w:val="Compact"/>
              <w:spacing w:line="276" w:lineRule="auto" w:before="40" w:after="40"/>
            </w:pPr>
            <w:r>
              <w:rPr>
                <w:rFonts w:ascii="Liberation Sans Narrow" w:hAnsi="Liberation Sans Narrow"/>
                <w:sz w:val="18"/>
              </w:rPr>
              <w:t xml:space="preserve">Consignação em pagamento: insuficiência do depósito e improcedência do pedido</w:t>
            </w:r>
          </w:p>
        </w:tc>
        <w:tc>
          <w:tcPr>
            <w:tcW w:type="dxa" w:w="3339"/>
          </w:tcPr>
          <w:p>
            <w:pPr>
              <w:pStyle w:val="Compact"/>
              <w:spacing w:line="276" w:lineRule="auto" w:before="40" w:after="40"/>
            </w:pPr>
            <w:r>
              <w:rPr>
                <w:rFonts w:ascii="Liberation Sans Narrow" w:hAnsi="Liberation Sans Narrow"/>
                <w:sz w:val="18"/>
              </w:rPr>
              <w:t xml:space="preserve">STJ, Tema Repetitivo 967, REsp 1.108.058, Segunda Seção, relator Min. Lázaro Guimarães (Desembargador Convocado do Trf 5ª Região), julgado em 10/10/2018, DJe de 23/10/2018</w:t>
            </w:r>
          </w:p>
        </w:tc>
        <w:tc>
          <w:tcPr>
            <w:tcW w:type="dxa" w:w="4071"/>
          </w:tcPr>
          <w:p>
            <w:pPr>
              <w:pStyle w:val="Compact"/>
              <w:spacing w:line="276" w:lineRule="auto" w:before="40" w:after="40"/>
            </w:pPr>
            <w:r>
              <w:rPr>
                <w:rFonts w:ascii="Liberation Sans Narrow" w:hAnsi="Liberation Sans Narrow"/>
                <w:sz w:val="18"/>
              </w:rPr>
              <w:t xml:space="preserve">Em ação consignatória, a insuficiência do depósito realizado pelo devedor conduz ao julgamento de improcedência do pedido, pois o pagamento parcial da dívida não extingue o vínculo obrigacional.</w:t>
            </w:r>
          </w:p>
        </w:tc>
      </w:tr>
      <w:tr>
        <w:trPr>
          <w:cantSplit/>
        </w:trPr>
        <w:tc>
          <w:tcPr>
            <w:tcW w:type="dxa" w:w="1945"/>
          </w:tcPr>
          <w:p>
            <w:pPr>
              <w:pStyle w:val="Compact"/>
              <w:spacing w:line="276" w:lineRule="auto" w:before="40" w:after="40"/>
            </w:pPr>
            <w:r>
              <w:rPr>
                <w:rFonts w:ascii="Liberation Sans Narrow" w:hAnsi="Liberation Sans Narrow"/>
                <w:sz w:val="18"/>
              </w:rPr>
              <w:t xml:space="preserve">Depósito parcial e sucumbência do autor da consignatória</w:t>
            </w:r>
          </w:p>
        </w:tc>
        <w:tc>
          <w:tcPr>
            <w:tcW w:type="dxa" w:w="3339"/>
          </w:tcPr>
          <w:p>
            <w:pPr>
              <w:pStyle w:val="Compact"/>
              <w:spacing w:line="276" w:lineRule="auto" w:before="40" w:after="40"/>
            </w:pPr>
            <w:r>
              <w:rPr>
                <w:rFonts w:ascii="Liberation Sans Narrow" w:hAnsi="Liberation Sans Narrow"/>
                <w:sz w:val="18"/>
              </w:rPr>
              <w:t xml:space="preserve">STJ, AREsp 1.635.102, Quarta Turma, relator Min. Raul Araújo, julgado em 31/03/2025, DJEN de 10/04/2025</w:t>
            </w:r>
          </w:p>
        </w:tc>
        <w:tc>
          <w:tcPr>
            <w:tcW w:type="dxa" w:w="4071"/>
          </w:tcPr>
          <w:p>
            <w:pPr>
              <w:pStyle w:val="Compact"/>
              <w:spacing w:line="276" w:lineRule="auto" w:before="40" w:after="40"/>
            </w:pPr>
            <w:r>
              <w:rPr>
                <w:rFonts w:ascii="Liberation Sans Narrow" w:hAnsi="Liberation Sans Narrow"/>
                <w:sz w:val="18"/>
              </w:rPr>
              <w:t xml:space="preserve">Conforme o Tema 967, a insuficiência do depósito conduz à improcedência da consignatória, e os ônus da sucumbência são do autor. Os honorários da cobrança extrajudicial de taxas condominiais, distintos dos de sucumbência, podem integrar a conta (Código Civil, arts. 389, 395 e 404).</w:t>
            </w:r>
          </w:p>
        </w:tc>
      </w:tr>
    </w:tbl>
    <w:p>
      <w:pPr>
        <w:pStyle w:val="BodyText"/>
        <w:spacing w:after="80"/>
        <w:jc w:val="both"/>
      </w:pPr>
      <w:r>
        <w:t xml:space="preserve">§ 1º No caso do caput , poderá o réu levantar, desde logo, a quantia ou a coisa depositada, com a consequente liberação parcial do autor, prosseguindo o processo quanto à parcela controvertida.</w:t>
      </w:r>
    </w:p>
    <w:p>
      <w:pPr>
        <w:pStyle w:val="BodyText"/>
        <w:spacing w:after="80"/>
        <w:jc w:val="both"/>
      </w:pPr>
      <w:r>
        <w:t xml:space="preserve">§ 2º A sentença que concluir pela insuficiência do depósito determinará, sempre que possível, o montante devido e valerá como título executivo, facultado ao credor promover-lhe o cumprimento nos mesmos autos, após liquidação, se necessária.</w:t>
      </w:r>
    </w:p>
    <w:bookmarkEnd w:id="292"/>
    <w:bookmarkStart w:id="293" w:name="art.-546"/>
    <w:p>
      <w:pPr>
        <w:pStyle w:val="Heading6"/>
        <w:pBdr>
          <w:left w:val="single" w:sz="36" w:space="4" w:color="2E75B6"/>
        </w:pBdr>
        <w:shd w:val="clear" w:color="auto" w:fill="E3EEF9"/>
        <w:spacing w:before="200" w:after="80"/>
        <w:ind w:left="85"/>
      </w:pPr>
      <w:r>
        <w:rPr>
          <w:i w:val="0"/>
          <w:color w:val="1F3A5F"/>
          <w:sz w:val="23"/>
        </w:rPr>
        <w:t xml:space="preserve">Art. 546</w:t>
      </w:r>
    </w:p>
    <w:p>
      <w:pPr>
        <w:pStyle w:val="FirstParagraph"/>
        <w:keepNext/>
        <w:spacing w:after="80"/>
        <w:jc w:val="both"/>
      </w:pPr>
      <w:r>
        <w:rPr>
          <w:b/>
          <w:bCs/>
        </w:rPr>
        <w:t xml:space="preserve">Art. 546.</w:t>
      </w:r>
      <w:r>
        <w:t xml:space="preserve"> </w:t>
      </w:r>
      <w:r>
        <w:t xml:space="preserve">Julgado procedente o pedido, o juiz declarará extinta a obrigação e condenará o réu ao pagamento de custas e honorários advocatícios.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71"/>
        <w:gridCol w:w="2549"/>
        <w:gridCol w:w="5135"/>
      </w:tblGrid>
      <w:tr>
        <w:trPr>
          <w:tblHeader w:val="on"/>
          <w:cantSplit/>
          <w:tblHeader/>
        </w:trPr>
        <w:tc>
          <w:tcPr>
            <w:tcW w:type="dxa" w:w="167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4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13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71"/>
          </w:tcPr>
          <w:p>
            <w:pPr>
              <w:pStyle w:val="Compact"/>
              <w:spacing w:line="276" w:lineRule="auto" w:before="40" w:after="40"/>
            </w:pPr>
            <w:r>
              <w:rPr>
                <w:rFonts w:ascii="Liberation Sans Narrow" w:hAnsi="Liberation Sans Narrow"/>
                <w:sz w:val="18"/>
              </w:rPr>
              <w:t xml:space="preserve">Caput — extinção da obrigação (aplicação narrada)</w:t>
            </w:r>
          </w:p>
        </w:tc>
        <w:tc>
          <w:tcPr>
            <w:tcW w:type="dxa" w:w="2549"/>
          </w:tcPr>
          <w:p>
            <w:pPr>
              <w:pStyle w:val="Compact"/>
              <w:spacing w:line="276" w:lineRule="auto" w:before="40" w:after="40"/>
            </w:pPr>
            <w:r>
              <w:rPr>
                <w:rFonts w:ascii="Liberation Sans Narrow" w:hAnsi="Liberation Sans Narrow"/>
                <w:sz w:val="18"/>
              </w:rPr>
              <w:t xml:space="preserve">STJ, REsp 1.990.608, Quarta Turma, relator Min. João Otávio de Noronha, julgado em 09/03/2026</w:t>
            </w:r>
          </w:p>
        </w:tc>
        <w:tc>
          <w:tcPr>
            <w:tcW w:type="dxa" w:w="5134"/>
          </w:tcPr>
          <w:p>
            <w:pPr>
              <w:pStyle w:val="Compact"/>
              <w:spacing w:line="276" w:lineRule="auto" w:before="40" w:after="40"/>
            </w:pPr>
            <w:r>
              <w:rPr>
                <w:rFonts w:ascii="Liberation Sans Narrow" w:hAnsi="Liberation Sans Narrow"/>
                <w:sz w:val="18"/>
              </w:rPr>
              <w:t xml:space="preserve">A insuficiência do depósito na ação de consignação em pagamento impõe o julgamento de improcedência do pedido, pois o pagamento parcial não extingue a obrigação nem libera o devedor (Tema 967/STJ), com inversão dos ônus sucumbenciais. Trecho: “Em ação de consignação em pagamento, a insuficiência do depósito realizado pelo devedor impõe o julgamento de improcedência do pedido, pois o pagamento parcial não extingue a obrigação nem acarreta a liberação do devedor, devendo ser observada a tese firmada no Tema 967/STJ.” Dispositivos relevantes citados:”</w:t>
            </w:r>
          </w:p>
        </w:tc>
      </w:tr>
    </w:tbl>
    <w:p>
      <w:pPr>
        <w:pStyle w:val="BodyText"/>
        <w:spacing w:after="80"/>
        <w:jc w:val="both"/>
      </w:pPr>
      <w:r>
        <w:t xml:space="preserve">Parágrafo único. Proceder-se-á do mesmo modo se o credor receber e der quitação.</w:t>
      </w:r>
    </w:p>
    <w:bookmarkEnd w:id="293"/>
    <w:bookmarkStart w:id="294" w:name="art.-547"/>
    <w:p>
      <w:pPr>
        <w:pStyle w:val="Heading6"/>
        <w:pBdr>
          <w:left w:val="single" w:sz="36" w:space="4" w:color="2E75B6"/>
        </w:pBdr>
        <w:shd w:val="clear" w:color="auto" w:fill="E3EEF9"/>
        <w:spacing w:before="200" w:after="80"/>
        <w:ind w:left="85"/>
      </w:pPr>
      <w:r>
        <w:rPr>
          <w:i w:val="0"/>
          <w:color w:val="1F3A5F"/>
          <w:sz w:val="23"/>
        </w:rPr>
        <w:t xml:space="preserve">Art. 547</w:t>
      </w:r>
    </w:p>
    <w:p>
      <w:pPr>
        <w:pStyle w:val="FirstParagraph"/>
        <w:spacing w:after="80"/>
        <w:jc w:val="both"/>
      </w:pPr>
      <w:r>
        <w:rPr>
          <w:b/>
          <w:bCs/>
        </w:rPr>
        <w:t xml:space="preserve">Art. 547.</w:t>
      </w:r>
      <w:r>
        <w:t xml:space="preserve"> </w:t>
      </w:r>
      <w:r>
        <w:t xml:space="preserve">Se ocorrer dúvida sobre quem deva legitimamente receber o pagamento, o autor requererá o depósito e a citação dos possíveis titulares do crédito para provarem o seu direito.</w:t>
      </w:r>
    </w:p>
    <w:bookmarkEnd w:id="294"/>
    <w:bookmarkStart w:id="295" w:name="art.-548"/>
    <w:p>
      <w:pPr>
        <w:pStyle w:val="Heading6"/>
        <w:pBdr>
          <w:left w:val="single" w:sz="36" w:space="4" w:color="2E75B6"/>
        </w:pBdr>
        <w:shd w:val="clear" w:color="auto" w:fill="E3EEF9"/>
        <w:spacing w:before="200" w:after="80"/>
        <w:ind w:left="85"/>
      </w:pPr>
      <w:r>
        <w:rPr>
          <w:i w:val="0"/>
          <w:color w:val="1F3A5F"/>
          <w:sz w:val="23"/>
        </w:rPr>
        <w:t xml:space="preserve">Art. 548</w:t>
      </w:r>
    </w:p>
    <w:p>
      <w:pPr>
        <w:pStyle w:val="FirstParagraph"/>
        <w:spacing w:after="80"/>
        <w:jc w:val="both"/>
      </w:pPr>
      <w:r>
        <w:rPr>
          <w:b/>
          <w:bCs/>
        </w:rPr>
        <w:t xml:space="preserve">Art. 548.</w:t>
      </w:r>
      <w:r>
        <w:t xml:space="preserve"> </w:t>
      </w:r>
      <w:r>
        <w:t xml:space="preserve">No caso do art. 547:</w:t>
      </w:r>
    </w:p>
    <w:p>
      <w:pPr>
        <w:pStyle w:val="BodyText"/>
        <w:spacing w:after="80"/>
        <w:jc w:val="both"/>
      </w:pPr>
      <w:r>
        <w:t xml:space="preserve">I - não comparecendo pretendente algum, converter-se-á o depósito em arrecadação de coisas vagas;</w:t>
      </w:r>
    </w:p>
    <w:p>
      <w:pPr>
        <w:pStyle w:val="BodyText"/>
        <w:spacing w:after="80"/>
        <w:jc w:val="both"/>
      </w:pPr>
      <w:r>
        <w:t xml:space="preserve">II - comparecendo apenas um, o juiz decidirá de plano;</w:t>
      </w:r>
    </w:p>
    <w:p>
      <w:pPr>
        <w:pStyle w:val="BodyText"/>
        <w:spacing w:after="80"/>
        <w:jc w:val="both"/>
      </w:pPr>
      <w:r>
        <w:t xml:space="preserve">III - comparecendo mais de um, o juiz declarará efetuado o depósito e extinta a obrigação, continuando o processo a correr unicamente entre os presuntivos credores, observado o procedimento comum.</w:t>
      </w:r>
    </w:p>
    <w:bookmarkEnd w:id="295"/>
    <w:bookmarkStart w:id="296" w:name="art.-549"/>
    <w:p>
      <w:pPr>
        <w:pStyle w:val="Heading6"/>
        <w:pBdr>
          <w:left w:val="single" w:sz="36" w:space="4" w:color="2E75B6"/>
        </w:pBdr>
        <w:shd w:val="clear" w:color="auto" w:fill="E3EEF9"/>
        <w:spacing w:before="200" w:after="80"/>
        <w:ind w:left="85"/>
      </w:pPr>
      <w:r>
        <w:rPr>
          <w:i w:val="0"/>
          <w:color w:val="1F3A5F"/>
          <w:sz w:val="23"/>
        </w:rPr>
        <w:t xml:space="preserve">Art. 549</w:t>
      </w:r>
    </w:p>
    <w:p>
      <w:pPr>
        <w:pStyle w:val="FirstParagraph"/>
        <w:spacing w:after="80"/>
        <w:jc w:val="both"/>
      </w:pPr>
      <w:r>
        <w:rPr>
          <w:b/>
          <w:bCs/>
        </w:rPr>
        <w:t xml:space="preserve">Art. 549.</w:t>
      </w:r>
      <w:r>
        <w:t xml:space="preserve"> </w:t>
      </w:r>
      <w:r>
        <w:t xml:space="preserve">Aplica-se o procedimento estabelecido neste Capítulo, no que couber, ao resgate do aforamento.</w:t>
      </w:r>
    </w:p>
    <w:bookmarkEnd w:id="296"/>
    <w:bookmarkEnd w:id="297"/>
    <w:bookmarkStart w:id="302" w:name="X33638fcd462b99e4f716dfd9a7f576a5f6965ff"/>
    <w:p>
      <w:pPr>
        <w:pStyle w:val="Heading4"/>
        <w:spacing w:before="160" w:after="40"/>
      </w:pPr>
      <w:r>
        <w:rPr>
          <w:smallCaps/>
          <w:color w:val="2E75B6"/>
        </w:rPr>
        <w:t xml:space="preserve">Capítulo II: da ação de exigir contas (arts. 550 a 553)</w:t>
      </w:r>
    </w:p>
    <w:bookmarkStart w:id="298" w:name="art.-550"/>
    <w:p>
      <w:pPr>
        <w:pStyle w:val="Heading6"/>
        <w:pBdr>
          <w:left w:val="single" w:sz="36" w:space="4" w:color="2E75B6"/>
        </w:pBdr>
        <w:shd w:val="clear" w:color="auto" w:fill="E3EEF9"/>
        <w:spacing w:before="200" w:after="80"/>
        <w:ind w:left="85"/>
      </w:pPr>
      <w:r>
        <w:rPr>
          <w:i w:val="0"/>
          <w:color w:val="1F3A5F"/>
          <w:sz w:val="23"/>
        </w:rPr>
        <w:t xml:space="preserve">Art. 550</w:t>
      </w:r>
    </w:p>
    <w:p>
      <w:pPr>
        <w:pStyle w:val="FirstParagraph"/>
        <w:keepNext/>
        <w:spacing w:after="80"/>
        <w:jc w:val="both"/>
      </w:pPr>
      <w:r>
        <w:rPr>
          <w:b/>
          <w:bCs/>
        </w:rPr>
        <w:t xml:space="preserve">Art. 550.</w:t>
      </w:r>
      <w:r>
        <w:t xml:space="preserve"> </w:t>
      </w:r>
      <w:r>
        <w:t xml:space="preserve">Aquele que afirmar ser titular do direito de exigir contas requererá a citação do réu para que as preste ou ofereça contestação no prazo de 15 (quinze) dias.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2846"/>
        <w:gridCol w:w="447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4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47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30"/>
          </w:tcPr>
          <w:p>
            <w:pPr>
              <w:pStyle w:val="Compact"/>
              <w:spacing w:line="276" w:lineRule="auto" w:before="40" w:after="40"/>
            </w:pPr>
            <w:r>
              <w:rPr>
                <w:rFonts w:ascii="Liberation Sans Narrow" w:hAnsi="Liberation Sans Narrow"/>
                <w:sz w:val="18"/>
              </w:rPr>
              <w:t xml:space="preserve">Titular de conta-corrente bancária e ação de exigir contas</w:t>
            </w:r>
          </w:p>
        </w:tc>
        <w:tc>
          <w:tcPr>
            <w:tcW w:type="dxa" w:w="2846"/>
          </w:tcPr>
          <w:p>
            <w:pPr>
              <w:pStyle w:val="Compact"/>
              <w:spacing w:line="276" w:lineRule="auto" w:before="40" w:after="40"/>
            </w:pPr>
            <w:r>
              <w:rPr>
                <w:rFonts w:ascii="Liberation Sans Narrow" w:hAnsi="Liberation Sans Narrow"/>
                <w:sz w:val="18"/>
              </w:rPr>
              <w:t xml:space="preserve">STJ, Súmula 259/STJ, Segunda Seção (vigente; data de aprovação não informada pelo acervo)</w:t>
            </w:r>
          </w:p>
        </w:tc>
        <w:tc>
          <w:tcPr>
            <w:tcW w:type="dxa" w:w="4479"/>
          </w:tcPr>
          <w:p>
            <w:pPr>
              <w:pStyle w:val="Compact"/>
              <w:spacing w:line="276" w:lineRule="auto" w:before="40" w:after="40"/>
            </w:pPr>
            <w:r>
              <w:rPr>
                <w:rFonts w:ascii="Liberation Sans Narrow" w:hAnsi="Liberation Sans Narrow"/>
                <w:sz w:val="18"/>
              </w:rPr>
              <w:t xml:space="preserve">O titular de conta-corrente bancária pode propor a ação de prestação de contas.</w:t>
            </w:r>
          </w:p>
        </w:tc>
      </w:tr>
      <w:tr>
        <w:trPr>
          <w:cantSplit/>
        </w:trPr>
        <w:tc>
          <w:tcPr>
            <w:tcW w:type="dxa" w:w="2030"/>
          </w:tcPr>
          <w:p>
            <w:pPr>
              <w:pStyle w:val="Compact"/>
              <w:spacing w:line="276" w:lineRule="auto" w:before="40" w:after="40"/>
            </w:pPr>
            <w:r>
              <w:rPr>
                <w:rFonts w:ascii="Liberation Sans Narrow" w:hAnsi="Liberation Sans Narrow"/>
                <w:sz w:val="18"/>
              </w:rPr>
              <w:t xml:space="preserve">Ação de exigir contas e pretensão de dar contas: procedimento</w:t>
            </w:r>
          </w:p>
        </w:tc>
        <w:tc>
          <w:tcPr>
            <w:tcW w:type="dxa" w:w="2846"/>
          </w:tcPr>
          <w:p>
            <w:pPr>
              <w:pStyle w:val="Compact"/>
              <w:spacing w:line="276" w:lineRule="auto" w:before="40" w:after="40"/>
            </w:pPr>
            <w:r>
              <w:rPr>
                <w:rFonts w:ascii="Liberation Sans Narrow" w:hAnsi="Liberation Sans Narrow"/>
                <w:sz w:val="18"/>
              </w:rPr>
              <w:t xml:space="preserve">STJ, REsp 1.707.014, Quarta Turma, relator Min. Luis Felipe Salomão, julgado em 02/03/2021, DJe de 04/06/2021</w:t>
            </w:r>
          </w:p>
        </w:tc>
        <w:tc>
          <w:tcPr>
            <w:tcW w:type="dxa" w:w="4479"/>
          </w:tcPr>
          <w:p>
            <w:pPr>
              <w:pStyle w:val="Compact"/>
              <w:spacing w:line="276" w:lineRule="auto" w:before="40" w:after="40"/>
            </w:pPr>
            <w:r>
              <w:rPr>
                <w:rFonts w:ascii="Liberation Sans Narrow" w:hAnsi="Liberation Sans Narrow"/>
                <w:sz w:val="18"/>
              </w:rPr>
              <w:t xml:space="preserve">O CPC/2015 submeteu a procedimento especial só a pretensão de exigir contas (art. 550); a de dar contas subsiste e segue o procedimento comum. A administração de bens alheios gera para o gestor o dever e o direito de prestar contas, e o inventariante tem o dever de prestá-las (art. 618, VII).</w:t>
            </w:r>
          </w:p>
        </w:tc>
      </w:tr>
    </w:tbl>
    <w:p>
      <w:pPr>
        <w:pStyle w:val="BodyText"/>
        <w:spacing w:after="80"/>
        <w:jc w:val="both"/>
      </w:pPr>
      <w:r>
        <w:t xml:space="preserve">§ 1º Na petição inicial, o autor especificará, detalhadamente, as razões pelas quais exige as contas, instruindo-a com documentos comprobatórios dessa necessidade, se existirem.</w:t>
      </w:r>
    </w:p>
    <w:p>
      <w:pPr>
        <w:pStyle w:val="BodyText"/>
        <w:spacing w:after="80"/>
        <w:jc w:val="both"/>
      </w:pPr>
      <w:r>
        <w:t xml:space="preserve">§ 2º Prestadas as contas, o autor terá 15 (quinze) dias para se manifestar, prosseguindo-se o processo na forma do Capítulo X do Título I deste Livro.</w:t>
      </w:r>
    </w:p>
    <w:p>
      <w:pPr>
        <w:pStyle w:val="BodyText"/>
        <w:spacing w:after="80"/>
        <w:jc w:val="both"/>
      </w:pPr>
      <w:r>
        <w:t xml:space="preserve">§ 3º A impugnação das contas apresentadas pelo réu deverá ser fundamentada e específica, com referência expressa ao lançamento questionado.</w:t>
      </w:r>
    </w:p>
    <w:p>
      <w:pPr>
        <w:pStyle w:val="BodyText"/>
        <w:spacing w:after="80"/>
        <w:jc w:val="both"/>
      </w:pPr>
      <w:r>
        <w:t xml:space="preserve">§ 4º Se o réu não contestar o pedido, observar-se-á o disposto no art. 355.</w:t>
      </w:r>
    </w:p>
    <w:p>
      <w:pPr>
        <w:pStyle w:val="BodyText"/>
        <w:keepNext/>
        <w:spacing w:after="80"/>
        <w:jc w:val="both"/>
      </w:pPr>
      <w:r>
        <w:t xml:space="preserve">§ 5º A decisão que julgar procedente o pedido condenará o réu a prestar as contas no prazo de 15 (quinze) dias, sob pena de não lhe ser lícito impugnar as que o autor apresentar.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59"/>
        <w:gridCol w:w="2912"/>
        <w:gridCol w:w="4383"/>
      </w:tblGrid>
      <w:tr>
        <w:trPr>
          <w:tblHeader w:val="on"/>
          <w:cantSplit/>
          <w:tblHeader/>
        </w:trPr>
        <w:tc>
          <w:tcPr>
            <w:tcW w:type="dxa" w:w="2059"/>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91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38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59"/>
          </w:tcPr>
          <w:p>
            <w:pPr>
              <w:pStyle w:val="Compact"/>
              <w:spacing w:line="276" w:lineRule="auto" w:before="40" w:after="40"/>
            </w:pPr>
            <w:r>
              <w:rPr>
                <w:rFonts w:ascii="Liberation Sans Narrow" w:hAnsi="Liberation Sans Narrow"/>
                <w:sz w:val="18"/>
              </w:rPr>
              <w:t xml:space="preserve">§ 5º: prazo de 15 dias para prestar contas após a primeira fase</w:t>
            </w:r>
          </w:p>
        </w:tc>
        <w:tc>
          <w:tcPr>
            <w:tcW w:type="dxa" w:w="2913"/>
          </w:tcPr>
          <w:p>
            <w:pPr>
              <w:pStyle w:val="Compact"/>
              <w:spacing w:line="276" w:lineRule="auto" w:before="40" w:after="40"/>
            </w:pPr>
            <w:r>
              <w:rPr>
                <w:rFonts w:ascii="Liberation Sans Narrow" w:hAnsi="Liberation Sans Narrow"/>
                <w:sz w:val="18"/>
              </w:rPr>
              <w:t xml:space="preserve">STJ, REsp 2.176.491, Terceira Turma, relator Min. Moura Ribeiro, julgado em 12/08/2026, DJEN de 17/08/2026</w:t>
            </w:r>
          </w:p>
        </w:tc>
        <w:tc>
          <w:tcPr>
            <w:tcW w:type="dxa" w:w="4383"/>
          </w:tcPr>
          <w:p>
            <w:pPr>
              <w:pStyle w:val="Compact"/>
              <w:spacing w:line="276" w:lineRule="auto" w:before="40" w:after="40"/>
            </w:pPr>
            <w:r>
              <w:rPr>
                <w:rFonts w:ascii="Liberation Sans Narrow" w:hAnsi="Liberation Sans Narrow"/>
                <w:sz w:val="18"/>
              </w:rPr>
              <w:t xml:space="preserve">A decisão que julga procedente a primeira fase da ação de exigir contas é interlocutória de mérito, impugnável por agravo de instrumento, em regra sem efeito suspensivo; o prazo do § 5º corre da intimação dessa decisão, na pessoa do advogado do réu.</w:t>
            </w:r>
          </w:p>
        </w:tc>
      </w:tr>
      <w:tr>
        <w:trPr>
          <w:cantSplit/>
        </w:trPr>
        <w:tc>
          <w:tcPr>
            <w:tcW w:type="dxa" w:w="2059"/>
          </w:tcPr>
          <w:p>
            <w:pPr>
              <w:pStyle w:val="Compact"/>
              <w:spacing w:line="276" w:lineRule="auto" w:before="40" w:after="40"/>
            </w:pPr>
            <w:r>
              <w:rPr>
                <w:rFonts w:ascii="Liberation Sans Narrow" w:hAnsi="Liberation Sans Narrow"/>
                <w:sz w:val="18"/>
              </w:rPr>
              <w:t xml:space="preserve">§ 5º — réu que não presta contas no prazo e preclusão da impugnação</w:t>
            </w:r>
          </w:p>
        </w:tc>
        <w:tc>
          <w:tcPr>
            <w:tcW w:type="dxa" w:w="2913"/>
          </w:tcPr>
          <w:p>
            <w:pPr>
              <w:pStyle w:val="Compact"/>
              <w:spacing w:line="276" w:lineRule="auto" w:before="40" w:after="40"/>
            </w:pPr>
            <w:r>
              <w:rPr>
                <w:rFonts w:ascii="Liberation Sans Narrow" w:hAnsi="Liberation Sans Narrow"/>
                <w:sz w:val="18"/>
              </w:rPr>
              <w:t xml:space="preserve">STJ, AREsp 3.192.632, Quarta Turma, relator Min. Raul Araújo, julgado em 22/06/2026, DJEN de 29/06/2026</w:t>
            </w:r>
          </w:p>
        </w:tc>
        <w:tc>
          <w:tcPr>
            <w:tcW w:type="dxa" w:w="4383"/>
          </w:tcPr>
          <w:p>
            <w:pPr>
              <w:pStyle w:val="Compact"/>
              <w:spacing w:line="276" w:lineRule="auto" w:before="40" w:after="40"/>
            </w:pPr>
            <w:r>
              <w:rPr>
                <w:rFonts w:ascii="Liberation Sans Narrow" w:hAnsi="Liberation Sans Narrow"/>
                <w:sz w:val="18"/>
              </w:rPr>
              <w:t xml:space="preserve">A intempestividade na prestação de contas pelo réu implica a sanção do art. 550, § 5º: perda do direito de impugnar as contas do autor, não configurando cerceamento de defesa a ausência de nova abertura de prazo para impugnação.</w:t>
            </w:r>
          </w:p>
        </w:tc>
      </w:tr>
    </w:tbl>
    <w:p>
      <w:pPr>
        <w:pStyle w:val="BodyText"/>
        <w:spacing w:after="80"/>
        <w:jc w:val="both"/>
      </w:pPr>
      <w:r>
        <w:t xml:space="preserve">§ 6º Se o réu apresentar as contas no prazo previsto no § 5º, seguir-se-á o procedimento do § 2º, caso contrário, o autor apresentá-las-á no prazo de 15 (quinze) dias, podendo o juiz determinar a realização de exame pericial, se necessário.</w:t>
      </w:r>
    </w:p>
    <w:bookmarkEnd w:id="298"/>
    <w:bookmarkStart w:id="299" w:name="art.-551"/>
    <w:p>
      <w:pPr>
        <w:pStyle w:val="Heading6"/>
        <w:pBdr>
          <w:left w:val="single" w:sz="36" w:space="4" w:color="2E75B6"/>
        </w:pBdr>
        <w:shd w:val="clear" w:color="auto" w:fill="E3EEF9"/>
        <w:spacing w:before="200" w:after="80"/>
        <w:ind w:left="85"/>
      </w:pPr>
      <w:r>
        <w:rPr>
          <w:i w:val="0"/>
          <w:color w:val="1F3A5F"/>
          <w:sz w:val="23"/>
        </w:rPr>
        <w:t xml:space="preserve">Art. 551</w:t>
      </w:r>
    </w:p>
    <w:p>
      <w:pPr>
        <w:pStyle w:val="FirstParagraph"/>
        <w:spacing w:after="80"/>
        <w:jc w:val="both"/>
      </w:pPr>
      <w:r>
        <w:rPr>
          <w:b/>
          <w:bCs/>
        </w:rPr>
        <w:t xml:space="preserve">Art. 551.</w:t>
      </w:r>
      <w:r>
        <w:t xml:space="preserve"> </w:t>
      </w:r>
      <w:r>
        <w:t xml:space="preserve">As contas do réu serão apresentadas na forma adequada, especificando-se as receitas, a aplicação das despesas e os investimentos, se houver.</w:t>
      </w:r>
    </w:p>
    <w:p>
      <w:pPr>
        <w:pStyle w:val="BodyText"/>
        <w:spacing w:after="80"/>
        <w:jc w:val="both"/>
      </w:pPr>
      <w:r>
        <w:t xml:space="preserve">§ 1º Havendo impugnação específica e fundamentada pelo autor, o juiz estabelecerá prazo razoável para que o réu apresente os documentos justificativos dos lançamentos individualmente impugnados.</w:t>
      </w:r>
    </w:p>
    <w:p>
      <w:pPr>
        <w:pStyle w:val="BodyText"/>
        <w:keepNext/>
        <w:spacing w:after="80"/>
        <w:jc w:val="both"/>
      </w:pPr>
      <w:r>
        <w:t xml:space="preserve">§ 2º As contas do autor, para os fins do art. 550, § 5º, serão apresentadas na forma adequada, já instruídas com os documentos justificativos, especificando-se as receitas, a aplicação das despesas e os investimentos, se houver, bem como o respectivo saldo.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83"/>
        <w:gridCol w:w="2536"/>
        <w:gridCol w:w="4735"/>
      </w:tblGrid>
      <w:tr>
        <w:trPr>
          <w:tblHeader w:val="on"/>
          <w:cantSplit/>
          <w:tblHeader/>
        </w:trPr>
        <w:tc>
          <w:tcPr>
            <w:tcW w:type="dxa" w:w="2083"/>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3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3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83"/>
          </w:tcPr>
          <w:p>
            <w:pPr>
              <w:pStyle w:val="Compact"/>
              <w:spacing w:line="276" w:lineRule="auto" w:before="40" w:after="40"/>
            </w:pPr>
            <w:r>
              <w:rPr>
                <w:rFonts w:ascii="Liberation Sans Narrow" w:hAnsi="Liberation Sans Narrow"/>
                <w:sz w:val="18"/>
              </w:rPr>
              <w:t xml:space="preserve">§ 2º — contas do autor instruídas com documentos e desnecessidade de perícia</w:t>
            </w:r>
          </w:p>
        </w:tc>
        <w:tc>
          <w:tcPr>
            <w:tcW w:type="dxa" w:w="2537"/>
          </w:tcPr>
          <w:p>
            <w:pPr>
              <w:pStyle w:val="Compact"/>
              <w:spacing w:line="276" w:lineRule="auto" w:before="40" w:after="40"/>
            </w:pPr>
            <w:r>
              <w:rPr>
                <w:rFonts w:ascii="Liberation Sans Narrow" w:hAnsi="Liberation Sans Narrow"/>
                <w:sz w:val="18"/>
              </w:rPr>
              <w:t xml:space="preserve">STJ, AREsp 3.192.632, Quarta Turma, relator Min. Raul Araújo, julgado em 22/06/2026, DJEN de 29/06/2026</w:t>
            </w:r>
          </w:p>
        </w:tc>
        <w:tc>
          <w:tcPr>
            <w:tcW w:type="dxa" w:w="4735"/>
          </w:tcPr>
          <w:p>
            <w:pPr>
              <w:pStyle w:val="Compact"/>
              <w:spacing w:line="276" w:lineRule="auto" w:before="40" w:after="40"/>
            </w:pPr>
            <w:r>
              <w:rPr>
                <w:rFonts w:ascii="Liberation Sans Narrow" w:hAnsi="Liberation Sans Narrow"/>
                <w:sz w:val="18"/>
              </w:rPr>
              <w:t xml:space="preserve">Na segunda fase da ação de exigir contas, não existe obrigatoriedade abstrata de perícia contábil: quando a controvérsia é documental e jurídica, basta o exame dos documentos que instruem as contas do autor (art. 551, § 2º), e a revisão da conclusão de suficiência desse exame demanda reexame de provas (Súmula 7/STJ). A determinação da perícia fica no arbítrio do juiz.</w:t>
            </w:r>
          </w:p>
        </w:tc>
      </w:tr>
    </w:tbl>
    <w:bookmarkEnd w:id="299"/>
    <w:bookmarkStart w:id="300" w:name="art.-552"/>
    <w:p>
      <w:pPr>
        <w:pStyle w:val="Heading6"/>
        <w:pBdr>
          <w:left w:val="single" w:sz="36" w:space="4" w:color="2E75B6"/>
        </w:pBdr>
        <w:shd w:val="clear" w:color="auto" w:fill="E3EEF9"/>
        <w:spacing w:before="200" w:after="80"/>
        <w:ind w:left="85"/>
      </w:pPr>
      <w:r>
        <w:rPr>
          <w:i w:val="0"/>
          <w:color w:val="1F3A5F"/>
          <w:sz w:val="23"/>
        </w:rPr>
        <w:t xml:space="preserve">Art. 552</w:t>
      </w:r>
    </w:p>
    <w:p>
      <w:pPr>
        <w:pStyle w:val="FirstParagraph"/>
        <w:keepNext/>
        <w:spacing w:after="80"/>
        <w:jc w:val="both"/>
      </w:pPr>
      <w:r>
        <w:rPr>
          <w:b/>
          <w:bCs/>
        </w:rPr>
        <w:t xml:space="preserve">Art. 552.</w:t>
      </w:r>
      <w:r>
        <w:t xml:space="preserve"> </w:t>
      </w:r>
      <w:r>
        <w:t xml:space="preserve">A sentença apurará o saldo e constituirá título executivo judicial.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79"/>
        <w:gridCol w:w="2501"/>
        <w:gridCol w:w="4474"/>
      </w:tblGrid>
      <w:tr>
        <w:trPr>
          <w:tblHeader w:val="on"/>
          <w:cantSplit/>
          <w:tblHeader/>
        </w:trPr>
        <w:tc>
          <w:tcPr>
            <w:tcW w:type="dxa" w:w="2379"/>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0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47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379"/>
          </w:tcPr>
          <w:p>
            <w:pPr>
              <w:pStyle w:val="Compact"/>
              <w:spacing w:line="276" w:lineRule="auto" w:before="40" w:after="40"/>
            </w:pPr>
            <w:r>
              <w:rPr>
                <w:rFonts w:ascii="Liberation Sans Narrow" w:hAnsi="Liberation Sans Narrow"/>
                <w:sz w:val="18"/>
              </w:rPr>
              <w:t xml:space="preserve">Caput — sentença que apura o saldo e constitui título (orientação de aplicação) (aplicação narrada)</w:t>
            </w:r>
          </w:p>
        </w:tc>
        <w:tc>
          <w:tcPr>
            <w:tcW w:type="dxa" w:w="2501"/>
          </w:tcPr>
          <w:p>
            <w:pPr>
              <w:pStyle w:val="Compact"/>
              <w:spacing w:line="276" w:lineRule="auto" w:before="40" w:after="40"/>
            </w:pPr>
            <w:r>
              <w:rPr>
                <w:rFonts w:ascii="Liberation Sans Narrow" w:hAnsi="Liberation Sans Narrow"/>
                <w:sz w:val="18"/>
              </w:rPr>
              <w:t xml:space="preserve">STJ, REsp 1.707.014, Quarta Turma, relator Min. Luis Felipe Salomão, julgado em 02/03/2021, DJe de 04/06/2021</w:t>
            </w:r>
          </w:p>
        </w:tc>
        <w:tc>
          <w:tcPr>
            <w:tcW w:type="dxa" w:w="4474"/>
          </w:tcPr>
          <w:p>
            <w:pPr>
              <w:pStyle w:val="Compact"/>
              <w:spacing w:line="276" w:lineRule="auto" w:before="40" w:after="40"/>
            </w:pPr>
            <w:r>
              <w:rPr>
                <w:rFonts w:ascii="Liberation Sans Narrow" w:hAnsi="Liberation Sans Narrow"/>
                <w:sz w:val="18"/>
              </w:rPr>
              <w:t xml:space="preserve">O inventariante tem legitimidade para ajuizar ação autônoma de prestação de contas, que se processa pelo rito especial dos arts. 552 e 553 do CPC, e não pelo do art. 550. Trecho: “Assim, há legitimidade do inventariante para ajuizar ação autônoma de prestação de contas.”</w:t>
            </w:r>
          </w:p>
        </w:tc>
      </w:tr>
    </w:tbl>
    <w:bookmarkEnd w:id="300"/>
    <w:bookmarkStart w:id="301" w:name="art.-553"/>
    <w:p>
      <w:pPr>
        <w:pStyle w:val="Heading6"/>
        <w:pBdr>
          <w:left w:val="single" w:sz="36" w:space="4" w:color="2E75B6"/>
        </w:pBdr>
        <w:shd w:val="clear" w:color="auto" w:fill="E3EEF9"/>
        <w:spacing w:before="200" w:after="80"/>
        <w:ind w:left="85"/>
      </w:pPr>
      <w:r>
        <w:rPr>
          <w:i w:val="0"/>
          <w:color w:val="1F3A5F"/>
          <w:sz w:val="23"/>
        </w:rPr>
        <w:t xml:space="preserve">Art. 553</w:t>
      </w:r>
    </w:p>
    <w:p>
      <w:pPr>
        <w:pStyle w:val="FirstParagraph"/>
        <w:keepNext/>
        <w:spacing w:after="80"/>
        <w:jc w:val="both"/>
      </w:pPr>
      <w:r>
        <w:rPr>
          <w:b/>
          <w:bCs/>
        </w:rPr>
        <w:t xml:space="preserve">Art. 553.</w:t>
      </w:r>
      <w:r>
        <w:t xml:space="preserve"> </w:t>
      </w:r>
      <w:r>
        <w:t xml:space="preserve">As contas do inventariante, do tutor, do curador, do depositário e de qualquer outro administrador serão prestadas em apenso aos autos do processo em que tiver sido nomeado.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75"/>
        <w:gridCol w:w="2574"/>
        <w:gridCol w:w="4605"/>
      </w:tblGrid>
      <w:tr>
        <w:trPr>
          <w:tblHeader w:val="on"/>
          <w:cantSplit/>
          <w:tblHeader/>
        </w:trPr>
        <w:tc>
          <w:tcPr>
            <w:tcW w:type="dxa" w:w="217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7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60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75"/>
          </w:tcPr>
          <w:p>
            <w:pPr>
              <w:pStyle w:val="Compact"/>
              <w:spacing w:line="276" w:lineRule="auto" w:before="40" w:after="40"/>
            </w:pPr>
            <w:r>
              <w:rPr>
                <w:rFonts w:ascii="Liberation Sans Narrow" w:hAnsi="Liberation Sans Narrow"/>
                <w:sz w:val="18"/>
              </w:rPr>
              <w:t xml:space="preserve">Caput — dever de prestar contas do inventariante e legitimidade para a ação autônoma</w:t>
            </w:r>
          </w:p>
        </w:tc>
        <w:tc>
          <w:tcPr>
            <w:tcW w:type="dxa" w:w="2574"/>
          </w:tcPr>
          <w:p>
            <w:pPr>
              <w:pStyle w:val="Compact"/>
              <w:spacing w:line="276" w:lineRule="auto" w:before="40" w:after="40"/>
            </w:pPr>
            <w:r>
              <w:rPr>
                <w:rFonts w:ascii="Liberation Sans Narrow" w:hAnsi="Liberation Sans Narrow"/>
                <w:sz w:val="18"/>
              </w:rPr>
              <w:t xml:space="preserve">STJ, REsp 1.707.014, Quarta Turma, relator Min. Luis Felipe Salomão, julgado em 02/03/2021, DJe de 04/06/2021</w:t>
            </w:r>
          </w:p>
        </w:tc>
        <w:tc>
          <w:tcPr>
            <w:tcW w:type="dxa" w:w="4605"/>
          </w:tcPr>
          <w:p>
            <w:pPr>
              <w:pStyle w:val="Compact"/>
              <w:spacing w:line="276" w:lineRule="auto" w:before="40" w:after="40"/>
            </w:pPr>
            <w:r>
              <w:rPr>
                <w:rFonts w:ascii="Liberation Sans Narrow" w:hAnsi="Liberation Sans Narrow"/>
                <w:sz w:val="18"/>
              </w:rPr>
              <w:t xml:space="preserve">O inventariante tem o dever de prestar contas da gestão ao deixar o cargo ou quando o juiz determinar (art. 618, VII), de modo que lhe cabe legitimidade e interesse de agir para ajuizar ação autônoma de prestação de contas quando o processo sucessório terminou sem o acertamento das despesas, sobretudo se houve incidente de remoção.</w:t>
            </w:r>
          </w:p>
        </w:tc>
      </w:tr>
    </w:tbl>
    <w:p>
      <w:pPr>
        <w:pStyle w:val="BodyText"/>
        <w:spacing w:after="80"/>
        <w:jc w:val="both"/>
      </w:pPr>
      <w:r>
        <w:t xml:space="preserve">Parágrafo único. Se qualquer dos referidos no caput for condenado a pagar o saldo e não o fizer no prazo legal, o juiz poderá destituí-lo, sequestrar os bens sob sua guarda, glosar o prêmio ou a gratificação a que teria direito e determinar as medidas executivas necessárias à recomposição do prejuízo.</w:t>
      </w:r>
    </w:p>
    <w:bookmarkEnd w:id="301"/>
    <w:bookmarkEnd w:id="302"/>
    <w:bookmarkStart w:id="321" w:name="X479ccc9c1145cb94df4f3b393e237e5aeb524de"/>
    <w:p>
      <w:pPr>
        <w:pStyle w:val="Heading4"/>
        <w:spacing w:before="160" w:after="40"/>
      </w:pPr>
      <w:r>
        <w:rPr>
          <w:smallCaps/>
          <w:color w:val="2E75B6"/>
        </w:rPr>
        <w:t xml:space="preserve">Capítulo III: das ações possessórias (arts. 554 a 568)</w:t>
      </w:r>
    </w:p>
    <w:bookmarkStart w:id="309" w:name="X7df7d0c0a566039868a4a0f1bce602901baa6c3"/>
    <w:p>
      <w:pPr>
        <w:pStyle w:val="Heading5"/>
        <w:spacing w:before="140" w:after="20"/>
      </w:pPr>
      <w:r>
        <w:rPr>
          <w:i/>
          <w:color w:val="595959"/>
        </w:rPr>
        <w:t xml:space="preserve">Seção I: disposições gerais (arts. 554 a 559)</w:t>
      </w:r>
    </w:p>
    <w:bookmarkStart w:id="303" w:name="art.-554"/>
    <w:p>
      <w:pPr>
        <w:pStyle w:val="Heading6"/>
        <w:pBdr>
          <w:left w:val="single" w:sz="36" w:space="4" w:color="2E75B6"/>
        </w:pBdr>
        <w:shd w:val="clear" w:color="auto" w:fill="E3EEF9"/>
        <w:spacing w:before="200" w:after="80"/>
        <w:ind w:left="85"/>
      </w:pPr>
      <w:r>
        <w:rPr>
          <w:i w:val="0"/>
          <w:color w:val="1F3A5F"/>
          <w:sz w:val="23"/>
        </w:rPr>
        <w:t xml:space="preserve">Art. 554</w:t>
      </w:r>
    </w:p>
    <w:p>
      <w:pPr>
        <w:pStyle w:val="FirstParagraph"/>
        <w:spacing w:after="80"/>
        <w:jc w:val="both"/>
      </w:pPr>
      <w:r>
        <w:rPr>
          <w:b/>
          <w:bCs/>
        </w:rPr>
        <w:t xml:space="preserve">Art. 554.</w:t>
      </w:r>
      <w:r>
        <w:t xml:space="preserve"> </w:t>
      </w:r>
      <w:r>
        <w:t xml:space="preserve">A propositura de uma ação possessória em vez de outra não obstará a que o juiz conheça do pedido e outorgue a proteção legal correspondente àquela cujos pressupostos estejam provados.</w:t>
      </w:r>
    </w:p>
    <w:p>
      <w:pPr>
        <w:pStyle w:val="BodyText"/>
        <w:keepNext/>
        <w:spacing w:after="80"/>
        <w:jc w:val="both"/>
      </w:pPr>
      <w:r>
        <w:t xml:space="preserve">§ 1º No caso de ação possessória em que figure no polo passivo grande número de pessoas, serão feitas a citação pessoal dos ocupantes que forem encontrados no local e a citação por edital dos demais, determinando-se, ainda, a intimação do Ministério Público e, se envolver pessoas em situação de hipossuficiência econômica, da Defensoria Pública.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47"/>
        <w:gridCol w:w="2275"/>
        <w:gridCol w:w="5032"/>
      </w:tblGrid>
      <w:tr>
        <w:trPr>
          <w:tblHeader w:val="on"/>
          <w:cantSplit/>
          <w:tblHeader/>
        </w:trPr>
        <w:tc>
          <w:tcPr>
            <w:tcW w:type="dxa" w:w="2047"/>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27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03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47"/>
          </w:tcPr>
          <w:p>
            <w:pPr>
              <w:pStyle w:val="Compact"/>
              <w:spacing w:line="276" w:lineRule="auto" w:before="40" w:after="40"/>
            </w:pPr>
            <w:r>
              <w:rPr>
                <w:rFonts w:ascii="Liberation Sans Narrow" w:hAnsi="Liberation Sans Narrow"/>
                <w:sz w:val="18"/>
              </w:rPr>
              <w:t xml:space="preserve">§§ 1º a 4º: ocupações coletivas, ciência dos interessados e mediação</w:t>
            </w:r>
          </w:p>
        </w:tc>
        <w:tc>
          <w:tcPr>
            <w:tcW w:type="dxa" w:w="2275"/>
          </w:tcPr>
          <w:p>
            <w:pPr>
              <w:pStyle w:val="Compact"/>
              <w:spacing w:line="276" w:lineRule="auto" w:before="40" w:after="40"/>
            </w:pPr>
            <w:r>
              <w:rPr>
                <w:rFonts w:ascii="Liberation Sans Narrow" w:hAnsi="Liberation Sans Narrow"/>
                <w:sz w:val="18"/>
              </w:rPr>
              <w:t xml:space="preserve">STF, ADPF 828, Tribunal Pleno, relator Min. Roberto Barroso, julgado em 02/11/2022</w:t>
            </w:r>
          </w:p>
        </w:tc>
        <w:tc>
          <w:tcPr>
            <w:tcW w:type="dxa" w:w="5032"/>
          </w:tcPr>
          <w:p>
            <w:pPr>
              <w:pStyle w:val="Compact"/>
              <w:spacing w:line="276" w:lineRule="auto" w:before="40" w:after="40"/>
            </w:pPr>
            <w:r>
              <w:rPr>
                <w:rFonts w:ascii="Liberation Sans Narrow" w:hAnsi="Liberation Sans Narrow"/>
                <w:sz w:val="18"/>
              </w:rPr>
              <w:t xml:space="preserve">Cessada a cautelar de suspensão de desocupações coletivas, fixou-se regime de transição para as ocupações coletivas: criação imediata, nos tribunais, de Comissão de Conflitos Fundiários, com visitas técnicas e audiências de mediação, que propõe a retomada gradual e escalonada das ordens suspensas e atua como órgão auxiliar do juiz da causa. Em remoções administrativas coletivas de pessoas vulneráveis, o Poder Público deve dar ciência prévia, conceder prazo razoável e garantir abrigo digno, sem separar membros da mesma família. Nas ações de despejo da Lei do Inquilinato, retomou-se o regime legal, sem transição.</w:t>
            </w:r>
          </w:p>
        </w:tc>
      </w:tr>
    </w:tbl>
    <w:p>
      <w:pPr>
        <w:pStyle w:val="BodyText"/>
        <w:spacing w:after="80"/>
        <w:jc w:val="both"/>
      </w:pPr>
      <w:r>
        <w:t xml:space="preserve">§ 2º Para fim da citação pessoal prevista no § 1º, o oficial de justiça procurará os ocupantes no local por uma vez, citando-se por edital os que não forem encontrados.</w:t>
      </w:r>
    </w:p>
    <w:p>
      <w:pPr>
        <w:pStyle w:val="BodyText"/>
        <w:spacing w:after="80"/>
        <w:jc w:val="both"/>
      </w:pPr>
      <w:r>
        <w:t xml:space="preserve">§ 3º O juiz deverá determinar que se dê ampla publicidade da existência da ação prevista no § 1º e dos respectivos prazos processuais, podendo, para tanto, valer-se de anúncios em jornal ou rádio locais, da publicação de cartazes na região do conflito e de outros meios.</w:t>
      </w:r>
    </w:p>
    <w:bookmarkEnd w:id="303"/>
    <w:bookmarkStart w:id="304" w:name="art.-555"/>
    <w:p>
      <w:pPr>
        <w:pStyle w:val="Heading6"/>
        <w:pBdr>
          <w:left w:val="single" w:sz="36" w:space="4" w:color="2E75B6"/>
        </w:pBdr>
        <w:shd w:val="clear" w:color="auto" w:fill="E3EEF9"/>
        <w:spacing w:before="200" w:after="80"/>
        <w:ind w:left="85"/>
      </w:pPr>
      <w:r>
        <w:rPr>
          <w:i w:val="0"/>
          <w:color w:val="1F3A5F"/>
          <w:sz w:val="23"/>
        </w:rPr>
        <w:t xml:space="preserve">Art. 555</w:t>
      </w:r>
    </w:p>
    <w:p>
      <w:pPr>
        <w:pStyle w:val="FirstParagraph"/>
        <w:spacing w:after="80"/>
        <w:jc w:val="both"/>
      </w:pPr>
      <w:r>
        <w:rPr>
          <w:b/>
          <w:bCs/>
        </w:rPr>
        <w:t xml:space="preserve">Art. 555.</w:t>
      </w:r>
      <w:r>
        <w:t xml:space="preserve"> </w:t>
      </w:r>
      <w:r>
        <w:t xml:space="preserve">É lícito ao autor cumular ao pedido possessório o de:</w:t>
      </w:r>
    </w:p>
    <w:p>
      <w:pPr>
        <w:pStyle w:val="BodyText"/>
        <w:spacing w:after="80"/>
        <w:jc w:val="both"/>
      </w:pPr>
      <w:r>
        <w:t xml:space="preserve">I - condenação em perdas e danos;</w:t>
      </w:r>
    </w:p>
    <w:p>
      <w:pPr>
        <w:pStyle w:val="BodyText"/>
        <w:spacing w:after="80"/>
        <w:jc w:val="both"/>
      </w:pPr>
      <w:r>
        <w:t xml:space="preserve">II - indenização dos frutos.</w:t>
      </w:r>
    </w:p>
    <w:p>
      <w:pPr>
        <w:pStyle w:val="BodyText"/>
        <w:spacing w:after="80"/>
        <w:jc w:val="both"/>
      </w:pPr>
      <w:r>
        <w:t xml:space="preserve">Parágrafo único. Pode o autor requerer, ainda, imposição de medida necessária e adequada para:</w:t>
      </w:r>
    </w:p>
    <w:p>
      <w:pPr>
        <w:pStyle w:val="BodyText"/>
        <w:spacing w:after="80"/>
        <w:jc w:val="both"/>
      </w:pPr>
      <w:r>
        <w:t xml:space="preserve">I - evitar nova turbação ou esbulho;</w:t>
      </w:r>
    </w:p>
    <w:p>
      <w:pPr>
        <w:pStyle w:val="BodyText"/>
        <w:spacing w:after="80"/>
        <w:jc w:val="both"/>
      </w:pPr>
      <w:r>
        <w:t xml:space="preserve">II - cumprir-se a tutela provisória ou final.</w:t>
      </w:r>
    </w:p>
    <w:bookmarkEnd w:id="304"/>
    <w:bookmarkStart w:id="305" w:name="art.-556"/>
    <w:p>
      <w:pPr>
        <w:pStyle w:val="Heading6"/>
        <w:pBdr>
          <w:left w:val="single" w:sz="36" w:space="4" w:color="2E75B6"/>
        </w:pBdr>
        <w:shd w:val="clear" w:color="auto" w:fill="E3EEF9"/>
        <w:spacing w:before="200" w:after="80"/>
        <w:ind w:left="85"/>
      </w:pPr>
      <w:r>
        <w:rPr>
          <w:i w:val="0"/>
          <w:color w:val="1F3A5F"/>
          <w:sz w:val="23"/>
        </w:rPr>
        <w:t xml:space="preserve">Art. 556</w:t>
      </w:r>
    </w:p>
    <w:p>
      <w:pPr>
        <w:pStyle w:val="FirstParagraph"/>
        <w:spacing w:after="80"/>
        <w:jc w:val="both"/>
      </w:pPr>
      <w:r>
        <w:rPr>
          <w:b/>
          <w:bCs/>
        </w:rPr>
        <w:t xml:space="preserve">Art. 556.</w:t>
      </w:r>
      <w:r>
        <w:t xml:space="preserve"> </w:t>
      </w:r>
      <w:r>
        <w:t xml:space="preserve">É lícito ao réu, na contestação, alegando que foi o ofendido em sua posse, demandar a proteção possessória e a indenização pelos prejuízos resultantes da turbação ou do esbulho cometido pelo autor.</w:t>
      </w:r>
    </w:p>
    <w:bookmarkEnd w:id="305"/>
    <w:bookmarkStart w:id="306" w:name="art.-557"/>
    <w:p>
      <w:pPr>
        <w:pStyle w:val="Heading6"/>
        <w:pBdr>
          <w:left w:val="single" w:sz="36" w:space="4" w:color="2E75B6"/>
        </w:pBdr>
        <w:shd w:val="clear" w:color="auto" w:fill="E3EEF9"/>
        <w:spacing w:before="200" w:after="80"/>
        <w:ind w:left="85"/>
      </w:pPr>
      <w:r>
        <w:rPr>
          <w:i w:val="0"/>
          <w:color w:val="1F3A5F"/>
          <w:sz w:val="23"/>
        </w:rPr>
        <w:t xml:space="preserve">Art. 557</w:t>
      </w:r>
    </w:p>
    <w:p>
      <w:pPr>
        <w:pStyle w:val="FirstParagraph"/>
        <w:keepNext/>
        <w:spacing w:after="80"/>
        <w:jc w:val="both"/>
      </w:pPr>
      <w:r>
        <w:rPr>
          <w:b/>
          <w:bCs/>
        </w:rPr>
        <w:t xml:space="preserve">Art. 557.</w:t>
      </w:r>
      <w:r>
        <w:t xml:space="preserve"> </w:t>
      </w:r>
      <w:r>
        <w:t xml:space="preserve">Na pendência de ação possessória é vedado, tanto ao autor quanto ao réu, propor ação de reconhecimento do domínio, exceto se a pretensão for deduzida em face de terceira pessoa.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95"/>
        <w:gridCol w:w="2986"/>
        <w:gridCol w:w="3973"/>
      </w:tblGrid>
      <w:tr>
        <w:trPr>
          <w:tblHeader w:val="on"/>
          <w:cantSplit/>
          <w:tblHeader/>
        </w:trPr>
        <w:tc>
          <w:tcPr>
            <w:tcW w:type="dxa" w:w="239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98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397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395"/>
          </w:tcPr>
          <w:p>
            <w:pPr>
              <w:pStyle w:val="Compact"/>
              <w:spacing w:line="276" w:lineRule="auto" w:before="40" w:after="40"/>
            </w:pPr>
            <w:r>
              <w:rPr>
                <w:rFonts w:ascii="Liberation Sans Narrow" w:hAnsi="Liberation Sans Narrow"/>
                <w:sz w:val="18"/>
              </w:rPr>
              <w:t xml:space="preserve">Possessória e petitória: ausência de litispendência e aplicação do art. 557 (aplicação narrada)</w:t>
            </w:r>
          </w:p>
        </w:tc>
        <w:tc>
          <w:tcPr>
            <w:tcW w:type="dxa" w:w="2987"/>
          </w:tcPr>
          <w:p>
            <w:pPr>
              <w:pStyle w:val="Compact"/>
              <w:spacing w:line="276" w:lineRule="auto" w:before="40" w:after="40"/>
            </w:pPr>
            <w:r>
              <w:rPr>
                <w:rFonts w:ascii="Liberation Sans Narrow" w:hAnsi="Liberation Sans Narrow"/>
                <w:sz w:val="18"/>
              </w:rPr>
              <w:t xml:space="preserve">STJ, REsp 2.159.015, Quarta Turma, relator Min. João Otávio de Noronha, julgado em 09/02/2026, DJEN de 12/02/2026</w:t>
            </w:r>
          </w:p>
        </w:tc>
        <w:tc>
          <w:tcPr>
            <w:tcW w:type="dxa" w:w="3973"/>
          </w:tcPr>
          <w:p>
            <w:pPr>
              <w:pStyle w:val="Compact"/>
              <w:spacing w:line="276" w:lineRule="auto" w:before="40" w:after="40"/>
            </w:pPr>
            <w:r>
              <w:rPr>
                <w:rFonts w:ascii="Liberation Sans Narrow" w:hAnsi="Liberation Sans Narrow"/>
                <w:sz w:val="18"/>
              </w:rPr>
              <w:t xml:space="preserve">Não há litispendência entre imissão na posse e manutenção de posse, por falta da tríplice identidade do art. 337 (causas de pedir e pedidos distintos). O art. 557 determina a extinção sem resolução do mérito da ação de domínio proposta na pendência de possessória entre as mesmas partes e sobre o mesmo imóvel; o erro de fundamento do tribunal local é inofensivo. Trecho: “Recurso especial interposto contra acórdão do tribunal estadual que manteve a extinção sem resolução de mérito de ação de imissão na posse, por litispendência com ação de manutenção de posse, e negou provimento à apelação.”</w:t>
            </w:r>
          </w:p>
        </w:tc>
      </w:tr>
      <w:tr>
        <w:trPr>
          <w:cantSplit/>
        </w:trPr>
        <w:tc>
          <w:tcPr>
            <w:tcW w:type="dxa" w:w="2395"/>
          </w:tcPr>
          <w:p>
            <w:pPr>
              <w:pStyle w:val="Compact"/>
              <w:spacing w:line="276" w:lineRule="auto" w:before="40" w:after="40"/>
            </w:pPr>
            <w:r>
              <w:rPr>
                <w:rFonts w:ascii="Liberation Sans Narrow" w:hAnsi="Liberation Sans Narrow"/>
                <w:sz w:val="18"/>
              </w:rPr>
              <w:t xml:space="preserve">Pendência de ação possessória e ação reivindicatória entre as mesmas partes</w:t>
            </w:r>
          </w:p>
        </w:tc>
        <w:tc>
          <w:tcPr>
            <w:tcW w:type="dxa" w:w="2987"/>
          </w:tcPr>
          <w:p>
            <w:pPr>
              <w:pStyle w:val="Compact"/>
              <w:spacing w:line="276" w:lineRule="auto" w:before="40" w:after="40"/>
            </w:pPr>
            <w:r>
              <w:rPr>
                <w:rFonts w:ascii="Liberation Sans Narrow" w:hAnsi="Liberation Sans Narrow"/>
                <w:sz w:val="18"/>
              </w:rPr>
              <w:t xml:space="preserve">STJ, REsp 2.199.860, Terceira Turma, relator Min. Humberto Martins, julgado em 05/05/2025, DJEN de 08/05/2025</w:t>
            </w:r>
          </w:p>
        </w:tc>
        <w:tc>
          <w:tcPr>
            <w:tcW w:type="dxa" w:w="3973"/>
          </w:tcPr>
          <w:p>
            <w:pPr>
              <w:pStyle w:val="Compact"/>
              <w:spacing w:line="276" w:lineRule="auto" w:before="40" w:after="40"/>
            </w:pPr>
            <w:r>
              <w:rPr>
                <w:rFonts w:ascii="Liberation Sans Narrow" w:hAnsi="Liberation Sans Narrow"/>
                <w:sz w:val="18"/>
              </w:rPr>
              <w:t xml:space="preserve">Havendo identidade de partes, a pendência de ação possessória sobre a área veda a discussão do domínio, inclusive em ação anulatória cumulada com pedido reivindicatório (art. 557); a norma preserva a autonomia e a celeridade das ações possessórias.</w:t>
            </w:r>
          </w:p>
        </w:tc>
      </w:tr>
      <w:tr>
        <w:trPr>
          <w:cantSplit/>
        </w:trPr>
        <w:tc>
          <w:tcPr>
            <w:tcW w:type="dxa" w:w="2395"/>
          </w:tcPr>
          <w:p>
            <w:pPr>
              <w:pStyle w:val="Compact"/>
              <w:spacing w:line="276" w:lineRule="auto" w:before="40" w:after="40"/>
            </w:pPr>
            <w:r>
              <w:rPr>
                <w:rFonts w:ascii="Liberation Sans Narrow" w:hAnsi="Liberation Sans Narrow"/>
                <w:sz w:val="18"/>
              </w:rPr>
              <w:t xml:space="preserve">Pendência de ação possessória: vedação da ação petitória (imissão na posse)</w:t>
            </w:r>
          </w:p>
        </w:tc>
        <w:tc>
          <w:tcPr>
            <w:tcW w:type="dxa" w:w="2987"/>
          </w:tcPr>
          <w:p>
            <w:pPr>
              <w:pStyle w:val="Compact"/>
              <w:spacing w:line="276" w:lineRule="auto" w:before="40" w:after="40"/>
            </w:pPr>
            <w:r>
              <w:rPr>
                <w:rFonts w:ascii="Liberation Sans Narrow" w:hAnsi="Liberation Sans Narrow"/>
                <w:sz w:val="18"/>
              </w:rPr>
              <w:t xml:space="preserve">STJ, REsp 1.909.196, Terceira Turma, relatora Min. Nancy Andrighi, julgado em 15/06/2021, DJe de 17/06/2021</w:t>
            </w:r>
          </w:p>
        </w:tc>
        <w:tc>
          <w:tcPr>
            <w:tcW w:type="dxa" w:w="3973"/>
          </w:tcPr>
          <w:p>
            <w:pPr>
              <w:pStyle w:val="Compact"/>
              <w:spacing w:line="276" w:lineRule="auto" w:before="40" w:after="40"/>
            </w:pPr>
            <w:r>
              <w:rPr>
                <w:rFonts w:ascii="Liberation Sans Narrow" w:hAnsi="Liberation Sans Narrow"/>
                <w:sz w:val="18"/>
              </w:rPr>
              <w:t xml:space="preserve">Na pendência de ação possessória, é vedado propor ação de reconhecimento do domínio (art. 557). A ação de imissão na posse é petitória (jus possidendi) e, se ajuizada na pendência da possessória, deve ser extinta sem resolução do mérito, por falta de pressuposto negativo; a proibição é condição suspensiva do exercício do direito de ação fundada na propriedade, e não limita os direitos de propriedade e de ação.</w:t>
            </w:r>
          </w:p>
        </w:tc>
      </w:tr>
    </w:tbl>
    <w:p>
      <w:pPr>
        <w:pStyle w:val="BodyText"/>
        <w:spacing w:after="80"/>
        <w:jc w:val="both"/>
      </w:pPr>
      <w:r>
        <w:t xml:space="preserve">Parágrafo único. Não obsta à manutenção ou à reintegração de posse a alegação de propriedade ou de outro direito sobre a coisa.</w:t>
      </w:r>
    </w:p>
    <w:bookmarkEnd w:id="306"/>
    <w:bookmarkStart w:id="307" w:name="art.-558"/>
    <w:p>
      <w:pPr>
        <w:pStyle w:val="Heading6"/>
        <w:pBdr>
          <w:left w:val="single" w:sz="36" w:space="4" w:color="2E75B6"/>
        </w:pBdr>
        <w:shd w:val="clear" w:color="auto" w:fill="E3EEF9"/>
        <w:spacing w:before="200" w:after="80"/>
        <w:ind w:left="85"/>
      </w:pPr>
      <w:r>
        <w:rPr>
          <w:i w:val="0"/>
          <w:color w:val="1F3A5F"/>
          <w:sz w:val="23"/>
        </w:rPr>
        <w:t xml:space="preserve">Art. 558</w:t>
      </w:r>
    </w:p>
    <w:p>
      <w:pPr>
        <w:pStyle w:val="FirstParagraph"/>
        <w:spacing w:after="80"/>
        <w:jc w:val="both"/>
      </w:pPr>
      <w:r>
        <w:rPr>
          <w:b/>
          <w:bCs/>
        </w:rPr>
        <w:t xml:space="preserve">Art. 558.</w:t>
      </w:r>
      <w:r>
        <w:t xml:space="preserve"> </w:t>
      </w:r>
      <w:r>
        <w:t xml:space="preserve">Regem o procedimento de manutenção e de reintegração de posse as normas da Seção II deste Capítulo quando a ação for proposta dentro de ano e dia da turbação ou do esbulho afirmado na petição inicial.</w:t>
      </w:r>
    </w:p>
    <w:p>
      <w:pPr>
        <w:pStyle w:val="BodyText"/>
        <w:spacing w:after="80"/>
        <w:jc w:val="both"/>
      </w:pPr>
      <w:r>
        <w:t xml:space="preserve">Parágrafo único. Passado o prazo referido no caput , será comum o procedimento, não perdendo, contudo, o caráter possessório.</w:t>
      </w:r>
    </w:p>
    <w:bookmarkEnd w:id="307"/>
    <w:bookmarkStart w:id="308" w:name="art.-559"/>
    <w:p>
      <w:pPr>
        <w:pStyle w:val="Heading6"/>
        <w:pBdr>
          <w:left w:val="single" w:sz="36" w:space="4" w:color="2E75B6"/>
        </w:pBdr>
        <w:shd w:val="clear" w:color="auto" w:fill="E3EEF9"/>
        <w:spacing w:before="200" w:after="80"/>
        <w:ind w:left="85"/>
      </w:pPr>
      <w:r>
        <w:rPr>
          <w:i w:val="0"/>
          <w:color w:val="1F3A5F"/>
          <w:sz w:val="23"/>
        </w:rPr>
        <w:t xml:space="preserve">Art. 559</w:t>
      </w:r>
    </w:p>
    <w:p>
      <w:pPr>
        <w:pStyle w:val="FirstParagraph"/>
        <w:spacing w:after="80"/>
        <w:jc w:val="both"/>
      </w:pPr>
      <w:r>
        <w:rPr>
          <w:b/>
          <w:bCs/>
        </w:rPr>
        <w:t xml:space="preserve">Art. 559.</w:t>
      </w:r>
      <w:r>
        <w:t xml:space="preserve"> </w:t>
      </w:r>
      <w:r>
        <w:t xml:space="preserve">Se o réu provar, em qualquer tempo, que o autor provisoriamente mantido ou reintegrado na posse carece de idoneidade financeira para, no caso de sucumbência, responder por perdas e danos, o juiz designar-lhe-á o prazo de 5 (cinco) dias para requerer caução, real ou fidejussória, sob pena de ser depositada a coisa litigiosa, ressalvada a impossibilidade da parte economicamente hipossuficiente.</w:t>
      </w:r>
    </w:p>
    <w:bookmarkEnd w:id="308"/>
    <w:bookmarkEnd w:id="309"/>
    <w:bookmarkStart w:id="317" w:name="Xd4f2660ba7fcbf8b69339164473eeacde29f482"/>
    <w:p>
      <w:pPr>
        <w:pStyle w:val="Heading5"/>
        <w:spacing w:before="140" w:after="20"/>
      </w:pPr>
      <w:r>
        <w:rPr>
          <w:i/>
          <w:color w:val="595959"/>
        </w:rPr>
        <w:t xml:space="preserve">Seção II: da manutenção e da reintegração de posse (arts. 560 a 566)</w:t>
      </w:r>
    </w:p>
    <w:bookmarkStart w:id="310" w:name="art.-560"/>
    <w:p>
      <w:pPr>
        <w:pStyle w:val="Heading6"/>
        <w:pBdr>
          <w:left w:val="single" w:sz="36" w:space="4" w:color="2E75B6"/>
        </w:pBdr>
        <w:shd w:val="clear" w:color="auto" w:fill="E3EEF9"/>
        <w:spacing w:before="200" w:after="80"/>
        <w:ind w:left="85"/>
      </w:pPr>
      <w:r>
        <w:rPr>
          <w:i w:val="0"/>
          <w:color w:val="1F3A5F"/>
          <w:sz w:val="23"/>
        </w:rPr>
        <w:t xml:space="preserve">Art. 560</w:t>
      </w:r>
    </w:p>
    <w:p>
      <w:pPr>
        <w:pStyle w:val="FirstParagraph"/>
        <w:keepNext/>
        <w:spacing w:after="80"/>
        <w:jc w:val="both"/>
      </w:pPr>
      <w:r>
        <w:rPr>
          <w:b/>
          <w:bCs/>
        </w:rPr>
        <w:t xml:space="preserve">Art. 560.</w:t>
      </w:r>
      <w:r>
        <w:t xml:space="preserve"> </w:t>
      </w:r>
      <w:r>
        <w:t xml:space="preserve">O possuidor tem direito a ser mantido na posse em caso de turbação e reintegrado em caso de esbulho.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2748"/>
        <w:gridCol w:w="4951"/>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4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95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55"/>
          </w:tcPr>
          <w:p>
            <w:pPr>
              <w:pStyle w:val="Compact"/>
              <w:spacing w:line="276" w:lineRule="auto" w:before="40" w:after="40"/>
            </w:pPr>
            <w:r>
              <w:rPr>
                <w:rFonts w:ascii="Liberation Sans Narrow" w:hAnsi="Liberation Sans Narrow"/>
                <w:sz w:val="18"/>
              </w:rPr>
              <w:t xml:space="preserve">Caput — orientação de aplicação (aplicação narrada)</w:t>
            </w:r>
          </w:p>
        </w:tc>
        <w:tc>
          <w:tcPr>
            <w:tcW w:type="dxa" w:w="2748"/>
          </w:tcPr>
          <w:p>
            <w:pPr>
              <w:pStyle w:val="Compact"/>
              <w:spacing w:line="276" w:lineRule="auto" w:before="40" w:after="40"/>
            </w:pPr>
            <w:r>
              <w:rPr>
                <w:rFonts w:ascii="Liberation Sans Narrow" w:hAnsi="Liberation Sans Narrow"/>
                <w:sz w:val="18"/>
              </w:rPr>
              <w:t xml:space="preserve">STJ, REsp 2.209.667, Terceira Turma, relatora Min. Nancy Andrighi, julgado em 02/06/2026, DJEN de 09/06/2026</w:t>
            </w:r>
          </w:p>
        </w:tc>
        <w:tc>
          <w:tcPr>
            <w:tcW w:type="dxa" w:w="4951"/>
          </w:tcPr>
          <w:p>
            <w:pPr>
              <w:pStyle w:val="Compact"/>
              <w:spacing w:line="276" w:lineRule="auto" w:before="40" w:after="40"/>
            </w:pPr>
            <w:r>
              <w:rPr>
                <w:rFonts w:ascii="Liberation Sans Narrow" w:hAnsi="Liberation Sans Narrow"/>
                <w:sz w:val="18"/>
              </w:rPr>
              <w:t xml:space="preserve">Nas ações possessórias discute-se a proteção jurídica ao fato da posse (jus possessionis), afastando-se o juízo petitório (jus possidendi); demonstrados os requisitos legais, a proteção possessória independe de considerações sobre o domínio. Trecho: “Nas ações possessórias, discute-se a proteção jurídica ao fato da posse contra atentados praticados por terceiros (jus possessionis), afastando-se o juízo petitório, cuja pretensão toma por base o direito de propriedade (jus possidendi).”</w:t>
            </w:r>
          </w:p>
        </w:tc>
      </w:tr>
    </w:tbl>
    <w:bookmarkEnd w:id="310"/>
    <w:bookmarkStart w:id="311" w:name="art.-561"/>
    <w:p>
      <w:pPr>
        <w:pStyle w:val="Heading6"/>
        <w:pBdr>
          <w:left w:val="single" w:sz="36" w:space="4" w:color="2E75B6"/>
        </w:pBdr>
        <w:shd w:val="clear" w:color="auto" w:fill="E3EEF9"/>
        <w:spacing w:before="200" w:after="80"/>
        <w:ind w:left="85"/>
      </w:pPr>
      <w:r>
        <w:rPr>
          <w:i w:val="0"/>
          <w:color w:val="1F3A5F"/>
          <w:sz w:val="23"/>
        </w:rPr>
        <w:t xml:space="preserve">Art. 561</w:t>
      </w:r>
    </w:p>
    <w:p>
      <w:pPr>
        <w:pStyle w:val="FirstParagraph"/>
        <w:keepNext/>
        <w:spacing w:after="80"/>
        <w:jc w:val="both"/>
      </w:pPr>
      <w:r>
        <w:rPr>
          <w:b/>
          <w:bCs/>
        </w:rPr>
        <w:t xml:space="preserve">Art. 561.</w:t>
      </w:r>
      <w:r>
        <w:t xml:space="preserve"> </w:t>
      </w:r>
      <w:r>
        <w:t xml:space="preserve">Incumbe ao autor provar: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2497"/>
        <w:gridCol w:w="5327"/>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49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327"/>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Caput — aplicação (aplicação narrada)</w:t>
            </w:r>
          </w:p>
        </w:tc>
        <w:tc>
          <w:tcPr>
            <w:tcW w:type="dxa" w:w="2497"/>
          </w:tcPr>
          <w:p>
            <w:pPr>
              <w:pStyle w:val="Compact"/>
              <w:spacing w:line="276" w:lineRule="auto" w:before="40" w:after="40"/>
            </w:pPr>
            <w:r>
              <w:rPr>
                <w:rFonts w:ascii="Liberation Sans Narrow" w:hAnsi="Liberation Sans Narrow"/>
                <w:sz w:val="18"/>
              </w:rPr>
              <w:t xml:space="preserve">STJ, AREsp 3.083.289, Terceira Turma, relator Min. Moura Ribeiro, julgado em 02/03/2026</w:t>
            </w:r>
          </w:p>
        </w:tc>
        <w:tc>
          <w:tcPr>
            <w:tcW w:type="dxa" w:w="5327"/>
          </w:tcPr>
          <w:p>
            <w:pPr>
              <w:pStyle w:val="Compact"/>
              <w:spacing w:line="276" w:lineRule="auto" w:before="40" w:after="40"/>
            </w:pPr>
            <w:r>
              <w:rPr>
                <w:rFonts w:ascii="Liberation Sans Narrow" w:hAnsi="Liberation Sans Narrow"/>
                <w:sz w:val="18"/>
              </w:rPr>
              <w:t xml:space="preserve">A tutela possessória não se condiciona à prova de domínio ou de registro, sendo os documentos fiscais e tributários elemento corroborativo, e não requisito autônomo; a improcedência fundou-se na falta de prova da posse contínua e da turbação atual (arts. 561 e 562 do CPC). Trecho: “A referência a documentos fiscais/tributários é elemento corroborativo ausente, e não requisito jurídico autônomo.”</w:t>
            </w:r>
          </w:p>
        </w:tc>
      </w:tr>
    </w:tbl>
    <w:p>
      <w:pPr>
        <w:pStyle w:val="BodyText"/>
        <w:spacing w:after="80"/>
        <w:jc w:val="both"/>
      </w:pPr>
      <w:r>
        <w:t xml:space="preserve">I - a sua posse;</w:t>
      </w:r>
    </w:p>
    <w:p>
      <w:pPr>
        <w:pStyle w:val="BodyText"/>
        <w:spacing w:after="80"/>
        <w:jc w:val="both"/>
      </w:pPr>
      <w:r>
        <w:t xml:space="preserve">II - a turbação ou o esbulho praticado pelo réu;</w:t>
      </w:r>
    </w:p>
    <w:p>
      <w:pPr>
        <w:pStyle w:val="BodyText"/>
        <w:spacing w:after="80"/>
        <w:jc w:val="both"/>
      </w:pPr>
      <w:r>
        <w:t xml:space="preserve">III - a data da turbação ou do esbulho;</w:t>
      </w:r>
    </w:p>
    <w:p>
      <w:pPr>
        <w:pStyle w:val="BodyText"/>
        <w:spacing w:after="80"/>
        <w:jc w:val="both"/>
      </w:pPr>
      <w:r>
        <w:t xml:space="preserve">IV - a continuação da posse, embora turbada, na ação de manutenção, ou a perda da posse, na ação de reintegração.</w:t>
      </w:r>
    </w:p>
    <w:bookmarkEnd w:id="311"/>
    <w:bookmarkStart w:id="312" w:name="art.-562"/>
    <w:p>
      <w:pPr>
        <w:pStyle w:val="Heading6"/>
        <w:pBdr>
          <w:left w:val="single" w:sz="36" w:space="4" w:color="2E75B6"/>
        </w:pBdr>
        <w:shd w:val="clear" w:color="auto" w:fill="E3EEF9"/>
        <w:spacing w:before="200" w:after="80"/>
        <w:ind w:left="85"/>
      </w:pPr>
      <w:r>
        <w:rPr>
          <w:i w:val="0"/>
          <w:color w:val="1F3A5F"/>
          <w:sz w:val="23"/>
        </w:rPr>
        <w:t xml:space="preserve">Art. 562</w:t>
      </w:r>
    </w:p>
    <w:p>
      <w:pPr>
        <w:pStyle w:val="FirstParagraph"/>
        <w:keepNext/>
        <w:spacing w:after="80"/>
        <w:jc w:val="both"/>
      </w:pPr>
      <w:r>
        <w:rPr>
          <w:b/>
          <w:bCs/>
        </w:rPr>
        <w:t xml:space="preserve">Art. 562.</w:t>
      </w:r>
      <w:r>
        <w:t xml:space="preserve"> </w:t>
      </w:r>
      <w:r>
        <w:t xml:space="preserve">Estando a petição inicial devidamente instruída, o juiz deferirá, sem ouvir o réu, a expedição do mandado liminar de manutenção ou de reintegração, caso contrário, determinará que o autor justifique previamente o alegado, citando-se o réu para comparecer à audiência que for designada.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61"/>
        <w:gridCol w:w="2905"/>
        <w:gridCol w:w="4388"/>
      </w:tblGrid>
      <w:tr>
        <w:trPr>
          <w:tblHeader w:val="on"/>
          <w:cantSplit/>
          <w:tblHeader/>
        </w:trPr>
        <w:tc>
          <w:tcPr>
            <w:tcW w:type="dxa" w:w="206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90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388"/>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61"/>
          </w:tcPr>
          <w:p>
            <w:pPr>
              <w:pStyle w:val="Compact"/>
              <w:spacing w:line="276" w:lineRule="auto" w:before="40" w:after="40"/>
            </w:pPr>
            <w:r>
              <w:rPr>
                <w:rFonts w:ascii="Liberation Sans Narrow" w:hAnsi="Liberation Sans Narrow"/>
                <w:sz w:val="18"/>
              </w:rPr>
              <w:t xml:space="preserve">Caput — justificação prévia determinada de ofício e ônus da prova</w:t>
            </w:r>
          </w:p>
        </w:tc>
        <w:tc>
          <w:tcPr>
            <w:tcW w:type="dxa" w:w="2905"/>
          </w:tcPr>
          <w:p>
            <w:pPr>
              <w:pStyle w:val="Compact"/>
              <w:spacing w:line="276" w:lineRule="auto" w:before="40" w:after="40"/>
            </w:pPr>
            <w:r>
              <w:rPr>
                <w:rFonts w:ascii="Liberation Sans Narrow" w:hAnsi="Liberation Sans Narrow"/>
                <w:sz w:val="18"/>
              </w:rPr>
              <w:t xml:space="preserve">STJ, AREsp 2.640.027, Quarta Turma, relator Min. João Otávio de Noronha, julgado em 16/03/2026, DJEN de 19/03/2026</w:t>
            </w:r>
          </w:p>
        </w:tc>
        <w:tc>
          <w:tcPr>
            <w:tcW w:type="dxa" w:w="4388"/>
          </w:tcPr>
          <w:p>
            <w:pPr>
              <w:pStyle w:val="Compact"/>
              <w:spacing w:line="276" w:lineRule="auto" w:before="40" w:after="40"/>
            </w:pPr>
            <w:r>
              <w:rPr>
                <w:rFonts w:ascii="Liberation Sans Narrow" w:hAnsi="Liberation Sans Narrow"/>
                <w:sz w:val="18"/>
              </w:rPr>
              <w:t xml:space="preserve">Não há julgamento extra petita quando o tribunal, aplicando o jura novit curia, determina de ofício a audiência de justificação prévia com fundamento no art. 562; a justificação não afasta o ônus probatório dos autores sobre a posse e o esbulho, apenas oportuniza a comprovação da posse para a eventual concessão da liminar.</w:t>
            </w:r>
          </w:p>
        </w:tc>
      </w:tr>
      <w:tr>
        <w:trPr>
          <w:cantSplit/>
        </w:trPr>
        <w:tc>
          <w:tcPr>
            <w:tcW w:type="dxa" w:w="2061"/>
          </w:tcPr>
          <w:p>
            <w:pPr>
              <w:pStyle w:val="Compact"/>
              <w:spacing w:line="276" w:lineRule="auto" w:before="40" w:after="40"/>
            </w:pPr>
            <w:r>
              <w:rPr>
                <w:rFonts w:ascii="Liberation Sans Narrow" w:hAnsi="Liberation Sans Narrow"/>
                <w:sz w:val="18"/>
              </w:rPr>
              <w:t xml:space="preserve">caput — liminar possessória e indenização por benfeitorias (tese)</w:t>
            </w:r>
          </w:p>
        </w:tc>
        <w:tc>
          <w:tcPr>
            <w:tcW w:type="dxa" w:w="2905"/>
          </w:tcPr>
          <w:p>
            <w:pPr>
              <w:pStyle w:val="Compact"/>
              <w:spacing w:line="276" w:lineRule="auto" w:before="40" w:after="40"/>
            </w:pPr>
            <w:r>
              <w:rPr>
                <w:rFonts w:ascii="Liberation Sans Narrow" w:hAnsi="Liberation Sans Narrow"/>
                <w:sz w:val="18"/>
              </w:rPr>
              <w:t xml:space="preserve">STJ, AREsp 2.943.741, Quarta Turma, relator Min. João Otávio de Noronha, julgado em 16/03/2026</w:t>
            </w:r>
          </w:p>
        </w:tc>
        <w:tc>
          <w:tcPr>
            <w:tcW w:type="dxa" w:w="4388"/>
          </w:tcPr>
          <w:p>
            <w:pPr>
              <w:pStyle w:val="Compact"/>
              <w:spacing w:line="276" w:lineRule="auto" w:before="40" w:after="40"/>
            </w:pPr>
            <w:r>
              <w:rPr>
                <w:rFonts w:ascii="Liberation Sans Narrow" w:hAnsi="Liberation Sans Narrow"/>
                <w:sz w:val="18"/>
              </w:rPr>
              <w:t xml:space="preserve">O pleito de indenização ou de retenção por benfeitorias de boa-fé não impede o deferimento da liminar de reintegração: a questão é apreciada no mérito, em cognição exauriente, não se confundindo com os requisitos da tutela possessória sumária.</w:t>
            </w:r>
          </w:p>
        </w:tc>
      </w:tr>
    </w:tbl>
    <w:p>
      <w:pPr>
        <w:pStyle w:val="BodyText"/>
        <w:spacing w:after="80"/>
        <w:jc w:val="both"/>
      </w:pPr>
      <w:r>
        <w:t xml:space="preserve">Parágrafo único. Contra as pessoas jurídicas de direito público não será deferida a manutenção ou a reintegração liminar sem prévia audiência dos respectivos representantes judiciais.</w:t>
      </w:r>
    </w:p>
    <w:bookmarkEnd w:id="312"/>
    <w:bookmarkStart w:id="313" w:name="art.-563"/>
    <w:p>
      <w:pPr>
        <w:pStyle w:val="Heading6"/>
        <w:pBdr>
          <w:left w:val="single" w:sz="36" w:space="4" w:color="2E75B6"/>
        </w:pBdr>
        <w:shd w:val="clear" w:color="auto" w:fill="E3EEF9"/>
        <w:spacing w:before="200" w:after="80"/>
        <w:ind w:left="85"/>
      </w:pPr>
      <w:r>
        <w:rPr>
          <w:i w:val="0"/>
          <w:color w:val="1F3A5F"/>
          <w:sz w:val="23"/>
        </w:rPr>
        <w:t xml:space="preserve">Art. 563</w:t>
      </w:r>
    </w:p>
    <w:p>
      <w:pPr>
        <w:pStyle w:val="FirstParagraph"/>
        <w:spacing w:after="80"/>
        <w:jc w:val="both"/>
      </w:pPr>
      <w:r>
        <w:rPr>
          <w:b/>
          <w:bCs/>
        </w:rPr>
        <w:t xml:space="preserve">Art. 563.</w:t>
      </w:r>
      <w:r>
        <w:t xml:space="preserve"> </w:t>
      </w:r>
      <w:r>
        <w:t xml:space="preserve">Considerada suficiente a justificação, o juiz fará logo expedir mandado de manutenção ou de reintegração.</w:t>
      </w:r>
    </w:p>
    <w:bookmarkEnd w:id="313"/>
    <w:bookmarkStart w:id="314" w:name="art.-564"/>
    <w:p>
      <w:pPr>
        <w:pStyle w:val="Heading6"/>
        <w:pBdr>
          <w:left w:val="single" w:sz="36" w:space="4" w:color="2E75B6"/>
        </w:pBdr>
        <w:shd w:val="clear" w:color="auto" w:fill="E3EEF9"/>
        <w:spacing w:before="200" w:after="80"/>
        <w:ind w:left="85"/>
      </w:pPr>
      <w:r>
        <w:rPr>
          <w:i w:val="0"/>
          <w:color w:val="1F3A5F"/>
          <w:sz w:val="23"/>
        </w:rPr>
        <w:t xml:space="preserve">Art. 564</w:t>
      </w:r>
    </w:p>
    <w:p>
      <w:pPr>
        <w:pStyle w:val="FirstParagraph"/>
        <w:spacing w:after="80"/>
        <w:jc w:val="both"/>
      </w:pPr>
      <w:r>
        <w:rPr>
          <w:b/>
          <w:bCs/>
        </w:rPr>
        <w:t xml:space="preserve">Art. 564.</w:t>
      </w:r>
      <w:r>
        <w:t xml:space="preserve"> </w:t>
      </w:r>
      <w:r>
        <w:t xml:space="preserve">Concedido ou não o mandado liminar de manutenção ou de reintegração, o autor promoverá, nos 5 (cinco) dias subsequentes, a citação do réu para, querendo, contestar a ação no prazo de 15 (quinze) dias.</w:t>
      </w:r>
    </w:p>
    <w:p>
      <w:pPr>
        <w:pStyle w:val="BodyText"/>
        <w:spacing w:after="80"/>
        <w:jc w:val="both"/>
      </w:pPr>
      <w:r>
        <w:t xml:space="preserve">Parágrafo único. Quando for ordenada a justificação prévia, o prazo para contestar será contado da intimação da decisão que deferir ou não a medida liminar.</w:t>
      </w:r>
    </w:p>
    <w:bookmarkEnd w:id="314"/>
    <w:bookmarkStart w:id="315" w:name="art.-565"/>
    <w:p>
      <w:pPr>
        <w:pStyle w:val="Heading6"/>
        <w:pBdr>
          <w:left w:val="single" w:sz="36" w:space="4" w:color="2E75B6"/>
        </w:pBdr>
        <w:shd w:val="clear" w:color="auto" w:fill="E3EEF9"/>
        <w:spacing w:before="200" w:after="80"/>
        <w:ind w:left="85"/>
      </w:pPr>
      <w:r>
        <w:rPr>
          <w:i w:val="0"/>
          <w:color w:val="1F3A5F"/>
          <w:sz w:val="23"/>
        </w:rPr>
        <w:t xml:space="preserve">Art. 565</w:t>
      </w:r>
    </w:p>
    <w:p>
      <w:pPr>
        <w:pStyle w:val="FirstParagraph"/>
        <w:keepNext/>
        <w:spacing w:after="80"/>
        <w:jc w:val="both"/>
      </w:pPr>
      <w:r>
        <w:rPr>
          <w:b/>
          <w:bCs/>
        </w:rPr>
        <w:t xml:space="preserve">Art. 565.</w:t>
      </w:r>
      <w:r>
        <w:t xml:space="preserve"> </w:t>
      </w:r>
      <w:r>
        <w:t xml:space="preserve">No litígio coletivo pela posse de imóvel, quando o esbulho ou a turbação afirmado na petição inicial houver ocorrido há mais de ano e dia, o juiz, antes de apreciar o pedido de concessão da medida liminar, deverá designar audiência de mediação, a realizar-se em até 30 (trinta) dias, que observará o disposto nos §§ 2º e 4º.</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25"/>
        <w:gridCol w:w="2189"/>
        <w:gridCol w:w="4840"/>
      </w:tblGrid>
      <w:tr>
        <w:trPr>
          <w:tblHeader w:val="on"/>
          <w:cantSplit/>
          <w:tblHeader/>
        </w:trPr>
        <w:tc>
          <w:tcPr>
            <w:tcW w:type="dxa" w:w="232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18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4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325"/>
          </w:tcPr>
          <w:p>
            <w:pPr>
              <w:pStyle w:val="Compact"/>
              <w:spacing w:line="276" w:lineRule="auto" w:before="40" w:after="40"/>
            </w:pPr>
            <w:r>
              <w:rPr>
                <w:rFonts w:ascii="Liberation Sans Narrow" w:hAnsi="Liberation Sans Narrow"/>
                <w:sz w:val="18"/>
              </w:rPr>
              <w:t xml:space="preserve">Litígio coletivo pela posse de imóvel: mediação e regime de transição das desocupações</w:t>
            </w:r>
          </w:p>
        </w:tc>
        <w:tc>
          <w:tcPr>
            <w:tcW w:type="dxa" w:w="2189"/>
          </w:tcPr>
          <w:p>
            <w:pPr>
              <w:pStyle w:val="Compact"/>
              <w:spacing w:line="276" w:lineRule="auto" w:before="40" w:after="40"/>
            </w:pPr>
            <w:r>
              <w:rPr>
                <w:rFonts w:ascii="Liberation Sans Narrow" w:hAnsi="Liberation Sans Narrow"/>
                <w:sz w:val="18"/>
              </w:rPr>
              <w:t xml:space="preserve">STF, ADPF 828, Tribunal Pleno, relator Min. Roberto Barroso, julgado em 02/11/2022</w:t>
            </w:r>
          </w:p>
        </w:tc>
        <w:tc>
          <w:tcPr>
            <w:tcW w:type="dxa" w:w="4840"/>
          </w:tcPr>
          <w:p>
            <w:pPr>
              <w:pStyle w:val="Compact"/>
              <w:spacing w:line="276" w:lineRule="auto" w:before="40" w:after="40"/>
            </w:pPr>
            <w:r>
              <w:rPr>
                <w:rFonts w:ascii="Liberation Sans Narrow" w:hAnsi="Liberation Sans Narrow"/>
                <w:sz w:val="18"/>
              </w:rPr>
              <w:t xml:space="preserve">Cessada a cautelar de suspensão de desocupações coletivas, fixou-se regime de transição para as ocupações coletivas: criação imediata, nos tribunais, de Comissão de Conflitos Fundiários, com visitas técnicas e audiências de mediação, que propõe a retomada gradual e escalonada das ordens suspensas e atua como órgão auxiliar do juiz da causa. Em remoções administrativas coletivas de pessoas vulneráveis, o Poder Público deve dar ciência prévia, conceder prazo razoável e garantir abrigo digno, sem separar membros da mesma família. Nas ações de despejo da Lei do Inquilinato, retomou-se o regime legal, sem transição.</w:t>
            </w:r>
          </w:p>
        </w:tc>
      </w:tr>
    </w:tbl>
    <w:p>
      <w:pPr>
        <w:pStyle w:val="BodyText"/>
        <w:spacing w:after="80"/>
        <w:jc w:val="both"/>
      </w:pPr>
      <w:r>
        <w:t xml:space="preserve">§ 1º Concedida a liminar, se essa não for executada no prazo de 1 (um) ano, a contar da data de distribuição, caberá ao juiz designar audiência de mediação, nos termos dos §§ 2º a 4º deste artigo.</w:t>
      </w:r>
    </w:p>
    <w:p>
      <w:pPr>
        <w:pStyle w:val="BodyText"/>
        <w:spacing w:after="80"/>
        <w:jc w:val="both"/>
      </w:pPr>
      <w:r>
        <w:t xml:space="preserve">§ 2º O Ministério Público será intimado para comparecer à audiência, e a Defensoria Pública será intimada sempre que houver parte beneficiária de gratuidade da justiça.</w:t>
      </w:r>
    </w:p>
    <w:p>
      <w:pPr>
        <w:pStyle w:val="BodyText"/>
        <w:spacing w:after="80"/>
        <w:jc w:val="both"/>
      </w:pPr>
      <w:r>
        <w:t xml:space="preserve">§ 3º O juiz poderá comparecer à área objeto do litígio quando sua presença se fizer necessária à efetivação da tutela jurisdicional.</w:t>
      </w:r>
    </w:p>
    <w:p>
      <w:pPr>
        <w:pStyle w:val="BodyText"/>
        <w:spacing w:after="80"/>
        <w:jc w:val="both"/>
      </w:pPr>
      <w:r>
        <w:t xml:space="preserve">§ 4º Os órgãos responsáveis pela política agrária e pela política urbana da União, de Estado ou do Distrito Federal e de Município onde se situe a área objeto do litígio poderão ser intimados para a audiência, a fim de se manifestarem sobre seu interesse no processo e sobre a existência de possibilidade de solução para o conflito possessório.</w:t>
      </w:r>
    </w:p>
    <w:p>
      <w:pPr>
        <w:pStyle w:val="BodyText"/>
        <w:spacing w:after="80"/>
        <w:jc w:val="both"/>
      </w:pPr>
      <w:r>
        <w:t xml:space="preserve">§ 5º Aplica-se o disposto neste artigo ao litígio sobre propriedade de imóvel.</w:t>
      </w:r>
    </w:p>
    <w:bookmarkEnd w:id="315"/>
    <w:bookmarkStart w:id="316" w:name="art.-566"/>
    <w:p>
      <w:pPr>
        <w:pStyle w:val="Heading6"/>
        <w:pBdr>
          <w:left w:val="single" w:sz="36" w:space="4" w:color="2E75B6"/>
        </w:pBdr>
        <w:shd w:val="clear" w:color="auto" w:fill="E3EEF9"/>
        <w:spacing w:before="200" w:after="80"/>
        <w:ind w:left="85"/>
      </w:pPr>
      <w:r>
        <w:rPr>
          <w:i w:val="0"/>
          <w:color w:val="1F3A5F"/>
          <w:sz w:val="23"/>
        </w:rPr>
        <w:t xml:space="preserve">Art. 566</w:t>
      </w:r>
    </w:p>
    <w:p>
      <w:pPr>
        <w:pStyle w:val="FirstParagraph"/>
        <w:spacing w:after="80"/>
        <w:jc w:val="both"/>
      </w:pPr>
      <w:r>
        <w:rPr>
          <w:b/>
          <w:bCs/>
        </w:rPr>
        <w:t xml:space="preserve">Art. 566.</w:t>
      </w:r>
      <w:r>
        <w:t xml:space="preserve"> </w:t>
      </w:r>
      <w:r>
        <w:t xml:space="preserve">Aplica-se, quanto ao mais, o procedimento comum.</w:t>
      </w:r>
    </w:p>
    <w:bookmarkEnd w:id="316"/>
    <w:bookmarkEnd w:id="317"/>
    <w:bookmarkStart w:id="320" w:name="X6114e8d46473fa5e6d630ea8a09383e74479ed3"/>
    <w:p>
      <w:pPr>
        <w:pStyle w:val="Heading5"/>
        <w:spacing w:before="140" w:after="20"/>
      </w:pPr>
      <w:r>
        <w:rPr>
          <w:i/>
          <w:color w:val="595959"/>
        </w:rPr>
        <w:t xml:space="preserve">Seção III: do interdito proibitório (arts. 567 a 568)</w:t>
      </w:r>
    </w:p>
    <w:bookmarkStart w:id="318" w:name="art.-567"/>
    <w:p>
      <w:pPr>
        <w:pStyle w:val="Heading6"/>
        <w:pBdr>
          <w:left w:val="single" w:sz="36" w:space="4" w:color="2E75B6"/>
        </w:pBdr>
        <w:shd w:val="clear" w:color="auto" w:fill="E3EEF9"/>
        <w:spacing w:before="200" w:after="80"/>
        <w:ind w:left="85"/>
      </w:pPr>
      <w:r>
        <w:rPr>
          <w:i w:val="0"/>
          <w:color w:val="1F3A5F"/>
          <w:sz w:val="23"/>
        </w:rPr>
        <w:t xml:space="preserve">Art. 567</w:t>
      </w:r>
    </w:p>
    <w:p>
      <w:pPr>
        <w:pStyle w:val="FirstParagraph"/>
        <w:keepNext/>
        <w:spacing w:after="80"/>
        <w:jc w:val="both"/>
      </w:pPr>
      <w:r>
        <w:rPr>
          <w:b/>
          <w:bCs/>
        </w:rPr>
        <w:t xml:space="preserve">Art. 567.</w:t>
      </w:r>
      <w:r>
        <w:t xml:space="preserve"> </w:t>
      </w:r>
      <w:r>
        <w:t xml:space="preserve">O possuidor direto ou indireto que tenha justo receio de ser molestado na posse poderá requerer ao juiz que o segure da turbação ou esbulho iminente, mediante mandado proibitório em que se comine ao réu determinada pena pecuniária caso transgrida o preceito.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95"/>
        <w:gridCol w:w="2589"/>
        <w:gridCol w:w="4570"/>
      </w:tblGrid>
      <w:tr>
        <w:trPr>
          <w:tblHeader w:val="on"/>
          <w:cantSplit/>
          <w:tblHeader/>
        </w:trPr>
        <w:tc>
          <w:tcPr>
            <w:tcW w:type="dxa" w:w="219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8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56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95"/>
          </w:tcPr>
          <w:p>
            <w:pPr>
              <w:pStyle w:val="Compact"/>
              <w:spacing w:line="276" w:lineRule="auto" w:before="40" w:after="40"/>
            </w:pPr>
            <w:r>
              <w:rPr>
                <w:rFonts w:ascii="Liberation Sans Narrow" w:hAnsi="Liberation Sans Narrow"/>
                <w:sz w:val="18"/>
              </w:rPr>
              <w:t xml:space="preserve">caput — possuidor direto (usufrutuário) e interdito proibitório (aplicação narrada)</w:t>
            </w:r>
          </w:p>
        </w:tc>
        <w:tc>
          <w:tcPr>
            <w:tcW w:type="dxa" w:w="2589"/>
          </w:tcPr>
          <w:p>
            <w:pPr>
              <w:pStyle w:val="Compact"/>
              <w:spacing w:line="276" w:lineRule="auto" w:before="40" w:after="40"/>
            </w:pPr>
            <w:r>
              <w:rPr>
                <w:rFonts w:ascii="Liberation Sans Narrow" w:hAnsi="Liberation Sans Narrow"/>
                <w:sz w:val="18"/>
              </w:rPr>
              <w:t xml:space="preserve">STJ, AREsp 3.138.738, Terceira Turma, relator Min. Moura Ribeiro, julgado em 15/06/2026</w:t>
            </w:r>
          </w:p>
        </w:tc>
        <w:tc>
          <w:tcPr>
            <w:tcW w:type="dxa" w:w="4569"/>
          </w:tcPr>
          <w:p>
            <w:pPr>
              <w:pStyle w:val="Compact"/>
              <w:spacing w:line="276" w:lineRule="auto" w:before="40" w:after="40"/>
            </w:pPr>
            <w:r>
              <w:rPr>
                <w:rFonts w:ascii="Liberation Sans Narrow" w:hAnsi="Liberation Sans Narrow"/>
                <w:sz w:val="18"/>
              </w:rPr>
              <w:t xml:space="preserve">O usufruto, direito real limitado, desdobra a posse entre usufrutuário (posse direta) e nu-proprietário (posse indireta); o possuidor direto tem legitimidade para o interdito proibitório, e a ocupação do imóvel sem sua anuência configura turbação ou esbulho, autorizando a proteção possessória contra os nu-proprietários. Trecho: “O usufruto, como direito real limitado, desdobra a posse e assegura ao titular o uso, gozo e fruição do bem, podendo opor-se à ocupação pelos nu-proprietários durante sua vigência.”</w:t>
            </w:r>
          </w:p>
        </w:tc>
      </w:tr>
      <w:tr>
        <w:trPr>
          <w:cantSplit/>
        </w:trPr>
        <w:tc>
          <w:tcPr>
            <w:tcW w:type="dxa" w:w="2195"/>
          </w:tcPr>
          <w:p>
            <w:pPr>
              <w:pStyle w:val="Compact"/>
              <w:spacing w:line="276" w:lineRule="auto" w:before="40" w:after="40"/>
            </w:pPr>
            <w:r>
              <w:rPr>
                <w:rFonts w:ascii="Liberation Sans Narrow" w:hAnsi="Liberation Sans Narrow"/>
                <w:sz w:val="18"/>
              </w:rPr>
              <w:t xml:space="preserve">Caput — orientação de aplicação (aplicação narrada)</w:t>
            </w:r>
          </w:p>
        </w:tc>
        <w:tc>
          <w:tcPr>
            <w:tcW w:type="dxa" w:w="2589"/>
          </w:tcPr>
          <w:p>
            <w:pPr>
              <w:pStyle w:val="Compact"/>
              <w:spacing w:line="276" w:lineRule="auto" w:before="40" w:after="40"/>
            </w:pPr>
            <w:r>
              <w:rPr>
                <w:rFonts w:ascii="Liberation Sans Narrow" w:hAnsi="Liberation Sans Narrow"/>
                <w:sz w:val="18"/>
              </w:rPr>
              <w:t xml:space="preserve">STJ, AREsp 3.149.760, Quarta Turma, relator Min. Raul Araújo, julgado em 18/05/2026</w:t>
            </w:r>
          </w:p>
        </w:tc>
        <w:tc>
          <w:tcPr>
            <w:tcW w:type="dxa" w:w="4569"/>
          </w:tcPr>
          <w:p>
            <w:pPr>
              <w:pStyle w:val="Compact"/>
              <w:spacing w:line="276" w:lineRule="auto" w:before="40" w:after="40"/>
            </w:pPr>
            <w:r>
              <w:rPr>
                <w:rFonts w:ascii="Liberation Sans Narrow" w:hAnsi="Liberation Sans Narrow"/>
                <w:sz w:val="18"/>
              </w:rPr>
              <w:t xml:space="preserve">A proteção possessória visa restaurar situação de fato anterior à turbação ou ao esbulho, sendo a posse anterior requisito essencial e indispensável ao deferimento do interdito proibitório, que não se confunde com o direito de propriedade. Trecho: “A jurisprudência do Superior Tribunal de Justiça orienta que a proteção possessória tem por objetivo restaurar uma situação de fato antecedente à turbação ou ao esbulho, sendo o exercício da posse anterior requisito essencial e indispensável para o deferimento da ação de interdito proibitório, não se confundindo o direito de posse com o direito de propriedade.”</w:t>
            </w:r>
          </w:p>
        </w:tc>
      </w:tr>
    </w:tbl>
    <w:bookmarkEnd w:id="318"/>
    <w:bookmarkStart w:id="319" w:name="art.-568"/>
    <w:p>
      <w:pPr>
        <w:pStyle w:val="Heading6"/>
        <w:pBdr>
          <w:left w:val="single" w:sz="36" w:space="4" w:color="2E75B6"/>
        </w:pBdr>
        <w:shd w:val="clear" w:color="auto" w:fill="E3EEF9"/>
        <w:spacing w:before="200" w:after="80"/>
        <w:ind w:left="85"/>
      </w:pPr>
      <w:r>
        <w:rPr>
          <w:i w:val="0"/>
          <w:color w:val="1F3A5F"/>
          <w:sz w:val="23"/>
        </w:rPr>
        <w:t xml:space="preserve">Art. 568</w:t>
      </w:r>
    </w:p>
    <w:p>
      <w:pPr>
        <w:pStyle w:val="FirstParagraph"/>
        <w:keepNext/>
        <w:spacing w:after="80"/>
        <w:jc w:val="both"/>
      </w:pPr>
      <w:r>
        <w:rPr>
          <w:b/>
          <w:bCs/>
        </w:rPr>
        <w:t xml:space="preserve">Art. 568.</w:t>
      </w:r>
      <w:r>
        <w:t xml:space="preserve"> </w:t>
      </w:r>
      <w:r>
        <w:t xml:space="preserve">Aplica-se ao interdito proibitório o disposto na Seção II deste Capítulo.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2524"/>
        <w:gridCol w:w="529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2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29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Caput — aplicação (aplicação narrada)</w:t>
            </w:r>
          </w:p>
        </w:tc>
        <w:tc>
          <w:tcPr>
            <w:tcW w:type="dxa" w:w="2525"/>
          </w:tcPr>
          <w:p>
            <w:pPr>
              <w:pStyle w:val="Compact"/>
              <w:spacing w:line="276" w:lineRule="auto" w:before="40" w:after="40"/>
            </w:pPr>
            <w:r>
              <w:rPr>
                <w:rFonts w:ascii="Liberation Sans Narrow" w:hAnsi="Liberation Sans Narrow"/>
                <w:sz w:val="18"/>
              </w:rPr>
              <w:t xml:space="preserve">STJ, REsp 2.256.830, Terceira Turma, relator Min. Humberto Martins, julgado em 08/06/2026</w:t>
            </w:r>
          </w:p>
        </w:tc>
        <w:tc>
          <w:tcPr>
            <w:tcW w:type="dxa" w:w="5299"/>
          </w:tcPr>
          <w:p>
            <w:pPr>
              <w:pStyle w:val="Compact"/>
              <w:spacing w:line="276" w:lineRule="auto" w:before="40" w:after="40"/>
            </w:pPr>
            <w:r>
              <w:rPr>
                <w:rFonts w:ascii="Liberation Sans Narrow" w:hAnsi="Liberation Sans Narrow"/>
                <w:sz w:val="18"/>
              </w:rPr>
              <w:t xml:space="preserve">No interdito proibitório, reconhecidos a posse anterior, a turbação ou ameaça e o justo receio de sua efetivação, tem-se por atendido o art. 561 do CPC. Trecho: “Reconhecidos, com apoio em laudo do INTERMAT, memorial descritivo, depoimentos e demais elementos, a posse anterior, a turbação/ameaça e o justo receio de sua efetivação, mostra-se atendido o art.”</w:t>
            </w:r>
          </w:p>
        </w:tc>
      </w:tr>
    </w:tbl>
    <w:bookmarkEnd w:id="319"/>
    <w:bookmarkEnd w:id="320"/>
    <w:bookmarkEnd w:id="321"/>
    <w:bookmarkStart w:id="355" w:name="Xfc240f430ee18076826c03c0a61cf2be7b59c80"/>
    <w:p>
      <w:pPr>
        <w:pStyle w:val="Heading4"/>
        <w:spacing w:before="160" w:after="40"/>
      </w:pPr>
      <w:r>
        <w:rPr>
          <w:smallCaps/>
          <w:color w:val="2E75B6"/>
        </w:rPr>
        <w:t xml:space="preserve">Capítulo IV: da ação de divisão e da demarcação de terras particulares (arts. 569 a 598)</w:t>
      </w:r>
    </w:p>
    <w:bookmarkStart w:id="327" w:name="Xf9dec998f54225e0a56f6143d15782a4046c7f7"/>
    <w:p>
      <w:pPr>
        <w:pStyle w:val="Heading5"/>
        <w:spacing w:before="140" w:after="20"/>
      </w:pPr>
      <w:r>
        <w:rPr>
          <w:i/>
          <w:color w:val="595959"/>
        </w:rPr>
        <w:t xml:space="preserve">Seção I: disposições gerais (arts. 569 a 573)</w:t>
      </w:r>
    </w:p>
    <w:bookmarkStart w:id="322" w:name="art.-569"/>
    <w:p>
      <w:pPr>
        <w:pStyle w:val="Heading6"/>
        <w:pBdr>
          <w:left w:val="single" w:sz="36" w:space="4" w:color="2E75B6"/>
        </w:pBdr>
        <w:shd w:val="clear" w:color="auto" w:fill="E3EEF9"/>
        <w:spacing w:before="200" w:after="80"/>
        <w:ind w:left="85"/>
      </w:pPr>
      <w:r>
        <w:rPr>
          <w:i w:val="0"/>
          <w:color w:val="1F3A5F"/>
          <w:sz w:val="23"/>
        </w:rPr>
        <w:t xml:space="preserve">Art. 569</w:t>
      </w:r>
    </w:p>
    <w:p>
      <w:pPr>
        <w:pStyle w:val="FirstParagraph"/>
        <w:spacing w:after="80"/>
        <w:jc w:val="both"/>
      </w:pPr>
      <w:r>
        <w:rPr>
          <w:b/>
          <w:bCs/>
        </w:rPr>
        <w:t xml:space="preserve">Art. 569.</w:t>
      </w:r>
      <w:r>
        <w:t xml:space="preserve"> </w:t>
      </w:r>
      <w:r>
        <w:t xml:space="preserve">Cabe:</w:t>
      </w:r>
    </w:p>
    <w:p>
      <w:pPr>
        <w:pStyle w:val="BodyText"/>
        <w:spacing w:after="80"/>
        <w:jc w:val="both"/>
      </w:pPr>
      <w:r>
        <w:t xml:space="preserve">I - ao proprietário a ação de demarcação, para obrigar o seu confinante a estremar os respectivos prédios, fixando-se novos limites entre eles ou aviventando-se os já apagados;</w:t>
      </w:r>
    </w:p>
    <w:p>
      <w:pPr>
        <w:pStyle w:val="BodyText"/>
        <w:keepNext/>
        <w:spacing w:after="80"/>
        <w:jc w:val="both"/>
      </w:pPr>
      <w:r>
        <w:t xml:space="preserve">II - ao condômino a ação de divisão, para obrigar os demais consortes a estremar os quinhões.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2428"/>
        <w:gridCol w:w="5396"/>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42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39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II — aplicação (aplicação narrada)</w:t>
            </w:r>
          </w:p>
        </w:tc>
        <w:tc>
          <w:tcPr>
            <w:tcW w:type="dxa" w:w="2428"/>
          </w:tcPr>
          <w:p>
            <w:pPr>
              <w:pStyle w:val="Compact"/>
              <w:spacing w:line="276" w:lineRule="auto" w:before="40" w:after="40"/>
            </w:pPr>
            <w:r>
              <w:rPr>
                <w:rFonts w:ascii="Liberation Sans Narrow" w:hAnsi="Liberation Sans Narrow"/>
                <w:sz w:val="18"/>
              </w:rPr>
              <w:t xml:space="preserve">STJ, AREsp 2.760.316, Quarta Turma, relator Min. Raul Araújo, julgado em 09/03/2026</w:t>
            </w:r>
          </w:p>
        </w:tc>
        <w:tc>
          <w:tcPr>
            <w:tcW w:type="dxa" w:w="5396"/>
          </w:tcPr>
          <w:p>
            <w:pPr>
              <w:pStyle w:val="Compact"/>
              <w:spacing w:line="276" w:lineRule="auto" w:before="40" w:after="40"/>
            </w:pPr>
            <w:r>
              <w:rPr>
                <w:rFonts w:ascii="Liberation Sans Narrow" w:hAnsi="Liberation Sans Narrow"/>
                <w:sz w:val="18"/>
              </w:rPr>
              <w:t xml:space="preserve">A ação de divisão possui procedimento especial com duas fases distintas e sucessivas, sendo o reembolso das despesas processuais exigível apenas ao término da fase executiva. Trecho: “A ação de divisão possui procedimento especial com duas fases distintas e sucessivas, sendo o reembolso das despesas processuais exigível apenas ao término da fase executiva, afastando-se a alegação de prescrição.”</w:t>
            </w:r>
          </w:p>
        </w:tc>
      </w:tr>
    </w:tbl>
    <w:bookmarkEnd w:id="322"/>
    <w:bookmarkStart w:id="323" w:name="art.-570"/>
    <w:p>
      <w:pPr>
        <w:pStyle w:val="Heading6"/>
        <w:pBdr>
          <w:left w:val="single" w:sz="36" w:space="4" w:color="2E75B6"/>
        </w:pBdr>
        <w:shd w:val="clear" w:color="auto" w:fill="E3EEF9"/>
        <w:spacing w:before="200" w:after="80"/>
        <w:ind w:left="85"/>
      </w:pPr>
      <w:r>
        <w:rPr>
          <w:i w:val="0"/>
          <w:color w:val="1F3A5F"/>
          <w:sz w:val="23"/>
        </w:rPr>
        <w:t xml:space="preserve">Art. 570</w:t>
      </w:r>
    </w:p>
    <w:p>
      <w:pPr>
        <w:pStyle w:val="FirstParagraph"/>
        <w:spacing w:after="80"/>
        <w:jc w:val="both"/>
      </w:pPr>
      <w:r>
        <w:rPr>
          <w:b/>
          <w:bCs/>
        </w:rPr>
        <w:t xml:space="preserve">Art. 570.</w:t>
      </w:r>
      <w:r>
        <w:t xml:space="preserve"> </w:t>
      </w:r>
      <w:r>
        <w:t xml:space="preserve">É lícita a cumulação dessas ações, caso em que deverá processar-se primeiramente a demarcação total ou parcial da coisa comum, citando-se os confinantes e os condôminos.</w:t>
      </w:r>
    </w:p>
    <w:bookmarkEnd w:id="323"/>
    <w:bookmarkStart w:id="324" w:name="art.-571"/>
    <w:p>
      <w:pPr>
        <w:pStyle w:val="Heading6"/>
        <w:pBdr>
          <w:left w:val="single" w:sz="36" w:space="4" w:color="2E75B6"/>
        </w:pBdr>
        <w:shd w:val="clear" w:color="auto" w:fill="E3EEF9"/>
        <w:spacing w:before="200" w:after="80"/>
        <w:ind w:left="85"/>
      </w:pPr>
      <w:r>
        <w:rPr>
          <w:i w:val="0"/>
          <w:color w:val="1F3A5F"/>
          <w:sz w:val="23"/>
        </w:rPr>
        <w:t xml:space="preserve">Art. 571</w:t>
      </w:r>
    </w:p>
    <w:p>
      <w:pPr>
        <w:pStyle w:val="FirstParagraph"/>
        <w:spacing w:after="80"/>
        <w:jc w:val="both"/>
      </w:pPr>
      <w:r>
        <w:rPr>
          <w:b/>
          <w:bCs/>
        </w:rPr>
        <w:t xml:space="preserve">Art. 571.</w:t>
      </w:r>
      <w:r>
        <w:t xml:space="preserve"> </w:t>
      </w:r>
      <w:r>
        <w:t xml:space="preserve">A demarcação e a divisão poderão ser realizadas por escritura pública, desde que maiores, capazes e concordes todos os interessados, observando-se, no que couber, os dispositivos deste Capítulo.</w:t>
      </w:r>
    </w:p>
    <w:bookmarkEnd w:id="324"/>
    <w:bookmarkStart w:id="325" w:name="art.-572"/>
    <w:p>
      <w:pPr>
        <w:pStyle w:val="Heading6"/>
        <w:pBdr>
          <w:left w:val="single" w:sz="36" w:space="4" w:color="2E75B6"/>
        </w:pBdr>
        <w:shd w:val="clear" w:color="auto" w:fill="E3EEF9"/>
        <w:spacing w:before="200" w:after="80"/>
        <w:ind w:left="85"/>
      </w:pPr>
      <w:r>
        <w:rPr>
          <w:i w:val="0"/>
          <w:color w:val="1F3A5F"/>
          <w:sz w:val="23"/>
        </w:rPr>
        <w:t xml:space="preserve">Art. 572</w:t>
      </w:r>
    </w:p>
    <w:p>
      <w:pPr>
        <w:pStyle w:val="FirstParagraph"/>
        <w:spacing w:after="80"/>
        <w:jc w:val="both"/>
      </w:pPr>
      <w:r>
        <w:rPr>
          <w:b/>
          <w:bCs/>
        </w:rPr>
        <w:t xml:space="preserve">Art. 572.</w:t>
      </w:r>
      <w:r>
        <w:t xml:space="preserve"> </w:t>
      </w:r>
      <w:r>
        <w:t xml:space="preserve">Fixados os marcos da linha de demarcação, os confinantes considerar-se-ão terceiros quanto ao processo divisório, ficando-lhes, porém, ressalvado o direito de vindicar os terrenos de que se julguem despojados por invasão das linhas limítrofes constitutivas do perímetro ou de reclamar indenização correspondente ao seu valor.</w:t>
      </w:r>
    </w:p>
    <w:p>
      <w:pPr>
        <w:pStyle w:val="BodyText"/>
        <w:spacing w:after="80"/>
        <w:jc w:val="both"/>
      </w:pPr>
      <w:r>
        <w:t xml:space="preserve">§ 1º No caso do caput , serão citados para a ação todos os condôminos, se a sentença homologatória da divisão ainda não houver transitado em julgado, e todos os quinhoeiros dos terrenos vindicados, se a ação for proposta posteriormente.</w:t>
      </w:r>
    </w:p>
    <w:p>
      <w:pPr>
        <w:pStyle w:val="BodyText"/>
        <w:spacing w:after="80"/>
        <w:jc w:val="both"/>
      </w:pPr>
      <w:r>
        <w:t xml:space="preserve">§ 2º Neste último caso, a sentença que julga procedente a ação, condenando a restituir os terrenos ou a pagar a indenização, valerá como título executivo em favor dos quinhoeiros para haverem dos outros condôminos que forem parte na divisão ou de seus sucessores a título universal, na proporção que lhes tocar, a composição pecuniária do desfalque sofrido.</w:t>
      </w:r>
    </w:p>
    <w:bookmarkEnd w:id="325"/>
    <w:bookmarkStart w:id="326" w:name="art.-573"/>
    <w:p>
      <w:pPr>
        <w:pStyle w:val="Heading6"/>
        <w:pBdr>
          <w:left w:val="single" w:sz="36" w:space="4" w:color="2E75B6"/>
        </w:pBdr>
        <w:shd w:val="clear" w:color="auto" w:fill="E3EEF9"/>
        <w:spacing w:before="200" w:after="80"/>
        <w:ind w:left="85"/>
      </w:pPr>
      <w:r>
        <w:rPr>
          <w:i w:val="0"/>
          <w:color w:val="1F3A5F"/>
          <w:sz w:val="23"/>
        </w:rPr>
        <w:t xml:space="preserve">Art. 573</w:t>
      </w:r>
    </w:p>
    <w:p>
      <w:pPr>
        <w:pStyle w:val="FirstParagraph"/>
        <w:spacing w:after="80"/>
        <w:jc w:val="both"/>
      </w:pPr>
      <w:r>
        <w:rPr>
          <w:b/>
          <w:bCs/>
        </w:rPr>
        <w:t xml:space="preserve">Art. 573.</w:t>
      </w:r>
      <w:r>
        <w:t xml:space="preserve"> </w:t>
      </w:r>
      <w:r>
        <w:t xml:space="preserve">Tratando-se de imóvel georreferenciado, com averbação no registro de imóveis, pode o juiz dispensar a realização de prova pericial.</w:t>
      </w:r>
    </w:p>
    <w:bookmarkEnd w:id="326"/>
    <w:bookmarkEnd w:id="327"/>
    <w:bookmarkStart w:id="342" w:name="seção-ii-da-demarcação-arts.-574-a-587"/>
    <w:p>
      <w:pPr>
        <w:pStyle w:val="Heading5"/>
        <w:spacing w:before="140" w:after="20"/>
      </w:pPr>
      <w:r>
        <w:rPr>
          <w:i/>
          <w:color w:val="595959"/>
        </w:rPr>
        <w:t xml:space="preserve">Seção II: da demarcação (arts. 574 a 587)</w:t>
      </w:r>
    </w:p>
    <w:bookmarkStart w:id="328" w:name="art.-574"/>
    <w:p>
      <w:pPr>
        <w:pStyle w:val="Heading6"/>
        <w:pBdr>
          <w:left w:val="single" w:sz="36" w:space="4" w:color="2E75B6"/>
        </w:pBdr>
        <w:shd w:val="clear" w:color="auto" w:fill="E3EEF9"/>
        <w:spacing w:before="200" w:after="80"/>
        <w:ind w:left="85"/>
      </w:pPr>
      <w:r>
        <w:rPr>
          <w:i w:val="0"/>
          <w:color w:val="1F3A5F"/>
          <w:sz w:val="23"/>
        </w:rPr>
        <w:t xml:space="preserve">Art. 574</w:t>
      </w:r>
    </w:p>
    <w:p>
      <w:pPr>
        <w:pStyle w:val="FirstParagraph"/>
        <w:spacing w:after="80"/>
        <w:jc w:val="both"/>
      </w:pPr>
      <w:r>
        <w:rPr>
          <w:b/>
          <w:bCs/>
        </w:rPr>
        <w:t xml:space="preserve">Art. 574.</w:t>
      </w:r>
      <w:r>
        <w:t xml:space="preserve"> </w:t>
      </w:r>
      <w:r>
        <w:t xml:space="preserve">Na petição inicial, instruída com os títulos da propriedade, designar-se-á o imóvel pela situação e pela denominação, descrever-se-ão os limites por constituir, aviventar ou renovar e nomear-se-ão todos os confinantes da linha demarcanda.</w:t>
      </w:r>
    </w:p>
    <w:bookmarkEnd w:id="328"/>
    <w:bookmarkStart w:id="329" w:name="art.-575"/>
    <w:p>
      <w:pPr>
        <w:pStyle w:val="Heading6"/>
        <w:pBdr>
          <w:left w:val="single" w:sz="36" w:space="4" w:color="2E75B6"/>
        </w:pBdr>
        <w:shd w:val="clear" w:color="auto" w:fill="E3EEF9"/>
        <w:spacing w:before="200" w:after="80"/>
        <w:ind w:left="85"/>
      </w:pPr>
      <w:r>
        <w:rPr>
          <w:i w:val="0"/>
          <w:color w:val="1F3A5F"/>
          <w:sz w:val="23"/>
        </w:rPr>
        <w:t xml:space="preserve">Art. 575</w:t>
      </w:r>
    </w:p>
    <w:p>
      <w:pPr>
        <w:pStyle w:val="FirstParagraph"/>
        <w:spacing w:after="80"/>
        <w:jc w:val="both"/>
      </w:pPr>
      <w:r>
        <w:rPr>
          <w:b/>
          <w:bCs/>
        </w:rPr>
        <w:t xml:space="preserve">Art. 575.</w:t>
      </w:r>
      <w:r>
        <w:t xml:space="preserve"> </w:t>
      </w:r>
      <w:r>
        <w:t xml:space="preserve">Qualquer condômino é parte legítima para promover a demarcação do imóvel comum, requerendo a intimação dos demais para, querendo, intervir no processo.</w:t>
      </w:r>
    </w:p>
    <w:bookmarkEnd w:id="329"/>
    <w:bookmarkStart w:id="330" w:name="art.-576"/>
    <w:p>
      <w:pPr>
        <w:pStyle w:val="Heading6"/>
        <w:pBdr>
          <w:left w:val="single" w:sz="36" w:space="4" w:color="2E75B6"/>
        </w:pBdr>
        <w:shd w:val="clear" w:color="auto" w:fill="E3EEF9"/>
        <w:spacing w:before="200" w:after="80"/>
        <w:ind w:left="85"/>
      </w:pPr>
      <w:r>
        <w:rPr>
          <w:i w:val="0"/>
          <w:color w:val="1F3A5F"/>
          <w:sz w:val="23"/>
        </w:rPr>
        <w:t xml:space="preserve">Art. 576</w:t>
      </w:r>
    </w:p>
    <w:p>
      <w:pPr>
        <w:pStyle w:val="FirstParagraph"/>
        <w:spacing w:after="80"/>
        <w:jc w:val="both"/>
      </w:pPr>
      <w:r>
        <w:rPr>
          <w:b/>
          <w:bCs/>
        </w:rPr>
        <w:t xml:space="preserve">Art. 576.</w:t>
      </w:r>
      <w:r>
        <w:t xml:space="preserve"> </w:t>
      </w:r>
      <w:r>
        <w:t xml:space="preserve">A citação dos réus será feita por correio, observado o disposto no art. 247.</w:t>
      </w:r>
    </w:p>
    <w:p>
      <w:pPr>
        <w:pStyle w:val="BodyText"/>
        <w:spacing w:after="80"/>
        <w:jc w:val="both"/>
      </w:pPr>
      <w:r>
        <w:t xml:space="preserve">Parágrafo único. Será publicado edital, nos termos do inciso III do art. 259.</w:t>
      </w:r>
    </w:p>
    <w:bookmarkEnd w:id="330"/>
    <w:bookmarkStart w:id="331" w:name="art.-577"/>
    <w:p>
      <w:pPr>
        <w:pStyle w:val="Heading6"/>
        <w:pBdr>
          <w:left w:val="single" w:sz="36" w:space="4" w:color="2E75B6"/>
        </w:pBdr>
        <w:shd w:val="clear" w:color="auto" w:fill="E3EEF9"/>
        <w:spacing w:before="200" w:after="80"/>
        <w:ind w:left="85"/>
      </w:pPr>
      <w:r>
        <w:rPr>
          <w:i w:val="0"/>
          <w:color w:val="1F3A5F"/>
          <w:sz w:val="23"/>
        </w:rPr>
        <w:t xml:space="preserve">Art. 577</w:t>
      </w:r>
    </w:p>
    <w:p>
      <w:pPr>
        <w:pStyle w:val="FirstParagraph"/>
        <w:spacing w:after="80"/>
        <w:jc w:val="both"/>
      </w:pPr>
      <w:r>
        <w:rPr>
          <w:b/>
          <w:bCs/>
        </w:rPr>
        <w:t xml:space="preserve">Art. 577.</w:t>
      </w:r>
      <w:r>
        <w:t xml:space="preserve"> </w:t>
      </w:r>
      <w:r>
        <w:t xml:space="preserve">Feitas as citações, terão os réus o prazo comum de 15 (quinze) dias para contestar.</w:t>
      </w:r>
    </w:p>
    <w:bookmarkEnd w:id="331"/>
    <w:bookmarkStart w:id="332" w:name="art.-578"/>
    <w:p>
      <w:pPr>
        <w:pStyle w:val="Heading6"/>
        <w:pBdr>
          <w:left w:val="single" w:sz="36" w:space="4" w:color="2E75B6"/>
        </w:pBdr>
        <w:shd w:val="clear" w:color="auto" w:fill="E3EEF9"/>
        <w:spacing w:before="200" w:after="80"/>
        <w:ind w:left="85"/>
      </w:pPr>
      <w:r>
        <w:rPr>
          <w:i w:val="0"/>
          <w:color w:val="1F3A5F"/>
          <w:sz w:val="23"/>
        </w:rPr>
        <w:t xml:space="preserve">Art. 578</w:t>
      </w:r>
    </w:p>
    <w:p>
      <w:pPr>
        <w:pStyle w:val="FirstParagraph"/>
        <w:spacing w:after="80"/>
        <w:jc w:val="both"/>
      </w:pPr>
      <w:r>
        <w:rPr>
          <w:b/>
          <w:bCs/>
        </w:rPr>
        <w:t xml:space="preserve">Art. 578.</w:t>
      </w:r>
      <w:r>
        <w:t xml:space="preserve"> </w:t>
      </w:r>
      <w:r>
        <w:t xml:space="preserve">Após o prazo de resposta do réu, observar-se-á o procedimento comum.</w:t>
      </w:r>
    </w:p>
    <w:bookmarkEnd w:id="332"/>
    <w:bookmarkStart w:id="333" w:name="art.-579"/>
    <w:p>
      <w:pPr>
        <w:pStyle w:val="Heading6"/>
        <w:pBdr>
          <w:left w:val="single" w:sz="36" w:space="4" w:color="2E75B6"/>
        </w:pBdr>
        <w:shd w:val="clear" w:color="auto" w:fill="E3EEF9"/>
        <w:spacing w:before="200" w:after="80"/>
        <w:ind w:left="85"/>
      </w:pPr>
      <w:r>
        <w:rPr>
          <w:i w:val="0"/>
          <w:color w:val="1F3A5F"/>
          <w:sz w:val="23"/>
        </w:rPr>
        <w:t xml:space="preserve">Art. 579</w:t>
      </w:r>
    </w:p>
    <w:p>
      <w:pPr>
        <w:pStyle w:val="FirstParagraph"/>
        <w:spacing w:after="80"/>
        <w:jc w:val="both"/>
      </w:pPr>
      <w:r>
        <w:rPr>
          <w:b/>
          <w:bCs/>
        </w:rPr>
        <w:t xml:space="preserve">Art. 579.</w:t>
      </w:r>
      <w:r>
        <w:t xml:space="preserve"> </w:t>
      </w:r>
      <w:r>
        <w:t xml:space="preserve">Antes de proferir a sentença, o juiz nomeará um ou mais peritos para levantar o traçado da linha demarcanda.</w:t>
      </w:r>
    </w:p>
    <w:bookmarkEnd w:id="333"/>
    <w:bookmarkStart w:id="334" w:name="art.-580"/>
    <w:p>
      <w:pPr>
        <w:pStyle w:val="Heading6"/>
        <w:pBdr>
          <w:left w:val="single" w:sz="36" w:space="4" w:color="2E75B6"/>
        </w:pBdr>
        <w:shd w:val="clear" w:color="auto" w:fill="E3EEF9"/>
        <w:spacing w:before="200" w:after="80"/>
        <w:ind w:left="85"/>
      </w:pPr>
      <w:r>
        <w:rPr>
          <w:i w:val="0"/>
          <w:color w:val="1F3A5F"/>
          <w:sz w:val="23"/>
        </w:rPr>
        <w:t xml:space="preserve">Art. 580</w:t>
      </w:r>
    </w:p>
    <w:p>
      <w:pPr>
        <w:pStyle w:val="FirstParagraph"/>
        <w:spacing w:after="80"/>
        <w:jc w:val="both"/>
      </w:pPr>
      <w:r>
        <w:rPr>
          <w:b/>
          <w:bCs/>
        </w:rPr>
        <w:t xml:space="preserve">Art. 580.</w:t>
      </w:r>
      <w:r>
        <w:t xml:space="preserve"> </w:t>
      </w:r>
      <w:r>
        <w:t xml:space="preserve">Concluídos os estudos, os peritos apresentarão minucioso laudo sobre o traçado da linha demarcanda, considerando os títulos, os marcos, os rumos, a fama da vizinhança, as informações de antigos moradores do lugar e outros elementos que coligirem.</w:t>
      </w:r>
    </w:p>
    <w:bookmarkEnd w:id="334"/>
    <w:bookmarkStart w:id="335" w:name="art.-581"/>
    <w:p>
      <w:pPr>
        <w:pStyle w:val="Heading6"/>
        <w:pBdr>
          <w:left w:val="single" w:sz="36" w:space="4" w:color="2E75B6"/>
        </w:pBdr>
        <w:shd w:val="clear" w:color="auto" w:fill="E3EEF9"/>
        <w:spacing w:before="200" w:after="80"/>
        <w:ind w:left="85"/>
      </w:pPr>
      <w:r>
        <w:rPr>
          <w:i w:val="0"/>
          <w:color w:val="1F3A5F"/>
          <w:sz w:val="23"/>
        </w:rPr>
        <w:t xml:space="preserve">Art. 581</w:t>
      </w:r>
    </w:p>
    <w:p>
      <w:pPr>
        <w:pStyle w:val="FirstParagraph"/>
        <w:spacing w:after="80"/>
        <w:jc w:val="both"/>
      </w:pPr>
      <w:r>
        <w:rPr>
          <w:b/>
          <w:bCs/>
        </w:rPr>
        <w:t xml:space="preserve">Art. 581.</w:t>
      </w:r>
      <w:r>
        <w:t xml:space="preserve"> </w:t>
      </w:r>
      <w:r>
        <w:t xml:space="preserve">A sentença que julgar procedente o pedido determinará o traçado da linha demarcanda.</w:t>
      </w:r>
    </w:p>
    <w:p>
      <w:pPr>
        <w:pStyle w:val="BodyText"/>
        <w:spacing w:after="80"/>
        <w:jc w:val="both"/>
      </w:pPr>
      <w:r>
        <w:t xml:space="preserve">Parágrafo único. A sentença proferida na ação demarcatória determinará a restituição da área invadida, se houver, declarando o domínio ou a posse do prejudicado, ou ambos.</w:t>
      </w:r>
    </w:p>
    <w:bookmarkEnd w:id="335"/>
    <w:bookmarkStart w:id="336" w:name="art.-582"/>
    <w:p>
      <w:pPr>
        <w:pStyle w:val="Heading6"/>
        <w:pBdr>
          <w:left w:val="single" w:sz="36" w:space="4" w:color="2E75B6"/>
        </w:pBdr>
        <w:shd w:val="clear" w:color="auto" w:fill="E3EEF9"/>
        <w:spacing w:before="200" w:after="80"/>
        <w:ind w:left="85"/>
      </w:pPr>
      <w:r>
        <w:rPr>
          <w:i w:val="0"/>
          <w:color w:val="1F3A5F"/>
          <w:sz w:val="23"/>
        </w:rPr>
        <w:t xml:space="preserve">Art. 582</w:t>
      </w:r>
    </w:p>
    <w:p>
      <w:pPr>
        <w:pStyle w:val="FirstParagraph"/>
        <w:spacing w:after="80"/>
        <w:jc w:val="both"/>
      </w:pPr>
      <w:r>
        <w:rPr>
          <w:b/>
          <w:bCs/>
        </w:rPr>
        <w:t xml:space="preserve">Art. 582.</w:t>
      </w:r>
      <w:r>
        <w:t xml:space="preserve"> </w:t>
      </w:r>
      <w:r>
        <w:t xml:space="preserve">Transitada em julgado a sentença, o perito efetuará a demarcação e colocará os marcos necessários.</w:t>
      </w:r>
    </w:p>
    <w:p>
      <w:pPr>
        <w:pStyle w:val="BodyText"/>
        <w:spacing w:after="80"/>
        <w:jc w:val="both"/>
      </w:pPr>
      <w:r>
        <w:t xml:space="preserve">Parágrafo único. Todas as operações serão consignadas em planta e memorial descritivo com as referências convenientes para a identificação, em qualquer tempo, dos pontos assinalados, observada a legislação especial que dispõe sobre a identificação do imóvel rural.</w:t>
      </w:r>
    </w:p>
    <w:bookmarkEnd w:id="336"/>
    <w:bookmarkStart w:id="337" w:name="art.-583"/>
    <w:p>
      <w:pPr>
        <w:pStyle w:val="Heading6"/>
        <w:pBdr>
          <w:left w:val="single" w:sz="36" w:space="4" w:color="2E75B6"/>
        </w:pBdr>
        <w:shd w:val="clear" w:color="auto" w:fill="E3EEF9"/>
        <w:spacing w:before="200" w:after="80"/>
        <w:ind w:left="85"/>
      </w:pPr>
      <w:r>
        <w:rPr>
          <w:i w:val="0"/>
          <w:color w:val="1F3A5F"/>
          <w:sz w:val="23"/>
        </w:rPr>
        <w:t xml:space="preserve">Art. 583</w:t>
      </w:r>
    </w:p>
    <w:p>
      <w:pPr>
        <w:pStyle w:val="FirstParagraph"/>
        <w:spacing w:after="80"/>
        <w:jc w:val="both"/>
      </w:pPr>
      <w:r>
        <w:rPr>
          <w:b/>
          <w:bCs/>
        </w:rPr>
        <w:t xml:space="preserve">Art. 583.</w:t>
      </w:r>
      <w:r>
        <w:t xml:space="preserve"> </w:t>
      </w:r>
      <w:r>
        <w:t xml:space="preserve">As plantas serão acompanhadas das cadernetas de operações de campo e do memorial descritivo, que conterá:</w:t>
      </w:r>
    </w:p>
    <w:p>
      <w:pPr>
        <w:pStyle w:val="BodyText"/>
        <w:spacing w:after="80"/>
        <w:jc w:val="both"/>
      </w:pPr>
      <w:r>
        <w:t xml:space="preserve">I - o ponto de partida, os rumos seguidos e a aviventação dos antigos com os respectivos cálculos;</w:t>
      </w:r>
    </w:p>
    <w:p>
      <w:pPr>
        <w:pStyle w:val="BodyText"/>
        <w:spacing w:after="80"/>
        <w:jc w:val="both"/>
      </w:pPr>
      <w:r>
        <w:t xml:space="preserve">II - os acidentes encontrados, as cercas, os valos, os marcos antigos, os córregos, os rios, as lagoas e outros;</w:t>
      </w:r>
    </w:p>
    <w:p>
      <w:pPr>
        <w:pStyle w:val="BodyText"/>
        <w:spacing w:after="80"/>
        <w:jc w:val="both"/>
      </w:pPr>
      <w:r>
        <w:t xml:space="preserve">III - a indicação minuciosa dos novos marcos cravados, dos antigos aproveitados, das culturas existentes e da sua produção anual;</w:t>
      </w:r>
    </w:p>
    <w:p>
      <w:pPr>
        <w:pStyle w:val="BodyText"/>
        <w:spacing w:after="80"/>
        <w:jc w:val="both"/>
      </w:pPr>
      <w:r>
        <w:t xml:space="preserve">IV - a composição geológica dos terrenos, bem como a qualidade e a extensão dos campos, das matas e das capoeiras;</w:t>
      </w:r>
    </w:p>
    <w:p>
      <w:pPr>
        <w:pStyle w:val="BodyText"/>
        <w:spacing w:after="80"/>
        <w:jc w:val="both"/>
      </w:pPr>
      <w:r>
        <w:t xml:space="preserve">V - as vias de comunicação;</w:t>
      </w:r>
    </w:p>
    <w:p>
      <w:pPr>
        <w:pStyle w:val="BodyText"/>
        <w:spacing w:after="80"/>
        <w:jc w:val="both"/>
      </w:pPr>
      <w:r>
        <w:t xml:space="preserve">VI - as distâncias a pontos de referência, tais como rodovias federais e estaduais, ferrovias, portos, aglomerações urbanas e polos comerciais;</w:t>
      </w:r>
    </w:p>
    <w:p>
      <w:pPr>
        <w:pStyle w:val="BodyText"/>
        <w:spacing w:after="80"/>
        <w:jc w:val="both"/>
      </w:pPr>
      <w:r>
        <w:t xml:space="preserve">VII - a indicação de tudo o mais que for útil para o levantamento da linha ou para a identificação da linha já levantada.</w:t>
      </w:r>
    </w:p>
    <w:bookmarkEnd w:id="337"/>
    <w:bookmarkStart w:id="338" w:name="art.-584"/>
    <w:p>
      <w:pPr>
        <w:pStyle w:val="Heading6"/>
        <w:pBdr>
          <w:left w:val="single" w:sz="36" w:space="4" w:color="2E75B6"/>
        </w:pBdr>
        <w:shd w:val="clear" w:color="auto" w:fill="E3EEF9"/>
        <w:spacing w:before="200" w:after="80"/>
        <w:ind w:left="85"/>
      </w:pPr>
      <w:r>
        <w:rPr>
          <w:i w:val="0"/>
          <w:color w:val="1F3A5F"/>
          <w:sz w:val="23"/>
        </w:rPr>
        <w:t xml:space="preserve">Art. 584</w:t>
      </w:r>
    </w:p>
    <w:p>
      <w:pPr>
        <w:pStyle w:val="FirstParagraph"/>
        <w:spacing w:after="80"/>
        <w:jc w:val="both"/>
      </w:pPr>
      <w:r>
        <w:rPr>
          <w:b/>
          <w:bCs/>
        </w:rPr>
        <w:t xml:space="preserve">Art. 584.</w:t>
      </w:r>
      <w:r>
        <w:t xml:space="preserve"> </w:t>
      </w:r>
      <w:r>
        <w:t xml:space="preserve">É obrigatória a colocação de marcos tanto na estação inicial, dita marco primordial, quanto nos vértices dos ângulos, salvo se algum desses últimos pontos for assinalado por acidentes naturais de difícil remoção ou destruição.</w:t>
      </w:r>
    </w:p>
    <w:bookmarkEnd w:id="338"/>
    <w:bookmarkStart w:id="339" w:name="art.-585"/>
    <w:p>
      <w:pPr>
        <w:pStyle w:val="Heading6"/>
        <w:pBdr>
          <w:left w:val="single" w:sz="36" w:space="4" w:color="2E75B6"/>
        </w:pBdr>
        <w:shd w:val="clear" w:color="auto" w:fill="E3EEF9"/>
        <w:spacing w:before="200" w:after="80"/>
        <w:ind w:left="85"/>
      </w:pPr>
      <w:r>
        <w:rPr>
          <w:i w:val="0"/>
          <w:color w:val="1F3A5F"/>
          <w:sz w:val="23"/>
        </w:rPr>
        <w:t xml:space="preserve">Art. 585</w:t>
      </w:r>
    </w:p>
    <w:p>
      <w:pPr>
        <w:pStyle w:val="FirstParagraph"/>
        <w:spacing w:after="80"/>
        <w:jc w:val="both"/>
      </w:pPr>
      <w:r>
        <w:rPr>
          <w:b/>
          <w:bCs/>
        </w:rPr>
        <w:t xml:space="preserve">Art. 585.</w:t>
      </w:r>
      <w:r>
        <w:t xml:space="preserve"> </w:t>
      </w:r>
      <w:r>
        <w:t xml:space="preserve">A linha será percorrida pelos peritos, que examinarão os marcos e os rumos, consignando em relatório escrito a exatidão do memorial e da planta apresentados pelo agrimensor ou as divergências porventura encontradas.</w:t>
      </w:r>
    </w:p>
    <w:bookmarkEnd w:id="339"/>
    <w:bookmarkStart w:id="340" w:name="art.-586"/>
    <w:p>
      <w:pPr>
        <w:pStyle w:val="Heading6"/>
        <w:pBdr>
          <w:left w:val="single" w:sz="36" w:space="4" w:color="2E75B6"/>
        </w:pBdr>
        <w:shd w:val="clear" w:color="auto" w:fill="E3EEF9"/>
        <w:spacing w:before="200" w:after="80"/>
        <w:ind w:left="85"/>
      </w:pPr>
      <w:r>
        <w:rPr>
          <w:i w:val="0"/>
          <w:color w:val="1F3A5F"/>
          <w:sz w:val="23"/>
        </w:rPr>
        <w:t xml:space="preserve">Art. 586</w:t>
      </w:r>
    </w:p>
    <w:p>
      <w:pPr>
        <w:pStyle w:val="FirstParagraph"/>
        <w:spacing w:after="80"/>
        <w:jc w:val="both"/>
      </w:pPr>
      <w:r>
        <w:rPr>
          <w:b/>
          <w:bCs/>
        </w:rPr>
        <w:t xml:space="preserve">Art. 586.</w:t>
      </w:r>
      <w:r>
        <w:t xml:space="preserve"> </w:t>
      </w:r>
      <w:r>
        <w:t xml:space="preserve">Juntado aos autos o relatório dos peritos, o juiz determinará que as partes se manifestem sobre ele no prazo comum de 15 (quinze) dias.</w:t>
      </w:r>
    </w:p>
    <w:p>
      <w:pPr>
        <w:pStyle w:val="BodyText"/>
        <w:spacing w:after="80"/>
        <w:jc w:val="both"/>
      </w:pPr>
      <w:r>
        <w:t xml:space="preserve">Parágrafo único. Executadas as correções e as retificações que o juiz determinar, lavrar-se-á, em seguida, o auto de demarcação em que os limites demarcandos serão minuciosamente descritos de acordo com o memorial e a planta.</w:t>
      </w:r>
    </w:p>
    <w:bookmarkEnd w:id="340"/>
    <w:bookmarkStart w:id="341" w:name="art.-587"/>
    <w:p>
      <w:pPr>
        <w:pStyle w:val="Heading6"/>
        <w:pBdr>
          <w:left w:val="single" w:sz="36" w:space="4" w:color="2E75B6"/>
        </w:pBdr>
        <w:shd w:val="clear" w:color="auto" w:fill="E3EEF9"/>
        <w:spacing w:before="200" w:after="80"/>
        <w:ind w:left="85"/>
      </w:pPr>
      <w:r>
        <w:rPr>
          <w:i w:val="0"/>
          <w:color w:val="1F3A5F"/>
          <w:sz w:val="23"/>
        </w:rPr>
        <w:t xml:space="preserve">Art. 587</w:t>
      </w:r>
    </w:p>
    <w:p>
      <w:pPr>
        <w:pStyle w:val="FirstParagraph"/>
        <w:spacing w:after="80"/>
        <w:jc w:val="both"/>
      </w:pPr>
      <w:r>
        <w:rPr>
          <w:b/>
          <w:bCs/>
        </w:rPr>
        <w:t xml:space="preserve">Art. 587.</w:t>
      </w:r>
      <w:r>
        <w:t xml:space="preserve"> </w:t>
      </w:r>
      <w:r>
        <w:t xml:space="preserve">Assinado o auto pelo juiz e pelos peritos, será proferida a sentença homologatória da demarcação.</w:t>
      </w:r>
    </w:p>
    <w:bookmarkEnd w:id="341"/>
    <w:bookmarkEnd w:id="342"/>
    <w:bookmarkStart w:id="354" w:name="seção-iii-da-divisão-arts.-588-a-598"/>
    <w:p>
      <w:pPr>
        <w:pStyle w:val="Heading5"/>
        <w:spacing w:before="140" w:after="20"/>
      </w:pPr>
      <w:r>
        <w:rPr>
          <w:i/>
          <w:color w:val="595959"/>
        </w:rPr>
        <w:t xml:space="preserve">Seção III: da divisão (arts. 588 a 598)</w:t>
      </w:r>
    </w:p>
    <w:bookmarkStart w:id="343" w:name="art.-588"/>
    <w:p>
      <w:pPr>
        <w:pStyle w:val="Heading6"/>
        <w:pBdr>
          <w:left w:val="single" w:sz="36" w:space="4" w:color="2E75B6"/>
        </w:pBdr>
        <w:shd w:val="clear" w:color="auto" w:fill="E3EEF9"/>
        <w:spacing w:before="200" w:after="80"/>
        <w:ind w:left="85"/>
      </w:pPr>
      <w:r>
        <w:rPr>
          <w:i w:val="0"/>
          <w:color w:val="1F3A5F"/>
          <w:sz w:val="23"/>
        </w:rPr>
        <w:t xml:space="preserve">Art. 588</w:t>
      </w:r>
    </w:p>
    <w:p>
      <w:pPr>
        <w:pStyle w:val="FirstParagraph"/>
        <w:spacing w:after="80"/>
        <w:jc w:val="both"/>
      </w:pPr>
      <w:r>
        <w:rPr>
          <w:b/>
          <w:bCs/>
        </w:rPr>
        <w:t xml:space="preserve">Art. 588.</w:t>
      </w:r>
      <w:r>
        <w:t xml:space="preserve"> </w:t>
      </w:r>
      <w:r>
        <w:t xml:space="preserve">A petição inicial será instruída com os títulos de domínio do promovente e conterá:</w:t>
      </w:r>
    </w:p>
    <w:p>
      <w:pPr>
        <w:pStyle w:val="BodyText"/>
        <w:spacing w:after="80"/>
        <w:jc w:val="both"/>
      </w:pPr>
      <w:r>
        <w:t xml:space="preserve">I - a indicação da origem da comunhão e a denominação, a situação, os limites e as características do imóvel;</w:t>
      </w:r>
    </w:p>
    <w:p>
      <w:pPr>
        <w:pStyle w:val="BodyText"/>
        <w:spacing w:after="80"/>
        <w:jc w:val="both"/>
      </w:pPr>
      <w:r>
        <w:t xml:space="preserve">II - o nome, o estado civil, a profissão e a residência de todos os condôminos, especificando-se os estabelecidos no imóvel com benfeitorias e culturas;</w:t>
      </w:r>
    </w:p>
    <w:p>
      <w:pPr>
        <w:pStyle w:val="BodyText"/>
        <w:spacing w:after="80"/>
        <w:jc w:val="both"/>
      </w:pPr>
      <w:r>
        <w:t xml:space="preserve">III - as benfeitorias comuns.</w:t>
      </w:r>
    </w:p>
    <w:bookmarkEnd w:id="343"/>
    <w:bookmarkStart w:id="344" w:name="art.-589"/>
    <w:p>
      <w:pPr>
        <w:pStyle w:val="Heading6"/>
        <w:pBdr>
          <w:left w:val="single" w:sz="36" w:space="4" w:color="2E75B6"/>
        </w:pBdr>
        <w:shd w:val="clear" w:color="auto" w:fill="E3EEF9"/>
        <w:spacing w:before="200" w:after="80"/>
        <w:ind w:left="85"/>
      </w:pPr>
      <w:r>
        <w:rPr>
          <w:i w:val="0"/>
          <w:color w:val="1F3A5F"/>
          <w:sz w:val="23"/>
        </w:rPr>
        <w:t xml:space="preserve">Art. 589</w:t>
      </w:r>
    </w:p>
    <w:p>
      <w:pPr>
        <w:pStyle w:val="FirstParagraph"/>
        <w:spacing w:after="80"/>
        <w:jc w:val="both"/>
      </w:pPr>
      <w:r>
        <w:rPr>
          <w:b/>
          <w:bCs/>
        </w:rPr>
        <w:t xml:space="preserve">Art. 589.</w:t>
      </w:r>
      <w:r>
        <w:t xml:space="preserve"> </w:t>
      </w:r>
      <w:r>
        <w:t xml:space="preserve">Feitas as citações como preceitua o art. 576, prosseguir-se-á na forma dos arts. 577 e 578.</w:t>
      </w:r>
    </w:p>
    <w:bookmarkEnd w:id="344"/>
    <w:bookmarkStart w:id="345" w:name="art.-590"/>
    <w:p>
      <w:pPr>
        <w:pStyle w:val="Heading6"/>
        <w:pBdr>
          <w:left w:val="single" w:sz="36" w:space="4" w:color="2E75B6"/>
        </w:pBdr>
        <w:shd w:val="clear" w:color="auto" w:fill="E3EEF9"/>
        <w:spacing w:before="200" w:after="80"/>
        <w:ind w:left="85"/>
      </w:pPr>
      <w:r>
        <w:rPr>
          <w:i w:val="0"/>
          <w:color w:val="1F3A5F"/>
          <w:sz w:val="23"/>
        </w:rPr>
        <w:t xml:space="preserve">Art. 590</w:t>
      </w:r>
    </w:p>
    <w:p>
      <w:pPr>
        <w:pStyle w:val="FirstParagraph"/>
        <w:spacing w:after="80"/>
        <w:jc w:val="both"/>
      </w:pPr>
      <w:r>
        <w:rPr>
          <w:b/>
          <w:bCs/>
        </w:rPr>
        <w:t xml:space="preserve">Art. 590.</w:t>
      </w:r>
      <w:r>
        <w:t xml:space="preserve"> </w:t>
      </w:r>
      <w:r>
        <w:t xml:space="preserve">O juiz nomeará um ou mais peritos para promover a medição do imóvel e as operações de divisão, observada a legislação especial que dispõe sobre a identificação do imóvel rural.</w:t>
      </w:r>
    </w:p>
    <w:p>
      <w:pPr>
        <w:pStyle w:val="BodyText"/>
        <w:spacing w:after="80"/>
        <w:jc w:val="both"/>
      </w:pPr>
      <w:r>
        <w:t xml:space="preserve">Parágrafo único. O perito deverá indicar as vias de comunicação existentes, as construções e as benfeitorias, com a indicação dos seus valores e dos respectivos proprietários e ocupantes, as águas principais que banham o imóvel e quaisquer outras informações que possam concorrer para facilitar a partilha.</w:t>
      </w:r>
    </w:p>
    <w:bookmarkEnd w:id="345"/>
    <w:bookmarkStart w:id="346" w:name="art.-591"/>
    <w:p>
      <w:pPr>
        <w:pStyle w:val="Heading6"/>
        <w:pBdr>
          <w:left w:val="single" w:sz="36" w:space="4" w:color="2E75B6"/>
        </w:pBdr>
        <w:shd w:val="clear" w:color="auto" w:fill="E3EEF9"/>
        <w:spacing w:before="200" w:after="80"/>
        <w:ind w:left="85"/>
      </w:pPr>
      <w:r>
        <w:rPr>
          <w:i w:val="0"/>
          <w:color w:val="1F3A5F"/>
          <w:sz w:val="23"/>
        </w:rPr>
        <w:t xml:space="preserve">Art. 591</w:t>
      </w:r>
    </w:p>
    <w:p>
      <w:pPr>
        <w:pStyle w:val="FirstParagraph"/>
        <w:spacing w:after="80"/>
        <w:jc w:val="both"/>
      </w:pPr>
      <w:r>
        <w:rPr>
          <w:b/>
          <w:bCs/>
        </w:rPr>
        <w:t xml:space="preserve">Art. 591.</w:t>
      </w:r>
      <w:r>
        <w:t xml:space="preserve"> </w:t>
      </w:r>
      <w:r>
        <w:t xml:space="preserve">Todos os condôminos serão intimados a apresentar, dentro de 10 (dez) dias, os seus títulos, se ainda não o tiverem feito, e a formular os seus pedidos sobre a constituição dos quinhões.</w:t>
      </w:r>
    </w:p>
    <w:bookmarkEnd w:id="346"/>
    <w:bookmarkStart w:id="347" w:name="art.-592"/>
    <w:p>
      <w:pPr>
        <w:pStyle w:val="Heading6"/>
        <w:pBdr>
          <w:left w:val="single" w:sz="36" w:space="4" w:color="2E75B6"/>
        </w:pBdr>
        <w:shd w:val="clear" w:color="auto" w:fill="E3EEF9"/>
        <w:spacing w:before="200" w:after="80"/>
        <w:ind w:left="85"/>
      </w:pPr>
      <w:r>
        <w:rPr>
          <w:i w:val="0"/>
          <w:color w:val="1F3A5F"/>
          <w:sz w:val="23"/>
        </w:rPr>
        <w:t xml:space="preserve">Art. 592</w:t>
      </w:r>
    </w:p>
    <w:p>
      <w:pPr>
        <w:pStyle w:val="FirstParagraph"/>
        <w:spacing w:after="80"/>
        <w:jc w:val="both"/>
      </w:pPr>
      <w:r>
        <w:rPr>
          <w:b/>
          <w:bCs/>
        </w:rPr>
        <w:t xml:space="preserve">Art. 592.</w:t>
      </w:r>
      <w:r>
        <w:t xml:space="preserve"> </w:t>
      </w:r>
      <w:r>
        <w:t xml:space="preserve">O juiz ouvirá as partes no prazo comum de 15 (quinze) dias.</w:t>
      </w:r>
    </w:p>
    <w:p>
      <w:pPr>
        <w:pStyle w:val="BodyText"/>
        <w:spacing w:after="80"/>
        <w:jc w:val="both"/>
      </w:pPr>
      <w:r>
        <w:t xml:space="preserve">§ 1º Não havendo impugnação, o juiz determinará a divisão geodésica do imóvel.</w:t>
      </w:r>
    </w:p>
    <w:p>
      <w:pPr>
        <w:pStyle w:val="BodyText"/>
        <w:spacing w:after="80"/>
        <w:jc w:val="both"/>
      </w:pPr>
      <w:r>
        <w:t xml:space="preserve">§ 2º Havendo impugnação, o juiz proferirá, no prazo de 10 (dez) dias, decisão sobre os pedidos e os títulos que devam ser atendidos na formação dos quinhões.</w:t>
      </w:r>
    </w:p>
    <w:bookmarkEnd w:id="347"/>
    <w:bookmarkStart w:id="348" w:name="art.-593"/>
    <w:p>
      <w:pPr>
        <w:pStyle w:val="Heading6"/>
        <w:pBdr>
          <w:left w:val="single" w:sz="36" w:space="4" w:color="2E75B6"/>
        </w:pBdr>
        <w:shd w:val="clear" w:color="auto" w:fill="E3EEF9"/>
        <w:spacing w:before="200" w:after="80"/>
        <w:ind w:left="85"/>
      </w:pPr>
      <w:r>
        <w:rPr>
          <w:i w:val="0"/>
          <w:color w:val="1F3A5F"/>
          <w:sz w:val="23"/>
        </w:rPr>
        <w:t xml:space="preserve">Art. 593</w:t>
      </w:r>
    </w:p>
    <w:p>
      <w:pPr>
        <w:pStyle w:val="FirstParagraph"/>
        <w:spacing w:after="80"/>
        <w:jc w:val="both"/>
      </w:pPr>
      <w:r>
        <w:rPr>
          <w:b/>
          <w:bCs/>
        </w:rPr>
        <w:t xml:space="preserve">Art. 593.</w:t>
      </w:r>
      <w:r>
        <w:t xml:space="preserve"> </w:t>
      </w:r>
      <w:r>
        <w:t xml:space="preserve">Se qualquer linha do perímetro atingir benfeitorias permanentes dos confinantes feitas há mais de 1 (um) ano, serão elas respeitadas, bem como os terrenos onde estiverem, os quais não se computarão na área dividenda.</w:t>
      </w:r>
    </w:p>
    <w:bookmarkEnd w:id="348"/>
    <w:bookmarkStart w:id="349" w:name="art.-594"/>
    <w:p>
      <w:pPr>
        <w:pStyle w:val="Heading6"/>
        <w:pBdr>
          <w:left w:val="single" w:sz="36" w:space="4" w:color="2E75B6"/>
        </w:pBdr>
        <w:shd w:val="clear" w:color="auto" w:fill="E3EEF9"/>
        <w:spacing w:before="200" w:after="80"/>
        <w:ind w:left="85"/>
      </w:pPr>
      <w:r>
        <w:rPr>
          <w:i w:val="0"/>
          <w:color w:val="1F3A5F"/>
          <w:sz w:val="23"/>
        </w:rPr>
        <w:t xml:space="preserve">Art. 594</w:t>
      </w:r>
    </w:p>
    <w:p>
      <w:pPr>
        <w:pStyle w:val="FirstParagraph"/>
        <w:spacing w:after="80"/>
        <w:jc w:val="both"/>
      </w:pPr>
      <w:r>
        <w:rPr>
          <w:b/>
          <w:bCs/>
        </w:rPr>
        <w:t xml:space="preserve">Art. 594.</w:t>
      </w:r>
      <w:r>
        <w:t xml:space="preserve"> </w:t>
      </w:r>
      <w:r>
        <w:t xml:space="preserve">Os confinantes do imóvel dividendo podem demandar a restituição dos terrenos que lhes tenham sido usurpados.</w:t>
      </w:r>
    </w:p>
    <w:p>
      <w:pPr>
        <w:pStyle w:val="BodyText"/>
        <w:spacing w:after="80"/>
        <w:jc w:val="both"/>
      </w:pPr>
      <w:r>
        <w:t xml:space="preserve">§ 1º Serão citados para a ação todos os condôminos, se a sentença homologatória da divisão ainda não houver transitado em julgado, e todos os quinhoeiros dos terrenos vindicados, se a ação for proposta posteriormente.</w:t>
      </w:r>
    </w:p>
    <w:p>
      <w:pPr>
        <w:pStyle w:val="BodyText"/>
        <w:spacing w:after="80"/>
        <w:jc w:val="both"/>
      </w:pPr>
      <w:r>
        <w:t xml:space="preserve">§ 2º Nesse último caso terão os quinhoeiros o direito, pela mesma sentença que os obrigar à restituição, a haver dos outros condôminos do processo divisório ou de seus sucessores a título universal a composição pecuniária proporcional ao desfalque sofrido.</w:t>
      </w:r>
    </w:p>
    <w:bookmarkEnd w:id="349"/>
    <w:bookmarkStart w:id="350" w:name="art.-595"/>
    <w:p>
      <w:pPr>
        <w:pStyle w:val="Heading6"/>
        <w:pBdr>
          <w:left w:val="single" w:sz="36" w:space="4" w:color="2E75B6"/>
        </w:pBdr>
        <w:shd w:val="clear" w:color="auto" w:fill="E3EEF9"/>
        <w:spacing w:before="200" w:after="80"/>
        <w:ind w:left="85"/>
      </w:pPr>
      <w:r>
        <w:rPr>
          <w:i w:val="0"/>
          <w:color w:val="1F3A5F"/>
          <w:sz w:val="23"/>
        </w:rPr>
        <w:t xml:space="preserve">Art. 595</w:t>
      </w:r>
    </w:p>
    <w:p>
      <w:pPr>
        <w:pStyle w:val="FirstParagraph"/>
        <w:spacing w:after="80"/>
        <w:jc w:val="both"/>
      </w:pPr>
      <w:r>
        <w:rPr>
          <w:b/>
          <w:bCs/>
        </w:rPr>
        <w:t xml:space="preserve">Art. 595.</w:t>
      </w:r>
      <w:r>
        <w:t xml:space="preserve"> </w:t>
      </w:r>
      <w:r>
        <w:t xml:space="preserve">Os peritos proporão, em laudo fundamentado, a forma da divisão, devendo consultar, quanto possível, a comodidade das partes, respeitar, para adjudicação a cada condômino, a preferência dos terrenos contíguos às suas residências e benfeitorias e evitar o retalhamento dos quinhões em glebas separadas.</w:t>
      </w:r>
    </w:p>
    <w:bookmarkEnd w:id="350"/>
    <w:bookmarkStart w:id="351" w:name="art.-596"/>
    <w:p>
      <w:pPr>
        <w:pStyle w:val="Heading6"/>
        <w:pBdr>
          <w:left w:val="single" w:sz="36" w:space="4" w:color="2E75B6"/>
        </w:pBdr>
        <w:shd w:val="clear" w:color="auto" w:fill="E3EEF9"/>
        <w:spacing w:before="200" w:after="80"/>
        <w:ind w:left="85"/>
      </w:pPr>
      <w:r>
        <w:rPr>
          <w:i w:val="0"/>
          <w:color w:val="1F3A5F"/>
          <w:sz w:val="23"/>
        </w:rPr>
        <w:t xml:space="preserve">Art. 596</w:t>
      </w:r>
    </w:p>
    <w:p>
      <w:pPr>
        <w:pStyle w:val="FirstParagraph"/>
        <w:spacing w:after="80"/>
        <w:jc w:val="both"/>
      </w:pPr>
      <w:r>
        <w:rPr>
          <w:b/>
          <w:bCs/>
        </w:rPr>
        <w:t xml:space="preserve">Art. 596.</w:t>
      </w:r>
      <w:r>
        <w:t xml:space="preserve"> </w:t>
      </w:r>
      <w:r>
        <w:t xml:space="preserve">Ouvidas as partes, no prazo comum de 15 (quinze) dias, sobre o cálculo e o plano da divisão, o juiz deliberará a partilha.</w:t>
      </w:r>
    </w:p>
    <w:p>
      <w:pPr>
        <w:pStyle w:val="BodyText"/>
        <w:spacing w:after="80"/>
        <w:jc w:val="both"/>
      </w:pPr>
      <w:r>
        <w:t xml:space="preserve">Parágrafo único. Em cumprimento dessa decisão, o perito procederá à demarcação dos quinhões, observando, além do disposto nos arts. 584 e 585, as seguintes regras:</w:t>
      </w:r>
    </w:p>
    <w:p>
      <w:pPr>
        <w:pStyle w:val="BodyText"/>
        <w:spacing w:after="80"/>
        <w:jc w:val="both"/>
      </w:pPr>
      <w:r>
        <w:t xml:space="preserve">I - as benfeitorias comuns que não comportarem divisão cômoda serão adjudicadas a um dos condôminos mediante compensação;</w:t>
      </w:r>
    </w:p>
    <w:p>
      <w:pPr>
        <w:pStyle w:val="BodyText"/>
        <w:spacing w:after="80"/>
        <w:jc w:val="both"/>
      </w:pPr>
      <w:r>
        <w:t xml:space="preserve">II - instituir-se-ão as servidões que forem indispensáveis em favor de uns quinhões sobre os outros, incluindo o respectivo valor no orçamento para que, não se tratando de servidões naturais, seja compensado o condômino aquinhoado com o prédio serviente;</w:t>
      </w:r>
    </w:p>
    <w:p>
      <w:pPr>
        <w:pStyle w:val="BodyText"/>
        <w:spacing w:after="80"/>
        <w:jc w:val="both"/>
      </w:pPr>
      <w:r>
        <w:t xml:space="preserve">III - as benfeitorias particulares dos condôminos que excederem à área a que têm direito serão adjudicadas ao quinhoeiro vizinho mediante reposição;</w:t>
      </w:r>
    </w:p>
    <w:p>
      <w:pPr>
        <w:pStyle w:val="BodyText"/>
        <w:spacing w:after="80"/>
        <w:jc w:val="both"/>
      </w:pPr>
      <w:r>
        <w:t xml:space="preserve">IV - se outra coisa não acordarem as partes, as compensações e as reposições serão feitas em dinheiro.</w:t>
      </w:r>
    </w:p>
    <w:bookmarkEnd w:id="351"/>
    <w:bookmarkStart w:id="352" w:name="art.-597"/>
    <w:p>
      <w:pPr>
        <w:pStyle w:val="Heading6"/>
        <w:pBdr>
          <w:left w:val="single" w:sz="36" w:space="4" w:color="2E75B6"/>
        </w:pBdr>
        <w:shd w:val="clear" w:color="auto" w:fill="E3EEF9"/>
        <w:spacing w:before="200" w:after="80"/>
        <w:ind w:left="85"/>
      </w:pPr>
      <w:r>
        <w:rPr>
          <w:i w:val="0"/>
          <w:color w:val="1F3A5F"/>
          <w:sz w:val="23"/>
        </w:rPr>
        <w:t xml:space="preserve">Art. 597</w:t>
      </w:r>
    </w:p>
    <w:p>
      <w:pPr>
        <w:pStyle w:val="FirstParagraph"/>
        <w:spacing w:after="80"/>
        <w:jc w:val="both"/>
      </w:pPr>
      <w:r>
        <w:rPr>
          <w:b/>
          <w:bCs/>
        </w:rPr>
        <w:t xml:space="preserve">Art. 597.</w:t>
      </w:r>
      <w:r>
        <w:t xml:space="preserve"> </w:t>
      </w:r>
      <w:r>
        <w:t xml:space="preserve">Terminados os trabalhos e desenhados na planta os quinhões e as servidões aparentes, o perito organizará o memorial descritivo.</w:t>
      </w:r>
    </w:p>
    <w:p>
      <w:pPr>
        <w:pStyle w:val="BodyText"/>
        <w:spacing w:after="80"/>
        <w:jc w:val="both"/>
      </w:pPr>
      <w:r>
        <w:t xml:space="preserve">§ 1º Cumprido o disposto no art. 586, o escrivão, em seguida, lavrará o auto de divisão, acompanhado de uma folha de pagamento para cada condômino.</w:t>
      </w:r>
    </w:p>
    <w:p>
      <w:pPr>
        <w:pStyle w:val="BodyText"/>
        <w:spacing w:after="80"/>
        <w:jc w:val="both"/>
      </w:pPr>
      <w:r>
        <w:t xml:space="preserve">§ 2º Assinado o auto pelo juiz e pelo perito, será proferida sentença homologatória da divisão.</w:t>
      </w:r>
    </w:p>
    <w:p>
      <w:pPr>
        <w:pStyle w:val="BodyText"/>
        <w:spacing w:after="80"/>
        <w:jc w:val="both"/>
      </w:pPr>
      <w:r>
        <w:t xml:space="preserve">§ 3º O auto conterá:</w:t>
      </w:r>
    </w:p>
    <w:p>
      <w:pPr>
        <w:pStyle w:val="BodyText"/>
        <w:spacing w:after="80"/>
        <w:jc w:val="both"/>
      </w:pPr>
      <w:r>
        <w:t xml:space="preserve">I - a confinação e a extensão superficial do imóvel;</w:t>
      </w:r>
    </w:p>
    <w:p>
      <w:pPr>
        <w:pStyle w:val="BodyText"/>
        <w:spacing w:after="80"/>
        <w:jc w:val="both"/>
      </w:pPr>
      <w:r>
        <w:t xml:space="preserve">II - a classificação das terras com o cálculo das áreas de cada consorte e com a respectiva avaliação ou, quando a homogeneidade das terras não determinar diversidade de valores, a avaliação do imóvel na sua integridade;</w:t>
      </w:r>
    </w:p>
    <w:p>
      <w:pPr>
        <w:pStyle w:val="BodyText"/>
        <w:spacing w:after="80"/>
        <w:jc w:val="both"/>
      </w:pPr>
      <w:r>
        <w:t xml:space="preserve">III - o valor e a quantidade geométrica que couber a cada condômino, declarando-se as reduções e as compensações resultantes da diversidade de valores das glebas componentes de cada quinhão.</w:t>
      </w:r>
    </w:p>
    <w:p>
      <w:pPr>
        <w:pStyle w:val="BodyText"/>
        <w:spacing w:after="80"/>
        <w:jc w:val="both"/>
      </w:pPr>
      <w:r>
        <w:t xml:space="preserve">§ 4º Cada folha de pagamento conterá:</w:t>
      </w:r>
    </w:p>
    <w:p>
      <w:pPr>
        <w:pStyle w:val="BodyText"/>
        <w:spacing w:after="80"/>
        <w:jc w:val="both"/>
      </w:pPr>
      <w:r>
        <w:t xml:space="preserve">I - a descrição das linhas divisórias do quinhão, mencionadas as confinantes;</w:t>
      </w:r>
    </w:p>
    <w:p>
      <w:pPr>
        <w:pStyle w:val="BodyText"/>
        <w:spacing w:after="80"/>
        <w:jc w:val="both"/>
      </w:pPr>
      <w:r>
        <w:t xml:space="preserve">II - a relação das benfeitorias e das culturas do próprio quinhoeiro e das que lhe foram adjudicadas por serem comuns ou mediante compensação;</w:t>
      </w:r>
    </w:p>
    <w:p>
      <w:pPr>
        <w:pStyle w:val="BodyText"/>
        <w:spacing w:after="80"/>
        <w:jc w:val="both"/>
      </w:pPr>
      <w:r>
        <w:t xml:space="preserve">III - a declaração das servidões instituídas, especificados os lugares, a extensão e o modo de exercício.</w:t>
      </w:r>
    </w:p>
    <w:bookmarkEnd w:id="352"/>
    <w:bookmarkStart w:id="353" w:name="art.-598"/>
    <w:p>
      <w:pPr>
        <w:pStyle w:val="Heading6"/>
        <w:pBdr>
          <w:left w:val="single" w:sz="36" w:space="4" w:color="2E75B6"/>
        </w:pBdr>
        <w:shd w:val="clear" w:color="auto" w:fill="E3EEF9"/>
        <w:spacing w:before="200" w:after="80"/>
        <w:ind w:left="85"/>
      </w:pPr>
      <w:r>
        <w:rPr>
          <w:i w:val="0"/>
          <w:color w:val="1F3A5F"/>
          <w:sz w:val="23"/>
        </w:rPr>
        <w:t xml:space="preserve">Art. 598</w:t>
      </w:r>
    </w:p>
    <w:p>
      <w:pPr>
        <w:pStyle w:val="FirstParagraph"/>
        <w:spacing w:after="80"/>
        <w:jc w:val="both"/>
      </w:pPr>
      <w:r>
        <w:rPr>
          <w:b/>
          <w:bCs/>
        </w:rPr>
        <w:t xml:space="preserve">Art. 598.</w:t>
      </w:r>
      <w:r>
        <w:t xml:space="preserve"> </w:t>
      </w:r>
      <w:r>
        <w:t xml:space="preserve">Aplica-se às divisões o disposto nos arts. 575 a 578.</w:t>
      </w:r>
    </w:p>
    <w:bookmarkEnd w:id="353"/>
    <w:bookmarkEnd w:id="354"/>
    <w:bookmarkEnd w:id="355"/>
    <w:bookmarkStart w:id="367" w:name="X44a7dc15da1b15dc037d42ed0d3ac24069ef50e"/>
    <w:p>
      <w:pPr>
        <w:pStyle w:val="Heading4"/>
        <w:spacing w:before="160" w:after="40"/>
      </w:pPr>
      <w:r>
        <w:rPr>
          <w:smallCaps/>
          <w:color w:val="2E75B6"/>
        </w:rPr>
        <w:t xml:space="preserve">Capítulo V: da ação de dissolução parcial de sociedade (arts. 599 a 609)</w:t>
      </w:r>
    </w:p>
    <w:bookmarkStart w:id="356" w:name="art.-599"/>
    <w:p>
      <w:pPr>
        <w:pStyle w:val="Heading6"/>
        <w:pBdr>
          <w:left w:val="single" w:sz="36" w:space="4" w:color="2E75B6"/>
        </w:pBdr>
        <w:shd w:val="clear" w:color="auto" w:fill="E3EEF9"/>
        <w:spacing w:before="200" w:after="80"/>
        <w:ind w:left="85"/>
      </w:pPr>
      <w:r>
        <w:rPr>
          <w:i w:val="0"/>
          <w:color w:val="1F3A5F"/>
          <w:sz w:val="23"/>
        </w:rPr>
        <w:t xml:space="preserve">Art. 599</w:t>
      </w:r>
    </w:p>
    <w:p>
      <w:pPr>
        <w:pStyle w:val="FirstParagraph"/>
        <w:keepNext/>
        <w:spacing w:after="80"/>
        <w:jc w:val="both"/>
      </w:pPr>
      <w:r>
        <w:rPr>
          <w:b/>
          <w:bCs/>
        </w:rPr>
        <w:t xml:space="preserve">Art. 599.</w:t>
      </w:r>
      <w:r>
        <w:t xml:space="preserve"> </w:t>
      </w:r>
      <w:r>
        <w:t xml:space="preserve">A ação de dissolução parcial de sociedade pode ter por objeto: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2754"/>
        <w:gridCol w:w="506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5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06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Caput — objeto da ação e dupla fase</w:t>
            </w:r>
          </w:p>
        </w:tc>
        <w:tc>
          <w:tcPr>
            <w:tcW w:type="dxa" w:w="2754"/>
          </w:tcPr>
          <w:p>
            <w:pPr>
              <w:pStyle w:val="Compact"/>
              <w:spacing w:line="276" w:lineRule="auto" w:before="40" w:after="40"/>
            </w:pPr>
            <w:r>
              <w:rPr>
                <w:rFonts w:ascii="Liberation Sans Narrow" w:hAnsi="Liberation Sans Narrow"/>
                <w:sz w:val="18"/>
              </w:rPr>
              <w:t xml:space="preserve">STJ, REsp 1.954.643, Terceira Turma, relatora Min. Nancy Andrighi, julgado em 15/02/2022, DJe de 18/02/2022</w:t>
            </w:r>
          </w:p>
        </w:tc>
        <w:tc>
          <w:tcPr>
            <w:tcW w:type="dxa" w:w="5069"/>
          </w:tcPr>
          <w:p>
            <w:pPr>
              <w:pStyle w:val="Compact"/>
              <w:spacing w:line="276" w:lineRule="auto" w:before="40" w:after="40"/>
            </w:pPr>
            <w:r>
              <w:rPr>
                <w:rFonts w:ascii="Liberation Sans Narrow" w:hAnsi="Liberation Sans Narrow"/>
                <w:sz w:val="18"/>
              </w:rPr>
              <w:t xml:space="preserve">Estando cumulados os pedidos de dissolução parcial e de apuração de haveres, a ação compreende duas fases: a primeira aprecia se é o caso de decretar a dissolução; a segunda apura os valores devidos ao sócio retirante ou excluído, pelo procedimento de liquidação dos arts. 604 a 609.</w:t>
            </w:r>
          </w:p>
        </w:tc>
      </w:tr>
    </w:tbl>
    <w:p>
      <w:pPr>
        <w:pStyle w:val="BodyText"/>
        <w:keepNext/>
        <w:spacing w:after="80"/>
        <w:jc w:val="both"/>
      </w:pPr>
      <w:r>
        <w:t xml:space="preserve">I - a resolução da sociedade empresária contratual ou simples em relação ao sócio falecido, excluído ou que exerceu o direito de retirada ou recesso; 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2393"/>
        <w:gridCol w:w="5306"/>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39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30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55"/>
          </w:tcPr>
          <w:p>
            <w:pPr>
              <w:pStyle w:val="Compact"/>
              <w:spacing w:line="276" w:lineRule="auto" w:before="40" w:after="40"/>
            </w:pPr>
            <w:r>
              <w:rPr>
                <w:rFonts w:ascii="Liberation Sans Narrow" w:hAnsi="Liberation Sans Narrow"/>
                <w:sz w:val="18"/>
              </w:rPr>
              <w:t xml:space="preserve">Inciso I — notificação prévia de retirada</w:t>
            </w:r>
          </w:p>
        </w:tc>
        <w:tc>
          <w:tcPr>
            <w:tcW w:type="dxa" w:w="2393"/>
          </w:tcPr>
          <w:p>
            <w:pPr>
              <w:pStyle w:val="Compact"/>
              <w:spacing w:line="276" w:lineRule="auto" w:before="40" w:after="40"/>
            </w:pPr>
            <w:r>
              <w:rPr>
                <w:rFonts w:ascii="Liberation Sans Narrow" w:hAnsi="Liberation Sans Narrow"/>
                <w:sz w:val="18"/>
              </w:rPr>
              <w:t xml:space="preserve">STJ, AREsp 2.227.489, Quarta Turma, relator Min. Raul Araújo, julgado em 11/05/2026</w:t>
            </w:r>
          </w:p>
        </w:tc>
        <w:tc>
          <w:tcPr>
            <w:tcW w:type="dxa" w:w="5306"/>
          </w:tcPr>
          <w:p>
            <w:pPr>
              <w:pStyle w:val="Compact"/>
              <w:spacing w:line="276" w:lineRule="auto" w:before="40" w:after="40"/>
            </w:pPr>
            <w:r>
              <w:rPr>
                <w:rFonts w:ascii="Liberation Sans Narrow" w:hAnsi="Liberation Sans Narrow"/>
                <w:sz w:val="18"/>
              </w:rPr>
              <w:t xml:space="preserve">A ação de dissolução parcial fundada na retirada imotivada de sócio exige o prévio e regular exercício do direito de retirada, mediante notificação aos demais sócios com antecedência mínima de sessenta dias (art. 1.029 do Código Civil), pressuposto de constituição e desenvolvimento válido do processo (arts. 599, I, e 600, IV).</w:t>
            </w:r>
          </w:p>
        </w:tc>
      </w:tr>
    </w:tbl>
    <w:p>
      <w:pPr>
        <w:pStyle w:val="BodyText"/>
        <w:spacing w:after="80"/>
        <w:jc w:val="both"/>
      </w:pPr>
      <w:r>
        <w:t xml:space="preserve">II - a apuração dos haveres do sócio falecido, excluído ou que exerceu o direito de retirada ou recesso; ou</w:t>
      </w:r>
    </w:p>
    <w:p>
      <w:pPr>
        <w:pStyle w:val="BodyText"/>
        <w:spacing w:after="80"/>
        <w:jc w:val="both"/>
      </w:pPr>
      <w:r>
        <w:t xml:space="preserve">III - somente a resolução ou a apuração de haveres.</w:t>
      </w:r>
    </w:p>
    <w:p>
      <w:pPr>
        <w:pStyle w:val="BodyText"/>
        <w:spacing w:after="80"/>
        <w:jc w:val="both"/>
      </w:pPr>
      <w:r>
        <w:t xml:space="preserve">§ 1º A petição inicial será necessariamente instruída com o contrato social consolidado.</w:t>
      </w:r>
    </w:p>
    <w:p>
      <w:pPr>
        <w:pStyle w:val="BodyText"/>
        <w:spacing w:after="80"/>
        <w:jc w:val="both"/>
      </w:pPr>
      <w:r>
        <w:t xml:space="preserve">§ 2º A ação de dissolução parcial de sociedade pode ter também por objeto a sociedade anônima de capital fechado quando demonstrado, por acionista ou acionistas que representem cinco por cento ou mais do capital social, que não pode preencher o seu fim.</w:t>
      </w:r>
    </w:p>
    <w:bookmarkEnd w:id="356"/>
    <w:bookmarkStart w:id="357" w:name="art.-600"/>
    <w:p>
      <w:pPr>
        <w:pStyle w:val="Heading6"/>
        <w:pBdr>
          <w:left w:val="single" w:sz="36" w:space="4" w:color="2E75B6"/>
        </w:pBdr>
        <w:shd w:val="clear" w:color="auto" w:fill="E3EEF9"/>
        <w:spacing w:before="200" w:after="80"/>
        <w:ind w:left="85"/>
      </w:pPr>
      <w:r>
        <w:rPr>
          <w:i w:val="0"/>
          <w:color w:val="1F3A5F"/>
          <w:sz w:val="23"/>
        </w:rPr>
        <w:t xml:space="preserve">Art. 600</w:t>
      </w:r>
    </w:p>
    <w:p>
      <w:pPr>
        <w:pStyle w:val="FirstParagraph"/>
        <w:spacing w:after="80"/>
        <w:jc w:val="both"/>
      </w:pPr>
      <w:r>
        <w:rPr>
          <w:b/>
          <w:bCs/>
        </w:rPr>
        <w:t xml:space="preserve">Art. 600.</w:t>
      </w:r>
      <w:r>
        <w:t xml:space="preserve"> </w:t>
      </w:r>
      <w:r>
        <w:t xml:space="preserve">A ação pode ser proposta:</w:t>
      </w:r>
    </w:p>
    <w:p>
      <w:pPr>
        <w:pStyle w:val="BodyText"/>
        <w:spacing w:after="80"/>
        <w:jc w:val="both"/>
      </w:pPr>
      <w:r>
        <w:t xml:space="preserve">I - pelo espólio do sócio falecido, quando a totalidade dos sucessores não ingressar na sociedade;</w:t>
      </w:r>
    </w:p>
    <w:p>
      <w:pPr>
        <w:pStyle w:val="BodyText"/>
        <w:spacing w:after="80"/>
        <w:jc w:val="both"/>
      </w:pPr>
      <w:r>
        <w:t xml:space="preserve">II - pelos sucessores, após concluída a partilha do sócio falecido;</w:t>
      </w:r>
    </w:p>
    <w:p>
      <w:pPr>
        <w:pStyle w:val="BodyText"/>
        <w:spacing w:after="80"/>
        <w:jc w:val="both"/>
      </w:pPr>
      <w:r>
        <w:t xml:space="preserve">III - pela sociedade, se os sócios sobreviventes não admitirem o ingresso do espólio ou dos sucessores do falecido na sociedade, quando esse direito decorrer do contrato social;</w:t>
      </w:r>
    </w:p>
    <w:p>
      <w:pPr>
        <w:pStyle w:val="BodyText"/>
        <w:spacing w:after="80"/>
        <w:jc w:val="both"/>
      </w:pPr>
      <w:r>
        <w:t xml:space="preserve">IV - pelo sócio que exerceu o direito de retirada ou recesso, se não tiver sido providenciada, pelos demais sócios, a alteração contratual consensual formalizando o desligamento, depois de transcorridos 10 (dez) dias do exercício do direito;</w:t>
      </w:r>
    </w:p>
    <w:p>
      <w:pPr>
        <w:pStyle w:val="BodyText"/>
        <w:keepNext/>
        <w:spacing w:after="80"/>
        <w:jc w:val="both"/>
      </w:pPr>
      <w:r>
        <w:t xml:space="preserve">V - pela sociedade, nos casos em que a lei não autoriza a exclusão extrajudicial; ou</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42"/>
        <w:gridCol w:w="2712"/>
        <w:gridCol w:w="4600"/>
      </w:tblGrid>
      <w:tr>
        <w:trPr>
          <w:tblHeader w:val="on"/>
          <w:cantSplit/>
          <w:tblHeader/>
        </w:trPr>
        <w:tc>
          <w:tcPr>
            <w:tcW w:type="dxa" w:w="2043"/>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1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60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43"/>
          </w:tcPr>
          <w:p>
            <w:pPr>
              <w:pStyle w:val="Compact"/>
              <w:spacing w:line="276" w:lineRule="auto" w:before="40" w:after="40"/>
            </w:pPr>
            <w:r>
              <w:rPr>
                <w:rFonts w:ascii="Liberation Sans Narrow" w:hAnsi="Liberation Sans Narrow"/>
                <w:sz w:val="18"/>
              </w:rPr>
              <w:t xml:space="preserve">Inciso V: legitimidade ativa da sociedade e exclusão de sócio por falta grave</w:t>
            </w:r>
          </w:p>
        </w:tc>
        <w:tc>
          <w:tcPr>
            <w:tcW w:type="dxa" w:w="2712"/>
          </w:tcPr>
          <w:p>
            <w:pPr>
              <w:pStyle w:val="Compact"/>
              <w:spacing w:line="276" w:lineRule="auto" w:before="40" w:after="40"/>
            </w:pPr>
            <w:r>
              <w:rPr>
                <w:rFonts w:ascii="Liberation Sans Narrow" w:hAnsi="Liberation Sans Narrow"/>
                <w:sz w:val="18"/>
              </w:rPr>
              <w:t xml:space="preserve">STJ, REsp 2.142.834, Terceira Turma, relator Min. Ricardo Villas Bôas Cueva, julgado em 11/06/2024, DJe de 18/06/2024</w:t>
            </w:r>
          </w:p>
        </w:tc>
        <w:tc>
          <w:tcPr>
            <w:tcW w:type="dxa" w:w="4600"/>
          </w:tcPr>
          <w:p>
            <w:pPr>
              <w:pStyle w:val="Compact"/>
              <w:spacing w:line="276" w:lineRule="auto" w:before="40" w:after="40"/>
            </w:pPr>
            <w:r>
              <w:rPr>
                <w:rFonts w:ascii="Liberation Sans Narrow" w:hAnsi="Liberation Sans Narrow"/>
                <w:sz w:val="18"/>
              </w:rPr>
              <w:t xml:space="preserve">O art. 600, V, reconhece a legitimidade da sociedade para propor a dissolução parcial, o que afasta litisconsórcio ativo necessário com o sócio que não integrou o polo ativo. A quebra da affectio societatis não basta para excluir sócio: exige-se falta grave, configurada, por exemplo, pela retirada de valores do caixa contra a deliberação dos sócios.</w:t>
            </w:r>
          </w:p>
        </w:tc>
      </w:tr>
    </w:tbl>
    <w:p>
      <w:pPr>
        <w:pStyle w:val="BodyText"/>
        <w:spacing w:after="80"/>
        <w:jc w:val="both"/>
      </w:pPr>
      <w:r>
        <w:t xml:space="preserve">VI - pelo sócio excluído.</w:t>
      </w:r>
    </w:p>
    <w:p>
      <w:pPr>
        <w:pStyle w:val="BodyText"/>
        <w:spacing w:after="80"/>
        <w:jc w:val="both"/>
      </w:pPr>
      <w:r>
        <w:t xml:space="preserve">Parágrafo único. O cônjuge ou companheiro do sócio cujo casamento, união estável ou convivência terminou poderá requerer a apuração de seus haveres na sociedade, que serão pagos à conta da quota social titulada por este sócio.</w:t>
      </w:r>
    </w:p>
    <w:bookmarkEnd w:id="357"/>
    <w:bookmarkStart w:id="358" w:name="art.-601"/>
    <w:p>
      <w:pPr>
        <w:pStyle w:val="Heading6"/>
        <w:pBdr>
          <w:left w:val="single" w:sz="36" w:space="4" w:color="2E75B6"/>
        </w:pBdr>
        <w:shd w:val="clear" w:color="auto" w:fill="E3EEF9"/>
        <w:spacing w:before="200" w:after="80"/>
        <w:ind w:left="85"/>
      </w:pPr>
      <w:r>
        <w:rPr>
          <w:i w:val="0"/>
          <w:color w:val="1F3A5F"/>
          <w:sz w:val="23"/>
        </w:rPr>
        <w:t xml:space="preserve">Art. 601</w:t>
      </w:r>
    </w:p>
    <w:p>
      <w:pPr>
        <w:pStyle w:val="FirstParagraph"/>
        <w:spacing w:after="80"/>
        <w:jc w:val="both"/>
      </w:pPr>
      <w:r>
        <w:rPr>
          <w:b/>
          <w:bCs/>
        </w:rPr>
        <w:t xml:space="preserve">Art. 601.</w:t>
      </w:r>
      <w:r>
        <w:t xml:space="preserve"> </w:t>
      </w:r>
      <w:r>
        <w:t xml:space="preserve">Os sócios e a sociedade serão citados para, no prazo de 15 (quinze) dias, concordar com o pedido ou apresentar contestação.</w:t>
      </w:r>
    </w:p>
    <w:p>
      <w:pPr>
        <w:pStyle w:val="BodyText"/>
        <w:spacing w:after="80"/>
        <w:jc w:val="both"/>
      </w:pPr>
      <w:r>
        <w:t xml:space="preserve">Parágrafo único. A sociedade não será citada se todos os seus sócios o forem, mas ficará sujeita aos efeitos da decisão e à coisa julgada.</w:t>
      </w:r>
    </w:p>
    <w:bookmarkEnd w:id="358"/>
    <w:bookmarkStart w:id="359" w:name="art.-602"/>
    <w:p>
      <w:pPr>
        <w:pStyle w:val="Heading6"/>
        <w:pBdr>
          <w:left w:val="single" w:sz="36" w:space="4" w:color="2E75B6"/>
        </w:pBdr>
        <w:shd w:val="clear" w:color="auto" w:fill="E3EEF9"/>
        <w:spacing w:before="200" w:after="80"/>
        <w:ind w:left="85"/>
      </w:pPr>
      <w:r>
        <w:rPr>
          <w:i w:val="0"/>
          <w:color w:val="1F3A5F"/>
          <w:sz w:val="23"/>
        </w:rPr>
        <w:t xml:space="preserve">Art. 602</w:t>
      </w:r>
    </w:p>
    <w:p>
      <w:pPr>
        <w:pStyle w:val="FirstParagraph"/>
        <w:spacing w:after="80"/>
        <w:jc w:val="both"/>
      </w:pPr>
      <w:r>
        <w:rPr>
          <w:b/>
          <w:bCs/>
        </w:rPr>
        <w:t xml:space="preserve">Art. 602.</w:t>
      </w:r>
      <w:r>
        <w:t xml:space="preserve"> </w:t>
      </w:r>
      <w:r>
        <w:t xml:space="preserve">A sociedade poderá formular pedido de indenização compensável com o valor dos haveres a apurar.</w:t>
      </w:r>
    </w:p>
    <w:bookmarkEnd w:id="359"/>
    <w:bookmarkStart w:id="360" w:name="art.-603"/>
    <w:p>
      <w:pPr>
        <w:pStyle w:val="Heading6"/>
        <w:pBdr>
          <w:left w:val="single" w:sz="36" w:space="4" w:color="2E75B6"/>
        </w:pBdr>
        <w:shd w:val="clear" w:color="auto" w:fill="E3EEF9"/>
        <w:spacing w:before="200" w:after="80"/>
        <w:ind w:left="85"/>
      </w:pPr>
      <w:r>
        <w:rPr>
          <w:i w:val="0"/>
          <w:color w:val="1F3A5F"/>
          <w:sz w:val="23"/>
        </w:rPr>
        <w:t xml:space="preserve">Art. 603</w:t>
      </w:r>
    </w:p>
    <w:p>
      <w:pPr>
        <w:pStyle w:val="FirstParagraph"/>
        <w:keepNext/>
        <w:spacing w:after="80"/>
        <w:jc w:val="both"/>
      </w:pPr>
      <w:r>
        <w:rPr>
          <w:b/>
          <w:bCs/>
        </w:rPr>
        <w:t xml:space="preserve">Art. 603.</w:t>
      </w:r>
      <w:r>
        <w:t xml:space="preserve"> </w:t>
      </w:r>
      <w:r>
        <w:t xml:space="preserve">Havendo manifestação expressa e unânime pela concordância da dissolução, o juiz a decretará, passando-se imediatamente à fase de liquidação.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76"/>
        <w:gridCol w:w="2728"/>
        <w:gridCol w:w="4950"/>
      </w:tblGrid>
      <w:tr>
        <w:trPr>
          <w:tblHeader w:val="on"/>
          <w:cantSplit/>
          <w:tblHeader/>
        </w:trPr>
        <w:tc>
          <w:tcPr>
            <w:tcW w:type="dxa" w:w="1676"/>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2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95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76"/>
          </w:tcPr>
          <w:p>
            <w:pPr>
              <w:pStyle w:val="Compact"/>
              <w:spacing w:line="276" w:lineRule="auto" w:before="40" w:after="40"/>
            </w:pPr>
            <w:r>
              <w:rPr>
                <w:rFonts w:ascii="Liberation Sans Narrow" w:hAnsi="Liberation Sans Narrow"/>
                <w:sz w:val="18"/>
              </w:rPr>
              <w:t xml:space="preserve">Caput — natureza da decisão que homologa a transação</w:t>
            </w:r>
          </w:p>
        </w:tc>
        <w:tc>
          <w:tcPr>
            <w:tcW w:type="dxa" w:w="2729"/>
          </w:tcPr>
          <w:p>
            <w:pPr>
              <w:pStyle w:val="Compact"/>
              <w:spacing w:line="276" w:lineRule="auto" w:before="40" w:after="40"/>
            </w:pPr>
            <w:r>
              <w:rPr>
                <w:rFonts w:ascii="Liberation Sans Narrow" w:hAnsi="Liberation Sans Narrow"/>
                <w:sz w:val="18"/>
              </w:rPr>
              <w:t xml:space="preserve">STJ, REsp 1.954.643, Terceira Turma, relatora Min. Nancy Andrighi, julgado em 15/02/2022, DJe de 18/02/2022</w:t>
            </w:r>
          </w:p>
        </w:tc>
        <w:tc>
          <w:tcPr>
            <w:tcW w:type="dxa" w:w="4950"/>
          </w:tcPr>
          <w:p>
            <w:pPr>
              <w:pStyle w:val="Compact"/>
              <w:spacing w:line="276" w:lineRule="auto" w:before="40" w:after="40"/>
            </w:pPr>
            <w:r>
              <w:rPr>
                <w:rFonts w:ascii="Liberation Sans Narrow" w:hAnsi="Liberation Sans Narrow"/>
                <w:sz w:val="18"/>
              </w:rPr>
              <w:t xml:space="preserve">A decisão que decreta a resolução do vínculo societário em relação a um sócio encerra a primeira fase e tem natureza de sentença; a que homologa transação (art. 487, III,</w:t>
            </w:r>
            <w:r>
              <w:rPr>
                <w:rFonts w:ascii="Liberation Sans Narrow" w:hAnsi="Liberation Sans Narrow"/>
                <w:sz w:val="18"/>
              </w:rPr>
              <w:t xml:space="preserve"> </w:t>
            </w:r>
            <w:r>
              <w:rPr>
                <w:rFonts w:ascii="Liberation Sans Narrow" w:hAnsi="Liberation Sans Narrow"/>
                <w:sz w:val="18"/>
              </w:rPr>
              <w:t xml:space="preserve">“b”</w:t>
            </w:r>
            <w:r>
              <w:rPr>
                <w:rFonts w:ascii="Liberation Sans Narrow" w:hAnsi="Liberation Sans Narrow"/>
                <w:sz w:val="18"/>
              </w:rPr>
              <w:t xml:space="preserve">) e põe fim à fase cognitiva com resolução de mérito também é sentença e desafia apelação, sendo erro grosseiro interpor agravo de instrumento, sem fungibilidade.</w:t>
            </w:r>
          </w:p>
        </w:tc>
      </w:tr>
    </w:tbl>
    <w:p>
      <w:pPr>
        <w:pStyle w:val="BodyText"/>
        <w:spacing w:after="80"/>
        <w:jc w:val="both"/>
      </w:pPr>
      <w:r>
        <w:t xml:space="preserve">§ 1º Na hipótese prevista no caput , não haverá condenação em honorários advocatícios de nenhuma das partes, e as custas serão rateadas segundo a participação das partes no capital social.</w:t>
      </w:r>
    </w:p>
    <w:p>
      <w:pPr>
        <w:pStyle w:val="BodyText"/>
        <w:spacing w:after="80"/>
        <w:jc w:val="both"/>
      </w:pPr>
      <w:r>
        <w:t xml:space="preserve">§ 2º Havendo contestação, observar-se-á o procedimento comum, mas a liquidação da sentença seguirá o disposto neste Capítulo.</w:t>
      </w:r>
    </w:p>
    <w:bookmarkEnd w:id="360"/>
    <w:bookmarkStart w:id="361" w:name="art.-604"/>
    <w:p>
      <w:pPr>
        <w:pStyle w:val="Heading6"/>
        <w:pBdr>
          <w:left w:val="single" w:sz="36" w:space="4" w:color="2E75B6"/>
        </w:pBdr>
        <w:shd w:val="clear" w:color="auto" w:fill="E3EEF9"/>
        <w:spacing w:before="200" w:after="80"/>
        <w:ind w:left="85"/>
      </w:pPr>
      <w:r>
        <w:rPr>
          <w:i w:val="0"/>
          <w:color w:val="1F3A5F"/>
          <w:sz w:val="23"/>
        </w:rPr>
        <w:t xml:space="preserve">Art. 604</w:t>
      </w:r>
    </w:p>
    <w:p>
      <w:pPr>
        <w:pStyle w:val="FirstParagraph"/>
        <w:spacing w:after="80"/>
        <w:jc w:val="both"/>
      </w:pPr>
      <w:r>
        <w:rPr>
          <w:b/>
          <w:bCs/>
        </w:rPr>
        <w:t xml:space="preserve">Art. 604.</w:t>
      </w:r>
      <w:r>
        <w:t xml:space="preserve"> </w:t>
      </w:r>
      <w:r>
        <w:t xml:space="preserve">Para apuração dos haveres, o juiz:</w:t>
      </w:r>
    </w:p>
    <w:p>
      <w:pPr>
        <w:pStyle w:val="BodyText"/>
        <w:spacing w:after="80"/>
        <w:jc w:val="both"/>
      </w:pPr>
      <w:r>
        <w:t xml:space="preserve">I - fixará a data da resolução da sociedade;</w:t>
      </w:r>
    </w:p>
    <w:p>
      <w:pPr>
        <w:pStyle w:val="BodyText"/>
        <w:spacing w:after="80"/>
        <w:jc w:val="both"/>
      </w:pPr>
      <w:r>
        <w:t xml:space="preserve">II - definirá o critério de apuração dos haveres à vista do disposto no contrato social; e</w:t>
      </w:r>
    </w:p>
    <w:p>
      <w:pPr>
        <w:pStyle w:val="BodyText"/>
        <w:keepNext/>
        <w:spacing w:after="80"/>
        <w:jc w:val="both"/>
      </w:pPr>
      <w:r>
        <w:t xml:space="preserve">III - nomeará o perito.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72"/>
        <w:gridCol w:w="2887"/>
        <w:gridCol w:w="4896"/>
      </w:tblGrid>
      <w:tr>
        <w:trPr>
          <w:tblHeader w:val="on"/>
          <w:cantSplit/>
          <w:tblHeader/>
        </w:trPr>
        <w:tc>
          <w:tcPr>
            <w:tcW w:type="dxa" w:w="157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8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9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72"/>
          </w:tcPr>
          <w:p>
            <w:pPr>
              <w:pStyle w:val="Compact"/>
              <w:spacing w:line="276" w:lineRule="auto" w:before="40" w:after="40"/>
            </w:pPr>
            <w:r>
              <w:rPr>
                <w:rFonts w:ascii="Liberation Sans Narrow" w:hAnsi="Liberation Sans Narrow"/>
                <w:sz w:val="18"/>
              </w:rPr>
              <w:t xml:space="preserve">III — nomeação do perito; dispensa do liquidante</w:t>
            </w:r>
          </w:p>
        </w:tc>
        <w:tc>
          <w:tcPr>
            <w:tcW w:type="dxa" w:w="2887"/>
          </w:tcPr>
          <w:p>
            <w:pPr>
              <w:pStyle w:val="Compact"/>
              <w:spacing w:line="276" w:lineRule="auto" w:before="40" w:after="40"/>
            </w:pPr>
            <w:r>
              <w:rPr>
                <w:rFonts w:ascii="Liberation Sans Narrow" w:hAnsi="Liberation Sans Narrow"/>
                <w:sz w:val="18"/>
              </w:rPr>
              <w:t xml:space="preserve">STJ, REsp 1.557.989, Terceira Turma, relator Min. Ricardo Villas Bôas Cueva, julgado em 17/03/2016, DJe de 31/03/2016</w:t>
            </w:r>
          </w:p>
        </w:tc>
        <w:tc>
          <w:tcPr>
            <w:tcW w:type="dxa" w:w="4896"/>
          </w:tcPr>
          <w:p>
            <w:pPr>
              <w:pStyle w:val="Compact"/>
              <w:spacing w:line="276" w:lineRule="auto" w:before="40" w:after="40"/>
            </w:pPr>
            <w:r>
              <w:rPr>
                <w:rFonts w:ascii="Liberation Sans Narrow" w:hAnsi="Liberation Sans Narrow"/>
                <w:sz w:val="18"/>
              </w:rPr>
              <w:t xml:space="preserve">A nomeação de liquidante só se faz necessária na dissolução total da sociedade, pois suas atribuições ligam-se à gestão do patrimônio social. Na dissolução parcial, em que se apuram apenas os haveres do sócio falecido ou retirante com preservação da atividade, é adequada a nomeação de perito técnico habilitado à perícia contábil do valor da quota-parte.</w:t>
            </w:r>
          </w:p>
        </w:tc>
      </w:tr>
    </w:tbl>
    <w:p>
      <w:pPr>
        <w:pStyle w:val="BodyText"/>
        <w:keepNext/>
        <w:spacing w:after="80"/>
        <w:jc w:val="both"/>
      </w:pPr>
      <w:r>
        <w:t xml:space="preserve">§ 1º O juiz determinará à sociedade ou aos sócios que nela permanecerem que depositem em juízo a parte incontroversa dos haveres devidos.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80"/>
        <w:gridCol w:w="2471"/>
        <w:gridCol w:w="5103"/>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47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10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780"/>
          </w:tcPr>
          <w:p>
            <w:pPr>
              <w:pStyle w:val="Compact"/>
              <w:spacing w:line="276" w:lineRule="auto" w:before="40" w:after="40"/>
            </w:pPr>
            <w:r>
              <w:rPr>
                <w:rFonts w:ascii="Liberation Sans Narrow" w:hAnsi="Liberation Sans Narrow"/>
                <w:sz w:val="18"/>
              </w:rPr>
              <w:t xml:space="preserve">§ 1º — depósito dos haveres e legitimidade passiva</w:t>
            </w:r>
          </w:p>
        </w:tc>
        <w:tc>
          <w:tcPr>
            <w:tcW w:type="dxa" w:w="2471"/>
          </w:tcPr>
          <w:p>
            <w:pPr>
              <w:pStyle w:val="Compact"/>
              <w:spacing w:line="276" w:lineRule="auto" w:before="40" w:after="40"/>
            </w:pPr>
            <w:r>
              <w:rPr>
                <w:rFonts w:ascii="Liberation Sans Narrow" w:hAnsi="Liberation Sans Narrow"/>
                <w:sz w:val="18"/>
              </w:rPr>
              <w:t xml:space="preserve">STJ, AgInt no REsp 2.125.898, Terceira Turma, relator Min. Moura Ribeiro, DJe de 16/10/2025</w:t>
            </w:r>
          </w:p>
        </w:tc>
        <w:tc>
          <w:tcPr>
            <w:tcW w:type="dxa" w:w="5103"/>
          </w:tcPr>
          <w:p>
            <w:pPr>
              <w:pStyle w:val="Compact"/>
              <w:spacing w:line="276" w:lineRule="auto" w:before="40" w:after="40"/>
            </w:pPr>
            <w:r>
              <w:rPr>
                <w:rFonts w:ascii="Liberation Sans Narrow" w:hAnsi="Liberation Sans Narrow"/>
                <w:sz w:val="18"/>
              </w:rPr>
              <w:t xml:space="preserve">Na dissolução parcial, a legitimidade passiva é da sociedade e dos sócios remanescentes, em litisconsórcio passivo necessário, com responsabilidade solidária pelo pagamento dos haveres; o art. 604, § 1º, ao facultar o depósito tanto à sociedade quanto aos sócios, reforça essa legitimidade, e o título formado sem impugnação não pode ser rediscutido no cumprimento de sentença (preclusão e coisa julgada).</w:t>
            </w:r>
          </w:p>
        </w:tc>
      </w:tr>
    </w:tbl>
    <w:p>
      <w:pPr>
        <w:pStyle w:val="BodyText"/>
        <w:spacing w:after="80"/>
        <w:jc w:val="both"/>
      </w:pPr>
      <w:r>
        <w:t xml:space="preserve">§ 2º O depósito poderá ser, desde logo, levantando pelo ex-sócio, pelo espólio ou pelos sucessores.</w:t>
      </w:r>
    </w:p>
    <w:p>
      <w:pPr>
        <w:pStyle w:val="BodyText"/>
        <w:spacing w:after="80"/>
        <w:jc w:val="both"/>
      </w:pPr>
      <w:r>
        <w:t xml:space="preserve">§ 3º Se o contrato social estabelecer o pagamento dos haveres, será observado o que nele se dispôs no depósito judicial da parte incontroversa.</w:t>
      </w:r>
    </w:p>
    <w:bookmarkEnd w:id="361"/>
    <w:bookmarkStart w:id="362" w:name="art.-605"/>
    <w:p>
      <w:pPr>
        <w:pStyle w:val="Heading6"/>
        <w:pBdr>
          <w:left w:val="single" w:sz="36" w:space="4" w:color="2E75B6"/>
        </w:pBdr>
        <w:shd w:val="clear" w:color="auto" w:fill="E3EEF9"/>
        <w:spacing w:before="200" w:after="80"/>
        <w:ind w:left="85"/>
      </w:pPr>
      <w:r>
        <w:rPr>
          <w:i w:val="0"/>
          <w:color w:val="1F3A5F"/>
          <w:sz w:val="23"/>
        </w:rPr>
        <w:t xml:space="preserve">Art. 605</w:t>
      </w:r>
    </w:p>
    <w:p>
      <w:pPr>
        <w:pStyle w:val="FirstParagraph"/>
        <w:keepNext/>
        <w:spacing w:after="80"/>
        <w:jc w:val="both"/>
      </w:pPr>
      <w:r>
        <w:rPr>
          <w:b/>
          <w:bCs/>
        </w:rPr>
        <w:t xml:space="preserve">Art. 605.</w:t>
      </w:r>
      <w:r>
        <w:t xml:space="preserve"> </w:t>
      </w:r>
      <w:r>
        <w:t xml:space="preserve">A data da resolução da sociedade será:</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26"/>
        <w:gridCol w:w="3139"/>
        <w:gridCol w:w="4089"/>
      </w:tblGrid>
      <w:tr>
        <w:trPr>
          <w:tblHeader w:val="on"/>
          <w:cantSplit/>
          <w:tblHeader/>
        </w:trPr>
        <w:tc>
          <w:tcPr>
            <w:tcW w:type="dxa" w:w="2126"/>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13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08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26"/>
          </w:tcPr>
          <w:p>
            <w:pPr>
              <w:pStyle w:val="Compact"/>
              <w:spacing w:line="276" w:lineRule="auto" w:before="40" w:after="40"/>
            </w:pPr>
            <w:r>
              <w:rPr>
                <w:rFonts w:ascii="Liberation Sans Narrow" w:hAnsi="Liberation Sans Narrow"/>
                <w:sz w:val="18"/>
              </w:rPr>
              <w:t xml:space="preserve">Morte do sócio: data da resolução da sociedade</w:t>
            </w:r>
          </w:p>
        </w:tc>
        <w:tc>
          <w:tcPr>
            <w:tcW w:type="dxa" w:w="3139"/>
          </w:tcPr>
          <w:p>
            <w:pPr>
              <w:pStyle w:val="Compact"/>
              <w:spacing w:line="276" w:lineRule="auto" w:before="40" w:after="40"/>
            </w:pPr>
            <w:r>
              <w:rPr>
                <w:rFonts w:ascii="Liberation Sans Narrow" w:hAnsi="Liberation Sans Narrow"/>
                <w:sz w:val="18"/>
              </w:rPr>
              <w:t xml:space="preserve">STJ, AREsp 2.882.565, Terceira Turma, relator Min. Ricardo Villas Bôas Cueva, julgado em 01/09/2025, DJEN de 05/09/2025</w:t>
            </w:r>
          </w:p>
        </w:tc>
        <w:tc>
          <w:tcPr>
            <w:tcW w:type="dxa" w:w="4089"/>
          </w:tcPr>
          <w:p>
            <w:pPr>
              <w:pStyle w:val="Compact"/>
              <w:spacing w:line="276" w:lineRule="auto" w:before="40" w:after="40"/>
            </w:pPr>
            <w:r>
              <w:rPr>
                <w:rFonts w:ascii="Liberation Sans Narrow" w:hAnsi="Liberation Sans Narrow"/>
                <w:sz w:val="18"/>
              </w:rPr>
              <w:t xml:space="preserve">Na dissolução parcial por morte do sócio, a data da resolução é a do óbito, salvo critério diverso no contrato social; a partir dela não há distribuição de lucros aos sucessores, só apuração de haveres, com juros e correção se o pagamento atrasar.</w:t>
            </w:r>
          </w:p>
        </w:tc>
      </w:tr>
      <w:tr>
        <w:trPr>
          <w:cantSplit/>
        </w:trPr>
        <w:tc>
          <w:tcPr>
            <w:tcW w:type="dxa" w:w="2126"/>
          </w:tcPr>
          <w:p>
            <w:pPr>
              <w:pStyle w:val="Compact"/>
              <w:spacing w:line="276" w:lineRule="auto" w:before="40" w:after="40"/>
            </w:pPr>
            <w:r>
              <w:rPr>
                <w:rFonts w:ascii="Liberation Sans Narrow" w:hAnsi="Liberation Sans Narrow"/>
                <w:sz w:val="18"/>
              </w:rPr>
              <w:t xml:space="preserve">Retirada do sócio: data de corte, lucros até o desligamento e juros</w:t>
            </w:r>
          </w:p>
        </w:tc>
        <w:tc>
          <w:tcPr>
            <w:tcW w:type="dxa" w:w="3139"/>
          </w:tcPr>
          <w:p>
            <w:pPr>
              <w:pStyle w:val="Compact"/>
              <w:spacing w:line="276" w:lineRule="auto" w:before="40" w:after="40"/>
            </w:pPr>
            <w:r>
              <w:rPr>
                <w:rFonts w:ascii="Liberation Sans Narrow" w:hAnsi="Liberation Sans Narrow"/>
                <w:sz w:val="18"/>
              </w:rPr>
              <w:t xml:space="preserve">STJ, REsp 1.372.139, Quarta Turma, relatora Min. Maria Isabel Gallotti, julgado em 28/02/2023, DJe de 14/03/2023</w:t>
            </w:r>
          </w:p>
        </w:tc>
        <w:tc>
          <w:tcPr>
            <w:tcW w:type="dxa" w:w="4089"/>
          </w:tcPr>
          <w:p>
            <w:pPr>
              <w:pStyle w:val="Compact"/>
              <w:spacing w:line="276" w:lineRule="auto" w:before="40" w:after="40"/>
            </w:pPr>
            <w:r>
              <w:rPr>
                <w:rFonts w:ascii="Liberation Sans Narrow" w:hAnsi="Liberation Sans Narrow"/>
                <w:sz w:val="18"/>
              </w:rPr>
              <w:t xml:space="preserve">A sentença apenas declara a dissolução parcial, de modo que a data de efetiva saída do sócio é o corte da apuração de haveres; até ela, integram os valores devidos todos os lucros ou juros sobre o capital próprio declarados e a remuneração pela administração; depois dela, só correção monetária e juros. Os juros legais correm da citação.</w:t>
            </w:r>
          </w:p>
        </w:tc>
      </w:tr>
      <w:tr>
        <w:trPr>
          <w:cantSplit/>
        </w:trPr>
        <w:tc>
          <w:tcPr>
            <w:tcW w:type="dxa" w:w="2126"/>
          </w:tcPr>
          <w:p>
            <w:pPr>
              <w:pStyle w:val="Compact"/>
              <w:spacing w:line="276" w:lineRule="auto" w:before="40" w:after="40"/>
            </w:pPr>
            <w:r>
              <w:rPr>
                <w:rFonts w:ascii="Liberation Sans Narrow" w:hAnsi="Liberation Sans Narrow"/>
                <w:sz w:val="18"/>
              </w:rPr>
              <w:t xml:space="preserve">Retirada em sociedade por prazo indeterminado: notificação prévia e data-base dos haveres</w:t>
            </w:r>
          </w:p>
        </w:tc>
        <w:tc>
          <w:tcPr>
            <w:tcW w:type="dxa" w:w="3139"/>
          </w:tcPr>
          <w:p>
            <w:pPr>
              <w:pStyle w:val="Compact"/>
              <w:spacing w:line="276" w:lineRule="auto" w:before="40" w:after="40"/>
            </w:pPr>
            <w:r>
              <w:rPr>
                <w:rFonts w:ascii="Liberation Sans Narrow" w:hAnsi="Liberation Sans Narrow"/>
                <w:sz w:val="18"/>
              </w:rPr>
              <w:t xml:space="preserve">STJ, REsp 1.735.360, Terceira Turma, relatora Min. Nancy Andrighi, julgado em 12/03/2019, DJe de 15/03/2019</w:t>
            </w:r>
          </w:p>
        </w:tc>
        <w:tc>
          <w:tcPr>
            <w:tcW w:type="dxa" w:w="4089"/>
          </w:tcPr>
          <w:p>
            <w:pPr>
              <w:pStyle w:val="Compact"/>
              <w:spacing w:line="276" w:lineRule="auto" w:before="40" w:after="40"/>
            </w:pPr>
            <w:r>
              <w:rPr>
                <w:rFonts w:ascii="Liberation Sans Narrow" w:hAnsi="Liberation Sans Narrow"/>
                <w:sz w:val="18"/>
              </w:rPr>
              <w:t xml:space="preserve">Na sociedade limitada por prazo indeterminado, o recesso se exerce por notificação prévia, respeitado o prazo mínimo de sessenta dias; o contrato se resolve em relação ao sócio ao fim desse prazo, que é a data-base para a apuração dos haveres.</w:t>
            </w:r>
          </w:p>
        </w:tc>
      </w:tr>
    </w:tbl>
    <w:p>
      <w:pPr>
        <w:pStyle w:val="BodyText"/>
        <w:spacing w:after="80"/>
        <w:jc w:val="both"/>
      </w:pPr>
      <w:r>
        <w:t xml:space="preserve">I - no caso de falecimento do sócio, a do óbito;</w:t>
      </w:r>
    </w:p>
    <w:p>
      <w:pPr>
        <w:pStyle w:val="BodyText"/>
        <w:spacing w:after="80"/>
        <w:jc w:val="both"/>
      </w:pPr>
      <w:r>
        <w:t xml:space="preserve">II - na retirada imotivada, o sexagésimo dia seguinte ao do recebimento, pela sociedade, da notificação do sócio retirante;</w:t>
      </w:r>
    </w:p>
    <w:p>
      <w:pPr>
        <w:pStyle w:val="BodyText"/>
        <w:spacing w:after="80"/>
        <w:jc w:val="both"/>
      </w:pPr>
      <w:r>
        <w:t xml:space="preserve">III - no recesso, o dia do recebimento, pela sociedade, da notificação do sócio dissidente;</w:t>
      </w:r>
    </w:p>
    <w:p>
      <w:pPr>
        <w:pStyle w:val="BodyText"/>
        <w:spacing w:after="80"/>
        <w:jc w:val="both"/>
      </w:pPr>
      <w:r>
        <w:t xml:space="preserve">IV - na retirada por justa causa de sociedade por prazo determinado e na exclusão judicial de sócio, a do trânsito em julgado da decisão que dissolver a sociedade; e</w:t>
      </w:r>
    </w:p>
    <w:p>
      <w:pPr>
        <w:pStyle w:val="BodyText"/>
        <w:spacing w:after="80"/>
        <w:jc w:val="both"/>
      </w:pPr>
      <w:r>
        <w:t xml:space="preserve">V - na exclusão extrajudicial, a data da assembleia ou da reunião de sócios que a tiver deliberado.</w:t>
      </w:r>
    </w:p>
    <w:bookmarkEnd w:id="362"/>
    <w:bookmarkStart w:id="363" w:name="art.-606"/>
    <w:p>
      <w:pPr>
        <w:pStyle w:val="Heading6"/>
        <w:pBdr>
          <w:left w:val="single" w:sz="36" w:space="4" w:color="2E75B6"/>
        </w:pBdr>
        <w:shd w:val="clear" w:color="auto" w:fill="E3EEF9"/>
        <w:spacing w:before="200" w:after="80"/>
        <w:ind w:left="85"/>
      </w:pPr>
      <w:r>
        <w:rPr>
          <w:i w:val="0"/>
          <w:color w:val="1F3A5F"/>
          <w:sz w:val="23"/>
        </w:rPr>
        <w:t xml:space="preserve">Art. 606</w:t>
      </w:r>
    </w:p>
    <w:p>
      <w:pPr>
        <w:pStyle w:val="FirstParagraph"/>
        <w:keepNext/>
        <w:spacing w:after="80"/>
        <w:jc w:val="both"/>
      </w:pPr>
      <w:r>
        <w:rPr>
          <w:b/>
          <w:bCs/>
        </w:rPr>
        <w:t xml:space="preserve">Art. 606.</w:t>
      </w:r>
      <w:r>
        <w:t xml:space="preserve"> </w:t>
      </w:r>
      <w:r>
        <w:t xml:space="preserve">Em caso de omissão do contrato social, o juiz definirá, como critério de apuração de haveres, o valor patrimonial apurado em balanço de determinação, tomando-se por referência a data da resolução e avaliando-se bens e direitos do ativo, tangíveis e intangíveis, a preço de saída, além do passivo também a ser apurado de igual forma.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62"/>
        <w:gridCol w:w="2914"/>
        <w:gridCol w:w="4178"/>
      </w:tblGrid>
      <w:tr>
        <w:trPr>
          <w:tblHeader w:val="on"/>
          <w:cantSplit/>
          <w:tblHeader/>
        </w:trPr>
        <w:tc>
          <w:tcPr>
            <w:tcW w:type="dxa" w:w="226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91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178"/>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62"/>
          </w:tcPr>
          <w:p>
            <w:pPr>
              <w:pStyle w:val="Compact"/>
              <w:spacing w:line="276" w:lineRule="auto" w:before="40" w:after="40"/>
            </w:pPr>
            <w:r>
              <w:rPr>
                <w:rFonts w:ascii="Liberation Sans Narrow" w:hAnsi="Liberation Sans Narrow"/>
                <w:sz w:val="18"/>
              </w:rPr>
              <w:t xml:space="preserve">Apuração de haveres e balanço não aprovado pelo sócio</w:t>
            </w:r>
          </w:p>
        </w:tc>
        <w:tc>
          <w:tcPr>
            <w:tcW w:type="dxa" w:w="2914"/>
          </w:tcPr>
          <w:p>
            <w:pPr>
              <w:pStyle w:val="Compact"/>
              <w:spacing w:line="276" w:lineRule="auto" w:before="40" w:after="40"/>
            </w:pPr>
            <w:r>
              <w:rPr>
                <w:rFonts w:ascii="Liberation Sans Narrow" w:hAnsi="Liberation Sans Narrow"/>
                <w:sz w:val="18"/>
              </w:rPr>
              <w:t xml:space="preserve">STF, Súmula 265/STF (aprovada; data de aprovação não informada pelo acervo)</w:t>
            </w:r>
          </w:p>
        </w:tc>
        <w:tc>
          <w:tcPr>
            <w:tcW w:type="dxa" w:w="4178"/>
          </w:tcPr>
          <w:p>
            <w:pPr>
              <w:pStyle w:val="Compact"/>
              <w:spacing w:line="276" w:lineRule="auto" w:before="40" w:after="40"/>
            </w:pPr>
            <w:r>
              <w:rPr>
                <w:rFonts w:ascii="Liberation Sans Narrow" w:hAnsi="Liberation Sans Narrow"/>
                <w:sz w:val="18"/>
              </w:rPr>
              <w:t xml:space="preserve">Na apuração de haveres não prevalece o balanço não aprovado pelo sócio falecido, excluído ou que se retirou.</w:t>
            </w:r>
          </w:p>
        </w:tc>
      </w:tr>
      <w:tr>
        <w:trPr>
          <w:cantSplit/>
        </w:trPr>
        <w:tc>
          <w:tcPr>
            <w:tcW w:type="dxa" w:w="2262"/>
          </w:tcPr>
          <w:p>
            <w:pPr>
              <w:pStyle w:val="Compact"/>
              <w:spacing w:line="276" w:lineRule="auto" w:before="40" w:after="40"/>
            </w:pPr>
            <w:r>
              <w:rPr>
                <w:rFonts w:ascii="Liberation Sans Narrow" w:hAnsi="Liberation Sans Narrow"/>
                <w:sz w:val="18"/>
              </w:rPr>
              <w:t xml:space="preserve">Sociedade prestadora de serviços artísticos: natureza empresária e apuração de haveres</w:t>
            </w:r>
          </w:p>
        </w:tc>
        <w:tc>
          <w:tcPr>
            <w:tcW w:type="dxa" w:w="2914"/>
          </w:tcPr>
          <w:p>
            <w:pPr>
              <w:pStyle w:val="Compact"/>
              <w:spacing w:line="276" w:lineRule="auto" w:before="40" w:after="40"/>
            </w:pPr>
            <w:r>
              <w:rPr>
                <w:rFonts w:ascii="Liberation Sans Narrow" w:hAnsi="Liberation Sans Narrow"/>
                <w:sz w:val="18"/>
              </w:rPr>
              <w:t xml:space="preserve">STJ, REsp 1.892.139, Terceira Turma, relator Min. Ricardo Villas Bôas Cueva, julgado em 08/10/2024, DJe de 11/10/2024</w:t>
            </w:r>
          </w:p>
        </w:tc>
        <w:tc>
          <w:tcPr>
            <w:tcW w:type="dxa" w:w="4178"/>
          </w:tcPr>
          <w:p>
            <w:pPr>
              <w:pStyle w:val="Compact"/>
              <w:spacing w:line="276" w:lineRule="auto" w:before="40" w:after="40"/>
            </w:pPr>
            <w:r>
              <w:rPr>
                <w:rFonts w:ascii="Liberation Sans Narrow" w:hAnsi="Liberation Sans Narrow"/>
                <w:sz w:val="18"/>
              </w:rPr>
              <w:t xml:space="preserve">A distinção entre sociedade empresária e simples depende do objeto social explorado com empresarialidade; a atividade criativa, quando elemento de empresa, qualifica a sociedade como empresária. Na omissão do contrato, a quota do sócio retirante se mede pelo valor patrimonial em balanço de determinação (art. 606), com exclusão das expectativas futuras.</w:t>
            </w:r>
          </w:p>
        </w:tc>
      </w:tr>
      <w:tr>
        <w:trPr>
          <w:cantSplit/>
        </w:trPr>
        <w:tc>
          <w:tcPr>
            <w:tcW w:type="dxa" w:w="2262"/>
          </w:tcPr>
          <w:p>
            <w:pPr>
              <w:pStyle w:val="Compact"/>
              <w:spacing w:line="276" w:lineRule="auto" w:before="40" w:after="40"/>
            </w:pPr>
            <w:r>
              <w:rPr>
                <w:rFonts w:ascii="Liberation Sans Narrow" w:hAnsi="Liberation Sans Narrow"/>
                <w:sz w:val="18"/>
              </w:rPr>
              <w:t xml:space="preserve">Omissão do contrato social: critério patrimonial e balanço de determinação</w:t>
            </w:r>
          </w:p>
        </w:tc>
        <w:tc>
          <w:tcPr>
            <w:tcW w:type="dxa" w:w="2914"/>
          </w:tcPr>
          <w:p>
            <w:pPr>
              <w:pStyle w:val="Compact"/>
              <w:spacing w:line="276" w:lineRule="auto" w:before="40" w:after="40"/>
            </w:pPr>
            <w:r>
              <w:rPr>
                <w:rFonts w:ascii="Liberation Sans Narrow" w:hAnsi="Liberation Sans Narrow"/>
                <w:sz w:val="18"/>
              </w:rPr>
              <w:t xml:space="preserve">STJ, REsp 1.877.331, Terceira Turma, relatora Min. Nancy Andrighi, julgado em 13/04/2021, DJe de 14/05/2021</w:t>
            </w:r>
          </w:p>
        </w:tc>
        <w:tc>
          <w:tcPr>
            <w:tcW w:type="dxa" w:w="4178"/>
          </w:tcPr>
          <w:p>
            <w:pPr>
              <w:pStyle w:val="Compact"/>
              <w:spacing w:line="276" w:lineRule="auto" w:before="40" w:after="40"/>
            </w:pPr>
            <w:r>
              <w:rPr>
                <w:rFonts w:ascii="Liberation Sans Narrow" w:hAnsi="Liberation Sans Narrow"/>
                <w:sz w:val="18"/>
              </w:rPr>
              <w:t xml:space="preserve">Na omissão do contrato social, a apuração de haveres se faz pelo valor patrimonial, mediante balanço de determinação (art. 606, com o art. 1.031 do Código Civil); o legislador, ao eleger essa forma, excluiu a aplicação conjunta do fluxo de caixa descontado, que traduz expectativas futuras.</w:t>
            </w:r>
          </w:p>
        </w:tc>
      </w:tr>
    </w:tbl>
    <w:p>
      <w:pPr>
        <w:pStyle w:val="BodyText"/>
        <w:spacing w:after="80"/>
        <w:jc w:val="both"/>
      </w:pPr>
      <w:r>
        <w:t xml:space="preserve">Parágrafo único. Em todos os casos em que seja necessária a realização de perícia, a nomeação do perito recairá preferencialmente sobre especialista em avaliação de sociedades.</w:t>
      </w:r>
    </w:p>
    <w:bookmarkEnd w:id="363"/>
    <w:bookmarkStart w:id="364" w:name="art.-607"/>
    <w:p>
      <w:pPr>
        <w:pStyle w:val="Heading6"/>
        <w:pBdr>
          <w:left w:val="single" w:sz="36" w:space="4" w:color="2E75B6"/>
        </w:pBdr>
        <w:shd w:val="clear" w:color="auto" w:fill="E3EEF9"/>
        <w:spacing w:before="200" w:after="80"/>
        <w:ind w:left="85"/>
      </w:pPr>
      <w:r>
        <w:rPr>
          <w:i w:val="0"/>
          <w:color w:val="1F3A5F"/>
          <w:sz w:val="23"/>
        </w:rPr>
        <w:t xml:space="preserve">Art. 607</w:t>
      </w:r>
    </w:p>
    <w:p>
      <w:pPr>
        <w:pStyle w:val="FirstParagraph"/>
        <w:spacing w:after="80"/>
        <w:jc w:val="both"/>
      </w:pPr>
      <w:r>
        <w:rPr>
          <w:b/>
          <w:bCs/>
        </w:rPr>
        <w:t xml:space="preserve">Art. 607.</w:t>
      </w:r>
      <w:r>
        <w:t xml:space="preserve"> </w:t>
      </w:r>
      <w:r>
        <w:t xml:space="preserve">A data da resolução e o critério de apuração de haveres podem ser revistos pelo juiz, a pedido da parte, a qualquer tempo antes do início da perícia.</w:t>
      </w:r>
    </w:p>
    <w:bookmarkEnd w:id="364"/>
    <w:bookmarkStart w:id="365" w:name="art.-608"/>
    <w:p>
      <w:pPr>
        <w:pStyle w:val="Heading6"/>
        <w:pBdr>
          <w:left w:val="single" w:sz="36" w:space="4" w:color="2E75B6"/>
        </w:pBdr>
        <w:shd w:val="clear" w:color="auto" w:fill="E3EEF9"/>
        <w:spacing w:before="200" w:after="80"/>
        <w:ind w:left="85"/>
      </w:pPr>
      <w:r>
        <w:rPr>
          <w:i w:val="0"/>
          <w:color w:val="1F3A5F"/>
          <w:sz w:val="23"/>
        </w:rPr>
        <w:t xml:space="preserve">Art. 608</w:t>
      </w:r>
    </w:p>
    <w:p>
      <w:pPr>
        <w:pStyle w:val="FirstParagraph"/>
        <w:spacing w:after="80"/>
        <w:jc w:val="both"/>
      </w:pPr>
      <w:r>
        <w:rPr>
          <w:b/>
          <w:bCs/>
        </w:rPr>
        <w:t xml:space="preserve">Art. 608.</w:t>
      </w:r>
      <w:r>
        <w:t xml:space="preserve"> </w:t>
      </w:r>
      <w:r>
        <w:t xml:space="preserve">Até a data da resolução, integram o valor devido ao ex-sócio, ao espólio ou aos sucessores a participação nos lucros ou os juros sobre o capital próprio declarados pela sociedade e, se for o caso, a remuneração como administrador.</w:t>
      </w:r>
    </w:p>
    <w:p>
      <w:pPr>
        <w:pStyle w:val="BodyText"/>
        <w:keepNext/>
        <w:spacing w:after="80"/>
        <w:jc w:val="both"/>
      </w:pPr>
      <w:r>
        <w:t xml:space="preserve">Parágrafo único. Após a data da resolução, o ex-sócio, o espólio ou os sucessores terão direito apenas à correção monetária dos valores apurados e aos juros contratuais ou legais.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93"/>
        <w:gridCol w:w="2715"/>
        <w:gridCol w:w="4546"/>
      </w:tblGrid>
      <w:tr>
        <w:trPr>
          <w:tblHeader w:val="on"/>
          <w:cantSplit/>
          <w:tblHeader/>
        </w:trPr>
        <w:tc>
          <w:tcPr>
            <w:tcW w:type="dxa" w:w="2093"/>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1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54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93"/>
          </w:tcPr>
          <w:p>
            <w:pPr>
              <w:pStyle w:val="Compact"/>
              <w:spacing w:line="276" w:lineRule="auto" w:before="40" w:after="40"/>
            </w:pPr>
            <w:r>
              <w:rPr>
                <w:rFonts w:ascii="Liberation Sans Narrow" w:hAnsi="Liberation Sans Narrow"/>
                <w:sz w:val="18"/>
              </w:rPr>
              <w:t xml:space="preserve">Parágrafo único — correção monetária e juros após a resolução (aplicação narrada)</w:t>
            </w:r>
          </w:p>
        </w:tc>
        <w:tc>
          <w:tcPr>
            <w:tcW w:type="dxa" w:w="2715"/>
          </w:tcPr>
          <w:p>
            <w:pPr>
              <w:pStyle w:val="Compact"/>
              <w:spacing w:line="276" w:lineRule="auto" w:before="40" w:after="40"/>
            </w:pPr>
            <w:r>
              <w:rPr>
                <w:rFonts w:ascii="Liberation Sans Narrow" w:hAnsi="Liberation Sans Narrow"/>
                <w:sz w:val="18"/>
              </w:rPr>
              <w:t xml:space="preserve">STJ, AREsp 2.882.565, Terceira Turma, relator Min. Ricardo Villas Bôas Cueva, julgado em 01/09/2025, DJEN de 05/09/2025</w:t>
            </w:r>
          </w:p>
        </w:tc>
        <w:tc>
          <w:tcPr>
            <w:tcW w:type="dxa" w:w="4546"/>
          </w:tcPr>
          <w:p>
            <w:pPr>
              <w:pStyle w:val="Compact"/>
              <w:spacing w:line="276" w:lineRule="auto" w:before="40" w:after="40"/>
            </w:pPr>
            <w:r>
              <w:rPr>
                <w:rFonts w:ascii="Liberation Sans Narrow" w:hAnsi="Liberation Sans Narrow"/>
                <w:sz w:val="18"/>
              </w:rPr>
              <w:t xml:space="preserve">Dissolvida a sociedade pela morte do sócio, não cabe mais distribuição de lucros aos sucessores a partir do óbito, mas apenas a apuração dos haveres, com juros e correção monetária se não houver pagamento na data devida. Trecho: “Dissolvida a sociedade em relação ao sócio falecido, já não cabe mais falar, a partir da data do óbito, na distribuição de lucros em favor dos sucessores, mas apenas na apuração dos respectivos haveres, com a incidência de juros e correção monetária se não houver o pagamento na data devida.”</w:t>
            </w:r>
          </w:p>
        </w:tc>
      </w:tr>
    </w:tbl>
    <w:bookmarkEnd w:id="365"/>
    <w:bookmarkStart w:id="366" w:name="art.-609"/>
    <w:p>
      <w:pPr>
        <w:pStyle w:val="Heading6"/>
        <w:pBdr>
          <w:left w:val="single" w:sz="36" w:space="4" w:color="2E75B6"/>
        </w:pBdr>
        <w:shd w:val="clear" w:color="auto" w:fill="E3EEF9"/>
        <w:spacing w:before="200" w:after="80"/>
        <w:ind w:left="85"/>
      </w:pPr>
      <w:r>
        <w:rPr>
          <w:i w:val="0"/>
          <w:color w:val="1F3A5F"/>
          <w:sz w:val="23"/>
        </w:rPr>
        <w:t xml:space="preserve">Art. 609</w:t>
      </w:r>
    </w:p>
    <w:p>
      <w:pPr>
        <w:pStyle w:val="FirstParagraph"/>
        <w:keepNext/>
        <w:spacing w:after="80"/>
        <w:jc w:val="both"/>
      </w:pPr>
      <w:r>
        <w:rPr>
          <w:b/>
          <w:bCs/>
        </w:rPr>
        <w:t xml:space="preserve">Art. 609.</w:t>
      </w:r>
      <w:r>
        <w:t xml:space="preserve"> </w:t>
      </w:r>
      <w:r>
        <w:t xml:space="preserve">Uma vez apurados, os haveres do sócio retirante serão pagos conforme disciplinar o contrato social e, no silêncio deste, nos termos do § 2º do art. 1.031 da Lei nº 10.406, de 10 de janeiro de 2002 (Código Civil).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34"/>
        <w:gridCol w:w="2220"/>
        <w:gridCol w:w="5401"/>
      </w:tblGrid>
      <w:tr>
        <w:trPr>
          <w:tblHeader w:val="on"/>
          <w:cantSplit/>
          <w:tblHeader/>
        </w:trPr>
        <w:tc>
          <w:tcPr>
            <w:tcW w:type="dxa" w:w="1734"/>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22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40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734"/>
          </w:tcPr>
          <w:p>
            <w:pPr>
              <w:pStyle w:val="Compact"/>
              <w:spacing w:line="276" w:lineRule="auto" w:before="40" w:after="40"/>
            </w:pPr>
            <w:r>
              <w:rPr>
                <w:rFonts w:ascii="Liberation Sans Narrow" w:hAnsi="Liberation Sans Narrow"/>
                <w:sz w:val="18"/>
              </w:rPr>
              <w:t xml:space="preserve">Caput — pagamento dos haveres do sócio retirante</w:t>
            </w:r>
          </w:p>
        </w:tc>
        <w:tc>
          <w:tcPr>
            <w:tcW w:type="dxa" w:w="2220"/>
          </w:tcPr>
          <w:p>
            <w:pPr>
              <w:pStyle w:val="Compact"/>
              <w:spacing w:line="276" w:lineRule="auto" w:before="40" w:after="40"/>
            </w:pPr>
            <w:r>
              <w:rPr>
                <w:rFonts w:ascii="Liberation Sans Narrow" w:hAnsi="Liberation Sans Narrow"/>
                <w:sz w:val="18"/>
              </w:rPr>
              <w:t xml:space="preserve">STJ, AgInt no REsp 2.125.898, Terceira Turma, relator Min. Moura Ribeiro</w:t>
            </w:r>
          </w:p>
        </w:tc>
        <w:tc>
          <w:tcPr>
            <w:tcW w:type="dxa" w:w="5400"/>
          </w:tcPr>
          <w:p>
            <w:pPr>
              <w:pStyle w:val="Compact"/>
              <w:spacing w:line="276" w:lineRule="auto" w:before="40" w:after="40"/>
            </w:pPr>
            <w:r>
              <w:rPr>
                <w:rFonts w:ascii="Liberation Sans Narrow" w:hAnsi="Liberation Sans Narrow"/>
                <w:sz w:val="18"/>
              </w:rPr>
              <w:t xml:space="preserve">O pagamento dos haveres ao sócio retirante é devido pela sociedade e pelos sócios remanescentes, em litisconsórcio passivo necessário e responsabilidade solidária; formado o título judicial contra todos, a extensão da responsabilidade patrimonial não pode ser rediscutida no cumprimento de sentença.</w:t>
            </w:r>
          </w:p>
        </w:tc>
      </w:tr>
    </w:tbl>
    <w:bookmarkEnd w:id="366"/>
    <w:bookmarkEnd w:id="367"/>
    <w:bookmarkStart w:id="442" w:name="X4316474c7d09c8f62c294349c41b8ad18526fbd"/>
    <w:p>
      <w:pPr>
        <w:pStyle w:val="Heading4"/>
        <w:spacing w:before="160" w:after="40"/>
      </w:pPr>
      <w:r>
        <w:rPr>
          <w:smallCaps/>
          <w:color w:val="2E75B6"/>
        </w:rPr>
        <w:t xml:space="preserve">Capítulo VI: do inventário e da partilha (arts. 610 a 673)</w:t>
      </w:r>
    </w:p>
    <w:bookmarkStart w:id="373" w:name="X1321a53bee8f6cb383e207ddb157164010ce58b"/>
    <w:p>
      <w:pPr>
        <w:pStyle w:val="Heading5"/>
        <w:spacing w:before="140" w:after="20"/>
      </w:pPr>
      <w:r>
        <w:rPr>
          <w:i/>
          <w:color w:val="595959"/>
        </w:rPr>
        <w:t xml:space="preserve">Seção I: disposições gerais (arts. 610 a 614)</w:t>
      </w:r>
    </w:p>
    <w:bookmarkStart w:id="368" w:name="art.-610"/>
    <w:p>
      <w:pPr>
        <w:pStyle w:val="Heading6"/>
        <w:pBdr>
          <w:left w:val="single" w:sz="36" w:space="4" w:color="2E75B6"/>
        </w:pBdr>
        <w:shd w:val="clear" w:color="auto" w:fill="E3EEF9"/>
        <w:spacing w:before="200" w:after="80"/>
        <w:ind w:left="85"/>
      </w:pPr>
      <w:r>
        <w:rPr>
          <w:i w:val="0"/>
          <w:color w:val="1F3A5F"/>
          <w:sz w:val="23"/>
        </w:rPr>
        <w:t xml:space="preserve">Art. 610</w:t>
      </w:r>
    </w:p>
    <w:p>
      <w:pPr>
        <w:pStyle w:val="FirstParagraph"/>
        <w:spacing w:after="80"/>
        <w:jc w:val="both"/>
      </w:pPr>
      <w:r>
        <w:rPr>
          <w:b/>
          <w:bCs/>
        </w:rPr>
        <w:t xml:space="preserve">Art. 610.</w:t>
      </w:r>
      <w:r>
        <w:t xml:space="preserve"> </w:t>
      </w:r>
      <w:r>
        <w:t xml:space="preserve">Havendo testamento ou interessado incapaz, proceder-se-á ao inventário judicial.</w:t>
      </w:r>
    </w:p>
    <w:p>
      <w:pPr>
        <w:pStyle w:val="BodyText"/>
        <w:keepNext/>
        <w:spacing w:after="80"/>
        <w:jc w:val="both"/>
      </w:pPr>
      <w:r>
        <w:t xml:space="preserve">§ 1º Se todos forem capazes e concordes, o inventário e a partilha poderão ser feitos por escritura pública, a qual constituirá documento hábil para qualquer ato de registro, bem como para levantamento de importância depositada em instituições financeiras.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2630"/>
        <w:gridCol w:w="481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3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1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 1º: inventário extrajudicial havendo testamento</w:t>
            </w:r>
          </w:p>
        </w:tc>
        <w:tc>
          <w:tcPr>
            <w:tcW w:type="dxa" w:w="2630"/>
          </w:tcPr>
          <w:p>
            <w:pPr>
              <w:pStyle w:val="Compact"/>
              <w:spacing w:line="276" w:lineRule="auto" w:before="40" w:after="40"/>
            </w:pPr>
            <w:r>
              <w:rPr>
                <w:rFonts w:ascii="Liberation Sans Narrow" w:hAnsi="Liberation Sans Narrow"/>
                <w:sz w:val="18"/>
              </w:rPr>
              <w:t xml:space="preserve">STJ, REsp 1.808.767, Quarta Turma, relator Min. Luis Felipe Salomão, julgado em 15/10/2019, DJe de 03/12/2019</w:t>
            </w:r>
          </w:p>
        </w:tc>
        <w:tc>
          <w:tcPr>
            <w:tcW w:type="dxa" w:w="4819"/>
          </w:tcPr>
          <w:p>
            <w:pPr>
              <w:pStyle w:val="Compact"/>
              <w:spacing w:line="276" w:lineRule="auto" w:before="40" w:after="40"/>
            </w:pPr>
            <w:r>
              <w:rPr>
                <w:rFonts w:ascii="Liberation Sans Narrow" w:hAnsi="Liberation Sans Narrow"/>
                <w:sz w:val="18"/>
              </w:rPr>
              <w:t xml:space="preserve">É possível o inventário por escritura pública mesmo havendo testamento, se todos os interessados forem capazes e concordes e estiverem assistidos por advogado, desde que o testamento tenha sido previamente registrado judicialmente ou haja autorização expressa do juízo competente (art. 610, caput e § 1º, com os arts. 2.015 e 2.016 do Código Civil).</w:t>
            </w:r>
          </w:p>
        </w:tc>
      </w:tr>
    </w:tbl>
    <w:p>
      <w:pPr>
        <w:pStyle w:val="BodyText"/>
        <w:spacing w:after="80"/>
        <w:jc w:val="both"/>
      </w:pPr>
      <w:r>
        <w:t xml:space="preserve">§ 2 o O tabelião somente lavrará a escritura pública se todas as partes interessadas estiverem assistidas por advogado ou por defensor público, cuja qualificação e assinatura constarão do ato notarial.</w:t>
      </w:r>
    </w:p>
    <w:bookmarkEnd w:id="368"/>
    <w:bookmarkStart w:id="369" w:name="art.-611"/>
    <w:p>
      <w:pPr>
        <w:pStyle w:val="Heading6"/>
        <w:pBdr>
          <w:left w:val="single" w:sz="36" w:space="4" w:color="2E75B6"/>
        </w:pBdr>
        <w:shd w:val="clear" w:color="auto" w:fill="E3EEF9"/>
        <w:spacing w:before="200" w:after="80"/>
        <w:ind w:left="85"/>
      </w:pPr>
      <w:r>
        <w:rPr>
          <w:i w:val="0"/>
          <w:color w:val="1F3A5F"/>
          <w:sz w:val="23"/>
        </w:rPr>
        <w:t xml:space="preserve">Art. 611</w:t>
      </w:r>
    </w:p>
    <w:p>
      <w:pPr>
        <w:pStyle w:val="FirstParagraph"/>
        <w:keepNext/>
        <w:spacing w:after="80"/>
        <w:jc w:val="both"/>
      </w:pPr>
      <w:r>
        <w:rPr>
          <w:b/>
          <w:bCs/>
        </w:rPr>
        <w:t xml:space="preserve">Art. 611.</w:t>
      </w:r>
      <w:r>
        <w:t xml:space="preserve"> </w:t>
      </w:r>
      <w:r>
        <w:t xml:space="preserve">O processo de inventário e de partilha deve ser instaurado dentro de 2 (dois) meses, a contar da abertura da sucessão, ultimando-se nos 12 (doze) meses subsequentes, podendo o juiz prorrogar esses prazos, de ofício ou a requerimento de parte.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33"/>
        <w:gridCol w:w="2719"/>
        <w:gridCol w:w="4703"/>
      </w:tblGrid>
      <w:tr>
        <w:trPr>
          <w:tblHeader w:val="on"/>
          <w:cantSplit/>
          <w:tblHeader/>
        </w:trPr>
        <w:tc>
          <w:tcPr>
            <w:tcW w:type="dxa" w:w="1933"/>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1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0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33"/>
          </w:tcPr>
          <w:p>
            <w:pPr>
              <w:pStyle w:val="Compact"/>
              <w:spacing w:line="276" w:lineRule="auto" w:before="40" w:after="40"/>
            </w:pPr>
            <w:r>
              <w:rPr>
                <w:rFonts w:ascii="Liberation Sans Narrow" w:hAnsi="Liberation Sans Narrow"/>
                <w:sz w:val="18"/>
              </w:rPr>
              <w:t xml:space="preserve">Caput — natureza do processo de inventário e inércia do inventariante</w:t>
            </w:r>
          </w:p>
        </w:tc>
        <w:tc>
          <w:tcPr>
            <w:tcW w:type="dxa" w:w="2719"/>
          </w:tcPr>
          <w:p>
            <w:pPr>
              <w:pStyle w:val="Compact"/>
              <w:spacing w:line="276" w:lineRule="auto" w:before="40" w:after="40"/>
            </w:pPr>
            <w:r>
              <w:rPr>
                <w:rFonts w:ascii="Liberation Sans Narrow" w:hAnsi="Liberation Sans Narrow"/>
                <w:sz w:val="18"/>
              </w:rPr>
              <w:t xml:space="preserve">STJ, REsp 1.537.879, Terceira Turma, relator Min. João Otávio de Noronha, julgado em 26/04/2016, DJe de 06/05/2016</w:t>
            </w:r>
          </w:p>
        </w:tc>
        <w:tc>
          <w:tcPr>
            <w:tcW w:type="dxa" w:w="4702"/>
          </w:tcPr>
          <w:p>
            <w:pPr>
              <w:pStyle w:val="Compact"/>
              <w:spacing w:line="276" w:lineRule="auto" w:before="40" w:after="40"/>
            </w:pPr>
            <w:r>
              <w:rPr>
                <w:rFonts w:ascii="Liberation Sans Narrow" w:hAnsi="Liberation Sans Narrow"/>
                <w:sz w:val="18"/>
              </w:rPr>
              <w:t xml:space="preserve">A inércia do inventariante enseja a sua remoção ou o arquivamento dos autos, não a extinção do processo sem julgamento do mérito: o inventário é de interesse público e tem peculiaridades que não se coadunam com a extinção prevista para o processo de conhecimento.</w:t>
            </w:r>
          </w:p>
        </w:tc>
      </w:tr>
    </w:tbl>
    <w:bookmarkEnd w:id="369"/>
    <w:bookmarkStart w:id="370" w:name="art.-612"/>
    <w:p>
      <w:pPr>
        <w:pStyle w:val="Heading6"/>
        <w:pBdr>
          <w:left w:val="single" w:sz="36" w:space="4" w:color="2E75B6"/>
        </w:pBdr>
        <w:shd w:val="clear" w:color="auto" w:fill="E3EEF9"/>
        <w:spacing w:before="200" w:after="80"/>
        <w:ind w:left="85"/>
      </w:pPr>
      <w:r>
        <w:rPr>
          <w:i w:val="0"/>
          <w:color w:val="1F3A5F"/>
          <w:sz w:val="23"/>
        </w:rPr>
        <w:t xml:space="preserve">Art. 612</w:t>
      </w:r>
    </w:p>
    <w:p>
      <w:pPr>
        <w:pStyle w:val="FirstParagraph"/>
        <w:keepNext/>
        <w:spacing w:after="80"/>
        <w:jc w:val="both"/>
      </w:pPr>
      <w:r>
        <w:rPr>
          <w:b/>
          <w:bCs/>
        </w:rPr>
        <w:t xml:space="preserve">Art. 612.</w:t>
      </w:r>
      <w:r>
        <w:t xml:space="preserve"> </w:t>
      </w:r>
      <w:r>
        <w:t xml:space="preserve">O juiz decidirá todas as questões de direito desde que os fatos relevantes estejam provados por documento, só remetendo para as vias ordinárias as questões que dependerem de outras provas.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812"/>
        <w:gridCol w:w="2631"/>
        <w:gridCol w:w="4911"/>
      </w:tblGrid>
      <w:tr>
        <w:trPr>
          <w:tblHeader w:val="on"/>
          <w:cantSplit/>
          <w:tblHeader/>
        </w:trPr>
        <w:tc>
          <w:tcPr>
            <w:tcW w:type="dxa" w:w="181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3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91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812"/>
          </w:tcPr>
          <w:p>
            <w:pPr>
              <w:pStyle w:val="Compact"/>
              <w:spacing w:line="276" w:lineRule="auto" w:before="40" w:after="40"/>
            </w:pPr>
            <w:r>
              <w:rPr>
                <w:rFonts w:ascii="Liberation Sans Narrow" w:hAnsi="Liberation Sans Narrow"/>
                <w:sz w:val="18"/>
              </w:rPr>
              <w:t xml:space="preserve">Caput — competência do juízo do inventário e alta indagação</w:t>
            </w:r>
          </w:p>
        </w:tc>
        <w:tc>
          <w:tcPr>
            <w:tcW w:type="dxa" w:w="2631"/>
          </w:tcPr>
          <w:p>
            <w:pPr>
              <w:pStyle w:val="Compact"/>
              <w:spacing w:line="276" w:lineRule="auto" w:before="40" w:after="40"/>
            </w:pPr>
            <w:r>
              <w:rPr>
                <w:rFonts w:ascii="Liberation Sans Narrow" w:hAnsi="Liberation Sans Narrow"/>
                <w:sz w:val="18"/>
              </w:rPr>
              <w:t xml:space="preserve">STJ, AREsp 2.751.613, Quarta Turma, relator Min. Raul Araújo, julgado em 16/03/2026, DJEN de 23/03/2026</w:t>
            </w:r>
          </w:p>
        </w:tc>
        <w:tc>
          <w:tcPr>
            <w:tcW w:type="dxa" w:w="4911"/>
          </w:tcPr>
          <w:p>
            <w:pPr>
              <w:pStyle w:val="Compact"/>
              <w:spacing w:line="276" w:lineRule="auto" w:before="40" w:after="40"/>
            </w:pPr>
            <w:r>
              <w:rPr>
                <w:rFonts w:ascii="Liberation Sans Narrow" w:hAnsi="Liberation Sans Narrow"/>
                <w:sz w:val="18"/>
              </w:rPr>
              <w:t xml:space="preserve">A competência do juízo do inventário limita-se ao exame de questões de direito e de fatos amparados em prova documental suficiente (art. 612); a controvérsia sobre a natureza da posse e a ocorrência de esbulho exige dilação probatória complexa, configura questão de alta indagação e deve ser processada nas vias ordinárias. O espólio tem legitimidade ativa para defender o acervo hereditário, cabendo ao inventariante dativo representá-lo, inclusive contra herdeiros.</w:t>
            </w:r>
          </w:p>
        </w:tc>
      </w:tr>
    </w:tbl>
    <w:bookmarkEnd w:id="370"/>
    <w:bookmarkStart w:id="371" w:name="art.-613"/>
    <w:p>
      <w:pPr>
        <w:pStyle w:val="Heading6"/>
        <w:pBdr>
          <w:left w:val="single" w:sz="36" w:space="4" w:color="2E75B6"/>
        </w:pBdr>
        <w:shd w:val="clear" w:color="auto" w:fill="E3EEF9"/>
        <w:spacing w:before="200" w:after="80"/>
        <w:ind w:left="85"/>
      </w:pPr>
      <w:r>
        <w:rPr>
          <w:i w:val="0"/>
          <w:color w:val="1F3A5F"/>
          <w:sz w:val="23"/>
        </w:rPr>
        <w:t xml:space="preserve">Art. 613</w:t>
      </w:r>
    </w:p>
    <w:p>
      <w:pPr>
        <w:pStyle w:val="FirstParagraph"/>
        <w:keepNext/>
        <w:spacing w:after="80"/>
        <w:jc w:val="both"/>
      </w:pPr>
      <w:r>
        <w:rPr>
          <w:b/>
          <w:bCs/>
        </w:rPr>
        <w:t xml:space="preserve">Art. 613.</w:t>
      </w:r>
      <w:r>
        <w:t xml:space="preserve"> </w:t>
      </w:r>
      <w:r>
        <w:t xml:space="preserve">Até que o inventariante preste o compromisso, continuará o espólio na posse do administrador provisório.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80"/>
        <w:gridCol w:w="2746"/>
        <w:gridCol w:w="4828"/>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4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28"/>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780"/>
          </w:tcPr>
          <w:p>
            <w:pPr>
              <w:pStyle w:val="Compact"/>
              <w:spacing w:line="276" w:lineRule="auto" w:before="40" w:after="40"/>
            </w:pPr>
            <w:r>
              <w:rPr>
                <w:rFonts w:ascii="Liberation Sans Narrow" w:hAnsi="Liberation Sans Narrow"/>
                <w:sz w:val="18"/>
              </w:rPr>
              <w:t xml:space="preserve">Legitimidade passiva dos herdeiros antes da partilha</w:t>
            </w:r>
          </w:p>
        </w:tc>
        <w:tc>
          <w:tcPr>
            <w:tcW w:type="dxa" w:w="2746"/>
          </w:tcPr>
          <w:p>
            <w:pPr>
              <w:pStyle w:val="Compact"/>
              <w:spacing w:line="276" w:lineRule="auto" w:before="40" w:after="40"/>
            </w:pPr>
            <w:r>
              <w:rPr>
                <w:rFonts w:ascii="Liberation Sans Narrow" w:hAnsi="Liberation Sans Narrow"/>
                <w:sz w:val="18"/>
              </w:rPr>
              <w:t xml:space="preserve">STJ, REsp 2.219.305, Quarta Turma, relator Min. João Otávio de Noronha, julgado em 09/02/2026, DJEN de 13/02/2026</w:t>
            </w:r>
          </w:p>
        </w:tc>
        <w:tc>
          <w:tcPr>
            <w:tcW w:type="dxa" w:w="4828"/>
          </w:tcPr>
          <w:p>
            <w:pPr>
              <w:pStyle w:val="Compact"/>
              <w:spacing w:line="276" w:lineRule="auto" w:before="40" w:after="40"/>
            </w:pPr>
            <w:r>
              <w:rPr>
                <w:rFonts w:ascii="Liberation Sans Narrow" w:hAnsi="Liberation Sans Narrow"/>
                <w:sz w:val="18"/>
              </w:rPr>
              <w:t xml:space="preserve">Até a partilha a herança é um todo unitário, e o espólio, representado pelo inventariante ou pelo administrador provisório (arts. 75, VII, 613 e 614), responde pelas obrigações do falecido; os herdeiros, individualmente, não têm legitimidade passiva na execução antes da abertura do inventário e da partilha.</w:t>
            </w:r>
          </w:p>
        </w:tc>
      </w:tr>
    </w:tbl>
    <w:bookmarkEnd w:id="371"/>
    <w:bookmarkStart w:id="372" w:name="art.-614"/>
    <w:p>
      <w:pPr>
        <w:pStyle w:val="Heading6"/>
        <w:pBdr>
          <w:left w:val="single" w:sz="36" w:space="4" w:color="2E75B6"/>
        </w:pBdr>
        <w:shd w:val="clear" w:color="auto" w:fill="E3EEF9"/>
        <w:spacing w:before="200" w:after="80"/>
        <w:ind w:left="85"/>
      </w:pPr>
      <w:r>
        <w:rPr>
          <w:i w:val="0"/>
          <w:color w:val="1F3A5F"/>
          <w:sz w:val="23"/>
        </w:rPr>
        <w:t xml:space="preserve">Art. 614</w:t>
      </w:r>
    </w:p>
    <w:p>
      <w:pPr>
        <w:pStyle w:val="FirstParagraph"/>
        <w:keepNext/>
        <w:spacing w:after="80"/>
        <w:jc w:val="both"/>
      </w:pPr>
      <w:r>
        <w:rPr>
          <w:b/>
          <w:bCs/>
        </w:rPr>
        <w:t xml:space="preserve">Art. 614.</w:t>
      </w:r>
      <w:r>
        <w:t xml:space="preserve"> </w:t>
      </w:r>
      <w:r>
        <w:t xml:space="preserve">O administrador provisório representa ativa e passivamente o espólio, é obrigado a trazer ao acervo os frutos que desde a abertura da sucessão percebeu, tem direito ao reembolso das despesas necessárias e úteis que fez e responde pelo dano a que, por dolo ou culpa, der causa.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3041"/>
        <w:gridCol w:w="4783"/>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04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8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Caput — tese</w:t>
            </w:r>
          </w:p>
        </w:tc>
        <w:tc>
          <w:tcPr>
            <w:tcW w:type="dxa" w:w="3041"/>
          </w:tcPr>
          <w:p>
            <w:pPr>
              <w:pStyle w:val="Compact"/>
              <w:spacing w:line="276" w:lineRule="auto" w:before="40" w:after="40"/>
            </w:pPr>
            <w:r>
              <w:rPr>
                <w:rFonts w:ascii="Liberation Sans Narrow" w:hAnsi="Liberation Sans Narrow"/>
                <w:sz w:val="18"/>
              </w:rPr>
              <w:t xml:space="preserve">STJ, REsp 1.938.281, Quarta Turma, relatora Min. Maria Isabel Gallotti, julgado em 30/06/2026</w:t>
            </w:r>
          </w:p>
        </w:tc>
        <w:tc>
          <w:tcPr>
            <w:tcW w:type="dxa" w:w="4783"/>
          </w:tcPr>
          <w:p>
            <w:pPr>
              <w:pStyle w:val="Compact"/>
              <w:spacing w:line="276" w:lineRule="auto" w:before="40" w:after="40"/>
            </w:pPr>
            <w:r>
              <w:rPr>
                <w:rFonts w:ascii="Liberation Sans Narrow" w:hAnsi="Liberation Sans Narrow"/>
                <w:sz w:val="18"/>
              </w:rPr>
              <w:t xml:space="preserve">O espólio deve ser representado em juízo pelo administrador provisório nas hipóteses em que o inventário não tenha sido ajuizado ou não haja inventariante compromissado.</w:t>
            </w:r>
          </w:p>
        </w:tc>
      </w:tr>
    </w:tbl>
    <w:bookmarkEnd w:id="372"/>
    <w:bookmarkEnd w:id="373"/>
    <w:bookmarkStart w:id="376" w:name="X5197a9e4e738c2a5a3fb734af08fd10de84ac07"/>
    <w:p>
      <w:pPr>
        <w:pStyle w:val="Heading5"/>
        <w:spacing w:before="140" w:after="20"/>
      </w:pPr>
      <w:r>
        <w:rPr>
          <w:i/>
          <w:color w:val="595959"/>
        </w:rPr>
        <w:t xml:space="preserve">Seção II: da legitimidade para requerer o inventário (arts. 615 a 616)</w:t>
      </w:r>
    </w:p>
    <w:bookmarkStart w:id="374" w:name="art.-615"/>
    <w:p>
      <w:pPr>
        <w:pStyle w:val="Heading6"/>
        <w:pBdr>
          <w:left w:val="single" w:sz="36" w:space="4" w:color="2E75B6"/>
        </w:pBdr>
        <w:shd w:val="clear" w:color="auto" w:fill="E3EEF9"/>
        <w:spacing w:before="200" w:after="80"/>
        <w:ind w:left="85"/>
      </w:pPr>
      <w:r>
        <w:rPr>
          <w:i w:val="0"/>
          <w:color w:val="1F3A5F"/>
          <w:sz w:val="23"/>
        </w:rPr>
        <w:t xml:space="preserve">Art. 615</w:t>
      </w:r>
    </w:p>
    <w:p>
      <w:pPr>
        <w:pStyle w:val="FirstParagraph"/>
        <w:spacing w:after="80"/>
        <w:jc w:val="both"/>
      </w:pPr>
      <w:r>
        <w:rPr>
          <w:b/>
          <w:bCs/>
        </w:rPr>
        <w:t xml:space="preserve">Art. 615.</w:t>
      </w:r>
      <w:r>
        <w:t xml:space="preserve"> </w:t>
      </w:r>
      <w:r>
        <w:t xml:space="preserve">O requerimento de inventário e de partilha incumbe a quem estiver na posse e na administração do espólio, no prazo estabelecido no art. 611.</w:t>
      </w:r>
    </w:p>
    <w:p>
      <w:pPr>
        <w:pStyle w:val="BodyText"/>
        <w:spacing w:after="80"/>
        <w:jc w:val="both"/>
      </w:pPr>
      <w:r>
        <w:t xml:space="preserve">Parágrafo único. O requerimento será instruído com a certidão de óbito do autor da herança.</w:t>
      </w:r>
    </w:p>
    <w:bookmarkEnd w:id="374"/>
    <w:bookmarkStart w:id="375" w:name="art.-616"/>
    <w:p>
      <w:pPr>
        <w:pStyle w:val="Heading6"/>
        <w:pBdr>
          <w:left w:val="single" w:sz="36" w:space="4" w:color="2E75B6"/>
        </w:pBdr>
        <w:shd w:val="clear" w:color="auto" w:fill="E3EEF9"/>
        <w:spacing w:before="200" w:after="80"/>
        <w:ind w:left="85"/>
      </w:pPr>
      <w:r>
        <w:rPr>
          <w:i w:val="0"/>
          <w:color w:val="1F3A5F"/>
          <w:sz w:val="23"/>
        </w:rPr>
        <w:t xml:space="preserve">Art. 616</w:t>
      </w:r>
    </w:p>
    <w:p>
      <w:pPr>
        <w:pStyle w:val="FirstParagraph"/>
        <w:spacing w:after="80"/>
        <w:jc w:val="both"/>
      </w:pPr>
      <w:r>
        <w:rPr>
          <w:b/>
          <w:bCs/>
        </w:rPr>
        <w:t xml:space="preserve">Art. 616.</w:t>
      </w:r>
      <w:r>
        <w:t xml:space="preserve"> </w:t>
      </w:r>
      <w:r>
        <w:t xml:space="preserve">Têm, contudo, legitimidade concorrente:</w:t>
      </w:r>
    </w:p>
    <w:p>
      <w:pPr>
        <w:pStyle w:val="BodyText"/>
        <w:spacing w:after="80"/>
        <w:jc w:val="both"/>
      </w:pPr>
      <w:r>
        <w:t xml:space="preserve">I - o cônjuge ou companheiro supérstite;</w:t>
      </w:r>
    </w:p>
    <w:p>
      <w:pPr>
        <w:pStyle w:val="BodyText"/>
        <w:spacing w:after="80"/>
        <w:jc w:val="both"/>
      </w:pPr>
      <w:r>
        <w:t xml:space="preserve">II - o herdeiro;</w:t>
      </w:r>
    </w:p>
    <w:p>
      <w:pPr>
        <w:pStyle w:val="BodyText"/>
        <w:spacing w:after="80"/>
        <w:jc w:val="both"/>
      </w:pPr>
      <w:r>
        <w:t xml:space="preserve">III - o legatário;</w:t>
      </w:r>
    </w:p>
    <w:p>
      <w:pPr>
        <w:pStyle w:val="BodyText"/>
        <w:spacing w:after="80"/>
        <w:jc w:val="both"/>
      </w:pPr>
      <w:r>
        <w:t xml:space="preserve">IV - o testamenteiro;</w:t>
      </w:r>
    </w:p>
    <w:p>
      <w:pPr>
        <w:pStyle w:val="BodyText"/>
        <w:spacing w:after="80"/>
        <w:jc w:val="both"/>
      </w:pPr>
      <w:r>
        <w:t xml:space="preserve">V - o cessionário do herdeiro ou do legatário;</w:t>
      </w:r>
    </w:p>
    <w:p>
      <w:pPr>
        <w:pStyle w:val="BodyText"/>
        <w:keepNext/>
        <w:spacing w:after="80"/>
        <w:jc w:val="both"/>
      </w:pPr>
      <w:r>
        <w:t xml:space="preserve">VI - o credor do herdeiro, do legatário ou do autor da herança;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642"/>
        <w:gridCol w:w="2718"/>
        <w:gridCol w:w="3994"/>
      </w:tblGrid>
      <w:tr>
        <w:trPr>
          <w:tblHeader w:val="on"/>
          <w:cantSplit/>
          <w:tblHeader/>
        </w:trPr>
        <w:tc>
          <w:tcPr>
            <w:tcW w:type="dxa" w:w="264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1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399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642"/>
          </w:tcPr>
          <w:p>
            <w:pPr>
              <w:pStyle w:val="Compact"/>
              <w:spacing w:line="276" w:lineRule="auto" w:before="40" w:after="40"/>
            </w:pPr>
            <w:r>
              <w:rPr>
                <w:rFonts w:ascii="Liberation Sans Narrow" w:hAnsi="Liberation Sans Narrow"/>
                <w:sz w:val="18"/>
              </w:rPr>
              <w:t xml:space="preserve">Inciso VI: credor do autor da herança pode requerer o inventário; herdeiros não respondem na execução</w:t>
            </w:r>
          </w:p>
        </w:tc>
        <w:tc>
          <w:tcPr>
            <w:tcW w:type="dxa" w:w="2718"/>
          </w:tcPr>
          <w:p>
            <w:pPr>
              <w:pStyle w:val="Compact"/>
              <w:spacing w:line="276" w:lineRule="auto" w:before="40" w:after="40"/>
            </w:pPr>
            <w:r>
              <w:rPr>
                <w:rFonts w:ascii="Liberation Sans Narrow" w:hAnsi="Liberation Sans Narrow"/>
                <w:sz w:val="18"/>
              </w:rPr>
              <w:t xml:space="preserve">STJ, REsp 2.191.565, Terceira Turma, relatora Min. Nancy Andrighi, julgado em 26/05/2025, DJEN de 29/05/2025</w:t>
            </w:r>
          </w:p>
        </w:tc>
        <w:tc>
          <w:tcPr>
            <w:tcW w:type="dxa" w:w="3994"/>
          </w:tcPr>
          <w:p>
            <w:pPr>
              <w:pStyle w:val="Compact"/>
              <w:spacing w:line="276" w:lineRule="auto" w:before="40" w:after="40"/>
            </w:pPr>
            <w:r>
              <w:rPr>
                <w:rFonts w:ascii="Liberation Sans Narrow" w:hAnsi="Liberation Sans Narrow"/>
                <w:sz w:val="18"/>
              </w:rPr>
              <w:t xml:space="preserve">O espólio, e não os herdeiros, tem legitimidade passiva na execução; o credor do autor da herança tem legitimidade concorrente para requerer a abertura do inventário (art. 616, VI).</w:t>
            </w:r>
          </w:p>
        </w:tc>
      </w:tr>
    </w:tbl>
    <w:p>
      <w:pPr>
        <w:pStyle w:val="BodyText"/>
        <w:spacing w:after="80"/>
        <w:jc w:val="both"/>
      </w:pPr>
      <w:r>
        <w:t xml:space="preserve">VII - o Ministério Público, havendo herdeiros incapazes;</w:t>
      </w:r>
    </w:p>
    <w:p>
      <w:pPr>
        <w:pStyle w:val="BodyText"/>
        <w:spacing w:after="80"/>
        <w:jc w:val="both"/>
      </w:pPr>
      <w:r>
        <w:t xml:space="preserve">VIII - a Fazenda Pública, quando tiver interesse;</w:t>
      </w:r>
    </w:p>
    <w:p>
      <w:pPr>
        <w:pStyle w:val="BodyText"/>
        <w:spacing w:after="80"/>
        <w:jc w:val="both"/>
      </w:pPr>
      <w:r>
        <w:t xml:space="preserve">IX - o administrador judicial da falência do herdeiro, do legatário, do autor da herança ou do cônjuge ou companheiro supérstite.</w:t>
      </w:r>
    </w:p>
    <w:bookmarkEnd w:id="375"/>
    <w:bookmarkEnd w:id="376"/>
    <w:bookmarkStart w:id="386" w:name="X0552c4708e58337a9801745d333ba391cfb9939"/>
    <w:p>
      <w:pPr>
        <w:pStyle w:val="Heading5"/>
        <w:spacing w:before="140" w:after="20"/>
      </w:pPr>
      <w:r>
        <w:rPr>
          <w:i/>
          <w:color w:val="595959"/>
        </w:rPr>
        <w:t xml:space="preserve">Seção III: do inventariante e das primeiras declarações (arts. 617 a 625)</w:t>
      </w:r>
    </w:p>
    <w:bookmarkStart w:id="377" w:name="art.-617"/>
    <w:p>
      <w:pPr>
        <w:pStyle w:val="Heading6"/>
        <w:pBdr>
          <w:left w:val="single" w:sz="36" w:space="4" w:color="2E75B6"/>
        </w:pBdr>
        <w:shd w:val="clear" w:color="auto" w:fill="E3EEF9"/>
        <w:spacing w:before="200" w:after="80"/>
        <w:ind w:left="85"/>
      </w:pPr>
      <w:r>
        <w:rPr>
          <w:i w:val="0"/>
          <w:color w:val="1F3A5F"/>
          <w:sz w:val="23"/>
        </w:rPr>
        <w:t xml:space="preserve">Art. 617</w:t>
      </w:r>
    </w:p>
    <w:p>
      <w:pPr>
        <w:pStyle w:val="FirstParagraph"/>
        <w:keepNext/>
        <w:spacing w:after="80"/>
        <w:jc w:val="both"/>
      </w:pPr>
      <w:r>
        <w:rPr>
          <w:b/>
          <w:bCs/>
        </w:rPr>
        <w:t xml:space="preserve">Art. 617.</w:t>
      </w:r>
      <w:r>
        <w:t xml:space="preserve"> </w:t>
      </w:r>
      <w:r>
        <w:t xml:space="preserve">O juiz nomeará inventariante na seguinte ordem:</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2519"/>
        <w:gridCol w:w="4806"/>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1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0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30"/>
          </w:tcPr>
          <w:p>
            <w:pPr>
              <w:pStyle w:val="Compact"/>
              <w:spacing w:line="276" w:lineRule="auto" w:before="40" w:after="40"/>
            </w:pPr>
            <w:r>
              <w:rPr>
                <w:rFonts w:ascii="Liberation Sans Narrow" w:hAnsi="Liberation Sans Narrow"/>
                <w:sz w:val="18"/>
              </w:rPr>
              <w:t xml:space="preserve">Caput — ordem legal e sua flexibilização</w:t>
            </w:r>
          </w:p>
        </w:tc>
        <w:tc>
          <w:tcPr>
            <w:tcW w:type="dxa" w:w="2519"/>
          </w:tcPr>
          <w:p>
            <w:pPr>
              <w:pStyle w:val="Compact"/>
              <w:spacing w:line="276" w:lineRule="auto" w:before="40" w:after="40"/>
            </w:pPr>
            <w:r>
              <w:rPr>
                <w:rFonts w:ascii="Liberation Sans Narrow" w:hAnsi="Liberation Sans Narrow"/>
                <w:sz w:val="18"/>
              </w:rPr>
              <w:t xml:space="preserve">STJ, REsp 2.203.769, Terceira Turma, relator Min. Moura Ribeiro, julgado em 10/06/2025, DJEN de 23/06/2025</w:t>
            </w:r>
          </w:p>
        </w:tc>
        <w:tc>
          <w:tcPr>
            <w:tcW w:type="dxa" w:w="4806"/>
          </w:tcPr>
          <w:p>
            <w:pPr>
              <w:pStyle w:val="Compact"/>
              <w:spacing w:line="276" w:lineRule="auto" w:before="40" w:after="40"/>
            </w:pPr>
            <w:r>
              <w:rPr>
                <w:rFonts w:ascii="Liberation Sans Narrow" w:hAnsi="Liberation Sans Narrow"/>
                <w:sz w:val="18"/>
              </w:rPr>
              <w:t xml:space="preserve">O art. 617 elenca as pessoas que podem ser inventariantes em ordem que, a rigor, deve ser obrigatoriamente seguida pelo juiz; a jurisprudência admite excepcioná-la, sobretudo quando há intensa animosidade entre as partes, hipótese em que é possível a substituição por inventariante dativo. Na espécie, a nomeação do dativo não configurou julgamento extra petita, pois o agravo de instrumento se limitava a afastar o inventariante.</w:t>
            </w:r>
          </w:p>
        </w:tc>
      </w:tr>
    </w:tbl>
    <w:p>
      <w:pPr>
        <w:pStyle w:val="BodyText"/>
        <w:spacing w:after="80"/>
        <w:jc w:val="both"/>
      </w:pPr>
      <w:r>
        <w:t xml:space="preserve">I - o cônjuge ou companheiro sobrevivente, desde que estivesse convivendo com o outro ao tempo da morte deste;</w:t>
      </w:r>
    </w:p>
    <w:p>
      <w:pPr>
        <w:pStyle w:val="BodyText"/>
        <w:spacing w:after="80"/>
        <w:jc w:val="both"/>
      </w:pPr>
      <w:r>
        <w:t xml:space="preserve">II - o herdeiro que se achar na posse e na administração do espólio, se não houver cônjuge ou companheiro sobrevivente ou se estes não puderem ser nomeados;</w:t>
      </w:r>
    </w:p>
    <w:p>
      <w:pPr>
        <w:pStyle w:val="BodyText"/>
        <w:spacing w:after="80"/>
        <w:jc w:val="both"/>
      </w:pPr>
      <w:r>
        <w:t xml:space="preserve">III - qualquer herdeiro, quando nenhum deles estiver na posse e na administração do espólio;</w:t>
      </w:r>
    </w:p>
    <w:p>
      <w:pPr>
        <w:pStyle w:val="BodyText"/>
        <w:spacing w:after="80"/>
        <w:jc w:val="both"/>
      </w:pPr>
      <w:r>
        <w:t xml:space="preserve">IV - o herdeiro menor, por seu representante legal;</w:t>
      </w:r>
    </w:p>
    <w:p>
      <w:pPr>
        <w:pStyle w:val="BodyText"/>
        <w:spacing w:after="80"/>
        <w:jc w:val="both"/>
      </w:pPr>
      <w:r>
        <w:t xml:space="preserve">V - o testamenteiro, se lhe tiver sido confiada a administração do espólio ou se toda a herança estiver distribuída em legados;</w:t>
      </w:r>
    </w:p>
    <w:p>
      <w:pPr>
        <w:pStyle w:val="BodyText"/>
        <w:spacing w:after="80"/>
        <w:jc w:val="both"/>
      </w:pPr>
      <w:r>
        <w:t xml:space="preserve">VI - o cessionário do herdeiro ou do legatário;</w:t>
      </w:r>
    </w:p>
    <w:p>
      <w:pPr>
        <w:pStyle w:val="BodyText"/>
        <w:spacing w:after="80"/>
        <w:jc w:val="both"/>
      </w:pPr>
      <w:r>
        <w:t xml:space="preserve">VII - o inventariante judicial, se houver;</w:t>
      </w:r>
    </w:p>
    <w:p>
      <w:pPr>
        <w:pStyle w:val="BodyText"/>
        <w:keepNext/>
        <w:spacing w:after="80"/>
        <w:jc w:val="both"/>
      </w:pPr>
      <w:r>
        <w:t xml:space="preserve">VIII - pessoa estranha idônea, quando não houver inventariante judicial.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2683"/>
        <w:gridCol w:w="4766"/>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8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6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VIII — inventariante dativo: remuneração (tese)</w:t>
            </w:r>
          </w:p>
        </w:tc>
        <w:tc>
          <w:tcPr>
            <w:tcW w:type="dxa" w:w="2683"/>
          </w:tcPr>
          <w:p>
            <w:pPr>
              <w:pStyle w:val="Compact"/>
              <w:spacing w:line="276" w:lineRule="auto" w:before="40" w:after="40"/>
            </w:pPr>
            <w:r>
              <w:rPr>
                <w:rFonts w:ascii="Liberation Sans Narrow" w:hAnsi="Liberation Sans Narrow"/>
                <w:sz w:val="18"/>
              </w:rPr>
              <w:t xml:space="preserve">STJ, AREsp 2.759.674, Quarta Turma, relator Min. João Otávio de Noronha, julgado em 09/02/2026, DJEN de 12/02/2026</w:t>
            </w:r>
          </w:p>
        </w:tc>
        <w:tc>
          <w:tcPr>
            <w:tcW w:type="dxa" w:w="4766"/>
          </w:tcPr>
          <w:p>
            <w:pPr>
              <w:pStyle w:val="Compact"/>
              <w:spacing w:line="276" w:lineRule="auto" w:before="40" w:after="40"/>
            </w:pPr>
            <w:r>
              <w:rPr>
                <w:rFonts w:ascii="Liberation Sans Narrow" w:hAnsi="Liberation Sans Narrow"/>
                <w:sz w:val="18"/>
              </w:rPr>
              <w:t xml:space="preserve">A remuneração do inventariante dativo deve ser arbitrada ao término da inventariança, mediante apreciação equitativa do trabalho realizado, considerando a complexidade, a duração e a extensão das atividades efetivamente desempenhadas, e não previamente em percentual fixo sobre o monte partilhável.</w:t>
            </w:r>
          </w:p>
        </w:tc>
      </w:tr>
    </w:tbl>
    <w:p>
      <w:pPr>
        <w:pStyle w:val="BodyText"/>
        <w:spacing w:after="80"/>
        <w:jc w:val="both"/>
      </w:pPr>
      <w:r>
        <w:t xml:space="preserve">Parágrafo único. O inventariante, intimado da nomeação, prestará, dentro de 5 (cinco) dias, o compromisso de bem e fielmente desempenhar a função.</w:t>
      </w:r>
    </w:p>
    <w:bookmarkEnd w:id="377"/>
    <w:bookmarkStart w:id="378" w:name="art.-618"/>
    <w:p>
      <w:pPr>
        <w:pStyle w:val="Heading6"/>
        <w:pBdr>
          <w:left w:val="single" w:sz="36" w:space="4" w:color="2E75B6"/>
        </w:pBdr>
        <w:shd w:val="clear" w:color="auto" w:fill="E3EEF9"/>
        <w:spacing w:before="200" w:after="80"/>
        <w:ind w:left="85"/>
      </w:pPr>
      <w:r>
        <w:rPr>
          <w:i w:val="0"/>
          <w:color w:val="1F3A5F"/>
          <w:sz w:val="23"/>
        </w:rPr>
        <w:t xml:space="preserve">Art. 618</w:t>
      </w:r>
    </w:p>
    <w:p>
      <w:pPr>
        <w:pStyle w:val="FirstParagraph"/>
        <w:spacing w:after="80"/>
        <w:jc w:val="both"/>
      </w:pPr>
      <w:r>
        <w:rPr>
          <w:b/>
          <w:bCs/>
        </w:rPr>
        <w:t xml:space="preserve">Art. 618.</w:t>
      </w:r>
      <w:r>
        <w:t xml:space="preserve"> </w:t>
      </w:r>
      <w:r>
        <w:t xml:space="preserve">Incumbe ao inventariante:</w:t>
      </w:r>
    </w:p>
    <w:p>
      <w:pPr>
        <w:pStyle w:val="BodyText"/>
        <w:keepNext/>
        <w:spacing w:after="80"/>
        <w:jc w:val="both"/>
      </w:pPr>
      <w:r>
        <w:t xml:space="preserve">I - representar o espólio ativa e passivamente, em juízo ou fora dele, observando-se, quanto ao dativo, o disposto no art. 75, § 1º;</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2725"/>
        <w:gridCol w:w="509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2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09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I — tese</w:t>
            </w:r>
          </w:p>
        </w:tc>
        <w:tc>
          <w:tcPr>
            <w:tcW w:type="dxa" w:w="2725"/>
          </w:tcPr>
          <w:p>
            <w:pPr>
              <w:pStyle w:val="Compact"/>
              <w:spacing w:line="276" w:lineRule="auto" w:before="40" w:after="40"/>
            </w:pPr>
            <w:r>
              <w:rPr>
                <w:rFonts w:ascii="Liberation Sans Narrow" w:hAnsi="Liberation Sans Narrow"/>
                <w:sz w:val="18"/>
              </w:rPr>
              <w:t xml:space="preserve">STJ, REsp 2.042.040, Terceira Turma, relatora Min. Nancy Andrighi, julgado em 21/05/2024, DJe de 24/05/2024</w:t>
            </w:r>
          </w:p>
        </w:tc>
        <w:tc>
          <w:tcPr>
            <w:tcW w:type="dxa" w:w="5099"/>
          </w:tcPr>
          <w:p>
            <w:pPr>
              <w:pStyle w:val="Compact"/>
              <w:spacing w:line="276" w:lineRule="auto" w:before="40" w:after="40"/>
            </w:pPr>
            <w:r>
              <w:rPr>
                <w:rFonts w:ascii="Liberation Sans Narrow" w:hAnsi="Liberation Sans Narrow"/>
                <w:sz w:val="18"/>
              </w:rPr>
              <w:t xml:space="preserve">Como regra, o polo passivo é ocupado apenas pelo espólio, representado pelo inventariante; havendo inventariança dativa, o espólio continua sendo parte e a representação processual passa ao herdeiro ou sucessor, que também participa da ação.</w:t>
            </w:r>
          </w:p>
        </w:tc>
      </w:tr>
    </w:tbl>
    <w:p>
      <w:pPr>
        <w:pStyle w:val="BodyText"/>
        <w:keepNext/>
        <w:spacing w:after="80"/>
        <w:jc w:val="both"/>
      </w:pPr>
      <w:r>
        <w:t xml:space="preserve">II - administrar o espólio, velando-lhe os bens com a mesma diligência que teria se seus fossem;</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28"/>
        <w:gridCol w:w="2639"/>
        <w:gridCol w:w="4787"/>
      </w:tblGrid>
      <w:tr>
        <w:trPr>
          <w:tblHeader w:val="on"/>
          <w:cantSplit/>
          <w:tblHeader/>
        </w:trPr>
        <w:tc>
          <w:tcPr>
            <w:tcW w:type="dxa" w:w="1928"/>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3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87"/>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28"/>
          </w:tcPr>
          <w:p>
            <w:pPr>
              <w:pStyle w:val="Compact"/>
              <w:spacing w:line="276" w:lineRule="auto" w:before="40" w:after="40"/>
            </w:pPr>
            <w:r>
              <w:rPr>
                <w:rFonts w:ascii="Liberation Sans Narrow" w:hAnsi="Liberation Sans Narrow"/>
                <w:sz w:val="18"/>
              </w:rPr>
              <w:t xml:space="preserve">II — dever de velar pelos bens do espólio (orientação de aplicação)</w:t>
            </w:r>
          </w:p>
        </w:tc>
        <w:tc>
          <w:tcPr>
            <w:tcW w:type="dxa" w:w="2639"/>
          </w:tcPr>
          <w:p>
            <w:pPr>
              <w:pStyle w:val="Compact"/>
              <w:spacing w:line="276" w:lineRule="auto" w:before="40" w:after="40"/>
            </w:pPr>
            <w:r>
              <w:rPr>
                <w:rFonts w:ascii="Liberation Sans Narrow" w:hAnsi="Liberation Sans Narrow"/>
                <w:sz w:val="18"/>
              </w:rPr>
              <w:t xml:space="preserve">STJ, REsp 1.655.720, Terceira Turma, relatora Min. Nancy Andrighi, julgado em 09/10/2018, DJe de 15/10/2018</w:t>
            </w:r>
          </w:p>
        </w:tc>
        <w:tc>
          <w:tcPr>
            <w:tcW w:type="dxa" w:w="4787"/>
          </w:tcPr>
          <w:p>
            <w:pPr>
              <w:pStyle w:val="Compact"/>
              <w:spacing w:line="276" w:lineRule="auto" w:before="40" w:after="40"/>
            </w:pPr>
            <w:r>
              <w:rPr>
                <w:rFonts w:ascii="Liberation Sans Narrow" w:hAnsi="Liberation Sans Narrow"/>
                <w:sz w:val="18"/>
              </w:rPr>
              <w:t xml:space="preserve">Os atos de disposição, transação ou aplicação de valores pelo inventariante dependem, em regra, de prévia oitiva dos interessados e de autorização judicial (art. 619); excepcionalmente, a exigência é flexibilizada quando o ato visou proteger o patrimônio comum de deterioração irreversível, conduta que se amolda ao dever de velar pelos bens do espólio com a diligência que teria se seus fossem (art. 618, II).</w:t>
            </w:r>
          </w:p>
        </w:tc>
      </w:tr>
    </w:tbl>
    <w:p>
      <w:pPr>
        <w:pStyle w:val="BodyText"/>
        <w:spacing w:after="80"/>
        <w:jc w:val="both"/>
      </w:pPr>
      <w:r>
        <w:t xml:space="preserve">III - prestar as primeiras e as últimas declarações pessoalmente ou por procurador com poderes especiais;</w:t>
      </w:r>
    </w:p>
    <w:p>
      <w:pPr>
        <w:pStyle w:val="BodyText"/>
        <w:spacing w:after="80"/>
        <w:jc w:val="both"/>
      </w:pPr>
      <w:r>
        <w:t xml:space="preserve">IV - exibir em cartório, a qualquer tempo, para exame das partes, os documentos relativos ao espólio;</w:t>
      </w:r>
    </w:p>
    <w:p>
      <w:pPr>
        <w:pStyle w:val="BodyText"/>
        <w:spacing w:after="80"/>
        <w:jc w:val="both"/>
      </w:pPr>
      <w:r>
        <w:t xml:space="preserve">V - juntar aos autos certidão do testamento, se houver;</w:t>
      </w:r>
    </w:p>
    <w:p>
      <w:pPr>
        <w:pStyle w:val="BodyText"/>
        <w:spacing w:after="80"/>
        <w:jc w:val="both"/>
      </w:pPr>
      <w:r>
        <w:t xml:space="preserve">VI - trazer à colação os bens recebidos pelo herdeiro ausente, renunciante ou excluído;</w:t>
      </w:r>
    </w:p>
    <w:p>
      <w:pPr>
        <w:pStyle w:val="BodyText"/>
        <w:spacing w:after="80"/>
        <w:jc w:val="both"/>
      </w:pPr>
      <w:r>
        <w:t xml:space="preserve">VII - prestar contas de sua gestão ao deixar o cargo ou sempre que o juiz lhe determinar;</w:t>
      </w:r>
    </w:p>
    <w:p>
      <w:pPr>
        <w:pStyle w:val="BodyText"/>
        <w:spacing w:after="80"/>
        <w:jc w:val="both"/>
      </w:pPr>
      <w:r>
        <w:t xml:space="preserve">VIII - requerer a declaração de insolvência.</w:t>
      </w:r>
    </w:p>
    <w:bookmarkEnd w:id="378"/>
    <w:bookmarkStart w:id="379" w:name="art.-619"/>
    <w:p>
      <w:pPr>
        <w:pStyle w:val="Heading6"/>
        <w:pBdr>
          <w:left w:val="single" w:sz="36" w:space="4" w:color="2E75B6"/>
        </w:pBdr>
        <w:shd w:val="clear" w:color="auto" w:fill="E3EEF9"/>
        <w:spacing w:before="200" w:after="80"/>
        <w:ind w:left="85"/>
      </w:pPr>
      <w:r>
        <w:rPr>
          <w:i w:val="0"/>
          <w:color w:val="1F3A5F"/>
          <w:sz w:val="23"/>
        </w:rPr>
        <w:t xml:space="preserve">Art. 619</w:t>
      </w:r>
    </w:p>
    <w:p>
      <w:pPr>
        <w:pStyle w:val="FirstParagraph"/>
        <w:keepNext/>
        <w:spacing w:after="80"/>
        <w:jc w:val="both"/>
      </w:pPr>
      <w:r>
        <w:rPr>
          <w:b/>
          <w:bCs/>
        </w:rPr>
        <w:t xml:space="preserve">Art. 619.</w:t>
      </w:r>
      <w:r>
        <w:t xml:space="preserve"> </w:t>
      </w:r>
      <w:r>
        <w:t xml:space="preserve">Incumbe ainda ao inventariante, ouvidos os interessados e com autorização do juiz:</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442"/>
        <w:gridCol w:w="2353"/>
        <w:gridCol w:w="4559"/>
      </w:tblGrid>
      <w:tr>
        <w:trPr>
          <w:tblHeader w:val="on"/>
          <w:cantSplit/>
          <w:tblHeader/>
        </w:trPr>
        <w:tc>
          <w:tcPr>
            <w:tcW w:type="dxa" w:w="244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35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55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442"/>
          </w:tcPr>
          <w:p>
            <w:pPr>
              <w:pStyle w:val="Compact"/>
              <w:spacing w:line="276" w:lineRule="auto" w:before="40" w:after="40"/>
            </w:pPr>
            <w:r>
              <w:rPr>
                <w:rFonts w:ascii="Liberation Sans Narrow" w:hAnsi="Liberation Sans Narrow"/>
                <w:sz w:val="18"/>
              </w:rPr>
              <w:t xml:space="preserve">caput — oitiva dos interessados e autorização judicial (orientação de aplicação) (aplicação narrada)</w:t>
            </w:r>
          </w:p>
        </w:tc>
        <w:tc>
          <w:tcPr>
            <w:tcW w:type="dxa" w:w="2353"/>
          </w:tcPr>
          <w:p>
            <w:pPr>
              <w:pStyle w:val="Compact"/>
              <w:spacing w:line="276" w:lineRule="auto" w:before="40" w:after="40"/>
            </w:pPr>
            <w:r>
              <w:rPr>
                <w:rFonts w:ascii="Liberation Sans Narrow" w:hAnsi="Liberation Sans Narrow"/>
                <w:sz w:val="18"/>
              </w:rPr>
              <w:t xml:space="preserve">STJ, AgInt no AREsp 3.068.426, Quinta Turma, relatora Min. Daniela Teixeira, julgado em 01/06/2026</w:t>
            </w:r>
          </w:p>
        </w:tc>
        <w:tc>
          <w:tcPr>
            <w:tcW w:type="dxa" w:w="4559"/>
          </w:tcPr>
          <w:p>
            <w:pPr>
              <w:pStyle w:val="Compact"/>
              <w:spacing w:line="276" w:lineRule="auto" w:before="40" w:after="40"/>
            </w:pPr>
            <w:r>
              <w:rPr>
                <w:rFonts w:ascii="Liberation Sans Narrow" w:hAnsi="Liberation Sans Narrow"/>
                <w:sz w:val="18"/>
              </w:rPr>
              <w:t xml:space="preserve">O contrato de arrendamento rural firmado pela inventariante sobre imóvel do espólio, sem a anuência dos coerdeiros e sem autorização judicial, é ineficaz, por extrapolar os poderes de administração do inventariante sobre bem ainda não partilhado. Trecho: “O acórdão recorrido, ao reconhecer a ineficácia do contrato de arrendamento rural celebrado pela inventariante sem anuência de herdeira e sem autorização judicial, por se tratar de ato de oneração que extrapola a mera administração de bens do espólio, aplica entendimento consolidado do STJ segundo o qual:”</w:t>
            </w:r>
          </w:p>
        </w:tc>
      </w:tr>
    </w:tbl>
    <w:p>
      <w:pPr>
        <w:pStyle w:val="BodyText"/>
        <w:keepNext/>
        <w:spacing w:after="80"/>
        <w:jc w:val="both"/>
      </w:pPr>
      <w:r>
        <w:t xml:space="preserve">I - alienar bens de qualquer espécie;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85"/>
        <w:gridCol w:w="2761"/>
        <w:gridCol w:w="5008"/>
      </w:tblGrid>
      <w:tr>
        <w:trPr>
          <w:tblHeader w:val="on"/>
          <w:cantSplit/>
          <w:tblHeader/>
        </w:trPr>
        <w:tc>
          <w:tcPr>
            <w:tcW w:type="dxa" w:w="1586"/>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6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008"/>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86"/>
          </w:tcPr>
          <w:p>
            <w:pPr>
              <w:pStyle w:val="Compact"/>
              <w:spacing w:line="276" w:lineRule="auto" w:before="40" w:after="40"/>
            </w:pPr>
            <w:r>
              <w:rPr>
                <w:rFonts w:ascii="Liberation Sans Narrow" w:hAnsi="Liberation Sans Narrow"/>
                <w:sz w:val="18"/>
              </w:rPr>
              <w:t xml:space="preserve">I — orientação de aplicação (aplicação narrada)</w:t>
            </w:r>
          </w:p>
        </w:tc>
        <w:tc>
          <w:tcPr>
            <w:tcW w:type="dxa" w:w="2761"/>
          </w:tcPr>
          <w:p>
            <w:pPr>
              <w:pStyle w:val="Compact"/>
              <w:spacing w:line="276" w:lineRule="auto" w:before="40" w:after="40"/>
            </w:pPr>
            <w:r>
              <w:rPr>
                <w:rFonts w:ascii="Liberation Sans Narrow" w:hAnsi="Liberation Sans Narrow"/>
                <w:sz w:val="18"/>
              </w:rPr>
              <w:t xml:space="preserve">STJ, REsp 2.195.594, Terceira Turma, relatora Min. Nancy Andrighi, julgado em 07/04/2026, DJe de 14/04/2026</w:t>
            </w:r>
          </w:p>
        </w:tc>
        <w:tc>
          <w:tcPr>
            <w:tcW w:type="dxa" w:w="5008"/>
          </w:tcPr>
          <w:p>
            <w:pPr>
              <w:pStyle w:val="Compact"/>
              <w:spacing w:line="276" w:lineRule="auto" w:before="40" w:after="40"/>
            </w:pPr>
            <w:r>
              <w:rPr>
                <w:rFonts w:ascii="Liberation Sans Narrow" w:hAnsi="Liberation Sans Narrow"/>
                <w:sz w:val="18"/>
              </w:rPr>
              <w:t xml:space="preserve">Nos termos do artigo 619, inciso I do CPC, incumbe ao inventariante a alienação de bens do espólio, desde que sejam ouvidos os interessados e que haja autorização judicial para tanto. Trecho: “Nos termos do artigo 619, inciso I do CPC, incumbe ao inventariante a alienação de bens do espólio, desde que sejam ouvidos os interessados e que haja autorização judicial para tanto.”</w:t>
            </w:r>
          </w:p>
        </w:tc>
      </w:tr>
    </w:tbl>
    <w:p>
      <w:pPr>
        <w:pStyle w:val="BodyText"/>
        <w:spacing w:after="80"/>
        <w:jc w:val="both"/>
      </w:pPr>
      <w:r>
        <w:t xml:space="preserve">II - transigir em juízo ou fora dele;</w:t>
      </w:r>
    </w:p>
    <w:p>
      <w:pPr>
        <w:pStyle w:val="BodyText"/>
        <w:spacing w:after="80"/>
        <w:jc w:val="both"/>
      </w:pPr>
      <w:r>
        <w:t xml:space="preserve">III - pagar dívidas do espólio;</w:t>
      </w:r>
    </w:p>
    <w:p>
      <w:pPr>
        <w:pStyle w:val="BodyText"/>
        <w:spacing w:after="80"/>
        <w:jc w:val="both"/>
      </w:pPr>
      <w:r>
        <w:t xml:space="preserve">IV - fazer as despesas necessárias para a conservação e o melhoramento dos bens do espólio.</w:t>
      </w:r>
    </w:p>
    <w:bookmarkEnd w:id="379"/>
    <w:bookmarkStart w:id="380" w:name="art.-620"/>
    <w:p>
      <w:pPr>
        <w:pStyle w:val="Heading6"/>
        <w:pBdr>
          <w:left w:val="single" w:sz="36" w:space="4" w:color="2E75B6"/>
        </w:pBdr>
        <w:shd w:val="clear" w:color="auto" w:fill="E3EEF9"/>
        <w:spacing w:before="200" w:after="80"/>
        <w:ind w:left="85"/>
      </w:pPr>
      <w:r>
        <w:rPr>
          <w:i w:val="0"/>
          <w:color w:val="1F3A5F"/>
          <w:sz w:val="23"/>
        </w:rPr>
        <w:t xml:space="preserve">Art. 620</w:t>
      </w:r>
    </w:p>
    <w:p>
      <w:pPr>
        <w:pStyle w:val="FirstParagraph"/>
        <w:keepNext/>
        <w:spacing w:after="80"/>
        <w:jc w:val="both"/>
      </w:pPr>
      <w:r>
        <w:rPr>
          <w:b/>
          <w:bCs/>
        </w:rPr>
        <w:t xml:space="preserve">Art. 620.</w:t>
      </w:r>
      <w:r>
        <w:t xml:space="preserve"> </w:t>
      </w:r>
      <w:r>
        <w:t xml:space="preserve">Dentro de 20 (vinte) dias contados da data em que prestou o compromisso, o inventariante fará as primeiras declarações, das quais se lavrará termo circunstanciado, assinado pelo juiz, pelo escrivão e pelo inventariante, no qual serão exarados: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36"/>
        <w:gridCol w:w="2541"/>
        <w:gridCol w:w="4578"/>
      </w:tblGrid>
      <w:tr>
        <w:trPr>
          <w:tblHeader w:val="on"/>
          <w:cantSplit/>
          <w:tblHeader/>
        </w:trPr>
        <w:tc>
          <w:tcPr>
            <w:tcW w:type="dxa" w:w="2236"/>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4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577"/>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36"/>
          </w:tcPr>
          <w:p>
            <w:pPr>
              <w:pStyle w:val="Compact"/>
              <w:spacing w:line="276" w:lineRule="auto" w:before="40" w:after="40"/>
            </w:pPr>
            <w:r>
              <w:rPr>
                <w:rFonts w:ascii="Liberation Sans Narrow" w:hAnsi="Liberation Sans Narrow"/>
                <w:sz w:val="18"/>
              </w:rPr>
              <w:t xml:space="preserve">Meação do cônjuge sobrevivente: últimas declarações, certidões e levantamento antecipado</w:t>
            </w:r>
          </w:p>
        </w:tc>
        <w:tc>
          <w:tcPr>
            <w:tcW w:type="dxa" w:w="2541"/>
          </w:tcPr>
          <w:p>
            <w:pPr>
              <w:pStyle w:val="Compact"/>
              <w:spacing w:line="276" w:lineRule="auto" w:before="40" w:after="40"/>
            </w:pPr>
            <w:r>
              <w:rPr>
                <w:rFonts w:ascii="Liberation Sans Narrow" w:hAnsi="Liberation Sans Narrow"/>
                <w:sz w:val="18"/>
              </w:rPr>
              <w:t xml:space="preserve">STJ, REsp 2.261.913, Terceira Turma, relatora Min. Nancy Andrighi, julgado em 08/06/2026, DJEN de 11/06/2026</w:t>
            </w:r>
          </w:p>
        </w:tc>
        <w:tc>
          <w:tcPr>
            <w:tcW w:type="dxa" w:w="4577"/>
          </w:tcPr>
          <w:p>
            <w:pPr>
              <w:pStyle w:val="Compact"/>
              <w:spacing w:line="276" w:lineRule="auto" w:before="40" w:after="40"/>
            </w:pPr>
            <w:r>
              <w:rPr>
                <w:rFonts w:ascii="Liberation Sans Narrow" w:hAnsi="Liberation Sans Narrow"/>
                <w:sz w:val="18"/>
              </w:rPr>
              <w:t xml:space="preserve">A meação é direito próprio do cônjuge sobrevivente, fora do acervo hereditário; as exigências de últimas declarações e de certidões negativas, voltadas ao passivo do espólio, não alcançam a meação, e o levantamento antecipado é admitido se demonstradas urgência e necessidade.</w:t>
            </w:r>
          </w:p>
        </w:tc>
      </w:tr>
    </w:tbl>
    <w:p>
      <w:pPr>
        <w:pStyle w:val="BodyText"/>
        <w:spacing w:after="80"/>
        <w:jc w:val="both"/>
      </w:pPr>
      <w:r>
        <w:t xml:space="preserve">I - o nome, o estado, a idade e o domicílio do autor da herança, o dia e o lugar em que faleceu e se deixou testamento;</w:t>
      </w:r>
    </w:p>
    <w:p>
      <w:pPr>
        <w:pStyle w:val="BodyText"/>
        <w:spacing w:after="80"/>
        <w:jc w:val="both"/>
      </w:pPr>
      <w:r>
        <w:t xml:space="preserve">II - o nome, o estado, a idade, o endereço eletrônico e a residência dos herdeiros e, havendo cônjuge ou companheiro supérstite, além dos respectivos dados pessoais, o regime de bens do casamento ou da união estável;</w:t>
      </w:r>
    </w:p>
    <w:p>
      <w:pPr>
        <w:pStyle w:val="BodyText"/>
        <w:spacing w:after="80"/>
        <w:jc w:val="both"/>
      </w:pPr>
      <w:r>
        <w:t xml:space="preserve">III - a qualidade dos herdeiros e o grau de parentesco com o inventariado;</w:t>
      </w:r>
    </w:p>
    <w:p>
      <w:pPr>
        <w:pStyle w:val="BodyText"/>
        <w:spacing w:after="80"/>
        <w:jc w:val="both"/>
      </w:pPr>
      <w:r>
        <w:t xml:space="preserve">IV - a relação completa e individualizada de todos os bens do espólio, inclusive aqueles que devem ser conferidos à colação, e dos bens alheios que nele forem encontrados, descrevendo-se:</w:t>
      </w:r>
    </w:p>
    <w:p>
      <w:pPr>
        <w:pStyle w:val="BodyText"/>
        <w:spacing w:after="80"/>
        <w:jc w:val="both"/>
      </w:pPr>
      <w:r>
        <w:t xml:space="preserve">a) os imóveis, com as suas especificações, nomeadamente local em que se encontram, extensão da área, limites, confrontações, benfeitorias, origem dos títulos, números das matrículas e ônus que os gravam;</w:t>
      </w:r>
    </w:p>
    <w:p>
      <w:pPr>
        <w:pStyle w:val="BodyText"/>
        <w:spacing w:after="80"/>
        <w:jc w:val="both"/>
      </w:pPr>
      <w:r>
        <w:t xml:space="preserve">b) os móveis, com os sinais característicos;</w:t>
      </w:r>
    </w:p>
    <w:p>
      <w:pPr>
        <w:pStyle w:val="BodyText"/>
        <w:spacing w:after="80"/>
        <w:jc w:val="both"/>
      </w:pPr>
      <w:r>
        <w:t xml:space="preserve">c) os semoventes, seu número, suas espécies, suas marcas e seus sinais distintivos;</w:t>
      </w:r>
    </w:p>
    <w:p>
      <w:pPr>
        <w:pStyle w:val="BodyText"/>
        <w:spacing w:after="80"/>
        <w:jc w:val="both"/>
      </w:pPr>
      <w:r>
        <w:t xml:space="preserve">d) o dinheiro, as joias, os objetos de ouro e prata e as pedras preciosas, declarando-se-lhes especificadamente a qualidade, o peso e a importância;</w:t>
      </w:r>
    </w:p>
    <w:p>
      <w:pPr>
        <w:pStyle w:val="BodyText"/>
        <w:spacing w:after="80"/>
        <w:jc w:val="both"/>
      </w:pPr>
      <w:r>
        <w:t xml:space="preserve">e) os títulos da dívida pública, bem como as ações, as quotas e os títulos de sociedade, mencionando-se-lhes o número, o valor e a data;</w:t>
      </w:r>
    </w:p>
    <w:p>
      <w:pPr>
        <w:pStyle w:val="BodyText"/>
        <w:spacing w:after="80"/>
        <w:jc w:val="both"/>
      </w:pPr>
      <w:r>
        <w:t xml:space="preserve">f) as dívidas ativas e passivas, indicando-se-lhes as datas, os títulos, a origem da obrigação e os nomes dos credores e dos devedores;</w:t>
      </w:r>
    </w:p>
    <w:p>
      <w:pPr>
        <w:pStyle w:val="BodyText"/>
        <w:spacing w:after="80"/>
        <w:jc w:val="both"/>
      </w:pPr>
      <w:r>
        <w:t xml:space="preserve">g) direitos e ações;</w:t>
      </w:r>
    </w:p>
    <w:p>
      <w:pPr>
        <w:pStyle w:val="BodyText"/>
        <w:spacing w:after="80"/>
        <w:jc w:val="both"/>
      </w:pPr>
      <w:r>
        <w:t xml:space="preserve">h) o valor corrente de cada um dos bens do espólio.</w:t>
      </w:r>
    </w:p>
    <w:p>
      <w:pPr>
        <w:pStyle w:val="BodyText"/>
        <w:spacing w:after="80"/>
        <w:jc w:val="both"/>
      </w:pPr>
      <w:r>
        <w:t xml:space="preserve">§ 1º O juiz determinará que se proceda:</w:t>
      </w:r>
    </w:p>
    <w:p>
      <w:pPr>
        <w:pStyle w:val="BodyText"/>
        <w:spacing w:after="80"/>
        <w:jc w:val="both"/>
      </w:pPr>
      <w:r>
        <w:t xml:space="preserve">I - ao balanço do estabelecimento, se o autor da herança era empresário individual;</w:t>
      </w:r>
    </w:p>
    <w:p>
      <w:pPr>
        <w:pStyle w:val="BodyText"/>
        <w:spacing w:after="80"/>
        <w:jc w:val="both"/>
      </w:pPr>
      <w:r>
        <w:t xml:space="preserve">II - à apuração de haveres, se o autor da herança era sócio de sociedade que não anônima.</w:t>
      </w:r>
    </w:p>
    <w:p>
      <w:pPr>
        <w:pStyle w:val="BodyText"/>
        <w:spacing w:after="80"/>
        <w:jc w:val="both"/>
      </w:pPr>
      <w:r>
        <w:t xml:space="preserve">§ 2º As declarações podem ser prestadas mediante petição, firmada por procurador com poderes especiais, à qual o termo se reportará.</w:t>
      </w:r>
    </w:p>
    <w:bookmarkEnd w:id="380"/>
    <w:bookmarkStart w:id="381" w:name="art.-621"/>
    <w:p>
      <w:pPr>
        <w:pStyle w:val="Heading6"/>
        <w:pBdr>
          <w:left w:val="single" w:sz="36" w:space="4" w:color="2E75B6"/>
        </w:pBdr>
        <w:shd w:val="clear" w:color="auto" w:fill="E3EEF9"/>
        <w:spacing w:before="200" w:after="80"/>
        <w:ind w:left="85"/>
      </w:pPr>
      <w:r>
        <w:rPr>
          <w:i w:val="0"/>
          <w:color w:val="1F3A5F"/>
          <w:sz w:val="23"/>
        </w:rPr>
        <w:t xml:space="preserve">Art. 621</w:t>
      </w:r>
    </w:p>
    <w:p>
      <w:pPr>
        <w:pStyle w:val="FirstParagraph"/>
        <w:spacing w:after="80"/>
        <w:jc w:val="both"/>
      </w:pPr>
      <w:r>
        <w:rPr>
          <w:b/>
          <w:bCs/>
        </w:rPr>
        <w:t xml:space="preserve">Art. 621.</w:t>
      </w:r>
      <w:r>
        <w:t xml:space="preserve"> </w:t>
      </w:r>
      <w:r>
        <w:t xml:space="preserve">Só se pode arguir sonegação ao inventariante depois de encerrada a descrição dos bens, com a declaração, por ele feita, de não existirem outros por inventariar.</w:t>
      </w:r>
    </w:p>
    <w:bookmarkEnd w:id="381"/>
    <w:bookmarkStart w:id="382" w:name="art.-622"/>
    <w:p>
      <w:pPr>
        <w:pStyle w:val="Heading6"/>
        <w:pBdr>
          <w:left w:val="single" w:sz="36" w:space="4" w:color="2E75B6"/>
        </w:pBdr>
        <w:shd w:val="clear" w:color="auto" w:fill="E3EEF9"/>
        <w:spacing w:before="200" w:after="80"/>
        <w:ind w:left="85"/>
      </w:pPr>
      <w:r>
        <w:rPr>
          <w:i w:val="0"/>
          <w:color w:val="1F3A5F"/>
          <w:sz w:val="23"/>
        </w:rPr>
        <w:t xml:space="preserve">Art. 622</w:t>
      </w:r>
    </w:p>
    <w:p>
      <w:pPr>
        <w:pStyle w:val="FirstParagraph"/>
        <w:spacing w:after="80"/>
        <w:jc w:val="both"/>
      </w:pPr>
      <w:r>
        <w:rPr>
          <w:b/>
          <w:bCs/>
        </w:rPr>
        <w:t xml:space="preserve">Art. 622.</w:t>
      </w:r>
      <w:r>
        <w:t xml:space="preserve"> </w:t>
      </w:r>
      <w:r>
        <w:t xml:space="preserve">O inventariante será removido de ofício ou a requerimento:</w:t>
      </w:r>
    </w:p>
    <w:p>
      <w:pPr>
        <w:pStyle w:val="BodyText"/>
        <w:keepNext/>
        <w:spacing w:after="80"/>
        <w:jc w:val="both"/>
      </w:pPr>
      <w:r>
        <w:t xml:space="preserve">I - se não prestar, no prazo legal, as primeiras ou as últimas declarações;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70"/>
        <w:gridCol w:w="2479"/>
        <w:gridCol w:w="5204"/>
      </w:tblGrid>
      <w:tr>
        <w:trPr>
          <w:tblHeader w:val="on"/>
          <w:cantSplit/>
          <w:tblHeader/>
        </w:trPr>
        <w:tc>
          <w:tcPr>
            <w:tcW w:type="dxa" w:w="167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47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20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71"/>
          </w:tcPr>
          <w:p>
            <w:pPr>
              <w:pStyle w:val="Compact"/>
              <w:spacing w:line="276" w:lineRule="auto" w:before="40" w:after="40"/>
            </w:pPr>
            <w:r>
              <w:rPr>
                <w:rFonts w:ascii="Liberation Sans Narrow" w:hAnsi="Liberation Sans Narrow"/>
                <w:sz w:val="18"/>
              </w:rPr>
              <w:t xml:space="preserve">I — não prestação das declarações no prazo legal</w:t>
            </w:r>
          </w:p>
        </w:tc>
        <w:tc>
          <w:tcPr>
            <w:tcW w:type="dxa" w:w="2479"/>
          </w:tcPr>
          <w:p>
            <w:pPr>
              <w:pStyle w:val="Compact"/>
              <w:spacing w:line="276" w:lineRule="auto" w:before="40" w:after="40"/>
            </w:pPr>
            <w:r>
              <w:rPr>
                <w:rFonts w:ascii="Liberation Sans Narrow" w:hAnsi="Liberation Sans Narrow"/>
                <w:sz w:val="18"/>
              </w:rPr>
              <w:t xml:space="preserve">STJ, AgInt no AREsp 1.414.100, Quarta Turma, relator Min. Raul Araújo, DJe de 08/11/2023</w:t>
            </w:r>
          </w:p>
        </w:tc>
        <w:tc>
          <w:tcPr>
            <w:tcW w:type="dxa" w:w="5204"/>
          </w:tcPr>
          <w:p>
            <w:pPr>
              <w:pStyle w:val="Compact"/>
              <w:spacing w:line="276" w:lineRule="auto" w:before="40" w:after="40"/>
            </w:pPr>
            <w:r>
              <w:rPr>
                <w:rFonts w:ascii="Liberation Sans Narrow" w:hAnsi="Liberation Sans Narrow"/>
                <w:sz w:val="18"/>
              </w:rPr>
              <w:t xml:space="preserve">A ordem de nomeação do inventariante não tem caráter absoluto e pode ser alterada em situação excepcional, com fundadas razões do juiz. O magistrado pode remover o inventariante ao verificar vícios que amparem a medida: no caso, além da animosidade excessiva entre as partes, houve grave omissão consistente em não apresentar as primeiras declarações sete anos após a abertura do inventário, hipótese do art. 622, I.</w:t>
            </w:r>
          </w:p>
        </w:tc>
      </w:tr>
    </w:tbl>
    <w:p>
      <w:pPr>
        <w:pStyle w:val="BodyText"/>
        <w:spacing w:after="80"/>
        <w:jc w:val="both"/>
      </w:pPr>
      <w:r>
        <w:t xml:space="preserve">II - se não der ao inventário andamento regular, se suscitar dúvidas infundadas ou se praticar atos meramente protelatórios;</w:t>
      </w:r>
    </w:p>
    <w:p>
      <w:pPr>
        <w:pStyle w:val="BodyText"/>
        <w:spacing w:after="80"/>
        <w:jc w:val="both"/>
      </w:pPr>
      <w:r>
        <w:t xml:space="preserve">III - se, por culpa sua, bens do espólio se deteriorarem, forem dilapidados ou sofrerem dano;</w:t>
      </w:r>
    </w:p>
    <w:p>
      <w:pPr>
        <w:pStyle w:val="BodyText"/>
        <w:spacing w:after="80"/>
        <w:jc w:val="both"/>
      </w:pPr>
      <w:r>
        <w:t xml:space="preserve">IV - se não defender o espólio nas ações em que for citado, se deixar de cobrar dívidas ativas ou se não promover as medidas necessárias para evitar o perecimento de direitos;</w:t>
      </w:r>
    </w:p>
    <w:p>
      <w:pPr>
        <w:pStyle w:val="BodyText"/>
        <w:spacing w:after="80"/>
        <w:jc w:val="both"/>
      </w:pPr>
      <w:r>
        <w:t xml:space="preserve">V - se não prestar contas ou se as que prestar não forem julgadas boas;</w:t>
      </w:r>
    </w:p>
    <w:p>
      <w:pPr>
        <w:pStyle w:val="BodyText"/>
        <w:spacing w:after="80"/>
        <w:jc w:val="both"/>
      </w:pPr>
      <w:r>
        <w:t xml:space="preserve">VI - se sonegar, ocultar ou desviar bens do espólio.</w:t>
      </w:r>
    </w:p>
    <w:bookmarkEnd w:id="382"/>
    <w:bookmarkStart w:id="383" w:name="art.-623"/>
    <w:p>
      <w:pPr>
        <w:pStyle w:val="Heading6"/>
        <w:pBdr>
          <w:left w:val="single" w:sz="36" w:space="4" w:color="2E75B6"/>
        </w:pBdr>
        <w:shd w:val="clear" w:color="auto" w:fill="E3EEF9"/>
        <w:spacing w:before="200" w:after="80"/>
        <w:ind w:left="85"/>
      </w:pPr>
      <w:r>
        <w:rPr>
          <w:i w:val="0"/>
          <w:color w:val="1F3A5F"/>
          <w:sz w:val="23"/>
        </w:rPr>
        <w:t xml:space="preserve">Art. 623</w:t>
      </w:r>
    </w:p>
    <w:p>
      <w:pPr>
        <w:pStyle w:val="FirstParagraph"/>
        <w:keepNext/>
        <w:spacing w:after="80"/>
        <w:jc w:val="both"/>
      </w:pPr>
      <w:r>
        <w:rPr>
          <w:b/>
          <w:bCs/>
        </w:rPr>
        <w:t xml:space="preserve">Art. 623.</w:t>
      </w:r>
      <w:r>
        <w:t xml:space="preserve"> </w:t>
      </w:r>
      <w:r>
        <w:t xml:space="preserve">Requerida a remoção com fundamento em qualquer dos incisos do art. 622, será intimado o inventariante para, no prazo de 15 (quinze) dias, defender-se e produzir provas.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847"/>
        <w:gridCol w:w="2668"/>
        <w:gridCol w:w="4840"/>
      </w:tblGrid>
      <w:tr>
        <w:trPr>
          <w:tblHeader w:val="on"/>
          <w:cantSplit/>
          <w:tblHeader/>
        </w:trPr>
        <w:tc>
          <w:tcPr>
            <w:tcW w:type="dxa" w:w="1847"/>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6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3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847"/>
          </w:tcPr>
          <w:p>
            <w:pPr>
              <w:pStyle w:val="Compact"/>
              <w:spacing w:line="276" w:lineRule="auto" w:before="40" w:after="40"/>
            </w:pPr>
            <w:r>
              <w:rPr>
                <w:rFonts w:ascii="Liberation Sans Narrow" w:hAnsi="Liberation Sans Narrow"/>
                <w:sz w:val="18"/>
              </w:rPr>
              <w:t xml:space="preserve">Caput — necessidade do incidente de remoção em autos apartados</w:t>
            </w:r>
          </w:p>
        </w:tc>
        <w:tc>
          <w:tcPr>
            <w:tcW w:type="dxa" w:w="2668"/>
          </w:tcPr>
          <w:p>
            <w:pPr>
              <w:pStyle w:val="Compact"/>
              <w:spacing w:line="276" w:lineRule="auto" w:before="40" w:after="40"/>
            </w:pPr>
            <w:r>
              <w:rPr>
                <w:rFonts w:ascii="Liberation Sans Narrow" w:hAnsi="Liberation Sans Narrow"/>
                <w:sz w:val="18"/>
              </w:rPr>
              <w:t xml:space="preserve">STJ, REsp 2.059.870, Terceira Turma, relatora Min. Nancy Andrighi, julgado em 21/11/2023, DJe de 01/12/2023</w:t>
            </w:r>
          </w:p>
        </w:tc>
        <w:tc>
          <w:tcPr>
            <w:tcW w:type="dxa" w:w="4839"/>
          </w:tcPr>
          <w:p>
            <w:pPr>
              <w:pStyle w:val="Compact"/>
              <w:spacing w:line="276" w:lineRule="auto" w:before="40" w:after="40"/>
            </w:pPr>
            <w:r>
              <w:rPr>
                <w:rFonts w:ascii="Liberation Sans Narrow" w:hAnsi="Liberation Sans Narrow"/>
                <w:sz w:val="18"/>
              </w:rPr>
              <w:t xml:space="preserve">Nos termos do art. 623, caput e parágrafo único, é necessária, em regra, a instauração de incidente de remoção do inventariante, em autos apartados, para garantir o contraditório; a ausência do incidente não gera nulidade quando o herdeiro não chegou a exercer a função e não se demonstrou prejuízo.</w:t>
            </w:r>
          </w:p>
        </w:tc>
      </w:tr>
    </w:tbl>
    <w:p>
      <w:pPr>
        <w:pStyle w:val="BodyText"/>
        <w:spacing w:after="80"/>
        <w:jc w:val="both"/>
      </w:pPr>
      <w:r>
        <w:t xml:space="preserve">Parágrafo único. O incidente da remoção correrá em apenso aos autos do inventário.</w:t>
      </w:r>
    </w:p>
    <w:bookmarkEnd w:id="383"/>
    <w:bookmarkStart w:id="384" w:name="art.-624"/>
    <w:p>
      <w:pPr>
        <w:pStyle w:val="Heading6"/>
        <w:pBdr>
          <w:left w:val="single" w:sz="36" w:space="4" w:color="2E75B6"/>
        </w:pBdr>
        <w:shd w:val="clear" w:color="auto" w:fill="E3EEF9"/>
        <w:spacing w:before="200" w:after="80"/>
        <w:ind w:left="85"/>
      </w:pPr>
      <w:r>
        <w:rPr>
          <w:i w:val="0"/>
          <w:color w:val="1F3A5F"/>
          <w:sz w:val="23"/>
        </w:rPr>
        <w:t xml:space="preserve">Art. 624</w:t>
      </w:r>
    </w:p>
    <w:p>
      <w:pPr>
        <w:pStyle w:val="FirstParagraph"/>
        <w:keepNext/>
        <w:spacing w:after="80"/>
        <w:jc w:val="both"/>
      </w:pPr>
      <w:r>
        <w:rPr>
          <w:b/>
          <w:bCs/>
        </w:rPr>
        <w:t xml:space="preserve">Art. 624.</w:t>
      </w:r>
      <w:r>
        <w:t xml:space="preserve"> </w:t>
      </w:r>
      <w:r>
        <w:t xml:space="preserve">Decorrido o prazo, com a defesa do inventariante ou sem ela, o juiz decidirá.</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62"/>
        <w:gridCol w:w="2551"/>
        <w:gridCol w:w="4441"/>
      </w:tblGrid>
      <w:tr>
        <w:trPr>
          <w:tblHeader w:val="on"/>
          <w:cantSplit/>
          <w:tblHeader/>
        </w:trPr>
        <w:tc>
          <w:tcPr>
            <w:tcW w:type="dxa" w:w="236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5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44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362"/>
          </w:tcPr>
          <w:p>
            <w:pPr>
              <w:pStyle w:val="Compact"/>
              <w:spacing w:line="276" w:lineRule="auto" w:before="40" w:after="40"/>
            </w:pPr>
            <w:r>
              <w:rPr>
                <w:rFonts w:ascii="Liberation Sans Narrow" w:hAnsi="Liberation Sans Narrow"/>
                <w:sz w:val="18"/>
              </w:rPr>
              <w:t xml:space="preserve">caput — nulidade por ausência de intimação e prejuízo (orientação de aplicação) (aplicação narrada)</w:t>
            </w:r>
          </w:p>
        </w:tc>
        <w:tc>
          <w:tcPr>
            <w:tcW w:type="dxa" w:w="2551"/>
          </w:tcPr>
          <w:p>
            <w:pPr>
              <w:pStyle w:val="Compact"/>
              <w:spacing w:line="276" w:lineRule="auto" w:before="40" w:after="40"/>
            </w:pPr>
            <w:r>
              <w:rPr>
                <w:rFonts w:ascii="Liberation Sans Narrow" w:hAnsi="Liberation Sans Narrow"/>
                <w:sz w:val="18"/>
              </w:rPr>
              <w:t xml:space="preserve">STJ, REsp 1.549.348, Quarta Turma, relatora Min. Maria Isabel Gallotti, julgado em 09/03/2026, DJEN de 13/03/2026</w:t>
            </w:r>
          </w:p>
        </w:tc>
        <w:tc>
          <w:tcPr>
            <w:tcW w:type="dxa" w:w="4441"/>
          </w:tcPr>
          <w:p>
            <w:pPr>
              <w:pStyle w:val="Compact"/>
              <w:spacing w:line="276" w:lineRule="auto" w:before="40" w:after="40"/>
            </w:pPr>
            <w:r>
              <w:rPr>
                <w:rFonts w:ascii="Liberation Sans Narrow" w:hAnsi="Liberation Sans Narrow"/>
                <w:sz w:val="18"/>
              </w:rPr>
              <w:t xml:space="preserve">A decretação de nulidade dos atos processuais, inclusive por ausência de intimação do inventariante para se defender no incidente de remoção, depende da efetiva demonstração de prejuízo (pas de nullité sans grief), prevalecendo a instrumentalidade das formas. Trecho: “A decretação de nulidade de atos processuais depende da efetiva demonstração do prejuízo (pas de nullité sans grief), por prevalência do princípio da instrumentalidade das formas, o que não foi demonstrado no caso.”</w:t>
            </w:r>
          </w:p>
        </w:tc>
      </w:tr>
    </w:tbl>
    <w:p>
      <w:pPr>
        <w:pStyle w:val="BodyText"/>
        <w:keepNext/>
        <w:spacing w:after="80"/>
        <w:jc w:val="both"/>
      </w:pPr>
      <w:r>
        <w:t xml:space="preserve">Parágrafo único. Se remover o inventariante, o juiz nomeará outro, observada a ordem estabelecida no art. 617.</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3198"/>
        <w:gridCol w:w="4626"/>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19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62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Parágrafo único — tese</w:t>
            </w:r>
          </w:p>
        </w:tc>
        <w:tc>
          <w:tcPr>
            <w:tcW w:type="dxa" w:w="3198"/>
          </w:tcPr>
          <w:p>
            <w:pPr>
              <w:pStyle w:val="Compact"/>
              <w:spacing w:line="276" w:lineRule="auto" w:before="40" w:after="40"/>
            </w:pPr>
            <w:r>
              <w:rPr>
                <w:rFonts w:ascii="Liberation Sans Narrow" w:hAnsi="Liberation Sans Narrow"/>
                <w:sz w:val="18"/>
              </w:rPr>
              <w:t xml:space="preserve">STJ, REsp 2.203.769, Terceira Turma, relator Min. Moura Ribeiro, julgado em 10/06/2025, DJEN de 23/06/2025</w:t>
            </w:r>
          </w:p>
        </w:tc>
        <w:tc>
          <w:tcPr>
            <w:tcW w:type="dxa" w:w="4626"/>
          </w:tcPr>
          <w:p>
            <w:pPr>
              <w:pStyle w:val="Compact"/>
              <w:spacing w:line="276" w:lineRule="auto" w:before="40" w:after="40"/>
            </w:pPr>
            <w:r>
              <w:rPr>
                <w:rFonts w:ascii="Liberation Sans Narrow" w:hAnsi="Liberation Sans Narrow"/>
                <w:sz w:val="18"/>
              </w:rPr>
              <w:t xml:space="preserve">A ordem de preferência do art. 617 do CPC pode ser excepcionada quando houver intensa animosidade entre as partes, hipótese que autoriza a nomeação de inventariante dativo.</w:t>
            </w:r>
          </w:p>
        </w:tc>
      </w:tr>
    </w:tbl>
    <w:bookmarkEnd w:id="384"/>
    <w:bookmarkStart w:id="385" w:name="art.-625"/>
    <w:p>
      <w:pPr>
        <w:pStyle w:val="Heading6"/>
        <w:pBdr>
          <w:left w:val="single" w:sz="36" w:space="4" w:color="2E75B6"/>
        </w:pBdr>
        <w:shd w:val="clear" w:color="auto" w:fill="E3EEF9"/>
        <w:spacing w:before="200" w:after="80"/>
        <w:ind w:left="85"/>
      </w:pPr>
      <w:r>
        <w:rPr>
          <w:i w:val="0"/>
          <w:color w:val="1F3A5F"/>
          <w:sz w:val="23"/>
        </w:rPr>
        <w:t xml:space="preserve">Art. 625</w:t>
      </w:r>
    </w:p>
    <w:p>
      <w:pPr>
        <w:pStyle w:val="FirstParagraph"/>
        <w:spacing w:after="80"/>
        <w:jc w:val="both"/>
      </w:pPr>
      <w:r>
        <w:rPr>
          <w:b/>
          <w:bCs/>
        </w:rPr>
        <w:t xml:space="preserve">Art. 625.</w:t>
      </w:r>
      <w:r>
        <w:t xml:space="preserve"> </w:t>
      </w:r>
      <w:r>
        <w:t xml:space="preserve">O inventariante removido entregará imediatamente ao substituto os bens do espólio e, caso deixe de fazê-lo, será compelido mediante mandado de busca e apreensão ou de imissão na posse, conforme se tratar de bem móvel ou imóvel, sem prejuízo da multa a ser fixada pelo juiz em montante não superior a três por cento do valor dos bens inventariados.</w:t>
      </w:r>
    </w:p>
    <w:bookmarkEnd w:id="385"/>
    <w:bookmarkEnd w:id="386"/>
    <w:bookmarkStart w:id="391" w:name="X3c3d8132b991d9a62b44513dc08136ca27bf792"/>
    <w:p>
      <w:pPr>
        <w:pStyle w:val="Heading5"/>
        <w:spacing w:before="140" w:after="20"/>
      </w:pPr>
      <w:r>
        <w:rPr>
          <w:i/>
          <w:color w:val="595959"/>
        </w:rPr>
        <w:t xml:space="preserve">Seção IV: das citações e das impugnações (arts. 626 a 629)</w:t>
      </w:r>
    </w:p>
    <w:bookmarkStart w:id="387" w:name="art.-626"/>
    <w:p>
      <w:pPr>
        <w:pStyle w:val="Heading6"/>
        <w:pBdr>
          <w:left w:val="single" w:sz="36" w:space="4" w:color="2E75B6"/>
        </w:pBdr>
        <w:shd w:val="clear" w:color="auto" w:fill="E3EEF9"/>
        <w:spacing w:before="200" w:after="80"/>
        <w:ind w:left="85"/>
      </w:pPr>
      <w:r>
        <w:rPr>
          <w:i w:val="0"/>
          <w:color w:val="1F3A5F"/>
          <w:sz w:val="23"/>
        </w:rPr>
        <w:t xml:space="preserve">Art. 626</w:t>
      </w:r>
    </w:p>
    <w:p>
      <w:pPr>
        <w:pStyle w:val="FirstParagraph"/>
        <w:spacing w:after="80"/>
        <w:jc w:val="both"/>
      </w:pPr>
      <w:r>
        <w:rPr>
          <w:b/>
          <w:bCs/>
        </w:rPr>
        <w:t xml:space="preserve">Art. 626.</w:t>
      </w:r>
      <w:r>
        <w:t xml:space="preserve"> </w:t>
      </w:r>
      <w:r>
        <w:t xml:space="preserve">Feitas as primeiras declarações, o juiz mandará citar, para os termos do inventário e da partilha, o cônjuge, o companheiro, os herdeiros e os legatários e intimar a Fazenda Pública, o Ministério Público, se houver herdeiro incapaz ou ausente, e o testamenteiro, se houver testamento.</w:t>
      </w:r>
    </w:p>
    <w:p>
      <w:pPr>
        <w:pStyle w:val="BodyText"/>
        <w:spacing w:after="80"/>
        <w:jc w:val="both"/>
      </w:pPr>
      <w:r>
        <w:t xml:space="preserve">§ 1º O cônjuge ou o companheiro, os herdeiros e os legatários serão citados pelo correio, observado o disposto no art. 247, sendo, ainda, publicado edital, nos termos do inciso III do art. 259.</w:t>
      </w:r>
    </w:p>
    <w:p>
      <w:pPr>
        <w:pStyle w:val="BodyText"/>
        <w:spacing w:after="80"/>
        <w:jc w:val="both"/>
      </w:pPr>
      <w:r>
        <w:t xml:space="preserve">§ 2º Das primeiras declarações extrair-se-ão tantas cópias quantas forem as partes.</w:t>
      </w:r>
    </w:p>
    <w:p>
      <w:pPr>
        <w:pStyle w:val="BodyText"/>
        <w:spacing w:after="80"/>
        <w:jc w:val="both"/>
      </w:pPr>
      <w:r>
        <w:t xml:space="preserve">§ 3º A citação será acompanhada de cópia das primeiras declarações.</w:t>
      </w:r>
    </w:p>
    <w:p>
      <w:pPr>
        <w:pStyle w:val="BodyText"/>
        <w:spacing w:after="80"/>
        <w:jc w:val="both"/>
      </w:pPr>
      <w:r>
        <w:t xml:space="preserve">§ 4º Incumbe ao escrivão remeter cópias à Fazenda Pública, ao Ministério Público, ao testamenteiro, se houver, e ao advogado, se a parte já estiver representada nos autos.</w:t>
      </w:r>
    </w:p>
    <w:bookmarkEnd w:id="387"/>
    <w:bookmarkStart w:id="388" w:name="art.-627"/>
    <w:p>
      <w:pPr>
        <w:pStyle w:val="Heading6"/>
        <w:pBdr>
          <w:left w:val="single" w:sz="36" w:space="4" w:color="2E75B6"/>
        </w:pBdr>
        <w:shd w:val="clear" w:color="auto" w:fill="E3EEF9"/>
        <w:spacing w:before="200" w:after="80"/>
        <w:ind w:left="85"/>
      </w:pPr>
      <w:r>
        <w:rPr>
          <w:i w:val="0"/>
          <w:color w:val="1F3A5F"/>
          <w:sz w:val="23"/>
        </w:rPr>
        <w:t xml:space="preserve">Art. 627</w:t>
      </w:r>
    </w:p>
    <w:p>
      <w:pPr>
        <w:pStyle w:val="FirstParagraph"/>
        <w:spacing w:after="80"/>
        <w:jc w:val="both"/>
      </w:pPr>
      <w:r>
        <w:rPr>
          <w:b/>
          <w:bCs/>
        </w:rPr>
        <w:t xml:space="preserve">Art. 627.</w:t>
      </w:r>
      <w:r>
        <w:t xml:space="preserve"> </w:t>
      </w:r>
      <w:r>
        <w:t xml:space="preserve">Concluídas as citações, abrir-se-á vista às partes, em cartório e pelo prazo comum de 15 (quinze) dias, para que se manifestem sobre as primeiras declarações, incumbindo às partes:</w:t>
      </w:r>
    </w:p>
    <w:p>
      <w:pPr>
        <w:pStyle w:val="BodyText"/>
        <w:spacing w:after="80"/>
        <w:jc w:val="both"/>
      </w:pPr>
      <w:r>
        <w:t xml:space="preserve">I - arguir erros, omissões e sonegação de bens;</w:t>
      </w:r>
    </w:p>
    <w:p>
      <w:pPr>
        <w:pStyle w:val="BodyText"/>
        <w:spacing w:after="80"/>
        <w:jc w:val="both"/>
      </w:pPr>
      <w:r>
        <w:t xml:space="preserve">II - reclamar contra a nomeação de inventariante</w:t>
      </w:r>
    </w:p>
    <w:p>
      <w:pPr>
        <w:pStyle w:val="BodyText"/>
        <w:spacing w:after="80"/>
        <w:jc w:val="both"/>
      </w:pPr>
      <w:r>
        <w:t xml:space="preserve">III - contestar a qualidade de quem foi incluído no título de herdeiro.</w:t>
      </w:r>
    </w:p>
    <w:p>
      <w:pPr>
        <w:pStyle w:val="BodyText"/>
        <w:spacing w:after="80"/>
        <w:jc w:val="both"/>
      </w:pPr>
      <w:r>
        <w:t xml:space="preserve">§ 1º Julgando procedente a impugnação referida no inciso I, o juiz mandará retificar as primeiras declarações.</w:t>
      </w:r>
    </w:p>
    <w:p>
      <w:pPr>
        <w:pStyle w:val="BodyText"/>
        <w:spacing w:after="80"/>
        <w:jc w:val="both"/>
      </w:pPr>
      <w:r>
        <w:t xml:space="preserve">§ 2º Se acolher o pedido de que trata o inciso II, o juiz nomeará outro inventariante, observada a preferência legal.</w:t>
      </w:r>
    </w:p>
    <w:p>
      <w:pPr>
        <w:pStyle w:val="BodyText"/>
        <w:spacing w:after="80"/>
        <w:jc w:val="both"/>
      </w:pPr>
      <w:r>
        <w:t xml:space="preserve">§ 3º Verificando que a disputa sobre a qualidade de herdeiro a que alude o inciso III demanda produção de provas que não a documental, o juiz remeterá a parte às vias ordinárias e sobrestará, até o julgamento da ação, a entrega do quinhão que na partilha couber ao herdeiro admitido.</w:t>
      </w:r>
    </w:p>
    <w:bookmarkEnd w:id="388"/>
    <w:bookmarkStart w:id="389" w:name="art.-628"/>
    <w:p>
      <w:pPr>
        <w:pStyle w:val="Heading6"/>
        <w:pBdr>
          <w:left w:val="single" w:sz="36" w:space="4" w:color="2E75B6"/>
        </w:pBdr>
        <w:shd w:val="clear" w:color="auto" w:fill="E3EEF9"/>
        <w:spacing w:before="200" w:after="80"/>
        <w:ind w:left="85"/>
      </w:pPr>
      <w:r>
        <w:rPr>
          <w:i w:val="0"/>
          <w:color w:val="1F3A5F"/>
          <w:sz w:val="23"/>
        </w:rPr>
        <w:t xml:space="preserve">Art. 628</w:t>
      </w:r>
    </w:p>
    <w:p>
      <w:pPr>
        <w:pStyle w:val="FirstParagraph"/>
        <w:spacing w:after="80"/>
        <w:jc w:val="both"/>
      </w:pPr>
      <w:r>
        <w:rPr>
          <w:b/>
          <w:bCs/>
        </w:rPr>
        <w:t xml:space="preserve">Art. 628.</w:t>
      </w:r>
      <w:r>
        <w:t xml:space="preserve"> </w:t>
      </w:r>
      <w:r>
        <w:t xml:space="preserve">Aquele que se julgar preterido poderá demandar sua admissão no inventário, requerendo-a antes da partilha.</w:t>
      </w:r>
    </w:p>
    <w:p>
      <w:pPr>
        <w:pStyle w:val="BodyText"/>
        <w:spacing w:after="80"/>
        <w:jc w:val="both"/>
      </w:pPr>
      <w:r>
        <w:t xml:space="preserve">§ 1º Ouvidas as partes no prazo de 15 (quinze) dias, o juiz decidirá.</w:t>
      </w:r>
    </w:p>
    <w:p>
      <w:pPr>
        <w:pStyle w:val="BodyText"/>
        <w:spacing w:after="80"/>
        <w:jc w:val="both"/>
      </w:pPr>
      <w:r>
        <w:t xml:space="preserve">§ 2º Se para solução da questão for necessária a produção de provas que não a documental, o juiz remeterá o requerente às vias ordinárias, mandando reservar, em poder do inventariante, o quinhão do herdeiro excluído até que se decida o litígio.</w:t>
      </w:r>
    </w:p>
    <w:bookmarkEnd w:id="389"/>
    <w:bookmarkStart w:id="390" w:name="art.-629"/>
    <w:p>
      <w:pPr>
        <w:pStyle w:val="Heading6"/>
        <w:pBdr>
          <w:left w:val="single" w:sz="36" w:space="4" w:color="2E75B6"/>
        </w:pBdr>
        <w:shd w:val="clear" w:color="auto" w:fill="E3EEF9"/>
        <w:spacing w:before="200" w:after="80"/>
        <w:ind w:left="85"/>
      </w:pPr>
      <w:r>
        <w:rPr>
          <w:i w:val="0"/>
          <w:color w:val="1F3A5F"/>
          <w:sz w:val="23"/>
        </w:rPr>
        <w:t xml:space="preserve">Art. 629</w:t>
      </w:r>
    </w:p>
    <w:p>
      <w:pPr>
        <w:pStyle w:val="FirstParagraph"/>
        <w:spacing w:after="80"/>
        <w:jc w:val="both"/>
      </w:pPr>
      <w:r>
        <w:rPr>
          <w:b/>
          <w:bCs/>
        </w:rPr>
        <w:t xml:space="preserve">Art. 629.</w:t>
      </w:r>
      <w:r>
        <w:t xml:space="preserve"> </w:t>
      </w:r>
      <w:r>
        <w:t xml:space="preserve">A Fazenda Pública, no prazo de 15 (quinze) dias, após a vista de que trata o art. 627, informará ao juízo, de acordo com os dados que constam de seu cadastro imobiliário, o valor dos bens de raiz descritos nas primeiras declarações.</w:t>
      </w:r>
    </w:p>
    <w:bookmarkEnd w:id="390"/>
    <w:bookmarkEnd w:id="391"/>
    <w:bookmarkStart w:id="401" w:name="Xf97333a604a08010f76a66c56168c43ac3e28e2"/>
    <w:p>
      <w:pPr>
        <w:pStyle w:val="Heading5"/>
        <w:spacing w:before="140" w:after="20"/>
      </w:pPr>
      <w:r>
        <w:rPr>
          <w:i/>
          <w:color w:val="595959"/>
        </w:rPr>
        <w:t xml:space="preserve">Seção V: da avaliação e do cálculo do imposto (arts. 630 a 638)</w:t>
      </w:r>
    </w:p>
    <w:bookmarkStart w:id="392" w:name="art.-630"/>
    <w:p>
      <w:pPr>
        <w:pStyle w:val="Heading6"/>
        <w:pBdr>
          <w:left w:val="single" w:sz="36" w:space="4" w:color="2E75B6"/>
        </w:pBdr>
        <w:shd w:val="clear" w:color="auto" w:fill="E3EEF9"/>
        <w:spacing w:before="200" w:after="80"/>
        <w:ind w:left="85"/>
      </w:pPr>
      <w:r>
        <w:rPr>
          <w:i w:val="0"/>
          <w:color w:val="1F3A5F"/>
          <w:sz w:val="23"/>
        </w:rPr>
        <w:t xml:space="preserve">Art. 630</w:t>
      </w:r>
    </w:p>
    <w:p>
      <w:pPr>
        <w:pStyle w:val="FirstParagraph"/>
        <w:spacing w:after="80"/>
        <w:jc w:val="both"/>
      </w:pPr>
      <w:r>
        <w:rPr>
          <w:b/>
          <w:bCs/>
        </w:rPr>
        <w:t xml:space="preserve">Art. 630.</w:t>
      </w:r>
      <w:r>
        <w:t xml:space="preserve"> </w:t>
      </w:r>
      <w:r>
        <w:t xml:space="preserve">Findo o prazo previsto no art. 627 sem impugnação ou decidida a impugnação que houver sido oposta, o juiz nomeará, se for o caso, perito para avaliar os bens do espólio, se não houver na comarca avaliador judicial.</w:t>
      </w:r>
    </w:p>
    <w:p>
      <w:pPr>
        <w:pStyle w:val="BodyText"/>
        <w:spacing w:after="80"/>
        <w:jc w:val="both"/>
      </w:pPr>
      <w:r>
        <w:t xml:space="preserve">Parágrafo único. Na hipótese prevista no art. 620, § 1º, o juiz nomeará perito para avaliação das quotas sociais ou apuração dos haveres.</w:t>
      </w:r>
    </w:p>
    <w:bookmarkEnd w:id="392"/>
    <w:bookmarkStart w:id="393" w:name="art.-631"/>
    <w:p>
      <w:pPr>
        <w:pStyle w:val="Heading6"/>
        <w:pBdr>
          <w:left w:val="single" w:sz="36" w:space="4" w:color="2E75B6"/>
        </w:pBdr>
        <w:shd w:val="clear" w:color="auto" w:fill="E3EEF9"/>
        <w:spacing w:before="200" w:after="80"/>
        <w:ind w:left="85"/>
      </w:pPr>
      <w:r>
        <w:rPr>
          <w:i w:val="0"/>
          <w:color w:val="1F3A5F"/>
          <w:sz w:val="23"/>
        </w:rPr>
        <w:t xml:space="preserve">Art. 631</w:t>
      </w:r>
    </w:p>
    <w:p>
      <w:pPr>
        <w:pStyle w:val="FirstParagraph"/>
        <w:spacing w:after="80"/>
        <w:jc w:val="both"/>
      </w:pPr>
      <w:r>
        <w:rPr>
          <w:b/>
          <w:bCs/>
        </w:rPr>
        <w:t xml:space="preserve">Art. 631.</w:t>
      </w:r>
      <w:r>
        <w:t xml:space="preserve"> </w:t>
      </w:r>
      <w:r>
        <w:t xml:space="preserve">Ao avaliar os bens do espólio, o perito observará, no que for aplicável, o disposto nos arts. 872 e 873.</w:t>
      </w:r>
    </w:p>
    <w:bookmarkEnd w:id="393"/>
    <w:bookmarkStart w:id="394" w:name="art.-632"/>
    <w:p>
      <w:pPr>
        <w:pStyle w:val="Heading6"/>
        <w:pBdr>
          <w:left w:val="single" w:sz="36" w:space="4" w:color="2E75B6"/>
        </w:pBdr>
        <w:shd w:val="clear" w:color="auto" w:fill="E3EEF9"/>
        <w:spacing w:before="200" w:after="80"/>
        <w:ind w:left="85"/>
      </w:pPr>
      <w:r>
        <w:rPr>
          <w:i w:val="0"/>
          <w:color w:val="1F3A5F"/>
          <w:sz w:val="23"/>
        </w:rPr>
        <w:t xml:space="preserve">Art. 632</w:t>
      </w:r>
    </w:p>
    <w:p>
      <w:pPr>
        <w:pStyle w:val="FirstParagraph"/>
        <w:spacing w:after="80"/>
        <w:jc w:val="both"/>
      </w:pPr>
      <w:r>
        <w:rPr>
          <w:b/>
          <w:bCs/>
        </w:rPr>
        <w:t xml:space="preserve">Art. 632.</w:t>
      </w:r>
      <w:r>
        <w:t xml:space="preserve"> </w:t>
      </w:r>
      <w:r>
        <w:t xml:space="preserve">Não se expedirá carta precatória para a avaliação de bens situados fora da comarca onde corre o inventário se eles forem de pequeno valor ou perfeitamente conhecidos do perito nomeado.</w:t>
      </w:r>
    </w:p>
    <w:bookmarkEnd w:id="394"/>
    <w:bookmarkStart w:id="395" w:name="art.-633"/>
    <w:p>
      <w:pPr>
        <w:pStyle w:val="Heading6"/>
        <w:pBdr>
          <w:left w:val="single" w:sz="36" w:space="4" w:color="2E75B6"/>
        </w:pBdr>
        <w:shd w:val="clear" w:color="auto" w:fill="E3EEF9"/>
        <w:spacing w:before="200" w:after="80"/>
        <w:ind w:left="85"/>
      </w:pPr>
      <w:r>
        <w:rPr>
          <w:i w:val="0"/>
          <w:color w:val="1F3A5F"/>
          <w:sz w:val="23"/>
        </w:rPr>
        <w:t xml:space="preserve">Art. 633</w:t>
      </w:r>
    </w:p>
    <w:p>
      <w:pPr>
        <w:pStyle w:val="FirstParagraph"/>
        <w:spacing w:after="80"/>
        <w:jc w:val="both"/>
      </w:pPr>
      <w:r>
        <w:rPr>
          <w:b/>
          <w:bCs/>
        </w:rPr>
        <w:t xml:space="preserve">Art. 633.</w:t>
      </w:r>
      <w:r>
        <w:t xml:space="preserve"> </w:t>
      </w:r>
      <w:r>
        <w:t xml:space="preserve">Sendo capazes todas as partes, não se procederá à avaliação se a Fazenda Pública, intimada pessoalmente, concordar de forma expressa com o valor atribuído, nas primeiras declarações, aos bens do espólio.</w:t>
      </w:r>
    </w:p>
    <w:bookmarkEnd w:id="395"/>
    <w:bookmarkStart w:id="396" w:name="art.-634"/>
    <w:p>
      <w:pPr>
        <w:pStyle w:val="Heading6"/>
        <w:pBdr>
          <w:left w:val="single" w:sz="36" w:space="4" w:color="2E75B6"/>
        </w:pBdr>
        <w:shd w:val="clear" w:color="auto" w:fill="E3EEF9"/>
        <w:spacing w:before="200" w:after="80"/>
        <w:ind w:left="85"/>
      </w:pPr>
      <w:r>
        <w:rPr>
          <w:i w:val="0"/>
          <w:color w:val="1F3A5F"/>
          <w:sz w:val="23"/>
        </w:rPr>
        <w:t xml:space="preserve">Art. 634</w:t>
      </w:r>
    </w:p>
    <w:p>
      <w:pPr>
        <w:pStyle w:val="FirstParagraph"/>
        <w:spacing w:after="80"/>
        <w:jc w:val="both"/>
      </w:pPr>
      <w:r>
        <w:rPr>
          <w:b/>
          <w:bCs/>
        </w:rPr>
        <w:t xml:space="preserve">Art. 634.</w:t>
      </w:r>
      <w:r>
        <w:t xml:space="preserve"> </w:t>
      </w:r>
      <w:r>
        <w:t xml:space="preserve">Se os herdeiros concordarem com o valor dos bens declarados pela Fazenda Pública, a avaliação cingir-se-á aos demais.</w:t>
      </w:r>
    </w:p>
    <w:bookmarkEnd w:id="396"/>
    <w:bookmarkStart w:id="397" w:name="art.-635"/>
    <w:p>
      <w:pPr>
        <w:pStyle w:val="Heading6"/>
        <w:pBdr>
          <w:left w:val="single" w:sz="36" w:space="4" w:color="2E75B6"/>
        </w:pBdr>
        <w:shd w:val="clear" w:color="auto" w:fill="E3EEF9"/>
        <w:spacing w:before="200" w:after="80"/>
        <w:ind w:left="85"/>
      </w:pPr>
      <w:r>
        <w:rPr>
          <w:i w:val="0"/>
          <w:color w:val="1F3A5F"/>
          <w:sz w:val="23"/>
        </w:rPr>
        <w:t xml:space="preserve">Art. 635</w:t>
      </w:r>
    </w:p>
    <w:p>
      <w:pPr>
        <w:pStyle w:val="FirstParagraph"/>
        <w:spacing w:after="80"/>
        <w:jc w:val="both"/>
      </w:pPr>
      <w:r>
        <w:rPr>
          <w:b/>
          <w:bCs/>
        </w:rPr>
        <w:t xml:space="preserve">Art. 635.</w:t>
      </w:r>
      <w:r>
        <w:t xml:space="preserve"> </w:t>
      </w:r>
      <w:r>
        <w:t xml:space="preserve">Entregue o laudo de avaliação, o juiz mandará que as partes se manifestem no prazo de 15 (quinze) dias, que correrá em cartório.</w:t>
      </w:r>
    </w:p>
    <w:p>
      <w:pPr>
        <w:pStyle w:val="BodyText"/>
        <w:spacing w:after="80"/>
        <w:jc w:val="both"/>
      </w:pPr>
      <w:r>
        <w:t xml:space="preserve">§ 1º Versando a impugnação sobre o valor dado pelo perito, o juiz a decidirá de plano, à vista do que constar dos autos.</w:t>
      </w:r>
    </w:p>
    <w:p>
      <w:pPr>
        <w:pStyle w:val="BodyText"/>
        <w:spacing w:after="80"/>
        <w:jc w:val="both"/>
      </w:pPr>
      <w:r>
        <w:t xml:space="preserve">§ 2º Julgando procedente a impugnação, o juiz determinará que o perito retifique a avaliação, observando os fundamentos da decisão.</w:t>
      </w:r>
    </w:p>
    <w:bookmarkEnd w:id="397"/>
    <w:bookmarkStart w:id="398" w:name="art.-636"/>
    <w:p>
      <w:pPr>
        <w:pStyle w:val="Heading6"/>
        <w:pBdr>
          <w:left w:val="single" w:sz="36" w:space="4" w:color="2E75B6"/>
        </w:pBdr>
        <w:shd w:val="clear" w:color="auto" w:fill="E3EEF9"/>
        <w:spacing w:before="200" w:after="80"/>
        <w:ind w:left="85"/>
      </w:pPr>
      <w:r>
        <w:rPr>
          <w:i w:val="0"/>
          <w:color w:val="1F3A5F"/>
          <w:sz w:val="23"/>
        </w:rPr>
        <w:t xml:space="preserve">Art. 636</w:t>
      </w:r>
    </w:p>
    <w:p>
      <w:pPr>
        <w:pStyle w:val="FirstParagraph"/>
        <w:spacing w:after="80"/>
        <w:jc w:val="both"/>
      </w:pPr>
      <w:r>
        <w:rPr>
          <w:b/>
          <w:bCs/>
        </w:rPr>
        <w:t xml:space="preserve">Art. 636.</w:t>
      </w:r>
      <w:r>
        <w:t xml:space="preserve"> </w:t>
      </w:r>
      <w:r>
        <w:t xml:space="preserve">Aceito o laudo ou resolvidas as impugnações suscitadas a seu respeito, lavrar-se-á em seguida o termo de últimas declarações, no qual o inventariante poderá emendar, aditar ou completar as primeiras.</w:t>
      </w:r>
    </w:p>
    <w:bookmarkEnd w:id="398"/>
    <w:bookmarkStart w:id="399" w:name="art.-637"/>
    <w:p>
      <w:pPr>
        <w:pStyle w:val="Heading6"/>
        <w:pBdr>
          <w:left w:val="single" w:sz="36" w:space="4" w:color="2E75B6"/>
        </w:pBdr>
        <w:shd w:val="clear" w:color="auto" w:fill="E3EEF9"/>
        <w:spacing w:before="200" w:after="80"/>
        <w:ind w:left="85"/>
      </w:pPr>
      <w:r>
        <w:rPr>
          <w:i w:val="0"/>
          <w:color w:val="1F3A5F"/>
          <w:sz w:val="23"/>
        </w:rPr>
        <w:t xml:space="preserve">Art. 637</w:t>
      </w:r>
    </w:p>
    <w:p>
      <w:pPr>
        <w:pStyle w:val="FirstParagraph"/>
        <w:spacing w:after="80"/>
        <w:jc w:val="both"/>
      </w:pPr>
      <w:r>
        <w:rPr>
          <w:b/>
          <w:bCs/>
        </w:rPr>
        <w:t xml:space="preserve">Art. 637.</w:t>
      </w:r>
      <w:r>
        <w:t xml:space="preserve"> </w:t>
      </w:r>
      <w:r>
        <w:t xml:space="preserve">Ouvidas as partes sobre as últimas declarações no prazo comum de 15 (quinze) dias, proceder-se-á ao cálculo do tributo.</w:t>
      </w:r>
    </w:p>
    <w:bookmarkEnd w:id="399"/>
    <w:bookmarkStart w:id="400" w:name="art.-638"/>
    <w:p>
      <w:pPr>
        <w:pStyle w:val="Heading6"/>
        <w:pBdr>
          <w:left w:val="single" w:sz="36" w:space="4" w:color="2E75B6"/>
        </w:pBdr>
        <w:shd w:val="clear" w:color="auto" w:fill="E3EEF9"/>
        <w:spacing w:before="200" w:after="80"/>
        <w:ind w:left="85"/>
      </w:pPr>
      <w:r>
        <w:rPr>
          <w:i w:val="0"/>
          <w:color w:val="1F3A5F"/>
          <w:sz w:val="23"/>
        </w:rPr>
        <w:t xml:space="preserve">Art. 638</w:t>
      </w:r>
    </w:p>
    <w:p>
      <w:pPr>
        <w:pStyle w:val="FirstParagraph"/>
        <w:spacing w:after="80"/>
        <w:jc w:val="both"/>
      </w:pPr>
      <w:r>
        <w:rPr>
          <w:b/>
          <w:bCs/>
        </w:rPr>
        <w:t xml:space="preserve">Art. 638.</w:t>
      </w:r>
      <w:r>
        <w:t xml:space="preserve"> </w:t>
      </w:r>
      <w:r>
        <w:t xml:space="preserve">Feito o cálculo, sobre ele serão ouvidas todas as partes no prazo comum de 5 (cinco) dias, que correrá em cartório, e, em seguida, a Fazenda Pública.</w:t>
      </w:r>
    </w:p>
    <w:p>
      <w:pPr>
        <w:pStyle w:val="BodyText"/>
        <w:spacing w:after="80"/>
        <w:jc w:val="both"/>
      </w:pPr>
      <w:r>
        <w:t xml:space="preserve">§ 1º Se acolher eventual impugnação, o juiz ordenará nova remessa dos autos ao contabilista, determinando as alterações que devam ser feitas no cálculo.</w:t>
      </w:r>
    </w:p>
    <w:p>
      <w:pPr>
        <w:pStyle w:val="BodyText"/>
        <w:spacing w:after="80"/>
        <w:jc w:val="both"/>
      </w:pPr>
      <w:r>
        <w:t xml:space="preserve">§ 2º Cumprido o despacho, o juiz julgará o cálculo do tributo.</w:t>
      </w:r>
    </w:p>
    <w:bookmarkEnd w:id="400"/>
    <w:bookmarkEnd w:id="401"/>
    <w:bookmarkStart w:id="405" w:name="seção-vi-das-colações-arts.-639-a-641"/>
    <w:p>
      <w:pPr>
        <w:pStyle w:val="Heading5"/>
        <w:spacing w:before="140" w:after="20"/>
      </w:pPr>
      <w:r>
        <w:rPr>
          <w:i/>
          <w:color w:val="595959"/>
        </w:rPr>
        <w:t xml:space="preserve">Seção VI: das colações (arts. 639 a 641)</w:t>
      </w:r>
    </w:p>
    <w:bookmarkStart w:id="402" w:name="art.-639"/>
    <w:p>
      <w:pPr>
        <w:pStyle w:val="Heading6"/>
        <w:pBdr>
          <w:left w:val="single" w:sz="36" w:space="4" w:color="2E75B6"/>
        </w:pBdr>
        <w:shd w:val="clear" w:color="auto" w:fill="E3EEF9"/>
        <w:spacing w:before="200" w:after="80"/>
        <w:ind w:left="85"/>
      </w:pPr>
      <w:r>
        <w:rPr>
          <w:i w:val="0"/>
          <w:color w:val="1F3A5F"/>
          <w:sz w:val="23"/>
        </w:rPr>
        <w:t xml:space="preserve">Art. 639</w:t>
      </w:r>
    </w:p>
    <w:p>
      <w:pPr>
        <w:pStyle w:val="FirstParagraph"/>
        <w:keepNext/>
        <w:spacing w:after="80"/>
        <w:jc w:val="both"/>
      </w:pPr>
      <w:r>
        <w:rPr>
          <w:b/>
          <w:bCs/>
        </w:rPr>
        <w:t xml:space="preserve">Art. 639.</w:t>
      </w:r>
      <w:r>
        <w:t xml:space="preserve"> </w:t>
      </w:r>
      <w:r>
        <w:t xml:space="preserve">No prazo estabelecido no art. 627, o herdeiro obrigado à colação conferirá por termo nos autos ou por petição à qual o termo se reportará os bens que recebeu ou, se já não os possuir, trar-lhes-á o valor.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75"/>
        <w:gridCol w:w="2427"/>
        <w:gridCol w:w="4852"/>
      </w:tblGrid>
      <w:tr>
        <w:trPr>
          <w:tblHeader w:val="on"/>
          <w:cantSplit/>
          <w:tblHeader/>
        </w:trPr>
        <w:tc>
          <w:tcPr>
            <w:tcW w:type="dxa" w:w="207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42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5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75"/>
          </w:tcPr>
          <w:p>
            <w:pPr>
              <w:pStyle w:val="Compact"/>
              <w:spacing w:line="276" w:lineRule="auto" w:before="40" w:after="40"/>
            </w:pPr>
            <w:r>
              <w:rPr>
                <w:rFonts w:ascii="Liberation Sans Narrow" w:hAnsi="Liberation Sans Narrow"/>
                <w:sz w:val="18"/>
              </w:rPr>
              <w:t xml:space="preserve">caput — extensão da colação (orientação de aplicação) (aplicação narrada)</w:t>
            </w:r>
          </w:p>
        </w:tc>
        <w:tc>
          <w:tcPr>
            <w:tcW w:type="dxa" w:w="2428"/>
          </w:tcPr>
          <w:p>
            <w:pPr>
              <w:pStyle w:val="Compact"/>
              <w:spacing w:line="276" w:lineRule="auto" w:before="40" w:after="40"/>
            </w:pPr>
            <w:r>
              <w:rPr>
                <w:rFonts w:ascii="Liberation Sans Narrow" w:hAnsi="Liberation Sans Narrow"/>
                <w:sz w:val="18"/>
              </w:rPr>
              <w:t xml:space="preserve">STJ, AREsp 3.216.342, Quarta Turma, relator Min. João Otávio de Noronha, julgado em 15/06/2026</w:t>
            </w:r>
          </w:p>
        </w:tc>
        <w:tc>
          <w:tcPr>
            <w:tcW w:type="dxa" w:w="4852"/>
          </w:tcPr>
          <w:p>
            <w:pPr>
              <w:pStyle w:val="Compact"/>
              <w:spacing w:line="276" w:lineRule="auto" w:before="40" w:after="40"/>
            </w:pPr>
            <w:r>
              <w:rPr>
                <w:rFonts w:ascii="Liberation Sans Narrow" w:hAnsi="Liberation Sans Narrow"/>
                <w:sz w:val="18"/>
              </w:rPr>
              <w:t xml:space="preserve">A doação de ascendente a descendente sem dispensa expressa de colação presume adiantamento de legítima, e a colação alcança a integralidade dos bens doados, e não apenas o excedente à parte disponível; cabe ao juízo do inventário fazer a reserva e a redução necessárias. Trecho: “A Corte de origem reformou a decisão interlocutória e reconheceu o dever de colação pelos herdeiros donatários, determinando a colação da integralidade dos bens doados, incumbindo ao juízo do inventário a reserva e a redução necessárias.”</w:t>
            </w:r>
          </w:p>
        </w:tc>
      </w:tr>
    </w:tbl>
    <w:p>
      <w:pPr>
        <w:pStyle w:val="BodyText"/>
        <w:keepNext/>
        <w:spacing w:after="80"/>
        <w:jc w:val="both"/>
      </w:pPr>
      <w:r>
        <w:t xml:space="preserve">Parágrafo único. Os bens a serem conferidos na partilha, assim como as acessões e as benfeitorias que o donatário fez, calcular-se-ão pelo valor que tiverem ao tempo da abertura da sucessão.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2551"/>
        <w:gridCol w:w="5273"/>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5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27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Parágrafo único — tese</w:t>
            </w:r>
          </w:p>
        </w:tc>
        <w:tc>
          <w:tcPr>
            <w:tcW w:type="dxa" w:w="2551"/>
          </w:tcPr>
          <w:p>
            <w:pPr>
              <w:pStyle w:val="Compact"/>
              <w:spacing w:line="276" w:lineRule="auto" w:before="40" w:after="40"/>
            </w:pPr>
            <w:r>
              <w:rPr>
                <w:rFonts w:ascii="Liberation Sans Narrow" w:hAnsi="Liberation Sans Narrow"/>
                <w:sz w:val="18"/>
              </w:rPr>
              <w:t xml:space="preserve">STJ, AREsp 3.160.120, Quarta Turma, relator Min. João Otávio de Noronha, julgado em 01/06/2026</w:t>
            </w:r>
          </w:p>
        </w:tc>
        <w:tc>
          <w:tcPr>
            <w:tcW w:type="dxa" w:w="5272"/>
          </w:tcPr>
          <w:p>
            <w:pPr>
              <w:pStyle w:val="Compact"/>
              <w:spacing w:line="276" w:lineRule="auto" w:before="40" w:after="40"/>
            </w:pPr>
            <w:r>
              <w:rPr>
                <w:rFonts w:ascii="Liberation Sans Narrow" w:hAnsi="Liberation Sans Narrow"/>
                <w:sz w:val="18"/>
              </w:rPr>
              <w:t xml:space="preserve">Aberto o inventário na vigência do CPC/2015, o valor da colação é o do bem ao tempo da abertura da sucessão, salvo se o bem já não integrar o patrimônio do donatário, caso em que se considera o valor ao tempo da alienação, corrigido monetariamente.</w:t>
            </w:r>
          </w:p>
        </w:tc>
      </w:tr>
    </w:tbl>
    <w:bookmarkEnd w:id="402"/>
    <w:bookmarkStart w:id="403" w:name="art.-640"/>
    <w:p>
      <w:pPr>
        <w:pStyle w:val="Heading6"/>
        <w:pBdr>
          <w:left w:val="single" w:sz="36" w:space="4" w:color="2E75B6"/>
        </w:pBdr>
        <w:shd w:val="clear" w:color="auto" w:fill="E3EEF9"/>
        <w:spacing w:before="200" w:after="80"/>
        <w:ind w:left="85"/>
      </w:pPr>
      <w:r>
        <w:rPr>
          <w:i w:val="0"/>
          <w:color w:val="1F3A5F"/>
          <w:sz w:val="23"/>
        </w:rPr>
        <w:t xml:space="preserve">Art. 640</w:t>
      </w:r>
    </w:p>
    <w:p>
      <w:pPr>
        <w:pStyle w:val="FirstParagraph"/>
        <w:spacing w:after="80"/>
        <w:jc w:val="both"/>
      </w:pPr>
      <w:r>
        <w:rPr>
          <w:b/>
          <w:bCs/>
        </w:rPr>
        <w:t xml:space="preserve">Art. 640.</w:t>
      </w:r>
      <w:r>
        <w:t xml:space="preserve"> </w:t>
      </w:r>
      <w:r>
        <w:t xml:space="preserve">O herdeiro que renunciou à herança ou o que dela foi excluído não se exime, pelo fato da renúncia ou da exclusão, de conferir, para o efeito de repor a parte inoficiosa, as liberalidades que obteve do doador.</w:t>
      </w:r>
    </w:p>
    <w:p>
      <w:pPr>
        <w:pStyle w:val="BodyText"/>
        <w:spacing w:after="80"/>
        <w:jc w:val="both"/>
      </w:pPr>
      <w:r>
        <w:t xml:space="preserve">§ 1º É lícito ao donatário escolher, dentre os bens doados, tantos quantos bastem para perfazer a legítima e a metade disponível, entrando na partilha o excedente para ser dividido entre os demais herdeiros.</w:t>
      </w:r>
    </w:p>
    <w:p>
      <w:pPr>
        <w:pStyle w:val="BodyText"/>
        <w:spacing w:after="80"/>
        <w:jc w:val="both"/>
      </w:pPr>
      <w:r>
        <w:t xml:space="preserve">§ 2º Se a parte inoficiosa da doação recair sobre bem imóvel que não comporte divisão cômoda, o juiz determinará que sobre ela se proceda a licitação entre os herdeiros.</w:t>
      </w:r>
    </w:p>
    <w:p>
      <w:pPr>
        <w:pStyle w:val="BodyText"/>
        <w:spacing w:after="80"/>
        <w:jc w:val="both"/>
      </w:pPr>
      <w:r>
        <w:t xml:space="preserve">§ 3º O donatário poderá concorrer na licitação referida no § 2º e, em igualdade de condições, terá preferência sobre os herdeiros.</w:t>
      </w:r>
    </w:p>
    <w:bookmarkEnd w:id="403"/>
    <w:bookmarkStart w:id="404" w:name="art.-641"/>
    <w:p>
      <w:pPr>
        <w:pStyle w:val="Heading6"/>
        <w:pBdr>
          <w:left w:val="single" w:sz="36" w:space="4" w:color="2E75B6"/>
        </w:pBdr>
        <w:shd w:val="clear" w:color="auto" w:fill="E3EEF9"/>
        <w:spacing w:before="200" w:after="80"/>
        <w:ind w:left="85"/>
      </w:pPr>
      <w:r>
        <w:rPr>
          <w:i w:val="0"/>
          <w:color w:val="1F3A5F"/>
          <w:sz w:val="23"/>
        </w:rPr>
        <w:t xml:space="preserve">Art. 641</w:t>
      </w:r>
    </w:p>
    <w:p>
      <w:pPr>
        <w:pStyle w:val="FirstParagraph"/>
        <w:spacing w:after="80"/>
        <w:jc w:val="both"/>
      </w:pPr>
      <w:r>
        <w:rPr>
          <w:b/>
          <w:bCs/>
        </w:rPr>
        <w:t xml:space="preserve">Art. 641.</w:t>
      </w:r>
      <w:r>
        <w:t xml:space="preserve"> </w:t>
      </w:r>
      <w:r>
        <w:t xml:space="preserve">Se o herdeiro negar o recebimento dos bens ou a obrigação de os conferir, o juiz, ouvidas as partes no prazo comum de 15 (quinze) dias, decidirá à vista das alegações e das provas produzidas.</w:t>
      </w:r>
    </w:p>
    <w:p>
      <w:pPr>
        <w:pStyle w:val="BodyText"/>
        <w:spacing w:after="80"/>
        <w:jc w:val="both"/>
      </w:pPr>
      <w:r>
        <w:t xml:space="preserve">§ 1º Declarada improcedente a oposição, se o herdeiro, no prazo improrrogável de 15 (quinze) dias, não proceder à conferência, o juiz mandará sequestrar-lhe, para serem inventariados e partilhados, os bens sujeitos à colação ou imputar ao seu quinhão hereditário o valor deles, se já não os possuir.</w:t>
      </w:r>
    </w:p>
    <w:p>
      <w:pPr>
        <w:pStyle w:val="BodyText"/>
        <w:spacing w:after="80"/>
        <w:jc w:val="both"/>
      </w:pPr>
      <w:r>
        <w:t xml:space="preserve">§ 2º Se a matéria exigir dilação probatória diversa da documental, o juiz remeterá as partes às vias ordinárias, não podendo o herdeiro receber o seu quinhão hereditário, enquanto pender a demanda, sem prestar caução correspondente ao valor dos bens sobre os quais versar a conferência.</w:t>
      </w:r>
    </w:p>
    <w:bookmarkEnd w:id="404"/>
    <w:bookmarkEnd w:id="405"/>
    <w:bookmarkStart w:id="411" w:name="Xf64a80c7dde7e9642afb0186db352420834416e"/>
    <w:p>
      <w:pPr>
        <w:pStyle w:val="Heading5"/>
        <w:spacing w:before="140" w:after="20"/>
      </w:pPr>
      <w:r>
        <w:rPr>
          <w:i/>
          <w:color w:val="595959"/>
        </w:rPr>
        <w:t xml:space="preserve">Seção VII: do pagamento das dívidas (arts. 642 a 646)</w:t>
      </w:r>
    </w:p>
    <w:bookmarkStart w:id="406" w:name="art.-642"/>
    <w:p>
      <w:pPr>
        <w:pStyle w:val="Heading6"/>
        <w:pBdr>
          <w:left w:val="single" w:sz="36" w:space="4" w:color="2E75B6"/>
        </w:pBdr>
        <w:shd w:val="clear" w:color="auto" w:fill="E3EEF9"/>
        <w:spacing w:before="200" w:after="80"/>
        <w:ind w:left="85"/>
      </w:pPr>
      <w:r>
        <w:rPr>
          <w:i w:val="0"/>
          <w:color w:val="1F3A5F"/>
          <w:sz w:val="23"/>
        </w:rPr>
        <w:t xml:space="preserve">Art. 642</w:t>
      </w:r>
    </w:p>
    <w:p>
      <w:pPr>
        <w:pStyle w:val="FirstParagraph"/>
        <w:keepNext/>
        <w:spacing w:after="80"/>
        <w:jc w:val="both"/>
      </w:pPr>
      <w:r>
        <w:rPr>
          <w:b/>
          <w:bCs/>
        </w:rPr>
        <w:t xml:space="preserve">Art. 642.</w:t>
      </w:r>
      <w:r>
        <w:t xml:space="preserve"> </w:t>
      </w:r>
      <w:r>
        <w:t xml:space="preserve">Antes da partilha, poderão os credores do espólio requerer ao juízo do inventário o pagamento das dívidas vencidas e exigíveis.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65"/>
        <w:gridCol w:w="2922"/>
        <w:gridCol w:w="4167"/>
      </w:tblGrid>
      <w:tr>
        <w:trPr>
          <w:tblHeader w:val="on"/>
          <w:cantSplit/>
          <w:tblHeader/>
        </w:trPr>
        <w:tc>
          <w:tcPr>
            <w:tcW w:type="dxa" w:w="226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92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167"/>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65"/>
          </w:tcPr>
          <w:p>
            <w:pPr>
              <w:pStyle w:val="Compact"/>
              <w:spacing w:line="276" w:lineRule="auto" w:before="40" w:after="40"/>
            </w:pPr>
            <w:r>
              <w:rPr>
                <w:rFonts w:ascii="Liberation Sans Narrow" w:hAnsi="Liberation Sans Narrow"/>
                <w:sz w:val="18"/>
              </w:rPr>
              <w:t xml:space="preserve">Habilitação de crédito: só o credor do espólio; credor de herdeiro vai às vias ordinárias</w:t>
            </w:r>
          </w:p>
        </w:tc>
        <w:tc>
          <w:tcPr>
            <w:tcW w:type="dxa" w:w="2922"/>
          </w:tcPr>
          <w:p>
            <w:pPr>
              <w:pStyle w:val="Compact"/>
              <w:spacing w:line="276" w:lineRule="auto" w:before="40" w:after="40"/>
            </w:pPr>
            <w:r>
              <w:rPr>
                <w:rFonts w:ascii="Liberation Sans Narrow" w:hAnsi="Liberation Sans Narrow"/>
                <w:sz w:val="18"/>
              </w:rPr>
              <w:t xml:space="preserve">STJ, REsp 1.985.045, Terceira Turma, relator Min. Ricardo Villas Bôas Cueva, julgado em 16/05/2023, DJe de 19/05/2023</w:t>
            </w:r>
          </w:p>
        </w:tc>
        <w:tc>
          <w:tcPr>
            <w:tcW w:type="dxa" w:w="4167"/>
          </w:tcPr>
          <w:p>
            <w:pPr>
              <w:pStyle w:val="Compact"/>
              <w:spacing w:line="276" w:lineRule="auto" w:before="40" w:after="40"/>
            </w:pPr>
            <w:r>
              <w:rPr>
                <w:rFonts w:ascii="Liberation Sans Narrow" w:hAnsi="Liberation Sans Narrow"/>
                <w:sz w:val="18"/>
              </w:rPr>
              <w:t xml:space="preserve">Os credores exclusivos do espólio podem pedir habilitação de crédito no inventário (art. 642); o credor individual de herdeiro, inclusive o cessionário do quinhão, não tem legitimidade ativa e deve buscar as vias ordinárias.</w:t>
            </w:r>
          </w:p>
        </w:tc>
      </w:tr>
      <w:tr>
        <w:trPr>
          <w:cantSplit/>
        </w:trPr>
        <w:tc>
          <w:tcPr>
            <w:tcW w:type="dxa" w:w="2265"/>
          </w:tcPr>
          <w:p>
            <w:pPr>
              <w:pStyle w:val="Compact"/>
              <w:spacing w:line="276" w:lineRule="auto" w:before="40" w:after="40"/>
            </w:pPr>
            <w:r>
              <w:rPr>
                <w:rFonts w:ascii="Liberation Sans Narrow" w:hAnsi="Liberation Sans Narrow"/>
                <w:sz w:val="18"/>
              </w:rPr>
              <w:t xml:space="preserve">Penhora no rosto dos autos do inventário e alcance do art. 642, caput</w:t>
            </w:r>
          </w:p>
        </w:tc>
        <w:tc>
          <w:tcPr>
            <w:tcW w:type="dxa" w:w="2922"/>
          </w:tcPr>
          <w:p>
            <w:pPr>
              <w:pStyle w:val="Compact"/>
              <w:spacing w:line="276" w:lineRule="auto" w:before="40" w:after="40"/>
            </w:pPr>
            <w:r>
              <w:rPr>
                <w:rFonts w:ascii="Liberation Sans Narrow" w:hAnsi="Liberation Sans Narrow"/>
                <w:sz w:val="18"/>
              </w:rPr>
              <w:t xml:space="preserve">STJ, REsp 1.877.738, Terceira Turma, relatora Min. Nancy Andrighi, julgado em 09/03/2021, DJe de 11/03/2021</w:t>
            </w:r>
          </w:p>
        </w:tc>
        <w:tc>
          <w:tcPr>
            <w:tcW w:type="dxa" w:w="4167"/>
          </w:tcPr>
          <w:p>
            <w:pPr>
              <w:pStyle w:val="Compact"/>
              <w:spacing w:line="276" w:lineRule="auto" w:before="40" w:after="40"/>
            </w:pPr>
            <w:r>
              <w:rPr>
                <w:rFonts w:ascii="Liberation Sans Narrow" w:hAnsi="Liberation Sans Narrow"/>
                <w:sz w:val="18"/>
              </w:rPr>
              <w:t xml:space="preserve">O art. 642, caput, trata só da habilitação de credores do espólio; a penhora no rosto dos autos do inventário para garantir crédito contra um dos herdeiros é cabível mesmo depois da homologação da partilha, nos termos do art. 860.</w:t>
            </w:r>
          </w:p>
        </w:tc>
      </w:tr>
    </w:tbl>
    <w:p>
      <w:pPr>
        <w:pStyle w:val="BodyText"/>
        <w:spacing w:after="80"/>
        <w:jc w:val="both"/>
      </w:pPr>
      <w:r>
        <w:t xml:space="preserve">§ 1º A petição, acompanhada de prova literal da dívida, será distribuída por dependência e autuada em apenso aos autos do processo de inventário.</w:t>
      </w:r>
    </w:p>
    <w:p>
      <w:pPr>
        <w:pStyle w:val="BodyText"/>
        <w:spacing w:after="80"/>
        <w:jc w:val="both"/>
      </w:pPr>
      <w:r>
        <w:t xml:space="preserve">§ 2º Concordando as partes com o pedido, o juiz, ao declarar habilitado o credor, mandará que se faça a separação de dinheiro ou, em sua falta, de bens suficientes para o pagamento.</w:t>
      </w:r>
    </w:p>
    <w:p>
      <w:pPr>
        <w:pStyle w:val="BodyText"/>
        <w:spacing w:after="80"/>
        <w:jc w:val="both"/>
      </w:pPr>
      <w:r>
        <w:t xml:space="preserve">§ 3º Separados os bens, tantos quantos forem necessários para o pagamento dos credores habilitados, o juiz mandará aliená-los, observando-se as disposições deste Código relativas à expropriação.</w:t>
      </w:r>
    </w:p>
    <w:p>
      <w:pPr>
        <w:pStyle w:val="BodyText"/>
        <w:spacing w:after="80"/>
        <w:jc w:val="both"/>
      </w:pPr>
      <w:r>
        <w:t xml:space="preserve">§ 4º Se o credor requerer que, em vez de dinheiro, lhe sejam adjudicados, para o seu pagamento, os bens já reservados, o juiz deferir-lhe-á o pedido, concordando todas as partes.</w:t>
      </w:r>
    </w:p>
    <w:p>
      <w:pPr>
        <w:pStyle w:val="BodyText"/>
        <w:spacing w:after="80"/>
        <w:jc w:val="both"/>
      </w:pPr>
      <w:r>
        <w:t xml:space="preserve">§ 5º Os donatários serão chamados a pronunciar-se sobre a aprovação das dívidas, sempre que haja possibilidade de resultar delas a redução das liberalidades.</w:t>
      </w:r>
    </w:p>
    <w:bookmarkEnd w:id="406"/>
    <w:bookmarkStart w:id="407" w:name="art.-643"/>
    <w:p>
      <w:pPr>
        <w:pStyle w:val="Heading6"/>
        <w:pBdr>
          <w:left w:val="single" w:sz="36" w:space="4" w:color="2E75B6"/>
        </w:pBdr>
        <w:shd w:val="clear" w:color="auto" w:fill="E3EEF9"/>
        <w:spacing w:before="200" w:after="80"/>
        <w:ind w:left="85"/>
      </w:pPr>
      <w:r>
        <w:rPr>
          <w:i w:val="0"/>
          <w:color w:val="1F3A5F"/>
          <w:sz w:val="23"/>
        </w:rPr>
        <w:t xml:space="preserve">Art. 643</w:t>
      </w:r>
    </w:p>
    <w:p>
      <w:pPr>
        <w:pStyle w:val="FirstParagraph"/>
        <w:keepNext/>
        <w:spacing w:after="80"/>
        <w:jc w:val="both"/>
      </w:pPr>
      <w:r>
        <w:rPr>
          <w:b/>
          <w:bCs/>
        </w:rPr>
        <w:t xml:space="preserve">Art. 643.</w:t>
      </w:r>
      <w:r>
        <w:t xml:space="preserve"> </w:t>
      </w:r>
      <w:r>
        <w:t xml:space="preserve">Não havendo concordância de todas as partes sobre o pedido de pagamento feito pelo credor, será o pedido remetido às vias ordinárias.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59"/>
        <w:gridCol w:w="3055"/>
        <w:gridCol w:w="4240"/>
      </w:tblGrid>
      <w:tr>
        <w:trPr>
          <w:tblHeader w:val="on"/>
          <w:cantSplit/>
          <w:tblHeader/>
        </w:trPr>
        <w:tc>
          <w:tcPr>
            <w:tcW w:type="dxa" w:w="206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05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24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60"/>
          </w:tcPr>
          <w:p>
            <w:pPr>
              <w:pStyle w:val="Compact"/>
              <w:spacing w:line="276" w:lineRule="auto" w:before="40" w:after="40"/>
            </w:pPr>
            <w:r>
              <w:rPr>
                <w:rFonts w:ascii="Liberation Sans Narrow" w:hAnsi="Liberation Sans Narrow"/>
                <w:sz w:val="18"/>
              </w:rPr>
              <w:t xml:space="preserve">Habilitação de crédito: concordância expressa dos herdeiros</w:t>
            </w:r>
          </w:p>
        </w:tc>
        <w:tc>
          <w:tcPr>
            <w:tcW w:type="dxa" w:w="3055"/>
          </w:tcPr>
          <w:p>
            <w:pPr>
              <w:pStyle w:val="Compact"/>
              <w:spacing w:line="276" w:lineRule="auto" w:before="40" w:after="40"/>
            </w:pPr>
            <w:r>
              <w:rPr>
                <w:rFonts w:ascii="Liberation Sans Narrow" w:hAnsi="Liberation Sans Narrow"/>
                <w:sz w:val="18"/>
              </w:rPr>
              <w:t xml:space="preserve">STJ, REsp 2.176.470, Terceira Turma, relator Min. Ricardo Villas Bôas Cueva, julgado em 11/03/2025, DJEN de 18/03/2025</w:t>
            </w:r>
          </w:p>
        </w:tc>
        <w:tc>
          <w:tcPr>
            <w:tcW w:type="dxa" w:w="4240"/>
          </w:tcPr>
          <w:p>
            <w:pPr>
              <w:pStyle w:val="Compact"/>
              <w:spacing w:line="276" w:lineRule="auto" w:before="40" w:after="40"/>
            </w:pPr>
            <w:r>
              <w:rPr>
                <w:rFonts w:ascii="Liberation Sans Narrow" w:hAnsi="Liberation Sans Narrow"/>
                <w:sz w:val="18"/>
              </w:rPr>
              <w:t xml:space="preserve">A habilitação de crédito depende de consenso: a concordância dos herdeiros exigida pelos arts. 642, § 2º, e 643 deve ser inequívoca, e a inércia não equivale a concordância tácita.</w:t>
            </w:r>
          </w:p>
        </w:tc>
      </w:tr>
      <w:tr>
        <w:trPr>
          <w:cantSplit/>
        </w:trPr>
        <w:tc>
          <w:tcPr>
            <w:tcW w:type="dxa" w:w="2060"/>
          </w:tcPr>
          <w:p>
            <w:pPr>
              <w:pStyle w:val="Compact"/>
              <w:spacing w:line="276" w:lineRule="auto" w:before="40" w:after="40"/>
            </w:pPr>
            <w:r>
              <w:rPr>
                <w:rFonts w:ascii="Liberation Sans Narrow" w:hAnsi="Liberation Sans Narrow"/>
                <w:sz w:val="18"/>
              </w:rPr>
              <w:t xml:space="preserve">Impugnação da habilitação de crédito: remessa às vias ordinárias e honorários</w:t>
            </w:r>
          </w:p>
        </w:tc>
        <w:tc>
          <w:tcPr>
            <w:tcW w:type="dxa" w:w="3055"/>
          </w:tcPr>
          <w:p>
            <w:pPr>
              <w:pStyle w:val="Compact"/>
              <w:spacing w:line="276" w:lineRule="auto" w:before="40" w:after="40"/>
            </w:pPr>
            <w:r>
              <w:rPr>
                <w:rFonts w:ascii="Liberation Sans Narrow" w:hAnsi="Liberation Sans Narrow"/>
                <w:sz w:val="18"/>
              </w:rPr>
              <w:t xml:space="preserve">STJ, REsp 2.045.640, Terceira Turma, relator Min. Marco Aurélio Bellizze, julgado em 25/04/2023, DJe de 28/04/2023</w:t>
            </w:r>
          </w:p>
        </w:tc>
        <w:tc>
          <w:tcPr>
            <w:tcW w:type="dxa" w:w="4240"/>
          </w:tcPr>
          <w:p>
            <w:pPr>
              <w:pStyle w:val="Compact"/>
              <w:spacing w:line="276" w:lineRule="auto" w:before="40" w:after="40"/>
            </w:pPr>
            <w:r>
              <w:rPr>
                <w:rFonts w:ascii="Liberation Sans Narrow" w:hAnsi="Liberation Sans Narrow"/>
                <w:sz w:val="18"/>
              </w:rPr>
              <w:t xml:space="preserve">Impugnada a habilitação de crédito, o juiz do inventário remete as partes às vias ordinárias e não pode converter o pedido em ação de cobrança (art. 643); são incabíveis honorários no incidente extinto por objeção de interessado.</w:t>
            </w:r>
          </w:p>
        </w:tc>
      </w:tr>
    </w:tbl>
    <w:p>
      <w:pPr>
        <w:pStyle w:val="BodyText"/>
        <w:spacing w:after="80"/>
        <w:jc w:val="both"/>
      </w:pPr>
      <w:r>
        <w:t xml:space="preserve">Parágrafo único. O juiz mandará, porém, reservar, em poder do inventariante, bens suficientes para pagar o credor quando a dívida constar de documento que comprove suficientemente a obrigação e a impugnação não se fundar em quitação.</w:t>
      </w:r>
    </w:p>
    <w:bookmarkEnd w:id="407"/>
    <w:bookmarkStart w:id="408" w:name="art.-644"/>
    <w:p>
      <w:pPr>
        <w:pStyle w:val="Heading6"/>
        <w:pBdr>
          <w:left w:val="single" w:sz="36" w:space="4" w:color="2E75B6"/>
        </w:pBdr>
        <w:shd w:val="clear" w:color="auto" w:fill="E3EEF9"/>
        <w:spacing w:before="200" w:after="80"/>
        <w:ind w:left="85"/>
      </w:pPr>
      <w:r>
        <w:rPr>
          <w:i w:val="0"/>
          <w:color w:val="1F3A5F"/>
          <w:sz w:val="23"/>
        </w:rPr>
        <w:t xml:space="preserve">Art. 644</w:t>
      </w:r>
    </w:p>
    <w:p>
      <w:pPr>
        <w:pStyle w:val="FirstParagraph"/>
        <w:keepNext/>
        <w:spacing w:after="80"/>
        <w:jc w:val="both"/>
      </w:pPr>
      <w:r>
        <w:rPr>
          <w:b/>
          <w:bCs/>
        </w:rPr>
        <w:t xml:space="preserve">Art. 644.</w:t>
      </w:r>
      <w:r>
        <w:t xml:space="preserve"> </w:t>
      </w:r>
      <w:r>
        <w:t xml:space="preserve">O credor de dívida líquida e certa, ainda não vencida, pode requerer habilitação no inventário.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2"/>
        <w:gridCol w:w="2962"/>
        <w:gridCol w:w="4491"/>
      </w:tblGrid>
      <w:tr>
        <w:trPr>
          <w:tblHeader w:val="on"/>
          <w:cantSplit/>
          <w:tblHeader/>
        </w:trPr>
        <w:tc>
          <w:tcPr>
            <w:tcW w:type="dxa" w:w="190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96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49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02"/>
          </w:tcPr>
          <w:p>
            <w:pPr>
              <w:pStyle w:val="Compact"/>
              <w:spacing w:line="276" w:lineRule="auto" w:before="40" w:after="40"/>
            </w:pPr>
            <w:r>
              <w:rPr>
                <w:rFonts w:ascii="Liberation Sans Narrow" w:hAnsi="Liberation Sans Narrow"/>
                <w:sz w:val="18"/>
              </w:rPr>
              <w:t xml:space="preserve">caput — habilitação de crédito como faculdade do credor (tese)</w:t>
            </w:r>
          </w:p>
        </w:tc>
        <w:tc>
          <w:tcPr>
            <w:tcW w:type="dxa" w:w="2962"/>
          </w:tcPr>
          <w:p>
            <w:pPr>
              <w:pStyle w:val="Compact"/>
              <w:spacing w:line="276" w:lineRule="auto" w:before="40" w:after="40"/>
            </w:pPr>
            <w:r>
              <w:rPr>
                <w:rFonts w:ascii="Liberation Sans Narrow" w:hAnsi="Liberation Sans Narrow"/>
                <w:sz w:val="18"/>
              </w:rPr>
              <w:t xml:space="preserve">STJ, AREsp 3.099.910, Quarta Turma, relator Min. João Otávio de Noronha, julgado em 16/03/2026</w:t>
            </w:r>
          </w:p>
        </w:tc>
        <w:tc>
          <w:tcPr>
            <w:tcW w:type="dxa" w:w="4490"/>
          </w:tcPr>
          <w:p>
            <w:pPr>
              <w:pStyle w:val="Compact"/>
              <w:spacing w:line="276" w:lineRule="auto" w:before="40" w:after="40"/>
            </w:pPr>
            <w:r>
              <w:rPr>
                <w:rFonts w:ascii="Liberation Sans Narrow" w:hAnsi="Liberation Sans Narrow"/>
                <w:sz w:val="18"/>
              </w:rPr>
              <w:t xml:space="preserve">A habilitação de crédito no inventário é medida facultativa do credor e não impede o prosseguimento da execução individual contra o espólio, com penhora direta de bens quando a dívida é do próprio autor da herança.</w:t>
            </w:r>
          </w:p>
        </w:tc>
      </w:tr>
      <w:tr>
        <w:trPr>
          <w:cantSplit/>
        </w:trPr>
        <w:tc>
          <w:tcPr>
            <w:tcW w:type="dxa" w:w="1902"/>
          </w:tcPr>
          <w:p>
            <w:pPr>
              <w:pStyle w:val="Compact"/>
              <w:spacing w:line="276" w:lineRule="auto" w:before="40" w:after="40"/>
            </w:pPr>
            <w:r>
              <w:rPr>
                <w:rFonts w:ascii="Liberation Sans Narrow" w:hAnsi="Liberation Sans Narrow"/>
                <w:sz w:val="18"/>
              </w:rPr>
              <w:t xml:space="preserve">Caput — orientação de aplicação (aplicação narrada)</w:t>
            </w:r>
          </w:p>
        </w:tc>
        <w:tc>
          <w:tcPr>
            <w:tcW w:type="dxa" w:w="2962"/>
          </w:tcPr>
          <w:p>
            <w:pPr>
              <w:pStyle w:val="Compact"/>
              <w:spacing w:line="276" w:lineRule="auto" w:before="40" w:after="40"/>
            </w:pPr>
            <w:r>
              <w:rPr>
                <w:rFonts w:ascii="Liberation Sans Narrow" w:hAnsi="Liberation Sans Narrow"/>
                <w:sz w:val="18"/>
              </w:rPr>
              <w:t xml:space="preserve">STJ, REsp 2.197.615, Quarta Turma, relator Min. João Otávio de Noronha, julgado em 17/11/2025, DJEN de 24/11/2025</w:t>
            </w:r>
          </w:p>
        </w:tc>
        <w:tc>
          <w:tcPr>
            <w:tcW w:type="dxa" w:w="4490"/>
          </w:tcPr>
          <w:p>
            <w:pPr>
              <w:pStyle w:val="Compact"/>
              <w:spacing w:line="276" w:lineRule="auto" w:before="40" w:after="40"/>
            </w:pPr>
            <w:r>
              <w:rPr>
                <w:rFonts w:ascii="Liberation Sans Narrow" w:hAnsi="Liberation Sans Narrow"/>
                <w:sz w:val="18"/>
              </w:rPr>
              <w:t xml:space="preserve">A decisão que versa sobre habilitação de crédito em inventário tem natureza interlocutória e deve ser impugnada por agravo de instrumento, admitindo-se a fungibilidade recursal quando a condução do processo induz a erro quanto ao recurso cabível. Trecho: “A decisão que versa sobre habilitação de crédito em inventário possui natureza interlocutória e deve ser impugnada por agravo de instrumento, conforme o art.”</w:t>
            </w:r>
          </w:p>
        </w:tc>
      </w:tr>
    </w:tbl>
    <w:p>
      <w:pPr>
        <w:pStyle w:val="BodyText"/>
        <w:spacing w:after="80"/>
        <w:jc w:val="both"/>
      </w:pPr>
      <w:r>
        <w:t xml:space="preserve">Parágrafo único. Concordando as partes com o pedido referido no caput , o juiz, ao julgar habilitado o crédito, mandará que se faça separação de bens para o futuro pagamento.</w:t>
      </w:r>
    </w:p>
    <w:bookmarkEnd w:id="408"/>
    <w:bookmarkStart w:id="409" w:name="art.-645"/>
    <w:p>
      <w:pPr>
        <w:pStyle w:val="Heading6"/>
        <w:pBdr>
          <w:left w:val="single" w:sz="36" w:space="4" w:color="2E75B6"/>
        </w:pBdr>
        <w:shd w:val="clear" w:color="auto" w:fill="E3EEF9"/>
        <w:spacing w:before="200" w:after="80"/>
        <w:ind w:left="85"/>
      </w:pPr>
      <w:r>
        <w:rPr>
          <w:i w:val="0"/>
          <w:color w:val="1F3A5F"/>
          <w:sz w:val="23"/>
        </w:rPr>
        <w:t xml:space="preserve">Art. 645</w:t>
      </w:r>
    </w:p>
    <w:p>
      <w:pPr>
        <w:pStyle w:val="FirstParagraph"/>
        <w:spacing w:after="80"/>
        <w:jc w:val="both"/>
      </w:pPr>
      <w:r>
        <w:rPr>
          <w:b/>
          <w:bCs/>
        </w:rPr>
        <w:t xml:space="preserve">Art. 645.</w:t>
      </w:r>
      <w:r>
        <w:t xml:space="preserve"> </w:t>
      </w:r>
      <w:r>
        <w:t xml:space="preserve">O legatário é parte legítima para manifestar-se sobre as dívidas do espólio:</w:t>
      </w:r>
    </w:p>
    <w:p>
      <w:pPr>
        <w:pStyle w:val="BodyText"/>
        <w:spacing w:after="80"/>
        <w:jc w:val="both"/>
      </w:pPr>
      <w:r>
        <w:t xml:space="preserve">I - quando toda a herança for dividida em legados;</w:t>
      </w:r>
    </w:p>
    <w:p>
      <w:pPr>
        <w:pStyle w:val="BodyText"/>
        <w:spacing w:after="80"/>
        <w:jc w:val="both"/>
      </w:pPr>
      <w:r>
        <w:t xml:space="preserve">II - quando o reconhecimento das dívidas importar redução dos legados.</w:t>
      </w:r>
    </w:p>
    <w:bookmarkEnd w:id="409"/>
    <w:bookmarkStart w:id="410" w:name="art.-646"/>
    <w:p>
      <w:pPr>
        <w:pStyle w:val="Heading6"/>
        <w:pBdr>
          <w:left w:val="single" w:sz="36" w:space="4" w:color="2E75B6"/>
        </w:pBdr>
        <w:shd w:val="clear" w:color="auto" w:fill="E3EEF9"/>
        <w:spacing w:before="200" w:after="80"/>
        <w:ind w:left="85"/>
      </w:pPr>
      <w:r>
        <w:rPr>
          <w:i w:val="0"/>
          <w:color w:val="1F3A5F"/>
          <w:sz w:val="23"/>
        </w:rPr>
        <w:t xml:space="preserve">Art. 646</w:t>
      </w:r>
    </w:p>
    <w:p>
      <w:pPr>
        <w:pStyle w:val="FirstParagraph"/>
        <w:spacing w:after="80"/>
        <w:jc w:val="both"/>
      </w:pPr>
      <w:r>
        <w:rPr>
          <w:b/>
          <w:bCs/>
        </w:rPr>
        <w:t xml:space="preserve">Art. 646.</w:t>
      </w:r>
      <w:r>
        <w:t xml:space="preserve"> </w:t>
      </w:r>
      <w:r>
        <w:t xml:space="preserve">Sem prejuízo do disposto no art. 860, é lícito aos herdeiros, ao separarem bens para o pagamento de dívidas, autorizar que o inventariante os indique à penhora no processo em que o espólio for executado.</w:t>
      </w:r>
    </w:p>
    <w:bookmarkEnd w:id="410"/>
    <w:bookmarkEnd w:id="411"/>
    <w:bookmarkStart w:id="424" w:name="seção-viii-da-partilha-arts.-647-a-658"/>
    <w:p>
      <w:pPr>
        <w:pStyle w:val="Heading5"/>
        <w:spacing w:before="140" w:after="20"/>
      </w:pPr>
      <w:r>
        <w:rPr>
          <w:i/>
          <w:color w:val="595959"/>
        </w:rPr>
        <w:t xml:space="preserve">Seção VIII: da partilha (arts. 647 a 658)</w:t>
      </w:r>
    </w:p>
    <w:bookmarkStart w:id="412" w:name="art.-647"/>
    <w:p>
      <w:pPr>
        <w:pStyle w:val="Heading6"/>
        <w:pBdr>
          <w:left w:val="single" w:sz="36" w:space="4" w:color="2E75B6"/>
        </w:pBdr>
        <w:shd w:val="clear" w:color="auto" w:fill="E3EEF9"/>
        <w:spacing w:before="200" w:after="80"/>
        <w:ind w:left="85"/>
      </w:pPr>
      <w:r>
        <w:rPr>
          <w:i w:val="0"/>
          <w:color w:val="1F3A5F"/>
          <w:sz w:val="23"/>
        </w:rPr>
        <w:t xml:space="preserve">Art. 647</w:t>
      </w:r>
    </w:p>
    <w:p>
      <w:pPr>
        <w:pStyle w:val="FirstParagraph"/>
        <w:spacing w:after="80"/>
        <w:jc w:val="both"/>
      </w:pPr>
      <w:r>
        <w:rPr>
          <w:b/>
          <w:bCs/>
        </w:rPr>
        <w:t xml:space="preserve">Art. 647.</w:t>
      </w:r>
      <w:r>
        <w:t xml:space="preserve"> </w:t>
      </w:r>
      <w:r>
        <w:t xml:space="preserve">Cumprido o disposto no art. 642, § 3º, o juiz facultará às partes que, no prazo comum de 15 (quinze) dias, formulem o pedido de quinhão e, em seguida, proferirá a decisão de deliberação da partilha, resolvendo os pedidos das partes e designando os bens que devam constituir quinhão de cada herdeiro e legatário.</w:t>
      </w:r>
    </w:p>
    <w:p>
      <w:pPr>
        <w:pStyle w:val="BodyText"/>
        <w:spacing w:after="80"/>
        <w:jc w:val="both"/>
      </w:pPr>
      <w:r>
        <w:t xml:space="preserve">Parágrafo único. O juiz poderá, em decisão fundamentada, deferir antecipadamente a qualquer dos herdeiros o exercício dos direitos de usar e de fruir de determinado bem, com a condição de que, ao término do inventário, tal bem integre a cota desse herdeiro, cabendo a este, desde o deferimento, todos os ônus e bônus decorrentes do exercício daqueles direitos.</w:t>
      </w:r>
    </w:p>
    <w:bookmarkEnd w:id="412"/>
    <w:bookmarkStart w:id="413" w:name="art.-648"/>
    <w:p>
      <w:pPr>
        <w:pStyle w:val="Heading6"/>
        <w:pBdr>
          <w:left w:val="single" w:sz="36" w:space="4" w:color="2E75B6"/>
        </w:pBdr>
        <w:shd w:val="clear" w:color="auto" w:fill="E3EEF9"/>
        <w:spacing w:before="200" w:after="80"/>
        <w:ind w:left="85"/>
      </w:pPr>
      <w:r>
        <w:rPr>
          <w:i w:val="0"/>
          <w:color w:val="1F3A5F"/>
          <w:sz w:val="23"/>
        </w:rPr>
        <w:t xml:space="preserve">Art. 648</w:t>
      </w:r>
    </w:p>
    <w:p>
      <w:pPr>
        <w:pStyle w:val="FirstParagraph"/>
        <w:spacing w:after="80"/>
        <w:jc w:val="both"/>
      </w:pPr>
      <w:r>
        <w:rPr>
          <w:b/>
          <w:bCs/>
        </w:rPr>
        <w:t xml:space="preserve">Art. 648.</w:t>
      </w:r>
      <w:r>
        <w:t xml:space="preserve"> </w:t>
      </w:r>
      <w:r>
        <w:t xml:space="preserve">Na partilha, serão observadas as seguintes regras:</w:t>
      </w:r>
    </w:p>
    <w:p>
      <w:pPr>
        <w:pStyle w:val="BodyText"/>
        <w:keepNext/>
        <w:spacing w:after="80"/>
        <w:jc w:val="both"/>
      </w:pPr>
      <w:r>
        <w:t xml:space="preserve">I - a máxima igualdade possível quanto ao valor, à natureza e à qualidade dos bens;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32"/>
        <w:gridCol w:w="2330"/>
        <w:gridCol w:w="4892"/>
      </w:tblGrid>
      <w:tr>
        <w:trPr>
          <w:tblHeader w:val="on"/>
          <w:cantSplit/>
          <w:tblHeader/>
        </w:trPr>
        <w:tc>
          <w:tcPr>
            <w:tcW w:type="dxa" w:w="213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33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9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32"/>
          </w:tcPr>
          <w:p>
            <w:pPr>
              <w:pStyle w:val="Compact"/>
              <w:spacing w:line="276" w:lineRule="auto" w:before="40" w:after="40"/>
            </w:pPr>
            <w:r>
              <w:rPr>
                <w:rFonts w:ascii="Liberation Sans Narrow" w:hAnsi="Liberation Sans Narrow"/>
                <w:sz w:val="18"/>
              </w:rPr>
              <w:t xml:space="preserve">I — máxima igualdade possível (orientação de aplicação) (aplicação narrada)</w:t>
            </w:r>
          </w:p>
        </w:tc>
        <w:tc>
          <w:tcPr>
            <w:tcW w:type="dxa" w:w="2331"/>
          </w:tcPr>
          <w:p>
            <w:pPr>
              <w:pStyle w:val="Compact"/>
              <w:spacing w:line="276" w:lineRule="auto" w:before="40" w:after="40"/>
            </w:pPr>
            <w:r>
              <w:rPr>
                <w:rFonts w:ascii="Liberation Sans Narrow" w:hAnsi="Liberation Sans Narrow"/>
                <w:sz w:val="18"/>
              </w:rPr>
              <w:t xml:space="preserve">STJ, REsp 2.225.451, Terceira Turma, relatora Min. Nancy Andrighi, julgado em 12/05/2026</w:t>
            </w:r>
          </w:p>
        </w:tc>
        <w:tc>
          <w:tcPr>
            <w:tcW w:type="dxa" w:w="4892"/>
          </w:tcPr>
          <w:p>
            <w:pPr>
              <w:pStyle w:val="Compact"/>
              <w:spacing w:line="276" w:lineRule="auto" w:before="40" w:after="40"/>
            </w:pPr>
            <w:r>
              <w:rPr>
                <w:rFonts w:ascii="Liberation Sans Narrow" w:hAnsi="Liberation Sans Narrow"/>
                <w:sz w:val="18"/>
              </w:rPr>
              <w:t xml:space="preserve">A regra da maior igualdade possível não exige igualdade absoluta entre quinhões: não há óbice à partilha amigável com quinhões desiguais, precedida de cessão de direitos, cabendo ao juiz verificar apenas a validade da manifestação de vontade. Trecho: “O juiz, ao homologar a partilha consensual, deve apenas verificar a validade da manifestação de vontade, não cabendo exigir a equivalência matemática dos quinhões desiguais, mormente quando celebrada entre herdeiros maiores e capazes.”</w:t>
            </w:r>
          </w:p>
        </w:tc>
      </w:tr>
    </w:tbl>
    <w:p>
      <w:pPr>
        <w:pStyle w:val="BodyText"/>
        <w:spacing w:after="80"/>
        <w:jc w:val="both"/>
      </w:pPr>
      <w:r>
        <w:t xml:space="preserve">II - a prevenção de litígios futuros;</w:t>
      </w:r>
    </w:p>
    <w:p>
      <w:pPr>
        <w:pStyle w:val="BodyText"/>
        <w:spacing w:after="80"/>
        <w:jc w:val="both"/>
      </w:pPr>
      <w:r>
        <w:t xml:space="preserve">III - a máxima comodidade dos coerdeiros, do cônjuge ou do companheiro, se for o caso.</w:t>
      </w:r>
    </w:p>
    <w:bookmarkEnd w:id="413"/>
    <w:bookmarkStart w:id="414" w:name="art.-649"/>
    <w:p>
      <w:pPr>
        <w:pStyle w:val="Heading6"/>
        <w:pBdr>
          <w:left w:val="single" w:sz="36" w:space="4" w:color="2E75B6"/>
        </w:pBdr>
        <w:shd w:val="clear" w:color="auto" w:fill="E3EEF9"/>
        <w:spacing w:before="200" w:after="80"/>
        <w:ind w:left="85"/>
      </w:pPr>
      <w:r>
        <w:rPr>
          <w:i w:val="0"/>
          <w:color w:val="1F3A5F"/>
          <w:sz w:val="23"/>
        </w:rPr>
        <w:t xml:space="preserve">Art. 649</w:t>
      </w:r>
    </w:p>
    <w:p>
      <w:pPr>
        <w:pStyle w:val="FirstParagraph"/>
        <w:keepNext/>
        <w:spacing w:after="80"/>
        <w:jc w:val="both"/>
      </w:pPr>
      <w:r>
        <w:rPr>
          <w:b/>
          <w:bCs/>
        </w:rPr>
        <w:t xml:space="preserve">Art. 649.</w:t>
      </w:r>
      <w:r>
        <w:t xml:space="preserve"> </w:t>
      </w:r>
      <w:r>
        <w:t xml:space="preserve">Os bens insuscetíveis de divisão cômoda que não couberem na parte do cônjuge ou companheiro supérstite ou no quinhão de um só herdeiro serão licitados entre os interessados ou vendidos judicialmente, partilhando-se o valor apurado, salvo se houver acordo para que sejam adjudicados a todos.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2571"/>
        <w:gridCol w:w="5252"/>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7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25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Caput — orientação de aplicação</w:t>
            </w:r>
          </w:p>
        </w:tc>
        <w:tc>
          <w:tcPr>
            <w:tcW w:type="dxa" w:w="2572"/>
          </w:tcPr>
          <w:p>
            <w:pPr>
              <w:pStyle w:val="Compact"/>
              <w:spacing w:line="276" w:lineRule="auto" w:before="40" w:after="40"/>
            </w:pPr>
            <w:r>
              <w:rPr>
                <w:rFonts w:ascii="Liberation Sans Narrow" w:hAnsi="Liberation Sans Narrow"/>
                <w:sz w:val="18"/>
              </w:rPr>
              <w:t xml:space="preserve">STJ, AREsp 2.975.668, Quarta Turma, relator Min. João Otávio de Noronha, julgado em 30/06/2026</w:t>
            </w:r>
          </w:p>
        </w:tc>
        <w:tc>
          <w:tcPr>
            <w:tcW w:type="dxa" w:w="5252"/>
          </w:tcPr>
          <w:p>
            <w:pPr>
              <w:pStyle w:val="Compact"/>
              <w:spacing w:line="276" w:lineRule="auto" w:before="40" w:after="40"/>
            </w:pPr>
            <w:r>
              <w:rPr>
                <w:rFonts w:ascii="Liberation Sans Narrow" w:hAnsi="Liberation Sans Narrow"/>
                <w:sz w:val="18"/>
              </w:rPr>
              <w:t xml:space="preserve">A herança é unidade indivisível até a partilha (CC, art. 1.791), de modo que a extinção do condomínio legal e a alienação de bem do espólio devem ser deliberadas no inventário, não se aplicando antes da partilha os arts. 1.320 e 1.322 do Código Civil.</w:t>
            </w:r>
          </w:p>
        </w:tc>
      </w:tr>
    </w:tbl>
    <w:bookmarkEnd w:id="414"/>
    <w:bookmarkStart w:id="415" w:name="art.-650"/>
    <w:p>
      <w:pPr>
        <w:pStyle w:val="Heading6"/>
        <w:pBdr>
          <w:left w:val="single" w:sz="36" w:space="4" w:color="2E75B6"/>
        </w:pBdr>
        <w:shd w:val="clear" w:color="auto" w:fill="E3EEF9"/>
        <w:spacing w:before="200" w:after="80"/>
        <w:ind w:left="85"/>
      </w:pPr>
      <w:r>
        <w:rPr>
          <w:i w:val="0"/>
          <w:color w:val="1F3A5F"/>
          <w:sz w:val="23"/>
        </w:rPr>
        <w:t xml:space="preserve">Art. 650</w:t>
      </w:r>
    </w:p>
    <w:p>
      <w:pPr>
        <w:pStyle w:val="FirstParagraph"/>
        <w:spacing w:after="80"/>
        <w:jc w:val="both"/>
      </w:pPr>
      <w:r>
        <w:rPr>
          <w:b/>
          <w:bCs/>
        </w:rPr>
        <w:t xml:space="preserve">Art. 650.</w:t>
      </w:r>
      <w:r>
        <w:t xml:space="preserve"> </w:t>
      </w:r>
      <w:r>
        <w:t xml:space="preserve">Se um dos interessados for nascituro, o quinhão que lhe caberá será reservado em poder do inventariante até o seu nascimento.</w:t>
      </w:r>
    </w:p>
    <w:bookmarkEnd w:id="415"/>
    <w:bookmarkStart w:id="416" w:name="art.-651"/>
    <w:p>
      <w:pPr>
        <w:pStyle w:val="Heading6"/>
        <w:pBdr>
          <w:left w:val="single" w:sz="36" w:space="4" w:color="2E75B6"/>
        </w:pBdr>
        <w:shd w:val="clear" w:color="auto" w:fill="E3EEF9"/>
        <w:spacing w:before="200" w:after="80"/>
        <w:ind w:left="85"/>
      </w:pPr>
      <w:r>
        <w:rPr>
          <w:i w:val="0"/>
          <w:color w:val="1F3A5F"/>
          <w:sz w:val="23"/>
        </w:rPr>
        <w:t xml:space="preserve">Art. 651</w:t>
      </w:r>
    </w:p>
    <w:p>
      <w:pPr>
        <w:pStyle w:val="FirstParagraph"/>
        <w:spacing w:after="80"/>
        <w:jc w:val="both"/>
      </w:pPr>
      <w:r>
        <w:rPr>
          <w:b/>
          <w:bCs/>
        </w:rPr>
        <w:t xml:space="preserve">Art. 651.</w:t>
      </w:r>
      <w:r>
        <w:t xml:space="preserve"> </w:t>
      </w:r>
      <w:r>
        <w:t xml:space="preserve">O partidor organizará o esboço da partilha de acordo com a decisão judicial, observando nos pagamentos a seguinte ordem:</w:t>
      </w:r>
    </w:p>
    <w:p>
      <w:pPr>
        <w:pStyle w:val="BodyText"/>
        <w:spacing w:after="80"/>
        <w:jc w:val="both"/>
      </w:pPr>
      <w:r>
        <w:t xml:space="preserve">I - dívidas atendidas;</w:t>
      </w:r>
    </w:p>
    <w:p>
      <w:pPr>
        <w:pStyle w:val="BodyText"/>
        <w:spacing w:after="80"/>
        <w:jc w:val="both"/>
      </w:pPr>
      <w:r>
        <w:t xml:space="preserve">II - meação do cônjuge;</w:t>
      </w:r>
    </w:p>
    <w:p>
      <w:pPr>
        <w:pStyle w:val="BodyText"/>
        <w:spacing w:after="80"/>
        <w:jc w:val="both"/>
      </w:pPr>
      <w:r>
        <w:t xml:space="preserve">III - meação disponível;</w:t>
      </w:r>
    </w:p>
    <w:p>
      <w:pPr>
        <w:pStyle w:val="BodyText"/>
        <w:spacing w:after="80"/>
        <w:jc w:val="both"/>
      </w:pPr>
      <w:r>
        <w:t xml:space="preserve">IV - quinhões hereditários, a começar pelo coerdeiro mais velho.</w:t>
      </w:r>
    </w:p>
    <w:bookmarkEnd w:id="416"/>
    <w:bookmarkStart w:id="417" w:name="art.-652"/>
    <w:p>
      <w:pPr>
        <w:pStyle w:val="Heading6"/>
        <w:pBdr>
          <w:left w:val="single" w:sz="36" w:space="4" w:color="2E75B6"/>
        </w:pBdr>
        <w:shd w:val="clear" w:color="auto" w:fill="E3EEF9"/>
        <w:spacing w:before="200" w:after="80"/>
        <w:ind w:left="85"/>
      </w:pPr>
      <w:r>
        <w:rPr>
          <w:i w:val="0"/>
          <w:color w:val="1F3A5F"/>
          <w:sz w:val="23"/>
        </w:rPr>
        <w:t xml:space="preserve">Art. 652</w:t>
      </w:r>
    </w:p>
    <w:p>
      <w:pPr>
        <w:pStyle w:val="FirstParagraph"/>
        <w:spacing w:after="80"/>
        <w:jc w:val="both"/>
      </w:pPr>
      <w:r>
        <w:rPr>
          <w:b/>
          <w:bCs/>
        </w:rPr>
        <w:t xml:space="preserve">Art. 652.</w:t>
      </w:r>
      <w:r>
        <w:t xml:space="preserve"> </w:t>
      </w:r>
      <w:r>
        <w:t xml:space="preserve">Feito o esboço, as partes manifestar-se-ão sobre esse no prazo comum de 15 (quinze) dias, e, resolvidas as reclamações, a partilha será lançada nos autos.</w:t>
      </w:r>
    </w:p>
    <w:bookmarkEnd w:id="417"/>
    <w:bookmarkStart w:id="418" w:name="art.-653"/>
    <w:p>
      <w:pPr>
        <w:pStyle w:val="Heading6"/>
        <w:pBdr>
          <w:left w:val="single" w:sz="36" w:space="4" w:color="2E75B6"/>
        </w:pBdr>
        <w:shd w:val="clear" w:color="auto" w:fill="E3EEF9"/>
        <w:spacing w:before="200" w:after="80"/>
        <w:ind w:left="85"/>
      </w:pPr>
      <w:r>
        <w:rPr>
          <w:i w:val="0"/>
          <w:color w:val="1F3A5F"/>
          <w:sz w:val="23"/>
        </w:rPr>
        <w:t xml:space="preserve">Art. 653</w:t>
      </w:r>
    </w:p>
    <w:p>
      <w:pPr>
        <w:pStyle w:val="FirstParagraph"/>
        <w:spacing w:after="80"/>
        <w:jc w:val="both"/>
      </w:pPr>
      <w:r>
        <w:rPr>
          <w:b/>
          <w:bCs/>
        </w:rPr>
        <w:t xml:space="preserve">Art. 653.</w:t>
      </w:r>
      <w:r>
        <w:t xml:space="preserve"> </w:t>
      </w:r>
      <w:r>
        <w:t xml:space="preserve">A partilha constará:</w:t>
      </w:r>
    </w:p>
    <w:p>
      <w:pPr>
        <w:pStyle w:val="BodyText"/>
        <w:spacing w:after="80"/>
        <w:jc w:val="both"/>
      </w:pPr>
      <w:r>
        <w:t xml:space="preserve">I - de auto de orçamento, que mencionará:</w:t>
      </w:r>
    </w:p>
    <w:p>
      <w:pPr>
        <w:pStyle w:val="BodyText"/>
        <w:spacing w:after="80"/>
        <w:jc w:val="both"/>
      </w:pPr>
      <w:r>
        <w:t xml:space="preserve">a) os nomes do autor da herança, do inventariante, do cônjuge ou companheiro supérstite, dos herdeiros, dos legatários e dos credores admitidos;</w:t>
      </w:r>
    </w:p>
    <w:p>
      <w:pPr>
        <w:pStyle w:val="BodyText"/>
        <w:spacing w:after="80"/>
        <w:jc w:val="both"/>
      </w:pPr>
      <w:r>
        <w:t xml:space="preserve">b) o ativo, o passivo e o líquido partível, com as necessárias especificações;</w:t>
      </w:r>
    </w:p>
    <w:p>
      <w:pPr>
        <w:pStyle w:val="BodyText"/>
        <w:spacing w:after="80"/>
        <w:jc w:val="both"/>
      </w:pPr>
      <w:r>
        <w:t xml:space="preserve">c) o valor de cada quinhão;</w:t>
      </w:r>
    </w:p>
    <w:p>
      <w:pPr>
        <w:pStyle w:val="BodyText"/>
        <w:spacing w:after="80"/>
        <w:jc w:val="both"/>
      </w:pPr>
      <w:r>
        <w:t xml:space="preserve">II - de folha de pagamento para cada parte, declarando a quota a pagar-lhe, a razão do pagamento e a relação dos bens que lhe compõem o quinhão, as características que os individualizam e os ônus que os gravam.</w:t>
      </w:r>
    </w:p>
    <w:p>
      <w:pPr>
        <w:pStyle w:val="BodyText"/>
        <w:spacing w:after="80"/>
        <w:jc w:val="both"/>
      </w:pPr>
      <w:r>
        <w:t xml:space="preserve">Parágrafo único. O auto e cada uma das folhas serão assinados pelo juiz e pelo escrivão.</w:t>
      </w:r>
    </w:p>
    <w:bookmarkEnd w:id="418"/>
    <w:bookmarkStart w:id="419" w:name="art.-654"/>
    <w:p>
      <w:pPr>
        <w:pStyle w:val="Heading6"/>
        <w:pBdr>
          <w:left w:val="single" w:sz="36" w:space="4" w:color="2E75B6"/>
        </w:pBdr>
        <w:shd w:val="clear" w:color="auto" w:fill="E3EEF9"/>
        <w:spacing w:before="200" w:after="80"/>
        <w:ind w:left="85"/>
      </w:pPr>
      <w:r>
        <w:rPr>
          <w:i w:val="0"/>
          <w:color w:val="1F3A5F"/>
          <w:sz w:val="23"/>
        </w:rPr>
        <w:t xml:space="preserve">Art. 654</w:t>
      </w:r>
    </w:p>
    <w:p>
      <w:pPr>
        <w:pStyle w:val="FirstParagraph"/>
        <w:spacing w:after="80"/>
        <w:jc w:val="both"/>
      </w:pPr>
      <w:r>
        <w:rPr>
          <w:b/>
          <w:bCs/>
        </w:rPr>
        <w:t xml:space="preserve">Art. 654.</w:t>
      </w:r>
      <w:r>
        <w:t xml:space="preserve"> </w:t>
      </w:r>
      <w:r>
        <w:t xml:space="preserve">Pago o imposto de transmissão a título de morte e juntada aos autos certidão ou informação negativa de dívida para com a Fazenda Pública, o juiz julgará por sentença a partilha.</w:t>
      </w:r>
    </w:p>
    <w:p>
      <w:pPr>
        <w:pStyle w:val="BodyText"/>
        <w:spacing w:after="80"/>
        <w:jc w:val="both"/>
      </w:pPr>
      <w:r>
        <w:t xml:space="preserve">Parágrafo único. A existência de dívida para com a Fazenda Pública não impedirá o julgamento da partilha, desde que o seu pagamento esteja devidamente garantido.</w:t>
      </w:r>
    </w:p>
    <w:bookmarkEnd w:id="419"/>
    <w:bookmarkStart w:id="420" w:name="art.-655"/>
    <w:p>
      <w:pPr>
        <w:pStyle w:val="Heading6"/>
        <w:pBdr>
          <w:left w:val="single" w:sz="36" w:space="4" w:color="2E75B6"/>
        </w:pBdr>
        <w:shd w:val="clear" w:color="auto" w:fill="E3EEF9"/>
        <w:spacing w:before="200" w:after="80"/>
        <w:ind w:left="85"/>
      </w:pPr>
      <w:r>
        <w:rPr>
          <w:i w:val="0"/>
          <w:color w:val="1F3A5F"/>
          <w:sz w:val="23"/>
        </w:rPr>
        <w:t xml:space="preserve">Art. 655</w:t>
      </w:r>
    </w:p>
    <w:p>
      <w:pPr>
        <w:pStyle w:val="FirstParagraph"/>
        <w:keepNext/>
        <w:spacing w:after="80"/>
        <w:jc w:val="both"/>
      </w:pPr>
      <w:r>
        <w:rPr>
          <w:b/>
          <w:bCs/>
        </w:rPr>
        <w:t xml:space="preserve">Art. 655.</w:t>
      </w:r>
      <w:r>
        <w:t xml:space="preserve"> </w:t>
      </w:r>
      <w:r>
        <w:t xml:space="preserve">Transitada em julgado a sentença mencionada no art. 654, receberá o herdeiro os bens que lhe tocarem e um formal de partilha, do qual constarão as seguintes peças: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75"/>
        <w:gridCol w:w="2666"/>
        <w:gridCol w:w="5013"/>
      </w:tblGrid>
      <w:tr>
        <w:trPr>
          <w:tblHeader w:val="on"/>
          <w:cantSplit/>
          <w:tblHeader/>
        </w:trPr>
        <w:tc>
          <w:tcPr>
            <w:tcW w:type="dxa" w:w="1676"/>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6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01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76"/>
          </w:tcPr>
          <w:p>
            <w:pPr>
              <w:pStyle w:val="Compact"/>
              <w:spacing w:line="276" w:lineRule="auto" w:before="40" w:after="40"/>
            </w:pPr>
            <w:r>
              <w:rPr>
                <w:rFonts w:ascii="Liberation Sans Narrow" w:hAnsi="Liberation Sans Narrow"/>
                <w:sz w:val="18"/>
              </w:rPr>
              <w:t xml:space="preserve">Caput — orientação de aplicação (aplicação narrada)</w:t>
            </w:r>
          </w:p>
        </w:tc>
        <w:tc>
          <w:tcPr>
            <w:tcW w:type="dxa" w:w="2666"/>
          </w:tcPr>
          <w:p>
            <w:pPr>
              <w:pStyle w:val="Compact"/>
              <w:spacing w:line="276" w:lineRule="auto" w:before="40" w:after="40"/>
            </w:pPr>
            <w:r>
              <w:rPr>
                <w:rFonts w:ascii="Liberation Sans Narrow" w:hAnsi="Liberation Sans Narrow"/>
                <w:sz w:val="18"/>
              </w:rPr>
              <w:t xml:space="preserve">STJ, AgInt no REsp 2.256.629, Primeira Turma, relatora Min. Regina Helena Costa, julgado em 30/06/2026</w:t>
            </w:r>
          </w:p>
        </w:tc>
        <w:tc>
          <w:tcPr>
            <w:tcW w:type="dxa" w:w="5013"/>
          </w:tcPr>
          <w:p>
            <w:pPr>
              <w:pStyle w:val="Compact"/>
              <w:spacing w:line="276" w:lineRule="auto" w:before="40" w:after="40"/>
            </w:pPr>
            <w:r>
              <w:rPr>
                <w:rFonts w:ascii="Liberation Sans Narrow" w:hAnsi="Liberation Sans Narrow"/>
                <w:sz w:val="18"/>
              </w:rPr>
              <w:t xml:space="preserve">A habilitação dos herdeiros não se confunde com autorização para levantamento direto dos valores, sendo necessária a comprovação formal da partilha do crédito, mediante inventário, sobrepartilha, escritura pública ou documento equivalente. Trecho: “II - A jurisprudência desta Corte orienta-se no sentido de que a habilitação dos herdeiros não se confunde com autorização para levantamento direto dos valores, sendo necessária a comprovação formal da partilha do crédito, mediante inventário, sobrepartilha, escritura pública ou documento equivalente que relacione o bem III - Em regra, descabe a imposição da multa prevista no art.”</w:t>
            </w:r>
          </w:p>
        </w:tc>
      </w:tr>
    </w:tbl>
    <w:p>
      <w:pPr>
        <w:pStyle w:val="BodyText"/>
        <w:spacing w:after="80"/>
        <w:jc w:val="both"/>
      </w:pPr>
      <w:r>
        <w:t xml:space="preserve">I - termo de inventariante e título de herdeiros;</w:t>
      </w:r>
    </w:p>
    <w:p>
      <w:pPr>
        <w:pStyle w:val="BodyText"/>
        <w:spacing w:after="80"/>
        <w:jc w:val="both"/>
      </w:pPr>
      <w:r>
        <w:t xml:space="preserve">II - avaliação dos bens que constituíram o quinhão do herdeiro;</w:t>
      </w:r>
    </w:p>
    <w:p>
      <w:pPr>
        <w:pStyle w:val="BodyText"/>
        <w:spacing w:after="80"/>
        <w:jc w:val="both"/>
      </w:pPr>
      <w:r>
        <w:t xml:space="preserve">III - pagamento do quinhão hereditário;</w:t>
      </w:r>
    </w:p>
    <w:p>
      <w:pPr>
        <w:pStyle w:val="BodyText"/>
        <w:spacing w:after="80"/>
        <w:jc w:val="both"/>
      </w:pPr>
      <w:r>
        <w:t xml:space="preserve">IV - quitação dos impostos;</w:t>
      </w:r>
    </w:p>
    <w:p>
      <w:pPr>
        <w:pStyle w:val="BodyText"/>
        <w:spacing w:after="80"/>
        <w:jc w:val="both"/>
      </w:pPr>
      <w:r>
        <w:t xml:space="preserve">V - sentença.</w:t>
      </w:r>
    </w:p>
    <w:p>
      <w:pPr>
        <w:pStyle w:val="BodyText"/>
        <w:spacing w:after="80"/>
        <w:jc w:val="both"/>
      </w:pPr>
      <w:r>
        <w:t xml:space="preserve">Parágrafo único. O formal de partilha poderá ser substituído por certidão de pagamento do quinhão hereditário quando esse não exceder a 5 (cinco) vezes o salário-mínimo, caso em que se transcreverá nela a sentença de partilha transitada em julgado.</w:t>
      </w:r>
    </w:p>
    <w:bookmarkEnd w:id="420"/>
    <w:bookmarkStart w:id="421" w:name="art.-656"/>
    <w:p>
      <w:pPr>
        <w:pStyle w:val="Heading6"/>
        <w:pBdr>
          <w:left w:val="single" w:sz="36" w:space="4" w:color="2E75B6"/>
        </w:pBdr>
        <w:shd w:val="clear" w:color="auto" w:fill="E3EEF9"/>
        <w:spacing w:before="200" w:after="80"/>
        <w:ind w:left="85"/>
      </w:pPr>
      <w:r>
        <w:rPr>
          <w:i w:val="0"/>
          <w:color w:val="1F3A5F"/>
          <w:sz w:val="23"/>
        </w:rPr>
        <w:t xml:space="preserve">Art. 656</w:t>
      </w:r>
    </w:p>
    <w:p>
      <w:pPr>
        <w:pStyle w:val="FirstParagraph"/>
        <w:spacing w:after="80"/>
        <w:jc w:val="both"/>
      </w:pPr>
      <w:r>
        <w:rPr>
          <w:b/>
          <w:bCs/>
        </w:rPr>
        <w:t xml:space="preserve">Art. 656.</w:t>
      </w:r>
      <w:r>
        <w:t xml:space="preserve"> </w:t>
      </w:r>
      <w:r>
        <w:t xml:space="preserve">A partilha, mesmo depois de transitada em julgado a sentença, pode ser emendada nos mesmos autos do inventário, convindo todas as partes, quando tenha havido erro de fato na descrição dos bens, podendo o juiz, de ofício ou a requerimento da parte, a qualquer tempo, corrigir-lhe as inexatidões materiais.</w:t>
      </w:r>
    </w:p>
    <w:bookmarkEnd w:id="421"/>
    <w:bookmarkStart w:id="422" w:name="art.-657"/>
    <w:p>
      <w:pPr>
        <w:pStyle w:val="Heading6"/>
        <w:pBdr>
          <w:left w:val="single" w:sz="36" w:space="4" w:color="2E75B6"/>
        </w:pBdr>
        <w:shd w:val="clear" w:color="auto" w:fill="E3EEF9"/>
        <w:spacing w:before="200" w:after="80"/>
        <w:ind w:left="85"/>
      </w:pPr>
      <w:r>
        <w:rPr>
          <w:i w:val="0"/>
          <w:color w:val="1F3A5F"/>
          <w:sz w:val="23"/>
        </w:rPr>
        <w:t xml:space="preserve">Art. 657</w:t>
      </w:r>
    </w:p>
    <w:p>
      <w:pPr>
        <w:pStyle w:val="FirstParagraph"/>
        <w:spacing w:after="80"/>
        <w:jc w:val="both"/>
      </w:pPr>
      <w:r>
        <w:rPr>
          <w:b/>
          <w:bCs/>
        </w:rPr>
        <w:t xml:space="preserve">Art. 657.</w:t>
      </w:r>
      <w:r>
        <w:t xml:space="preserve"> </w:t>
      </w:r>
      <w:r>
        <w:t xml:space="preserve">A partilha amigável, lavrada em instrumento público, reduzida a termo nos autos do inventário ou constante de escrito particular homologado pelo juiz, pode ser anulada por dolo, coação, erro essencial ou intervenção de incapaz, observado o disposto no § 4º do art. 966.</w:t>
      </w:r>
    </w:p>
    <w:p>
      <w:pPr>
        <w:pStyle w:val="BodyText"/>
        <w:spacing w:after="80"/>
        <w:jc w:val="both"/>
      </w:pPr>
      <w:r>
        <w:t xml:space="preserve">Parágrafo único. O direito à anulação de partilha amigável extingue-se em 1 (um) ano, contado esse prazo:</w:t>
      </w:r>
    </w:p>
    <w:p>
      <w:pPr>
        <w:pStyle w:val="BodyText"/>
        <w:spacing w:after="80"/>
        <w:jc w:val="both"/>
      </w:pPr>
      <w:r>
        <w:t xml:space="preserve">I - no caso de coação, do dia em que ela cessou;</w:t>
      </w:r>
    </w:p>
    <w:p>
      <w:pPr>
        <w:pStyle w:val="BodyText"/>
        <w:spacing w:after="80"/>
        <w:jc w:val="both"/>
      </w:pPr>
      <w:r>
        <w:t xml:space="preserve">II - no caso de erro ou dolo, do dia em que se realizou o ato;</w:t>
      </w:r>
    </w:p>
    <w:p>
      <w:pPr>
        <w:pStyle w:val="BodyText"/>
        <w:spacing w:after="80"/>
        <w:jc w:val="both"/>
      </w:pPr>
      <w:r>
        <w:t xml:space="preserve">III - quanto ao incapaz, do dia em que cessar a incapacidade.</w:t>
      </w:r>
    </w:p>
    <w:bookmarkEnd w:id="422"/>
    <w:bookmarkStart w:id="423" w:name="art.-658"/>
    <w:p>
      <w:pPr>
        <w:pStyle w:val="Heading6"/>
        <w:pBdr>
          <w:left w:val="single" w:sz="36" w:space="4" w:color="2E75B6"/>
        </w:pBdr>
        <w:shd w:val="clear" w:color="auto" w:fill="E3EEF9"/>
        <w:spacing w:before="200" w:after="80"/>
        <w:ind w:left="85"/>
      </w:pPr>
      <w:r>
        <w:rPr>
          <w:i w:val="0"/>
          <w:color w:val="1F3A5F"/>
          <w:sz w:val="23"/>
        </w:rPr>
        <w:t xml:space="preserve">Art. 658</w:t>
      </w:r>
    </w:p>
    <w:p>
      <w:pPr>
        <w:pStyle w:val="FirstParagraph"/>
        <w:spacing w:after="80"/>
        <w:jc w:val="both"/>
      </w:pPr>
      <w:r>
        <w:rPr>
          <w:b/>
          <w:bCs/>
        </w:rPr>
        <w:t xml:space="preserve">Art. 658.</w:t>
      </w:r>
      <w:r>
        <w:t xml:space="preserve"> </w:t>
      </w:r>
      <w:r>
        <w:t xml:space="preserve">É rescindível a partilha julgada por sentença:</w:t>
      </w:r>
    </w:p>
    <w:p>
      <w:pPr>
        <w:pStyle w:val="BodyText"/>
        <w:spacing w:after="80"/>
        <w:jc w:val="both"/>
      </w:pPr>
      <w:r>
        <w:t xml:space="preserve">I - nos casos mencionados no art. 657;</w:t>
      </w:r>
    </w:p>
    <w:p>
      <w:pPr>
        <w:pStyle w:val="BodyText"/>
        <w:spacing w:after="80"/>
        <w:jc w:val="both"/>
      </w:pPr>
      <w:r>
        <w:t xml:space="preserve">II - se feita com preterição de formalidades legais;</w:t>
      </w:r>
    </w:p>
    <w:p>
      <w:pPr>
        <w:pStyle w:val="BodyText"/>
        <w:keepNext/>
        <w:spacing w:after="80"/>
        <w:jc w:val="both"/>
      </w:pPr>
      <w:r>
        <w:t xml:space="preserve">III - se preteriu herdeiro ou incluiu quem não o seja.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3080"/>
        <w:gridCol w:w="4743"/>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08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4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III — preterição de herdeiro (aplicação narrada)</w:t>
            </w:r>
          </w:p>
        </w:tc>
        <w:tc>
          <w:tcPr>
            <w:tcW w:type="dxa" w:w="3081"/>
          </w:tcPr>
          <w:p>
            <w:pPr>
              <w:pStyle w:val="Compact"/>
              <w:spacing w:line="276" w:lineRule="auto" w:before="40" w:after="40"/>
            </w:pPr>
            <w:r>
              <w:rPr>
                <w:rFonts w:ascii="Liberation Sans Narrow" w:hAnsi="Liberation Sans Narrow"/>
                <w:sz w:val="18"/>
              </w:rPr>
              <w:t xml:space="preserve">STJ, AgInt no REsp 2.164.065, Quarta Turma, relator Min. Luís Carlos Gambogi (Desembargador Convocado do Tjmg), julgado em 15/06/2026</w:t>
            </w:r>
          </w:p>
        </w:tc>
        <w:tc>
          <w:tcPr>
            <w:tcW w:type="dxa" w:w="4743"/>
          </w:tcPr>
          <w:p>
            <w:pPr>
              <w:pStyle w:val="Compact"/>
              <w:spacing w:line="276" w:lineRule="auto" w:before="40" w:after="40"/>
            </w:pPr>
            <w:r>
              <w:rPr>
                <w:rFonts w:ascii="Liberation Sans Narrow" w:hAnsi="Liberation Sans Narrow"/>
                <w:sz w:val="18"/>
              </w:rPr>
              <w:t xml:space="preserve">A preterição de herdeiro, por si só, enseja a nulidade e a revisão da partilha, hipótese não alcançada pela modulação de efeitos do Tema 809/STF. Trecho: “No caso em tela, a Corte de origem compreendeu que a partilha realizada pelo filho da de cujus fora concluída à total revelia do companheiro, não lhe sendo reservada qualquer parcela do monte-mor, além de que a preterição de herdeiro já ensejaria, por si só, a nulidade e a revisão da partilha, situação que não se enquadra na proteção conferida pela modulação do Tema 809/STF, inexistindo ofensa à segurança jurídica na aplicação do art.”</w:t>
            </w:r>
          </w:p>
        </w:tc>
      </w:tr>
    </w:tbl>
    <w:bookmarkEnd w:id="423"/>
    <w:bookmarkEnd w:id="424"/>
    <w:bookmarkStart w:id="434" w:name="seção-ix-do-arrolamento-arts.-659-a-667"/>
    <w:p>
      <w:pPr>
        <w:pStyle w:val="Heading5"/>
        <w:spacing w:before="140" w:after="20"/>
      </w:pPr>
      <w:r>
        <w:rPr>
          <w:i/>
          <w:color w:val="595959"/>
        </w:rPr>
        <w:t xml:space="preserve">Seção IX: do arrolamento (arts. 659 a 667)</w:t>
      </w:r>
    </w:p>
    <w:bookmarkStart w:id="425" w:name="art.-659"/>
    <w:p>
      <w:pPr>
        <w:pStyle w:val="Heading6"/>
        <w:pBdr>
          <w:left w:val="single" w:sz="36" w:space="4" w:color="2E75B6"/>
        </w:pBdr>
        <w:shd w:val="clear" w:color="auto" w:fill="E3EEF9"/>
        <w:spacing w:before="200" w:after="80"/>
        <w:ind w:left="85"/>
      </w:pPr>
      <w:r>
        <w:rPr>
          <w:i w:val="0"/>
          <w:color w:val="1F3A5F"/>
          <w:sz w:val="23"/>
        </w:rPr>
        <w:t xml:space="preserve">Art. 659</w:t>
      </w:r>
    </w:p>
    <w:p>
      <w:pPr>
        <w:pStyle w:val="FirstParagraph"/>
        <w:keepNext/>
        <w:spacing w:after="80"/>
        <w:jc w:val="both"/>
      </w:pPr>
      <w:r>
        <w:rPr>
          <w:b/>
          <w:bCs/>
        </w:rPr>
        <w:t xml:space="preserve">Art. 659.</w:t>
      </w:r>
      <w:r>
        <w:t xml:space="preserve"> </w:t>
      </w:r>
      <w:r>
        <w:t xml:space="preserve">A partilha amigável, celebrada entre partes capazes, nos termos da lei, será homologada de plano pelo juiz, com observância dos arts. 660 a 663.</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862"/>
        <w:gridCol w:w="2961"/>
        <w:gridCol w:w="4531"/>
      </w:tblGrid>
      <w:tr>
        <w:trPr>
          <w:tblHeader w:val="on"/>
          <w:cantSplit/>
          <w:tblHeader/>
        </w:trPr>
        <w:tc>
          <w:tcPr>
            <w:tcW w:type="dxa" w:w="1863"/>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96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53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863"/>
          </w:tcPr>
          <w:p>
            <w:pPr>
              <w:pStyle w:val="Compact"/>
              <w:spacing w:line="276" w:lineRule="auto" w:before="40" w:after="40"/>
            </w:pPr>
            <w:r>
              <w:rPr>
                <w:rFonts w:ascii="Liberation Sans Narrow" w:hAnsi="Liberation Sans Narrow"/>
                <w:sz w:val="18"/>
              </w:rPr>
              <w:t xml:space="preserve">Arrolamento sumário (§ 2º): ITCMD e expedição dos títulos de partilha</w:t>
            </w:r>
          </w:p>
        </w:tc>
        <w:tc>
          <w:tcPr>
            <w:tcW w:type="dxa" w:w="2961"/>
          </w:tcPr>
          <w:p>
            <w:pPr>
              <w:pStyle w:val="Compact"/>
              <w:spacing w:line="276" w:lineRule="auto" w:before="40" w:after="40"/>
            </w:pPr>
            <w:r>
              <w:rPr>
                <w:rFonts w:ascii="Liberation Sans Narrow" w:hAnsi="Liberation Sans Narrow"/>
                <w:sz w:val="18"/>
              </w:rPr>
              <w:t xml:space="preserve">STJ, Tema Repetitivo 1074, REsp 1.896.526, Primeira Seção, relatora Min. Regina Helena Costa, julgado em 26/10/2022, DJe de 28/10/2022</w:t>
            </w:r>
          </w:p>
        </w:tc>
        <w:tc>
          <w:tcPr>
            <w:tcW w:type="dxa" w:w="4531"/>
          </w:tcPr>
          <w:p>
            <w:pPr>
              <w:pStyle w:val="Compact"/>
              <w:spacing w:line="276" w:lineRule="auto" w:before="40" w:after="40"/>
            </w:pPr>
            <w:r>
              <w:rPr>
                <w:rFonts w:ascii="Liberation Sans Narrow" w:hAnsi="Liberation Sans Narrow"/>
                <w:sz w:val="18"/>
              </w:rPr>
              <w:t xml:space="preserve">No arrolamento sumário, a homologação da partilha ou da adjudicação, bem como a expedição do formal de partilha e da carta de adjudicação, não se condicionam ao prévio recolhimento do imposto de transmissão causa mortis, devendo ser comprovado, todavia, o pagamento dos tributos relativos aos bens do espólio e às suas rendas, a teor dos arts. 659, § 2º, do CPC/2015 e 192 do CTN.</w:t>
            </w:r>
          </w:p>
        </w:tc>
      </w:tr>
    </w:tbl>
    <w:p>
      <w:pPr>
        <w:pStyle w:val="BodyText"/>
        <w:spacing w:after="80"/>
        <w:jc w:val="both"/>
      </w:pPr>
      <w:r>
        <w:t xml:space="preserve">§ 1º O disposto neste artigo aplica-se, também, ao pedido de adjudicação, quando houver herdeiro único.</w:t>
      </w:r>
    </w:p>
    <w:p>
      <w:pPr>
        <w:pStyle w:val="BodyText"/>
        <w:spacing w:after="80"/>
        <w:jc w:val="both"/>
      </w:pPr>
      <w:r>
        <w:t xml:space="preserve">§ 2º Transitada em julgado a sentença de homologação de partilha ou de adjudicação, será lavrado o formal de partilha ou elaborada a carta de adjudicação e, em seguida, serão expedidos os alvarás referentes aos bens e às rendas por ele abrangidos, intimando-se o fisco para lançamento administrativo do imposto de transmissão e de outros tributos porventura incidentes, conforme dispuser a legislação tributária, nos termos do § 2º do art. 662.</w:t>
      </w:r>
    </w:p>
    <w:bookmarkEnd w:id="425"/>
    <w:bookmarkStart w:id="426" w:name="art.-660"/>
    <w:p>
      <w:pPr>
        <w:pStyle w:val="Heading6"/>
        <w:pBdr>
          <w:left w:val="single" w:sz="36" w:space="4" w:color="2E75B6"/>
        </w:pBdr>
        <w:shd w:val="clear" w:color="auto" w:fill="E3EEF9"/>
        <w:spacing w:before="200" w:after="80"/>
        <w:ind w:left="85"/>
      </w:pPr>
      <w:r>
        <w:rPr>
          <w:i w:val="0"/>
          <w:color w:val="1F3A5F"/>
          <w:sz w:val="23"/>
        </w:rPr>
        <w:t xml:space="preserve">Art. 660</w:t>
      </w:r>
    </w:p>
    <w:p>
      <w:pPr>
        <w:pStyle w:val="FirstParagraph"/>
        <w:keepNext/>
        <w:spacing w:after="80"/>
        <w:jc w:val="both"/>
      </w:pPr>
      <w:r>
        <w:rPr>
          <w:b/>
          <w:bCs/>
        </w:rPr>
        <w:t xml:space="preserve">Art. 660.</w:t>
      </w:r>
      <w:r>
        <w:t xml:space="preserve"> </w:t>
      </w:r>
      <w:r>
        <w:t xml:space="preserve">Na petição de inventário, que se processará na forma de arrolamento sumário, independentemente da lavratura de termos de qualquer espécie, os herdeiros: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2497"/>
        <w:gridCol w:w="5327"/>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49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327"/>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Caput — aplicação (aplicação narrada)</w:t>
            </w:r>
          </w:p>
        </w:tc>
        <w:tc>
          <w:tcPr>
            <w:tcW w:type="dxa" w:w="2497"/>
          </w:tcPr>
          <w:p>
            <w:pPr>
              <w:pStyle w:val="Compact"/>
              <w:spacing w:line="276" w:lineRule="auto" w:before="40" w:after="40"/>
            </w:pPr>
            <w:r>
              <w:rPr>
                <w:rFonts w:ascii="Liberation Sans Narrow" w:hAnsi="Liberation Sans Narrow"/>
                <w:sz w:val="18"/>
              </w:rPr>
              <w:t xml:space="preserve">STJ, AREsp 3.123.917, Terceira Turma, relator Min. Moura Ribeiro, julgado em 22/06/2026</w:t>
            </w:r>
          </w:p>
        </w:tc>
        <w:tc>
          <w:tcPr>
            <w:tcW w:type="dxa" w:w="5327"/>
          </w:tcPr>
          <w:p>
            <w:pPr>
              <w:pStyle w:val="Compact"/>
              <w:spacing w:line="276" w:lineRule="auto" w:before="40" w:after="40"/>
            </w:pPr>
            <w:r>
              <w:rPr>
                <w:rFonts w:ascii="Liberation Sans Narrow" w:hAnsi="Liberation Sans Narrow"/>
                <w:sz w:val="18"/>
              </w:rPr>
              <w:t xml:space="preserve">A homologação da partilha por arrolamento sumário é compatível com o consenso dos herdeiros quanto aos valores, nos termos do art. 660 do CPC. Trecho: “A homologação por arrolamento sumário é compatível com o consenso dos herdeiros quanto aos valores, nos termos do art.”</w:t>
            </w:r>
          </w:p>
        </w:tc>
      </w:tr>
    </w:tbl>
    <w:p>
      <w:pPr>
        <w:pStyle w:val="BodyText"/>
        <w:spacing w:after="80"/>
        <w:jc w:val="both"/>
      </w:pPr>
      <w:r>
        <w:t xml:space="preserve">I - requererão ao juiz a nomeação do inventariante que designarem;</w:t>
      </w:r>
    </w:p>
    <w:p>
      <w:pPr>
        <w:pStyle w:val="BodyText"/>
        <w:spacing w:after="80"/>
        <w:jc w:val="both"/>
      </w:pPr>
      <w:r>
        <w:t xml:space="preserve">II - declararão os títulos dos herdeiros e os bens do espólio, observado o disposto no art. 630;</w:t>
      </w:r>
    </w:p>
    <w:p>
      <w:pPr>
        <w:pStyle w:val="BodyText"/>
        <w:spacing w:after="80"/>
        <w:jc w:val="both"/>
      </w:pPr>
      <w:r>
        <w:t xml:space="preserve">III - atribuirão valor aos bens do espólio, para fins de partilha.</w:t>
      </w:r>
    </w:p>
    <w:bookmarkEnd w:id="426"/>
    <w:bookmarkStart w:id="427" w:name="art.-661"/>
    <w:p>
      <w:pPr>
        <w:pStyle w:val="Heading6"/>
        <w:pBdr>
          <w:left w:val="single" w:sz="36" w:space="4" w:color="2E75B6"/>
        </w:pBdr>
        <w:shd w:val="clear" w:color="auto" w:fill="E3EEF9"/>
        <w:spacing w:before="200" w:after="80"/>
        <w:ind w:left="85"/>
      </w:pPr>
      <w:r>
        <w:rPr>
          <w:i w:val="0"/>
          <w:color w:val="1F3A5F"/>
          <w:sz w:val="23"/>
        </w:rPr>
        <w:t xml:space="preserve">Art. 661</w:t>
      </w:r>
    </w:p>
    <w:p>
      <w:pPr>
        <w:pStyle w:val="FirstParagraph"/>
        <w:spacing w:after="80"/>
        <w:jc w:val="both"/>
      </w:pPr>
      <w:r>
        <w:rPr>
          <w:b/>
          <w:bCs/>
        </w:rPr>
        <w:t xml:space="preserve">Art. 661.</w:t>
      </w:r>
      <w:r>
        <w:t xml:space="preserve"> </w:t>
      </w:r>
      <w:r>
        <w:t xml:space="preserve">Ressalvada a hipótese prevista no parágrafo único do art. 663, não se procederá à avaliação dos bens do espólio para nenhuma finalidade.</w:t>
      </w:r>
    </w:p>
    <w:bookmarkEnd w:id="427"/>
    <w:bookmarkStart w:id="428" w:name="art.-662"/>
    <w:p>
      <w:pPr>
        <w:pStyle w:val="Heading6"/>
        <w:pBdr>
          <w:left w:val="single" w:sz="36" w:space="4" w:color="2E75B6"/>
        </w:pBdr>
        <w:shd w:val="clear" w:color="auto" w:fill="E3EEF9"/>
        <w:spacing w:before="200" w:after="80"/>
        <w:ind w:left="85"/>
      </w:pPr>
      <w:r>
        <w:rPr>
          <w:i w:val="0"/>
          <w:color w:val="1F3A5F"/>
          <w:sz w:val="23"/>
        </w:rPr>
        <w:t xml:space="preserve">Art. 662</w:t>
      </w:r>
    </w:p>
    <w:p>
      <w:pPr>
        <w:pStyle w:val="FirstParagraph"/>
        <w:spacing w:after="80"/>
        <w:jc w:val="both"/>
      </w:pPr>
      <w:r>
        <w:rPr>
          <w:b/>
          <w:bCs/>
        </w:rPr>
        <w:t xml:space="preserve">Art. 662.</w:t>
      </w:r>
      <w:r>
        <w:t xml:space="preserve"> </w:t>
      </w:r>
      <w:r>
        <w:t xml:space="preserve">No arrolamento, não serão conhecidas ou apreciadas questões relativas ao lançamento, ao pagamento ou à quitação de taxas judiciárias e de tributos incidentes sobre a transmissão da propriedade dos bens do espólio.</w:t>
      </w:r>
    </w:p>
    <w:p>
      <w:pPr>
        <w:pStyle w:val="BodyText"/>
        <w:spacing w:after="80"/>
        <w:jc w:val="both"/>
      </w:pPr>
      <w:r>
        <w:t xml:space="preserve">§ 1º A taxa judiciária, se devida, será calculada com base no valor atribuído pelos herdeiros, cabendo ao fisco, se apurar em processo administrativo valor diverso do estimado, exigir a eventual diferença pelos meios adequados ao lançamento de créditos tributários em geral.</w:t>
      </w:r>
    </w:p>
    <w:p>
      <w:pPr>
        <w:pStyle w:val="BodyText"/>
        <w:keepNext/>
        <w:spacing w:after="80"/>
        <w:jc w:val="both"/>
      </w:pPr>
      <w:r>
        <w:t xml:space="preserve">§ 2º O imposto de transmissão será objeto de lançamento administrativo, conforme dispuser a legislação tributária, não ficando as autoridades fazendárias adstritas aos valores dos bens do espólio atribuídos pelos herdeiros.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16"/>
        <w:gridCol w:w="2384"/>
        <w:gridCol w:w="5255"/>
      </w:tblGrid>
      <w:tr>
        <w:trPr>
          <w:tblHeader w:val="on"/>
          <w:cantSplit/>
          <w:tblHeader/>
        </w:trPr>
        <w:tc>
          <w:tcPr>
            <w:tcW w:type="dxa" w:w="1716"/>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38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25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716"/>
          </w:tcPr>
          <w:p>
            <w:pPr>
              <w:pStyle w:val="Compact"/>
              <w:spacing w:line="276" w:lineRule="auto" w:before="40" w:after="40"/>
            </w:pPr>
            <w:r>
              <w:rPr>
                <w:rFonts w:ascii="Liberation Sans Narrow" w:hAnsi="Liberation Sans Narrow"/>
                <w:sz w:val="18"/>
              </w:rPr>
              <w:t xml:space="preserve">§ 2º — apreciação do ITCMD no arrolamento sumário</w:t>
            </w:r>
          </w:p>
        </w:tc>
        <w:tc>
          <w:tcPr>
            <w:tcW w:type="dxa" w:w="2384"/>
          </w:tcPr>
          <w:p>
            <w:pPr>
              <w:pStyle w:val="Compact"/>
              <w:spacing w:line="276" w:lineRule="auto" w:before="40" w:after="40"/>
            </w:pPr>
            <w:r>
              <w:rPr>
                <w:rFonts w:ascii="Liberation Sans Narrow" w:hAnsi="Liberation Sans Narrow"/>
                <w:sz w:val="18"/>
              </w:rPr>
              <w:t xml:space="preserve">STF, ADI 5.894, Tribunal Pleno, relator Min. André Mendonça, julgado em 24/04/2025</w:t>
            </w:r>
          </w:p>
        </w:tc>
        <w:tc>
          <w:tcPr>
            <w:tcW w:type="dxa" w:w="5254"/>
          </w:tcPr>
          <w:p>
            <w:pPr>
              <w:pStyle w:val="Compact"/>
              <w:spacing w:line="276" w:lineRule="auto" w:before="40" w:after="40"/>
            </w:pPr>
            <w:r>
              <w:rPr>
                <w:rFonts w:ascii="Liberation Sans Narrow" w:hAnsi="Liberation Sans Narrow"/>
                <w:sz w:val="18"/>
              </w:rPr>
              <w:t xml:space="preserve">É constitucional o preceito que subtrai ao juízo do arrolamento a apreciação do lançamento e da quitação do ITCMD: cuida-se de norma processual, que não invade a reserva de lei complementar em matéria tributária nem ofende a isonomia.</w:t>
            </w:r>
          </w:p>
        </w:tc>
      </w:tr>
    </w:tbl>
    <w:bookmarkEnd w:id="428"/>
    <w:bookmarkStart w:id="429" w:name="art.-663"/>
    <w:p>
      <w:pPr>
        <w:pStyle w:val="Heading6"/>
        <w:pBdr>
          <w:left w:val="single" w:sz="36" w:space="4" w:color="2E75B6"/>
        </w:pBdr>
        <w:shd w:val="clear" w:color="auto" w:fill="E3EEF9"/>
        <w:spacing w:before="200" w:after="80"/>
        <w:ind w:left="85"/>
      </w:pPr>
      <w:r>
        <w:rPr>
          <w:i w:val="0"/>
          <w:color w:val="1F3A5F"/>
          <w:sz w:val="23"/>
        </w:rPr>
        <w:t xml:space="preserve">Art. 663</w:t>
      </w:r>
    </w:p>
    <w:p>
      <w:pPr>
        <w:pStyle w:val="FirstParagraph"/>
        <w:spacing w:after="80"/>
        <w:jc w:val="both"/>
      </w:pPr>
      <w:r>
        <w:rPr>
          <w:b/>
          <w:bCs/>
        </w:rPr>
        <w:t xml:space="preserve">Art. 663.</w:t>
      </w:r>
      <w:r>
        <w:t xml:space="preserve"> </w:t>
      </w:r>
      <w:r>
        <w:t xml:space="preserve">A existência de credores do espólio não impedirá a homologação da partilha ou da adjudicação, se forem reservados bens suficientes para o pagamento da dívida.</w:t>
      </w:r>
    </w:p>
    <w:p>
      <w:pPr>
        <w:pStyle w:val="BodyText"/>
        <w:spacing w:after="80"/>
        <w:jc w:val="both"/>
      </w:pPr>
      <w:r>
        <w:t xml:space="preserve">Parágrafo único. A reserva de bens será realizada pelo valor estimado pelas partes, salvo se o credor, regularmente notificado, impugnar a estimativa, caso em que se promoverá a avaliação dos bens a serem reservados.</w:t>
      </w:r>
    </w:p>
    <w:bookmarkEnd w:id="429"/>
    <w:bookmarkStart w:id="430" w:name="art.-664"/>
    <w:p>
      <w:pPr>
        <w:pStyle w:val="Heading6"/>
        <w:pBdr>
          <w:left w:val="single" w:sz="36" w:space="4" w:color="2E75B6"/>
        </w:pBdr>
        <w:shd w:val="clear" w:color="auto" w:fill="E3EEF9"/>
        <w:spacing w:before="200" w:after="80"/>
        <w:ind w:left="85"/>
      </w:pPr>
      <w:r>
        <w:rPr>
          <w:i w:val="0"/>
          <w:color w:val="1F3A5F"/>
          <w:sz w:val="23"/>
        </w:rPr>
        <w:t xml:space="preserve">Art. 664</w:t>
      </w:r>
    </w:p>
    <w:p>
      <w:pPr>
        <w:pStyle w:val="FirstParagraph"/>
        <w:spacing w:after="80"/>
        <w:jc w:val="both"/>
      </w:pPr>
      <w:r>
        <w:rPr>
          <w:b/>
          <w:bCs/>
        </w:rPr>
        <w:t xml:space="preserve">Art. 664.</w:t>
      </w:r>
      <w:r>
        <w:t xml:space="preserve"> </w:t>
      </w:r>
      <w:r>
        <w:t xml:space="preserve">Quando o valor dos bens do espólio for igual ou inferior a 1.000 (mil) salários-mínimos, o inventário processar-se-á na forma de arrolamento, cabendo ao inventariante nomeado, independentemente de assinatura de termo de compromisso, apresentar, com suas declarações, a atribuição de valor aos bens do espólio e o plano da partilha.</w:t>
      </w:r>
    </w:p>
    <w:p>
      <w:pPr>
        <w:pStyle w:val="BodyText"/>
        <w:spacing w:after="80"/>
        <w:jc w:val="both"/>
      </w:pPr>
      <w:r>
        <w:t xml:space="preserve">§ 1º Se qualquer das partes ou o Ministério Público impugnar a estimativa, o juiz nomeará avaliador, que oferecerá laudo em 10 (dez) dias.</w:t>
      </w:r>
    </w:p>
    <w:p>
      <w:pPr>
        <w:pStyle w:val="BodyText"/>
        <w:spacing w:after="80"/>
        <w:jc w:val="both"/>
      </w:pPr>
      <w:r>
        <w:t xml:space="preserve">§ 2º Apresentado o laudo, o juiz, em audiência que designar, deliberará sobre a partilha, decidindo de plano todas as reclamações e mandando pagar as dívidas não impugnadas.</w:t>
      </w:r>
    </w:p>
    <w:p>
      <w:pPr>
        <w:pStyle w:val="BodyText"/>
        <w:spacing w:after="80"/>
        <w:jc w:val="both"/>
      </w:pPr>
      <w:r>
        <w:t xml:space="preserve">§ 3º Lavrar-se-á de tudo um só termo, assinado pelo juiz, pelo inventariante e pelas partes presentes ou por seus advogados.</w:t>
      </w:r>
    </w:p>
    <w:p>
      <w:pPr>
        <w:pStyle w:val="BodyText"/>
        <w:spacing w:after="80"/>
        <w:jc w:val="both"/>
      </w:pPr>
      <w:r>
        <w:t xml:space="preserve">§ 4º Aplicam-se a essa espécie de arrolamento, no que couber, as disposições do art. 672, relativamente ao lançamento, ao pagamento e à quitação da taxa judiciária e do imposto sobre a transmissão da propriedade dos bens do espólio.</w:t>
      </w:r>
    </w:p>
    <w:p>
      <w:pPr>
        <w:pStyle w:val="BodyText"/>
        <w:keepNext/>
        <w:spacing w:after="80"/>
        <w:jc w:val="both"/>
      </w:pPr>
      <w:r>
        <w:t xml:space="preserve">§ 5º Provada a quitação dos tributos relativos aos bens do espólio e às suas rendas, o juiz julgará a partilha.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2466"/>
        <w:gridCol w:w="5358"/>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46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358"/>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 5º — tese</w:t>
            </w:r>
          </w:p>
        </w:tc>
        <w:tc>
          <w:tcPr>
            <w:tcW w:type="dxa" w:w="2466"/>
          </w:tcPr>
          <w:p>
            <w:pPr>
              <w:pStyle w:val="Compact"/>
              <w:spacing w:line="276" w:lineRule="auto" w:before="40" w:after="40"/>
            </w:pPr>
            <w:r>
              <w:rPr>
                <w:rFonts w:ascii="Liberation Sans Narrow" w:hAnsi="Liberation Sans Narrow"/>
                <w:sz w:val="18"/>
              </w:rPr>
              <w:t xml:space="preserve">STJ, REsp 2.167.136, Primeira Turma, relator Min. Gurgel de Faria, julgado em 09/06/2026</w:t>
            </w:r>
          </w:p>
        </w:tc>
        <w:tc>
          <w:tcPr>
            <w:tcW w:type="dxa" w:w="5358"/>
          </w:tcPr>
          <w:p>
            <w:pPr>
              <w:pStyle w:val="Compact"/>
              <w:spacing w:line="276" w:lineRule="auto" w:before="40" w:after="40"/>
            </w:pPr>
            <w:r>
              <w:rPr>
                <w:rFonts w:ascii="Liberation Sans Narrow" w:hAnsi="Liberation Sans Narrow"/>
                <w:sz w:val="18"/>
              </w:rPr>
              <w:t xml:space="preserve">No arrolamento sumário, a homologação da partilha e a expedição do formal de partilha não se condicionam ao prévio recolhimento do imposto de transmissão causa mortis, devendo ser comprovado o pagamento dos tributos relativos aos bens do espólio e às suas rendas (Tema 1.074/STJ).</w:t>
            </w:r>
          </w:p>
        </w:tc>
      </w:tr>
    </w:tbl>
    <w:bookmarkEnd w:id="430"/>
    <w:bookmarkStart w:id="431" w:name="art.-665"/>
    <w:p>
      <w:pPr>
        <w:pStyle w:val="Heading6"/>
        <w:pBdr>
          <w:left w:val="single" w:sz="36" w:space="4" w:color="2E75B6"/>
        </w:pBdr>
        <w:shd w:val="clear" w:color="auto" w:fill="E3EEF9"/>
        <w:spacing w:before="200" w:after="80"/>
        <w:ind w:left="85"/>
      </w:pPr>
      <w:r>
        <w:rPr>
          <w:i w:val="0"/>
          <w:color w:val="1F3A5F"/>
          <w:sz w:val="23"/>
        </w:rPr>
        <w:t xml:space="preserve">Art. 665</w:t>
      </w:r>
    </w:p>
    <w:p>
      <w:pPr>
        <w:pStyle w:val="FirstParagraph"/>
        <w:spacing w:after="80"/>
        <w:jc w:val="both"/>
      </w:pPr>
      <w:r>
        <w:rPr>
          <w:b/>
          <w:bCs/>
        </w:rPr>
        <w:t xml:space="preserve">Art. 665.</w:t>
      </w:r>
      <w:r>
        <w:t xml:space="preserve"> </w:t>
      </w:r>
      <w:r>
        <w:t xml:space="preserve">O inventário processar-se-á também na forma do art. 664, ainda que haja interessado incapaz, desde que concordem todas as partes e o Ministério Público.</w:t>
      </w:r>
    </w:p>
    <w:bookmarkEnd w:id="431"/>
    <w:bookmarkStart w:id="432" w:name="art.-666"/>
    <w:p>
      <w:pPr>
        <w:pStyle w:val="Heading6"/>
        <w:pBdr>
          <w:left w:val="single" w:sz="36" w:space="4" w:color="2E75B6"/>
        </w:pBdr>
        <w:shd w:val="clear" w:color="auto" w:fill="E3EEF9"/>
        <w:spacing w:before="200" w:after="80"/>
        <w:ind w:left="85"/>
      </w:pPr>
      <w:r>
        <w:rPr>
          <w:i w:val="0"/>
          <w:color w:val="1F3A5F"/>
          <w:sz w:val="23"/>
        </w:rPr>
        <w:t xml:space="preserve">Art. 666</w:t>
      </w:r>
    </w:p>
    <w:p>
      <w:pPr>
        <w:pStyle w:val="FirstParagraph"/>
        <w:keepNext/>
        <w:spacing w:after="80"/>
        <w:jc w:val="both"/>
      </w:pPr>
      <w:r>
        <w:rPr>
          <w:b/>
          <w:bCs/>
        </w:rPr>
        <w:t xml:space="preserve">Art. 666.</w:t>
      </w:r>
      <w:r>
        <w:t xml:space="preserve"> </w:t>
      </w:r>
      <w:r>
        <w:t xml:space="preserve">Independerá de inventário ou de arrolamento o pagamento dos valores previstos na Lei nº 6.858, de 24 de novembro de 1980.</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3020"/>
        <w:gridCol w:w="4430"/>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02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43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Caput — independência de inventário (aplicação)</w:t>
            </w:r>
          </w:p>
        </w:tc>
        <w:tc>
          <w:tcPr>
            <w:tcW w:type="dxa" w:w="3020"/>
          </w:tcPr>
          <w:p>
            <w:pPr>
              <w:pStyle w:val="Compact"/>
              <w:spacing w:line="276" w:lineRule="auto" w:before="40" w:after="40"/>
            </w:pPr>
            <w:r>
              <w:rPr>
                <w:rFonts w:ascii="Liberation Sans Narrow" w:hAnsi="Liberation Sans Narrow"/>
                <w:sz w:val="18"/>
              </w:rPr>
              <w:t xml:space="preserve">STJ, AREsp 2.886.822, Quarta Turma, relator Min. João Otávio de Noronha, julgado em 16/03/2026</w:t>
            </w:r>
          </w:p>
        </w:tc>
        <w:tc>
          <w:tcPr>
            <w:tcW w:type="dxa" w:w="4430"/>
          </w:tcPr>
          <w:p>
            <w:pPr>
              <w:pStyle w:val="Compact"/>
              <w:spacing w:line="276" w:lineRule="auto" w:before="40" w:after="40"/>
            </w:pPr>
            <w:r>
              <w:rPr>
                <w:rFonts w:ascii="Liberation Sans Narrow" w:hAnsi="Liberation Sans Narrow"/>
                <w:sz w:val="18"/>
              </w:rPr>
              <w:t xml:space="preserve">A Lei n. 6.858/1980 simplifica o levantamento de pequenos valores não recebidos em vida pelo titular, quando demonstradas a condição de dependente inscrito junto à previdência e a inexistência de outros bens a serem inventariados.</w:t>
            </w:r>
          </w:p>
        </w:tc>
      </w:tr>
      <w:tr>
        <w:trPr>
          <w:cantSplit/>
        </w:trPr>
        <w:tc>
          <w:tcPr>
            <w:tcW w:type="dxa" w:w="1905"/>
          </w:tcPr>
          <w:p>
            <w:pPr>
              <w:pStyle w:val="Compact"/>
              <w:spacing w:line="276" w:lineRule="auto" w:before="40" w:after="40"/>
            </w:pPr>
            <w:r>
              <w:rPr>
                <w:rFonts w:ascii="Liberation Sans Narrow" w:hAnsi="Liberation Sans Narrow"/>
                <w:sz w:val="18"/>
              </w:rPr>
              <w:t xml:space="preserve">Caput — independência de inventário (aplicação narrada)</w:t>
            </w:r>
          </w:p>
        </w:tc>
        <w:tc>
          <w:tcPr>
            <w:tcW w:type="dxa" w:w="3020"/>
          </w:tcPr>
          <w:p>
            <w:pPr>
              <w:pStyle w:val="Compact"/>
              <w:spacing w:line="276" w:lineRule="auto" w:before="40" w:after="40"/>
            </w:pPr>
            <w:r>
              <w:rPr>
                <w:rFonts w:ascii="Liberation Sans Narrow" w:hAnsi="Liberation Sans Narrow"/>
                <w:sz w:val="18"/>
              </w:rPr>
              <w:t xml:space="preserve">STJ, AgInt no REsp 2.132.010, Primeira Turma, relator Min. Paulo Sérgio Domingues, julgado em 09/06/2025, DJEN de 12/06/2025</w:t>
            </w:r>
          </w:p>
        </w:tc>
        <w:tc>
          <w:tcPr>
            <w:tcW w:type="dxa" w:w="4430"/>
          </w:tcPr>
          <w:p>
            <w:pPr>
              <w:pStyle w:val="Compact"/>
              <w:spacing w:line="276" w:lineRule="auto" w:before="40" w:after="40"/>
            </w:pPr>
            <w:r>
              <w:rPr>
                <w:rFonts w:ascii="Liberation Sans Narrow" w:hAnsi="Liberation Sans Narrow"/>
                <w:sz w:val="18"/>
              </w:rPr>
              <w:t xml:space="preserve">Os sucessores do servidor falecido têm legitimidade para pleitear valores não recebidos em vida pelo de cujus, independentemente de inventário ou arrolamento de bens. Trecho: “O Superior Tribunal de Justiça (STJ) possui o entendimento de que</w:t>
            </w:r>
            <w:r>
              <w:rPr>
                <w:rFonts w:ascii="Liberation Sans Narrow" w:hAnsi="Liberation Sans Narrow"/>
                <w:sz w:val="18"/>
              </w:rPr>
              <w:t xml:space="preserve"> </w:t>
            </w:r>
            <w:r>
              <w:rPr>
                <w:rFonts w:ascii="Liberation Sans Narrow" w:hAnsi="Liberation Sans Narrow"/>
                <w:sz w:val="18"/>
              </w:rPr>
              <w:t xml:space="preserve">“os sucessores do servidor falecido têm legitimidade para pleitear valores não recebidos em vida pelo de cujus, independentemente de inventário ou arrolamento de bens”</w:t>
            </w:r>
            <w:r>
              <w:rPr>
                <w:rFonts w:ascii="Liberation Sans Narrow" w:hAnsi="Liberation Sans Narrow"/>
                <w:sz w:val="18"/>
              </w:rPr>
              <w:t xml:space="preserve"> </w:t>
            </w:r>
            <w:r>
              <w:rPr>
                <w:rFonts w:ascii="Liberation Sans Narrow" w:hAnsi="Liberation Sans Narrow"/>
                <w:sz w:val="18"/>
              </w:rPr>
              <w:t xml:space="preserve">(AgInt no REsp 2.124.879/RJ, relator Ministro Gurgel de Faria, Primeira Turma, julgado em 26/8/2024, DJe de 3/9/2024).”</w:t>
            </w:r>
          </w:p>
        </w:tc>
      </w:tr>
    </w:tbl>
    <w:bookmarkEnd w:id="432"/>
    <w:bookmarkStart w:id="433" w:name="art.-667"/>
    <w:p>
      <w:pPr>
        <w:pStyle w:val="Heading6"/>
        <w:pBdr>
          <w:left w:val="single" w:sz="36" w:space="4" w:color="2E75B6"/>
        </w:pBdr>
        <w:shd w:val="clear" w:color="auto" w:fill="E3EEF9"/>
        <w:spacing w:before="200" w:after="80"/>
        <w:ind w:left="85"/>
      </w:pPr>
      <w:r>
        <w:rPr>
          <w:i w:val="0"/>
          <w:color w:val="1F3A5F"/>
          <w:sz w:val="23"/>
        </w:rPr>
        <w:t xml:space="preserve">Art. 667</w:t>
      </w:r>
    </w:p>
    <w:p>
      <w:pPr>
        <w:pStyle w:val="FirstParagraph"/>
        <w:spacing w:after="80"/>
        <w:jc w:val="both"/>
      </w:pPr>
      <w:r>
        <w:rPr>
          <w:b/>
          <w:bCs/>
        </w:rPr>
        <w:t xml:space="preserve">Art. 667.</w:t>
      </w:r>
      <w:r>
        <w:t xml:space="preserve"> </w:t>
      </w:r>
      <w:r>
        <w:t xml:space="preserve">Aplicam-se subsidiariamente a esta Seção as disposições das Seções VII e VIII deste Capítulo.</w:t>
      </w:r>
    </w:p>
    <w:bookmarkEnd w:id="433"/>
    <w:bookmarkEnd w:id="434"/>
    <w:bookmarkStart w:id="441" w:name="Xd1a2dc62480f4c904e9575aa73fac9cd23d0384"/>
    <w:p>
      <w:pPr>
        <w:pStyle w:val="Heading5"/>
        <w:spacing w:before="140" w:after="20"/>
      </w:pPr>
      <w:r>
        <w:rPr>
          <w:i/>
          <w:color w:val="595959"/>
        </w:rPr>
        <w:t xml:space="preserve">Seção X: disposições comuns a todas as seções (arts. 668 a 673)</w:t>
      </w:r>
    </w:p>
    <w:bookmarkStart w:id="435" w:name="art.-668"/>
    <w:p>
      <w:pPr>
        <w:pStyle w:val="Heading6"/>
        <w:pBdr>
          <w:left w:val="single" w:sz="36" w:space="4" w:color="2E75B6"/>
        </w:pBdr>
        <w:shd w:val="clear" w:color="auto" w:fill="E3EEF9"/>
        <w:spacing w:before="200" w:after="80"/>
        <w:ind w:left="85"/>
      </w:pPr>
      <w:r>
        <w:rPr>
          <w:i w:val="0"/>
          <w:color w:val="1F3A5F"/>
          <w:sz w:val="23"/>
        </w:rPr>
        <w:t xml:space="preserve">Art. 668</w:t>
      </w:r>
    </w:p>
    <w:p>
      <w:pPr>
        <w:pStyle w:val="FirstParagraph"/>
        <w:spacing w:after="80"/>
        <w:jc w:val="both"/>
      </w:pPr>
      <w:r>
        <w:rPr>
          <w:b/>
          <w:bCs/>
        </w:rPr>
        <w:t xml:space="preserve">Art. 668.</w:t>
      </w:r>
      <w:r>
        <w:t xml:space="preserve"> </w:t>
      </w:r>
      <w:r>
        <w:t xml:space="preserve">Cessa a eficácia da tutela provisória prevista nas Seções deste Capítulo:</w:t>
      </w:r>
    </w:p>
    <w:p>
      <w:pPr>
        <w:pStyle w:val="BodyText"/>
        <w:spacing w:after="80"/>
        <w:jc w:val="both"/>
      </w:pPr>
      <w:r>
        <w:t xml:space="preserve">I - se a ação não for proposta em 30 (trinta) dias contados da data em que da decisão foi intimado o impugnante, o herdeiro excluído ou o credor não admitido;</w:t>
      </w:r>
    </w:p>
    <w:p>
      <w:pPr>
        <w:pStyle w:val="BodyText"/>
        <w:spacing w:after="80"/>
        <w:jc w:val="both"/>
      </w:pPr>
      <w:r>
        <w:t xml:space="preserve">II - se o juiz extinguir o processo de inventário com ou sem resolução de mérito.</w:t>
      </w:r>
    </w:p>
    <w:bookmarkEnd w:id="435"/>
    <w:bookmarkStart w:id="436" w:name="art.-669"/>
    <w:p>
      <w:pPr>
        <w:pStyle w:val="Heading6"/>
        <w:pBdr>
          <w:left w:val="single" w:sz="36" w:space="4" w:color="2E75B6"/>
        </w:pBdr>
        <w:shd w:val="clear" w:color="auto" w:fill="E3EEF9"/>
        <w:spacing w:before="200" w:after="80"/>
        <w:ind w:left="85"/>
      </w:pPr>
      <w:r>
        <w:rPr>
          <w:i w:val="0"/>
          <w:color w:val="1F3A5F"/>
          <w:sz w:val="23"/>
        </w:rPr>
        <w:t xml:space="preserve">Art. 669</w:t>
      </w:r>
    </w:p>
    <w:p>
      <w:pPr>
        <w:pStyle w:val="FirstParagraph"/>
        <w:spacing w:after="80"/>
        <w:jc w:val="both"/>
      </w:pPr>
      <w:r>
        <w:rPr>
          <w:b/>
          <w:bCs/>
        </w:rPr>
        <w:t xml:space="preserve">Art. 669.</w:t>
      </w:r>
      <w:r>
        <w:t xml:space="preserve"> </w:t>
      </w:r>
      <w:r>
        <w:t xml:space="preserve">São sujeitos à sobrepartilha os bens:</w:t>
      </w:r>
    </w:p>
    <w:p>
      <w:pPr>
        <w:pStyle w:val="BodyText"/>
        <w:keepNext/>
        <w:spacing w:after="80"/>
        <w:jc w:val="both"/>
      </w:pPr>
      <w:r>
        <w:t xml:space="preserve">I - sonegados;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3056"/>
        <w:gridCol w:w="439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05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39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I — tese</w:t>
            </w:r>
          </w:p>
        </w:tc>
        <w:tc>
          <w:tcPr>
            <w:tcW w:type="dxa" w:w="3056"/>
          </w:tcPr>
          <w:p>
            <w:pPr>
              <w:pStyle w:val="Compact"/>
              <w:spacing w:line="276" w:lineRule="auto" w:before="40" w:after="40"/>
            </w:pPr>
            <w:r>
              <w:rPr>
                <w:rFonts w:ascii="Liberation Sans Narrow" w:hAnsi="Liberation Sans Narrow"/>
                <w:sz w:val="18"/>
              </w:rPr>
              <w:t xml:space="preserve">STJ, REsp 1.959.926, Terceira Turma, relator Min. Humberto Martins, julgado em 08/06/2026</w:t>
            </w:r>
          </w:p>
        </w:tc>
        <w:tc>
          <w:tcPr>
            <w:tcW w:type="dxa" w:w="4394"/>
          </w:tcPr>
          <w:p>
            <w:pPr>
              <w:pStyle w:val="Compact"/>
              <w:spacing w:line="276" w:lineRule="auto" w:before="40" w:after="40"/>
            </w:pPr>
            <w:r>
              <w:rPr>
                <w:rFonts w:ascii="Liberation Sans Narrow" w:hAnsi="Liberation Sans Narrow"/>
                <w:sz w:val="18"/>
              </w:rPr>
              <w:t xml:space="preserve">A sobrepartilha destina-se a bens sonegados ou desconhecidos à época da partilha, não se prestando a corrigir arrependimentos quanto à divisão já realizada.</w:t>
            </w:r>
          </w:p>
        </w:tc>
      </w:tr>
      <w:tr>
        <w:trPr>
          <w:cantSplit/>
        </w:trPr>
        <w:tc>
          <w:tcPr>
            <w:tcW w:type="dxa" w:w="1905"/>
          </w:tcPr>
          <w:p>
            <w:pPr>
              <w:pStyle w:val="Compact"/>
              <w:spacing w:line="276" w:lineRule="auto" w:before="40" w:after="40"/>
            </w:pPr>
            <w:r>
              <w:rPr>
                <w:rFonts w:ascii="Liberation Sans Narrow" w:hAnsi="Liberation Sans Narrow"/>
                <w:sz w:val="18"/>
              </w:rPr>
              <w:t xml:space="preserve">I — sobrepartilha de bens sonegados: processamento nos autos (orientação de aplicação) (aplicação narrada)</w:t>
            </w:r>
          </w:p>
        </w:tc>
        <w:tc>
          <w:tcPr>
            <w:tcW w:type="dxa" w:w="3056"/>
          </w:tcPr>
          <w:p>
            <w:pPr>
              <w:pStyle w:val="Compact"/>
              <w:spacing w:line="276" w:lineRule="auto" w:before="40" w:after="40"/>
            </w:pPr>
            <w:r>
              <w:rPr>
                <w:rFonts w:ascii="Liberation Sans Narrow" w:hAnsi="Liberation Sans Narrow"/>
                <w:sz w:val="18"/>
              </w:rPr>
              <w:t xml:space="preserve">STJ, AgInt no REsp 2.107.542, Quarta Turma, relator Min. Luís Carlos Gambogi (Desembargador Convocado do Tjmg), julgado em 19/05/2026</w:t>
            </w:r>
          </w:p>
        </w:tc>
        <w:tc>
          <w:tcPr>
            <w:tcW w:type="dxa" w:w="4394"/>
          </w:tcPr>
          <w:p>
            <w:pPr>
              <w:pStyle w:val="Compact"/>
              <w:spacing w:line="276" w:lineRule="auto" w:before="40" w:after="40"/>
            </w:pPr>
            <w:r>
              <w:rPr>
                <w:rFonts w:ascii="Liberation Sans Narrow" w:hAnsi="Liberation Sans Narrow"/>
                <w:sz w:val="18"/>
              </w:rPr>
              <w:t xml:space="preserve">A colação e a sobrepartilha de bens supostamente sonegados podem ser processadas nos próprios autos do inventário quando a prova é documental; se a controvérsia, como a alegada simulação de doações com envolvimento de terceiros, exige dilação probatória, correta a remessa às vias ordinárias (arts. 612 e 670). Trecho: “A conclusão de que a controvérsia relativa à alegada simulação de doações, com envolvimento de terceiros, não pode ser solucionada apenas com base em prova documental e dentro dos próprios autos do inventário respeita a sistemática dos arts.”</w:t>
            </w:r>
          </w:p>
        </w:tc>
      </w:tr>
    </w:tbl>
    <w:p>
      <w:pPr>
        <w:pStyle w:val="BodyText"/>
        <w:spacing w:after="80"/>
        <w:jc w:val="both"/>
      </w:pPr>
      <w:r>
        <w:t xml:space="preserve">II - da herança descobertos após a partilha;</w:t>
      </w:r>
    </w:p>
    <w:p>
      <w:pPr>
        <w:pStyle w:val="BodyText"/>
        <w:spacing w:after="80"/>
        <w:jc w:val="both"/>
      </w:pPr>
      <w:r>
        <w:t xml:space="preserve">III - litigiosos, assim como os de liquidação difícil ou morosa;</w:t>
      </w:r>
    </w:p>
    <w:p>
      <w:pPr>
        <w:pStyle w:val="BodyText"/>
        <w:spacing w:after="80"/>
        <w:jc w:val="both"/>
      </w:pPr>
      <w:r>
        <w:t xml:space="preserve">IV - situados em lugar remoto da sede do juízo onde se processa o inventário.</w:t>
      </w:r>
    </w:p>
    <w:p>
      <w:pPr>
        <w:pStyle w:val="BodyText"/>
        <w:spacing w:after="80"/>
        <w:jc w:val="both"/>
      </w:pPr>
      <w:r>
        <w:t xml:space="preserve">Parágrafo único. Os bens mencionados nos incisos III e IV serão reservados à sobrepartilha sob a guarda e a administração do mesmo ou de diverso inventariante, a consentimento da maioria dos herdeiros.</w:t>
      </w:r>
    </w:p>
    <w:bookmarkEnd w:id="436"/>
    <w:bookmarkStart w:id="437" w:name="art.-670"/>
    <w:p>
      <w:pPr>
        <w:pStyle w:val="Heading6"/>
        <w:pBdr>
          <w:left w:val="single" w:sz="36" w:space="4" w:color="2E75B6"/>
        </w:pBdr>
        <w:shd w:val="clear" w:color="auto" w:fill="E3EEF9"/>
        <w:spacing w:before="200" w:after="80"/>
        <w:ind w:left="85"/>
      </w:pPr>
      <w:r>
        <w:rPr>
          <w:i w:val="0"/>
          <w:color w:val="1F3A5F"/>
          <w:sz w:val="23"/>
        </w:rPr>
        <w:t xml:space="preserve">Art. 670</w:t>
      </w:r>
    </w:p>
    <w:p>
      <w:pPr>
        <w:pStyle w:val="FirstParagraph"/>
        <w:spacing w:after="80"/>
        <w:jc w:val="both"/>
      </w:pPr>
      <w:r>
        <w:rPr>
          <w:b/>
          <w:bCs/>
        </w:rPr>
        <w:t xml:space="preserve">Art. 670.</w:t>
      </w:r>
      <w:r>
        <w:t xml:space="preserve"> </w:t>
      </w:r>
      <w:r>
        <w:t xml:space="preserve">Na sobrepartilha dos bens, observar-se-á o processo de inventário e de partilha.</w:t>
      </w:r>
    </w:p>
    <w:p>
      <w:pPr>
        <w:pStyle w:val="BodyText"/>
        <w:spacing w:after="80"/>
        <w:jc w:val="both"/>
      </w:pPr>
      <w:r>
        <w:t xml:space="preserve">Parágrafo único. A sobrepartilha correrá nos autos do inventário do autor da herança.</w:t>
      </w:r>
    </w:p>
    <w:bookmarkEnd w:id="437"/>
    <w:bookmarkStart w:id="438" w:name="art.-671"/>
    <w:p>
      <w:pPr>
        <w:pStyle w:val="Heading6"/>
        <w:pBdr>
          <w:left w:val="single" w:sz="36" w:space="4" w:color="2E75B6"/>
        </w:pBdr>
        <w:shd w:val="clear" w:color="auto" w:fill="E3EEF9"/>
        <w:spacing w:before="200" w:after="80"/>
        <w:ind w:left="85"/>
      </w:pPr>
      <w:r>
        <w:rPr>
          <w:i w:val="0"/>
          <w:color w:val="1F3A5F"/>
          <w:sz w:val="23"/>
        </w:rPr>
        <w:t xml:space="preserve">Art. 671</w:t>
      </w:r>
    </w:p>
    <w:p>
      <w:pPr>
        <w:pStyle w:val="FirstParagraph"/>
        <w:spacing w:after="80"/>
        <w:jc w:val="both"/>
      </w:pPr>
      <w:r>
        <w:rPr>
          <w:b/>
          <w:bCs/>
        </w:rPr>
        <w:t xml:space="preserve">Art. 671.</w:t>
      </w:r>
      <w:r>
        <w:t xml:space="preserve"> </w:t>
      </w:r>
      <w:r>
        <w:t xml:space="preserve">O juiz nomeará curador especial:</w:t>
      </w:r>
    </w:p>
    <w:p>
      <w:pPr>
        <w:pStyle w:val="BodyText"/>
        <w:spacing w:after="80"/>
        <w:jc w:val="both"/>
      </w:pPr>
      <w:r>
        <w:t xml:space="preserve">I - ao ausente, se não o tiver;</w:t>
      </w:r>
    </w:p>
    <w:p>
      <w:pPr>
        <w:pStyle w:val="BodyText"/>
        <w:spacing w:after="80"/>
        <w:jc w:val="both"/>
      </w:pPr>
      <w:r>
        <w:t xml:space="preserve">II - ao incapaz, se concorrer na partilha com o seu representante, desde que exista colisão de interesses.</w:t>
      </w:r>
    </w:p>
    <w:bookmarkEnd w:id="438"/>
    <w:bookmarkStart w:id="439" w:name="art.-672"/>
    <w:p>
      <w:pPr>
        <w:pStyle w:val="Heading6"/>
        <w:pBdr>
          <w:left w:val="single" w:sz="36" w:space="4" w:color="2E75B6"/>
        </w:pBdr>
        <w:shd w:val="clear" w:color="auto" w:fill="E3EEF9"/>
        <w:spacing w:before="200" w:after="80"/>
        <w:ind w:left="85"/>
      </w:pPr>
      <w:r>
        <w:rPr>
          <w:i w:val="0"/>
          <w:color w:val="1F3A5F"/>
          <w:sz w:val="23"/>
        </w:rPr>
        <w:t xml:space="preserve">Art. 672</w:t>
      </w:r>
    </w:p>
    <w:p>
      <w:pPr>
        <w:pStyle w:val="FirstParagraph"/>
        <w:keepNext/>
        <w:spacing w:after="80"/>
        <w:jc w:val="both"/>
      </w:pPr>
      <w:r>
        <w:rPr>
          <w:b/>
          <w:bCs/>
        </w:rPr>
        <w:t xml:space="preserve">Art. 672.</w:t>
      </w:r>
      <w:r>
        <w:t xml:space="preserve"> </w:t>
      </w:r>
      <w:r>
        <w:t xml:space="preserve">É lícita a cumulação de inventários para a partilha de heranças de pessoas diversas quando houver: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2141"/>
        <w:gridCol w:w="5558"/>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14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558"/>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55"/>
          </w:tcPr>
          <w:p>
            <w:pPr>
              <w:pStyle w:val="Compact"/>
              <w:spacing w:line="276" w:lineRule="auto" w:before="40" w:after="40"/>
            </w:pPr>
            <w:r>
              <w:rPr>
                <w:rFonts w:ascii="Liberation Sans Narrow" w:hAnsi="Liberation Sans Narrow"/>
                <w:sz w:val="18"/>
              </w:rPr>
              <w:t xml:space="preserve">Caput — cumulação de inventários</w:t>
            </w:r>
          </w:p>
        </w:tc>
        <w:tc>
          <w:tcPr>
            <w:tcW w:type="dxa" w:w="2141"/>
          </w:tcPr>
          <w:p>
            <w:pPr>
              <w:pStyle w:val="Compact"/>
              <w:spacing w:line="276" w:lineRule="auto" w:before="40" w:after="40"/>
            </w:pPr>
            <w:r>
              <w:rPr>
                <w:rFonts w:ascii="Liberation Sans Narrow" w:hAnsi="Liberation Sans Narrow"/>
                <w:sz w:val="18"/>
              </w:rPr>
              <w:t xml:space="preserve">STJ, AgInt no AREsp 2.859.369, Quarta Turma, relator Min. Raul Araújo</w:t>
            </w:r>
          </w:p>
        </w:tc>
        <w:tc>
          <w:tcPr>
            <w:tcW w:type="dxa" w:w="5558"/>
          </w:tcPr>
          <w:p>
            <w:pPr>
              <w:pStyle w:val="Compact"/>
              <w:spacing w:line="276" w:lineRule="auto" w:before="40" w:after="40"/>
            </w:pPr>
            <w:r>
              <w:rPr>
                <w:rFonts w:ascii="Liberation Sans Narrow" w:hAnsi="Liberation Sans Narrow"/>
                <w:sz w:val="18"/>
              </w:rPr>
              <w:t xml:space="preserve">A cumulação de inventários exige demonstração completa e inequívoca da correlação e da identidade entre as partes e os bens a serem partilhados; não demonstrada essa correspondência, é de se indeferir a reunião dos processos de inventário.</w:t>
            </w:r>
          </w:p>
        </w:tc>
      </w:tr>
    </w:tbl>
    <w:p>
      <w:pPr>
        <w:pStyle w:val="BodyText"/>
        <w:spacing w:after="80"/>
        <w:jc w:val="both"/>
      </w:pPr>
      <w:r>
        <w:t xml:space="preserve">I - identidade de pessoas entre as quais devam ser repartidos os bens;</w:t>
      </w:r>
    </w:p>
    <w:p>
      <w:pPr>
        <w:pStyle w:val="BodyText"/>
        <w:spacing w:after="80"/>
        <w:jc w:val="both"/>
      </w:pPr>
      <w:r>
        <w:t xml:space="preserve">II - heranças deixadas pelos dois cônjuges ou companheiros;</w:t>
      </w:r>
    </w:p>
    <w:p>
      <w:pPr>
        <w:pStyle w:val="BodyText"/>
        <w:spacing w:after="80"/>
        <w:jc w:val="both"/>
      </w:pPr>
      <w:r>
        <w:t xml:space="preserve">III - dependência de uma das partilhas em relação à outra.</w:t>
      </w:r>
    </w:p>
    <w:p>
      <w:pPr>
        <w:pStyle w:val="BodyText"/>
        <w:spacing w:after="80"/>
        <w:jc w:val="both"/>
      </w:pPr>
      <w:r>
        <w:t xml:space="preserve">Parágrafo único. No caso previsto no inciso III, se a dependência for parcial, por haver outros bens, o juiz pode ordenar a tramitação separada, se melhor convier ao interesse das partes ou à celeridade processual.</w:t>
      </w:r>
    </w:p>
    <w:bookmarkEnd w:id="439"/>
    <w:bookmarkStart w:id="440" w:name="art.-673"/>
    <w:p>
      <w:pPr>
        <w:pStyle w:val="Heading6"/>
        <w:pBdr>
          <w:left w:val="single" w:sz="36" w:space="4" w:color="2E75B6"/>
        </w:pBdr>
        <w:shd w:val="clear" w:color="auto" w:fill="E3EEF9"/>
        <w:spacing w:before="200" w:after="80"/>
        <w:ind w:left="85"/>
      </w:pPr>
      <w:r>
        <w:rPr>
          <w:i w:val="0"/>
          <w:color w:val="1F3A5F"/>
          <w:sz w:val="23"/>
        </w:rPr>
        <w:t xml:space="preserve">Art. 673</w:t>
      </w:r>
    </w:p>
    <w:p>
      <w:pPr>
        <w:pStyle w:val="FirstParagraph"/>
        <w:spacing w:after="80"/>
        <w:jc w:val="both"/>
      </w:pPr>
      <w:r>
        <w:rPr>
          <w:b/>
          <w:bCs/>
        </w:rPr>
        <w:t xml:space="preserve">Art. 673.</w:t>
      </w:r>
      <w:r>
        <w:t xml:space="preserve"> </w:t>
      </w:r>
      <w:r>
        <w:t xml:space="preserve">No caso previsto no art. 672, inciso II, prevalecerão as primeiras declarações, assim como o laudo de avaliação, salvo se alterado o valor dos bens.</w:t>
      </w:r>
    </w:p>
    <w:bookmarkEnd w:id="440"/>
    <w:bookmarkEnd w:id="441"/>
    <w:bookmarkEnd w:id="442"/>
    <w:bookmarkStart w:id="451" w:name="X8f98de4a64a844b50afa22fe2efa82630417465"/>
    <w:p>
      <w:pPr>
        <w:pStyle w:val="Heading4"/>
        <w:spacing w:before="160" w:after="40"/>
      </w:pPr>
      <w:r>
        <w:rPr>
          <w:smallCaps/>
          <w:color w:val="2E75B6"/>
        </w:rPr>
        <w:t xml:space="preserve">Capítulo VII: dos embargos de terceiro (arts. 674 a 681)</w:t>
      </w:r>
    </w:p>
    <w:bookmarkStart w:id="443" w:name="art.-674"/>
    <w:p>
      <w:pPr>
        <w:pStyle w:val="Heading6"/>
        <w:pBdr>
          <w:left w:val="single" w:sz="36" w:space="4" w:color="2E75B6"/>
        </w:pBdr>
        <w:shd w:val="clear" w:color="auto" w:fill="E3EEF9"/>
        <w:spacing w:before="200" w:after="80"/>
        <w:ind w:left="85"/>
      </w:pPr>
      <w:r>
        <w:rPr>
          <w:i w:val="0"/>
          <w:color w:val="1F3A5F"/>
          <w:sz w:val="23"/>
        </w:rPr>
        <w:t xml:space="preserve">Art. 674</w:t>
      </w:r>
    </w:p>
    <w:p>
      <w:pPr>
        <w:pStyle w:val="FirstParagraph"/>
        <w:keepNext/>
        <w:spacing w:after="80"/>
        <w:jc w:val="both"/>
      </w:pPr>
      <w:r>
        <w:rPr>
          <w:b/>
          <w:bCs/>
        </w:rPr>
        <w:t xml:space="preserve">Art. 674.</w:t>
      </w:r>
      <w:r>
        <w:t xml:space="preserve"> </w:t>
      </w:r>
      <w:r>
        <w:t xml:space="preserve">Quem, não sendo parte no processo, sofrer constrição ou ameaça de constrição sobre bens que possua ou sobre os quais tenha direito incompatível com o ato constritivo, poderá requerer seu desfazimento ou sua inibição por meio de embargos de terceiro.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48"/>
        <w:gridCol w:w="3217"/>
        <w:gridCol w:w="3889"/>
      </w:tblGrid>
      <w:tr>
        <w:trPr>
          <w:tblHeader w:val="on"/>
          <w:cantSplit/>
          <w:tblHeader/>
        </w:trPr>
        <w:tc>
          <w:tcPr>
            <w:tcW w:type="dxa" w:w="2248"/>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21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388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48"/>
          </w:tcPr>
          <w:p>
            <w:pPr>
              <w:pStyle w:val="Compact"/>
              <w:spacing w:line="276" w:lineRule="auto" w:before="40" w:after="40"/>
            </w:pPr>
            <w:r>
              <w:rPr>
                <w:rFonts w:ascii="Liberation Sans Narrow" w:hAnsi="Liberation Sans Narrow"/>
                <w:sz w:val="18"/>
              </w:rPr>
              <w:t xml:space="preserve">Fraude à execução: registro da penhora ou prova de má-fé do adquirente</w:t>
            </w:r>
          </w:p>
        </w:tc>
        <w:tc>
          <w:tcPr>
            <w:tcW w:type="dxa" w:w="3217"/>
          </w:tcPr>
          <w:p>
            <w:pPr>
              <w:pStyle w:val="Compact"/>
              <w:spacing w:line="276" w:lineRule="auto" w:before="40" w:after="40"/>
            </w:pPr>
            <w:r>
              <w:rPr>
                <w:rFonts w:ascii="Liberation Sans Narrow" w:hAnsi="Liberation Sans Narrow"/>
                <w:sz w:val="18"/>
              </w:rPr>
              <w:t xml:space="preserve">STJ, Tema Repetitivo 243, REsp 956.943, Corte Especial, relatora Min. Nancy Andrighi, julgado em 20/08/2014, DJe de 01/12/2014</w:t>
            </w:r>
          </w:p>
        </w:tc>
        <w:tc>
          <w:tcPr>
            <w:tcW w:type="dxa" w:w="3889"/>
          </w:tcPr>
          <w:p>
            <w:pPr>
              <w:pStyle w:val="Compact"/>
              <w:spacing w:line="276" w:lineRule="auto" w:before="40" w:after="40"/>
            </w:pPr>
            <w:r>
              <w:rPr>
                <w:rFonts w:ascii="Liberation Sans Narrow" w:hAnsi="Liberation Sans Narrow"/>
                <w:sz w:val="18"/>
              </w:rPr>
              <w:t xml:space="preserve">Para fins do art. 543-c do CPC, firma-se a seguinte orientação: 1.1. É indispensável citação válida para configuração da fraude de execução, ressalvada a hipótese prevista no § 3º do art. 615-A do CPC. 1.2. O reconhecimento da fraude de execução depende do registro da penhora do bem alienado ou da prova de má-fé do terceiro adquirente (Súmula n. 375/STJ). 1.3. A presunção de boa-fé é princípio geral de direito universalmente aceito, sendo milenar parêmia: a boa-fé se presume; a má-fé se prova. 1.4. Inexistindo registro da penhora na matrícula do imóvel, é do credor o ônus da prova de que o terceiro adquirente tinha conhecimento de demanda capaz de levar o alienante à insolvência, sob pena de torna-se letra morta o disposto no art. 659, § 4º, do CPC. 1.5. Conforme previsto no § 3º do art. 615-A do CPC, presume-se em fraude de execução a alienação ou oneração de bens realizada após averbação referida no dispositivo.</w:t>
            </w:r>
          </w:p>
        </w:tc>
      </w:tr>
      <w:tr>
        <w:trPr>
          <w:cantSplit/>
        </w:trPr>
        <w:tc>
          <w:tcPr>
            <w:tcW w:type="dxa" w:w="2248"/>
          </w:tcPr>
          <w:p>
            <w:pPr>
              <w:pStyle w:val="Compact"/>
              <w:spacing w:line="276" w:lineRule="auto" w:before="40" w:after="40"/>
            </w:pPr>
            <w:r>
              <w:rPr>
                <w:rFonts w:ascii="Liberation Sans Narrow" w:hAnsi="Liberation Sans Narrow"/>
                <w:sz w:val="18"/>
              </w:rPr>
              <w:t xml:space="preserve">Embargos de terceiro: posse decorrente de compromisso de compra e venda sem registro</w:t>
            </w:r>
          </w:p>
        </w:tc>
        <w:tc>
          <w:tcPr>
            <w:tcW w:type="dxa" w:w="3217"/>
          </w:tcPr>
          <w:p>
            <w:pPr>
              <w:pStyle w:val="Compact"/>
              <w:spacing w:line="276" w:lineRule="auto" w:before="40" w:after="40"/>
            </w:pPr>
            <w:r>
              <w:rPr>
                <w:rFonts w:ascii="Liberation Sans Narrow" w:hAnsi="Liberation Sans Narrow"/>
                <w:sz w:val="18"/>
              </w:rPr>
              <w:t xml:space="preserve">STJ, Súmula 84/STJ, Corte Especial (vigente; data de aprovação não informada pelo acervo)</w:t>
            </w:r>
          </w:p>
        </w:tc>
        <w:tc>
          <w:tcPr>
            <w:tcW w:type="dxa" w:w="3889"/>
          </w:tcPr>
          <w:p>
            <w:pPr>
              <w:pStyle w:val="Compact"/>
              <w:spacing w:line="276" w:lineRule="auto" w:before="40" w:after="40"/>
            </w:pPr>
            <w:r>
              <w:rPr>
                <w:rFonts w:ascii="Liberation Sans Narrow" w:hAnsi="Liberation Sans Narrow"/>
                <w:sz w:val="18"/>
              </w:rPr>
              <w:t xml:space="preserve">É admissível a oposição de embargos de terceiro fundados em alegação de posse advinda do compromisso de compra e venda de imóvel, ainda que desprovido do registro.</w:t>
            </w:r>
          </w:p>
        </w:tc>
      </w:tr>
      <w:tr>
        <w:trPr>
          <w:cantSplit/>
        </w:trPr>
        <w:tc>
          <w:tcPr>
            <w:tcW w:type="dxa" w:w="2248"/>
          </w:tcPr>
          <w:p>
            <w:pPr>
              <w:pStyle w:val="Compact"/>
              <w:spacing w:line="276" w:lineRule="auto" w:before="40" w:after="40"/>
            </w:pPr>
            <w:r>
              <w:rPr>
                <w:rFonts w:ascii="Liberation Sans Narrow" w:hAnsi="Liberation Sans Narrow"/>
                <w:sz w:val="18"/>
              </w:rPr>
              <w:t xml:space="preserve">Embargos de terceiro: fraude à execução</w:t>
            </w:r>
          </w:p>
        </w:tc>
        <w:tc>
          <w:tcPr>
            <w:tcW w:type="dxa" w:w="3217"/>
          </w:tcPr>
          <w:p>
            <w:pPr>
              <w:pStyle w:val="Compact"/>
              <w:spacing w:line="276" w:lineRule="auto" w:before="40" w:after="40"/>
            </w:pPr>
            <w:r>
              <w:rPr>
                <w:rFonts w:ascii="Liberation Sans Narrow" w:hAnsi="Liberation Sans Narrow"/>
                <w:sz w:val="18"/>
              </w:rPr>
              <w:t xml:space="preserve">STJ, Súmula 375/STJ, Corte Especial (vigente; data de aprovação não informada pelo acervo)</w:t>
            </w:r>
          </w:p>
        </w:tc>
        <w:tc>
          <w:tcPr>
            <w:tcW w:type="dxa" w:w="3889"/>
          </w:tcPr>
          <w:p>
            <w:pPr>
              <w:pStyle w:val="Compact"/>
              <w:spacing w:line="276" w:lineRule="auto" w:before="40" w:after="40"/>
            </w:pPr>
            <w:r>
              <w:rPr>
                <w:rFonts w:ascii="Liberation Sans Narrow" w:hAnsi="Liberation Sans Narrow"/>
                <w:sz w:val="18"/>
              </w:rPr>
              <w:t xml:space="preserve">O reconhecimento da fraude à execução depende do registro da penhora do bem alienado ou da prova de má-fé do terceiro adquirente.</w:t>
            </w:r>
          </w:p>
        </w:tc>
      </w:tr>
      <w:tr>
        <w:trPr>
          <w:cantSplit/>
        </w:trPr>
        <w:tc>
          <w:tcPr>
            <w:tcW w:type="dxa" w:w="2248"/>
          </w:tcPr>
          <w:p>
            <w:pPr>
              <w:pStyle w:val="Compact"/>
              <w:spacing w:line="276" w:lineRule="auto" w:before="40" w:after="40"/>
            </w:pPr>
            <w:r>
              <w:rPr>
                <w:rFonts w:ascii="Liberation Sans Narrow" w:hAnsi="Liberation Sans Narrow"/>
                <w:sz w:val="18"/>
              </w:rPr>
              <w:t xml:space="preserve">Embargos de terceiro e promessa de compra e venda não inscrita</w:t>
            </w:r>
          </w:p>
        </w:tc>
        <w:tc>
          <w:tcPr>
            <w:tcW w:type="dxa" w:w="3217"/>
          </w:tcPr>
          <w:p>
            <w:pPr>
              <w:pStyle w:val="Compact"/>
              <w:spacing w:line="276" w:lineRule="auto" w:before="40" w:after="40"/>
            </w:pPr>
            <w:r>
              <w:rPr>
                <w:rFonts w:ascii="Liberation Sans Narrow" w:hAnsi="Liberation Sans Narrow"/>
                <w:sz w:val="18"/>
              </w:rPr>
              <w:t xml:space="preserve">STF, Súmula 621/STF (aprovada; data de aprovação não informada pelo acervo)</w:t>
            </w:r>
          </w:p>
        </w:tc>
        <w:tc>
          <w:tcPr>
            <w:tcW w:type="dxa" w:w="3889"/>
          </w:tcPr>
          <w:p>
            <w:pPr>
              <w:pStyle w:val="Compact"/>
              <w:spacing w:line="276" w:lineRule="auto" w:before="40" w:after="40"/>
            </w:pPr>
            <w:r>
              <w:rPr>
                <w:rFonts w:ascii="Liberation Sans Narrow" w:hAnsi="Liberation Sans Narrow"/>
                <w:sz w:val="18"/>
              </w:rPr>
              <w:t xml:space="preserve">Não enseja embargos de terceiro à penhora a promessa de compra e venda não inscrita no registro de imóveis.</w:t>
            </w:r>
          </w:p>
        </w:tc>
      </w:tr>
      <w:tr>
        <w:trPr>
          <w:cantSplit/>
        </w:trPr>
        <w:tc>
          <w:tcPr>
            <w:tcW w:type="dxa" w:w="2248"/>
          </w:tcPr>
          <w:p>
            <w:pPr>
              <w:pStyle w:val="Compact"/>
              <w:spacing w:line="276" w:lineRule="auto" w:before="40" w:after="40"/>
            </w:pPr>
            <w:r>
              <w:rPr>
                <w:rFonts w:ascii="Liberation Sans Narrow" w:hAnsi="Liberation Sans Narrow"/>
                <w:sz w:val="18"/>
              </w:rPr>
              <w:t xml:space="preserve">Embargos de terceiro: cônjuge e defesa da meação</w:t>
            </w:r>
          </w:p>
        </w:tc>
        <w:tc>
          <w:tcPr>
            <w:tcW w:type="dxa" w:w="3217"/>
          </w:tcPr>
          <w:p>
            <w:pPr>
              <w:pStyle w:val="Compact"/>
              <w:spacing w:line="276" w:lineRule="auto" w:before="40" w:after="40"/>
            </w:pPr>
            <w:r>
              <w:rPr>
                <w:rFonts w:ascii="Liberation Sans Narrow" w:hAnsi="Liberation Sans Narrow"/>
                <w:sz w:val="18"/>
              </w:rPr>
              <w:t xml:space="preserve">STJ, Súmula 134/STJ, Segunda Seção (vigente; data de aprovação não informada pelo acervo)</w:t>
            </w:r>
          </w:p>
        </w:tc>
        <w:tc>
          <w:tcPr>
            <w:tcW w:type="dxa" w:w="3889"/>
          </w:tcPr>
          <w:p>
            <w:pPr>
              <w:pStyle w:val="Compact"/>
              <w:spacing w:line="276" w:lineRule="auto" w:before="40" w:after="40"/>
            </w:pPr>
            <w:r>
              <w:rPr>
                <w:rFonts w:ascii="Liberation Sans Narrow" w:hAnsi="Liberation Sans Narrow"/>
                <w:sz w:val="18"/>
              </w:rPr>
              <w:t xml:space="preserve">Embora intimado da penhora em imóvel do casal, o cônjuge do executado pode opor embargos de terceiro para defesa de sua meação.</w:t>
            </w:r>
          </w:p>
        </w:tc>
      </w:tr>
      <w:tr>
        <w:trPr>
          <w:cantSplit/>
        </w:trPr>
        <w:tc>
          <w:tcPr>
            <w:tcW w:type="dxa" w:w="2248"/>
          </w:tcPr>
          <w:p>
            <w:pPr>
              <w:pStyle w:val="Compact"/>
              <w:spacing w:line="276" w:lineRule="auto" w:before="40" w:after="40"/>
            </w:pPr>
            <w:r>
              <w:rPr>
                <w:rFonts w:ascii="Liberation Sans Narrow" w:hAnsi="Liberation Sans Narrow"/>
                <w:sz w:val="18"/>
              </w:rPr>
              <w:t xml:space="preserve">Embargos de terceiro: honorários a quem deu causa à constrição</w:t>
            </w:r>
          </w:p>
        </w:tc>
        <w:tc>
          <w:tcPr>
            <w:tcW w:type="dxa" w:w="3217"/>
          </w:tcPr>
          <w:p>
            <w:pPr>
              <w:pStyle w:val="Compact"/>
              <w:spacing w:line="276" w:lineRule="auto" w:before="40" w:after="40"/>
            </w:pPr>
            <w:r>
              <w:rPr>
                <w:rFonts w:ascii="Liberation Sans Narrow" w:hAnsi="Liberation Sans Narrow"/>
                <w:sz w:val="18"/>
              </w:rPr>
              <w:t xml:space="preserve">STJ, Súmula 303/STJ, Corte Especial (vigente; data de aprovação não informada pelo acervo)</w:t>
            </w:r>
          </w:p>
        </w:tc>
        <w:tc>
          <w:tcPr>
            <w:tcW w:type="dxa" w:w="3889"/>
          </w:tcPr>
          <w:p>
            <w:pPr>
              <w:pStyle w:val="Compact"/>
              <w:spacing w:line="276" w:lineRule="auto" w:before="40" w:after="40"/>
            </w:pPr>
            <w:r>
              <w:rPr>
                <w:rFonts w:ascii="Liberation Sans Narrow" w:hAnsi="Liberation Sans Narrow"/>
                <w:sz w:val="18"/>
              </w:rPr>
              <w:t xml:space="preserve">Em embargos de terceiro, quem deu causa à constrição indevida deve arcar com os honorários advocatícios.</w:t>
            </w:r>
          </w:p>
        </w:tc>
      </w:tr>
      <w:tr>
        <w:trPr>
          <w:cantSplit/>
        </w:trPr>
        <w:tc>
          <w:tcPr>
            <w:tcW w:type="dxa" w:w="2248"/>
          </w:tcPr>
          <w:p>
            <w:pPr>
              <w:pStyle w:val="Compact"/>
              <w:spacing w:line="276" w:lineRule="auto" w:before="40" w:after="40"/>
            </w:pPr>
            <w:r>
              <w:rPr>
                <w:rFonts w:ascii="Liberation Sans Narrow" w:hAnsi="Liberation Sans Narrow"/>
                <w:sz w:val="18"/>
              </w:rPr>
              <w:t xml:space="preserve">Embargos de terceiro: alienação anterior à citação e presunção de má-fé</w:t>
            </w:r>
          </w:p>
        </w:tc>
        <w:tc>
          <w:tcPr>
            <w:tcW w:type="dxa" w:w="3217"/>
          </w:tcPr>
          <w:p>
            <w:pPr>
              <w:pStyle w:val="Compact"/>
              <w:spacing w:line="276" w:lineRule="auto" w:before="40" w:after="40"/>
            </w:pPr>
            <w:r>
              <w:rPr>
                <w:rFonts w:ascii="Liberation Sans Narrow" w:hAnsi="Liberation Sans Narrow"/>
                <w:sz w:val="18"/>
              </w:rPr>
              <w:t xml:space="preserve">STJ, REsp 2.183.157, Quarta Turma, relator Min. Antonio Carlos Ferreira, julgado em 30/06/2026, DJEN de 03/07/2026</w:t>
            </w:r>
          </w:p>
        </w:tc>
        <w:tc>
          <w:tcPr>
            <w:tcW w:type="dxa" w:w="3889"/>
          </w:tcPr>
          <w:p>
            <w:pPr>
              <w:pStyle w:val="Compact"/>
              <w:spacing w:line="276" w:lineRule="auto" w:before="40" w:after="40"/>
            </w:pPr>
            <w:r>
              <w:rPr>
                <w:rFonts w:ascii="Liberation Sans Narrow" w:hAnsi="Liberation Sans Narrow"/>
                <w:sz w:val="18"/>
              </w:rPr>
              <w:t xml:space="preserve">A fraude à execução depende do registro da penhora ou da prova de má-fé do terceiro adquirente; reconhecê-la por mera presunção, com alienação anterior à citação e sem registro, contraria a Súmula 375 e o Tema 243, e os embargos de terceiro procedem.</w:t>
            </w:r>
          </w:p>
        </w:tc>
      </w:tr>
      <w:tr>
        <w:trPr>
          <w:cantSplit/>
        </w:trPr>
        <w:tc>
          <w:tcPr>
            <w:tcW w:type="dxa" w:w="2248"/>
          </w:tcPr>
          <w:p>
            <w:pPr>
              <w:pStyle w:val="Compact"/>
              <w:spacing w:line="276" w:lineRule="auto" w:before="40" w:after="40"/>
            </w:pPr>
            <w:r>
              <w:rPr>
                <w:rFonts w:ascii="Liberation Sans Narrow" w:hAnsi="Liberation Sans Narrow"/>
                <w:sz w:val="18"/>
              </w:rPr>
              <w:t xml:space="preserve">Caput — promitente comprador de imóvel em construção</w:t>
            </w:r>
          </w:p>
        </w:tc>
        <w:tc>
          <w:tcPr>
            <w:tcW w:type="dxa" w:w="3217"/>
          </w:tcPr>
          <w:p>
            <w:pPr>
              <w:pStyle w:val="Compact"/>
              <w:spacing w:line="276" w:lineRule="auto" w:before="40" w:after="40"/>
            </w:pPr>
            <w:r>
              <w:rPr>
                <w:rFonts w:ascii="Liberation Sans Narrow" w:hAnsi="Liberation Sans Narrow"/>
                <w:sz w:val="18"/>
              </w:rPr>
              <w:t xml:space="preserve">STJ, REsp 2.082.580, Quarta Turma, relator Min. João Otávio de Noronha, julgado em 09/03/2026, DJEN de 12/03/2026</w:t>
            </w:r>
          </w:p>
        </w:tc>
        <w:tc>
          <w:tcPr>
            <w:tcW w:type="dxa" w:w="3889"/>
          </w:tcPr>
          <w:p>
            <w:pPr>
              <w:pStyle w:val="Compact"/>
              <w:spacing w:line="276" w:lineRule="auto" w:before="40" w:after="40"/>
            </w:pPr>
            <w:r>
              <w:rPr>
                <w:rFonts w:ascii="Liberation Sans Narrow" w:hAnsi="Liberation Sans Narrow"/>
                <w:sz w:val="18"/>
              </w:rPr>
              <w:t xml:space="preserve">Aplica-se a Súmula 84/STJ: é admissível a oposição de embargos de terceiro por promitente comprador, ainda sem registro, inclusive em imóvel em construção. No caso, o patrimônio de afetação responde pelas dívidas vinculadas à incorporação (art. 31-A, § 1º, da Lei 4.591/1964), o que impôs o restabelecimento do arresto.</w:t>
            </w:r>
          </w:p>
        </w:tc>
      </w:tr>
      <w:tr>
        <w:trPr>
          <w:cantSplit/>
        </w:trPr>
        <w:tc>
          <w:tcPr>
            <w:tcW w:type="dxa" w:w="2248"/>
          </w:tcPr>
          <w:p>
            <w:pPr>
              <w:pStyle w:val="Compact"/>
              <w:spacing w:line="276" w:lineRule="auto" w:before="40" w:after="40"/>
            </w:pPr>
            <w:r>
              <w:rPr>
                <w:rFonts w:ascii="Liberation Sans Narrow" w:hAnsi="Liberation Sans Narrow"/>
                <w:sz w:val="18"/>
              </w:rPr>
              <w:t xml:space="preserve">Compromisso de compra e venda sem registro e fraude à execução</w:t>
            </w:r>
          </w:p>
        </w:tc>
        <w:tc>
          <w:tcPr>
            <w:tcW w:type="dxa" w:w="3217"/>
          </w:tcPr>
          <w:p>
            <w:pPr>
              <w:pStyle w:val="Compact"/>
              <w:spacing w:line="276" w:lineRule="auto" w:before="40" w:after="40"/>
            </w:pPr>
            <w:r>
              <w:rPr>
                <w:rFonts w:ascii="Liberation Sans Narrow" w:hAnsi="Liberation Sans Narrow"/>
                <w:sz w:val="18"/>
              </w:rPr>
              <w:t xml:space="preserve">STJ, REsp 2.202.047, Terceira Turma, relator Min. Ricardo Villas Bôas Cueva, julgado em 13/10/2025, DJEN de 17/10/2025</w:t>
            </w:r>
          </w:p>
        </w:tc>
        <w:tc>
          <w:tcPr>
            <w:tcW w:type="dxa" w:w="3889"/>
          </w:tcPr>
          <w:p>
            <w:pPr>
              <w:pStyle w:val="Compact"/>
              <w:spacing w:line="276" w:lineRule="auto" w:before="40" w:after="40"/>
            </w:pPr>
            <w:r>
              <w:rPr>
                <w:rFonts w:ascii="Liberation Sans Narrow" w:hAnsi="Liberation Sans Narrow"/>
                <w:sz w:val="18"/>
              </w:rPr>
              <w:t xml:space="preserve">É admissível a oposição de embargos de terceiro fundados em posse advinda de compromisso de compra e venda ainda sem registro (Súmula 84), e a fraude à execução depende do registro da penhora ou da prova de má-fé do adquirente (Súmula 375).</w:t>
            </w:r>
          </w:p>
        </w:tc>
      </w:tr>
      <w:tr>
        <w:trPr>
          <w:cantSplit/>
        </w:trPr>
        <w:tc>
          <w:tcPr>
            <w:tcW w:type="dxa" w:w="2248"/>
          </w:tcPr>
          <w:p>
            <w:pPr>
              <w:pStyle w:val="Compact"/>
              <w:spacing w:line="276" w:lineRule="auto" w:before="40" w:after="40"/>
            </w:pPr>
            <w:r>
              <w:rPr>
                <w:rFonts w:ascii="Liberation Sans Narrow" w:hAnsi="Liberation Sans Narrow"/>
                <w:sz w:val="18"/>
              </w:rPr>
              <w:t xml:space="preserve">Fraude à execução sem registro da penhora: ônus do credor de provar a má-fé</w:t>
            </w:r>
          </w:p>
        </w:tc>
        <w:tc>
          <w:tcPr>
            <w:tcW w:type="dxa" w:w="3217"/>
          </w:tcPr>
          <w:p>
            <w:pPr>
              <w:pStyle w:val="Compact"/>
              <w:spacing w:line="276" w:lineRule="auto" w:before="40" w:after="40"/>
            </w:pPr>
            <w:r>
              <w:rPr>
                <w:rFonts w:ascii="Liberation Sans Narrow" w:hAnsi="Liberation Sans Narrow"/>
                <w:sz w:val="18"/>
              </w:rPr>
              <w:t xml:space="preserve">STJ, REsp 1.959.861, Terceira Turma, relator Min. Ricardo Villas Bôas Cueva, julgado em 05/05/2025, DJEN de 09/05/2025</w:t>
            </w:r>
          </w:p>
        </w:tc>
        <w:tc>
          <w:tcPr>
            <w:tcW w:type="dxa" w:w="3889"/>
          </w:tcPr>
          <w:p>
            <w:pPr>
              <w:pStyle w:val="Compact"/>
              <w:spacing w:line="276" w:lineRule="auto" w:before="40" w:after="40"/>
            </w:pPr>
            <w:r>
              <w:rPr>
                <w:rFonts w:ascii="Liberation Sans Narrow" w:hAnsi="Liberation Sans Narrow"/>
                <w:sz w:val="18"/>
              </w:rPr>
              <w:t xml:space="preserve">Sem registro da penhora na matrícula, cabe ao credor provar que o adquirente conhecia demanda capaz de levar o alienante à insolvência; a má-fé não se presume pela falta de certidões de distribuição (Tema 243 e Súmula 375).</w:t>
            </w:r>
          </w:p>
        </w:tc>
      </w:tr>
      <w:tr>
        <w:trPr>
          <w:cantSplit/>
        </w:trPr>
        <w:tc>
          <w:tcPr>
            <w:tcW w:type="dxa" w:w="2248"/>
          </w:tcPr>
          <w:p>
            <w:pPr>
              <w:pStyle w:val="Compact"/>
              <w:spacing w:line="276" w:lineRule="auto" w:before="40" w:after="40"/>
            </w:pPr>
            <w:r>
              <w:rPr>
                <w:rFonts w:ascii="Liberation Sans Narrow" w:hAnsi="Liberation Sans Narrow"/>
                <w:sz w:val="18"/>
              </w:rPr>
              <w:t xml:space="preserve">Alienações sucessivas: a ineficácia da primeira não se estende automaticamente às seguintes</w:t>
            </w:r>
          </w:p>
        </w:tc>
        <w:tc>
          <w:tcPr>
            <w:tcW w:type="dxa" w:w="3217"/>
          </w:tcPr>
          <w:p>
            <w:pPr>
              <w:pStyle w:val="Compact"/>
              <w:spacing w:line="276" w:lineRule="auto" w:before="40" w:after="40"/>
            </w:pPr>
            <w:r>
              <w:rPr>
                <w:rFonts w:ascii="Liberation Sans Narrow" w:hAnsi="Liberation Sans Narrow"/>
                <w:sz w:val="18"/>
              </w:rPr>
              <w:t xml:space="preserve">STJ, REsp 1.863.999, Terceira Turma, relatora Min. Nancy Andrighi, julgado em 03/08/2021, DJe de 09/08/2021</w:t>
            </w:r>
          </w:p>
        </w:tc>
        <w:tc>
          <w:tcPr>
            <w:tcW w:type="dxa" w:w="3889"/>
          </w:tcPr>
          <w:p>
            <w:pPr>
              <w:pStyle w:val="Compact"/>
              <w:spacing w:line="276" w:lineRule="auto" w:before="40" w:after="40"/>
            </w:pPr>
            <w:r>
              <w:rPr>
                <w:rFonts w:ascii="Liberation Sans Narrow" w:hAnsi="Liberation Sans Narrow"/>
                <w:sz w:val="18"/>
              </w:rPr>
              <w:t xml:space="preserve">Na fraude à execução com alienações sucessivas, não se estende automaticamente às transações subsequentes a ineficácia da primeira alienação.</w:t>
            </w:r>
          </w:p>
        </w:tc>
      </w:tr>
    </w:tbl>
    <w:p>
      <w:pPr>
        <w:pStyle w:val="BodyText"/>
        <w:spacing w:after="80"/>
        <w:jc w:val="both"/>
      </w:pPr>
      <w:r>
        <w:t xml:space="preserve">§ 1º Os embargos podem ser de terceiro proprietário, inclusive fiduciário, ou possuidor.</w:t>
      </w:r>
    </w:p>
    <w:p>
      <w:pPr>
        <w:pStyle w:val="BodyText"/>
        <w:spacing w:after="80"/>
        <w:jc w:val="both"/>
      </w:pPr>
      <w:r>
        <w:t xml:space="preserve">§ 2º Considera-se terceiro, para ajuizamento dos embargos:</w:t>
      </w:r>
    </w:p>
    <w:p>
      <w:pPr>
        <w:pStyle w:val="BodyText"/>
        <w:spacing w:after="80"/>
        <w:jc w:val="both"/>
      </w:pPr>
      <w:r>
        <w:t xml:space="preserve">I - o cônjuge ou companheiro, quando defende a posse de bens próprios ou de sua meação, ressalvado o disposto no art. 843;</w:t>
      </w:r>
    </w:p>
    <w:p>
      <w:pPr>
        <w:pStyle w:val="BodyText"/>
        <w:spacing w:after="80"/>
        <w:jc w:val="both"/>
      </w:pPr>
      <w:r>
        <w:t xml:space="preserve">II - o adquirente de bens cuja constrição decorreu de decisão que declara a ineficácia da alienação realizada em fraude à execução;</w:t>
      </w:r>
    </w:p>
    <w:p>
      <w:pPr>
        <w:pStyle w:val="BodyText"/>
        <w:spacing w:after="80"/>
        <w:jc w:val="both"/>
      </w:pPr>
      <w:r>
        <w:t xml:space="preserve">III - quem sofre constrição judicial de seus bens por força de desconsideração da personalidade jurídica, de cujo incidente não fez parte;</w:t>
      </w:r>
    </w:p>
    <w:p>
      <w:pPr>
        <w:pStyle w:val="BodyText"/>
        <w:spacing w:after="80"/>
        <w:jc w:val="both"/>
      </w:pPr>
      <w:r>
        <w:t xml:space="preserve">IV - o credor com garantia real para obstar expropriação judicial do objeto de direito real de garantia, caso não tenha sido intimado, nos termos legais dos atos expropriatórios respectivos.</w:t>
      </w:r>
    </w:p>
    <w:bookmarkEnd w:id="443"/>
    <w:bookmarkStart w:id="444" w:name="art.-675"/>
    <w:p>
      <w:pPr>
        <w:pStyle w:val="Heading6"/>
        <w:pBdr>
          <w:left w:val="single" w:sz="36" w:space="4" w:color="2E75B6"/>
        </w:pBdr>
        <w:shd w:val="clear" w:color="auto" w:fill="E3EEF9"/>
        <w:spacing w:before="200" w:after="80"/>
        <w:ind w:left="85"/>
      </w:pPr>
      <w:r>
        <w:rPr>
          <w:i w:val="0"/>
          <w:color w:val="1F3A5F"/>
          <w:sz w:val="23"/>
        </w:rPr>
        <w:t xml:space="preserve">Art. 675</w:t>
      </w:r>
    </w:p>
    <w:p>
      <w:pPr>
        <w:pStyle w:val="FirstParagraph"/>
        <w:keepNext/>
        <w:spacing w:after="80"/>
        <w:jc w:val="both"/>
      </w:pPr>
      <w:r>
        <w:rPr>
          <w:b/>
          <w:bCs/>
        </w:rPr>
        <w:t xml:space="preserve">Art. 675.</w:t>
      </w:r>
      <w:r>
        <w:t xml:space="preserve"> </w:t>
      </w:r>
      <w:r>
        <w:t xml:space="preserve">Os embargos podem ser opostos a qualquer tempo no processo de conhecimento enquanto não transitada em julgado a sentença e, no cumprimento de sentença ou no processo de execução, até 5 (cinco) dias depois da adjudicação, da alienação por iniciativa particular ou da arrematação, mas sempre antes da assinatura da respectiva carta.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2899"/>
        <w:gridCol w:w="4426"/>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9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42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30"/>
          </w:tcPr>
          <w:p>
            <w:pPr>
              <w:pStyle w:val="Compact"/>
              <w:spacing w:line="276" w:lineRule="auto" w:before="40" w:after="40"/>
            </w:pPr>
            <w:r>
              <w:rPr>
                <w:rFonts w:ascii="Liberation Sans Narrow" w:hAnsi="Liberation Sans Narrow"/>
                <w:sz w:val="18"/>
              </w:rPr>
              <w:t xml:space="preserve">Caput — termo inicial na execução e no cumprimento de sentença</w:t>
            </w:r>
          </w:p>
        </w:tc>
        <w:tc>
          <w:tcPr>
            <w:tcW w:type="dxa" w:w="2899"/>
          </w:tcPr>
          <w:p>
            <w:pPr>
              <w:pStyle w:val="Compact"/>
              <w:spacing w:line="276" w:lineRule="auto" w:before="40" w:after="40"/>
            </w:pPr>
            <w:r>
              <w:rPr>
                <w:rFonts w:ascii="Liberation Sans Narrow" w:hAnsi="Liberation Sans Narrow"/>
                <w:sz w:val="18"/>
              </w:rPr>
              <w:t xml:space="preserve">STJ, AgInt no AREsp 1.906.915, Quarta Turma, relator Min. Raul Araújo, julgado em 01/06/2026, DJEN de 09/06/2026</w:t>
            </w:r>
          </w:p>
        </w:tc>
        <w:tc>
          <w:tcPr>
            <w:tcW w:type="dxa" w:w="4426"/>
          </w:tcPr>
          <w:p>
            <w:pPr>
              <w:pStyle w:val="Compact"/>
              <w:spacing w:line="276" w:lineRule="auto" w:before="40" w:after="40"/>
            </w:pPr>
            <w:r>
              <w:rPr>
                <w:rFonts w:ascii="Liberation Sans Narrow" w:hAnsi="Liberation Sans Narrow"/>
                <w:sz w:val="18"/>
              </w:rPr>
              <w:t xml:space="preserve">Na fase de cumprimento de sentença ou no processo de execução, os embargos de terceiro devem ser opostos no prazo de cinco dias contados da adjudicação, da alienação por iniciativa particular ou da arrematação, sempre antes da assinatura da respectiva carta; o prazo só começa a fluir com um desses atos, ainda que o embargante já conhecesse a penhora.</w:t>
            </w:r>
          </w:p>
        </w:tc>
      </w:tr>
      <w:tr>
        <w:trPr>
          <w:cantSplit/>
        </w:trPr>
        <w:tc>
          <w:tcPr>
            <w:tcW w:type="dxa" w:w="2030"/>
          </w:tcPr>
          <w:p>
            <w:pPr>
              <w:pStyle w:val="Compact"/>
              <w:spacing w:line="276" w:lineRule="auto" w:before="40" w:after="40"/>
            </w:pPr>
            <w:r>
              <w:rPr>
                <w:rFonts w:ascii="Liberation Sans Narrow" w:hAnsi="Liberation Sans Narrow"/>
                <w:sz w:val="18"/>
              </w:rPr>
              <w:t xml:space="preserve">Caput — flexibilização do termo inicial</w:t>
            </w:r>
          </w:p>
        </w:tc>
        <w:tc>
          <w:tcPr>
            <w:tcW w:type="dxa" w:w="2899"/>
          </w:tcPr>
          <w:p>
            <w:pPr>
              <w:pStyle w:val="Compact"/>
              <w:spacing w:line="276" w:lineRule="auto" w:before="40" w:after="40"/>
            </w:pPr>
            <w:r>
              <w:rPr>
                <w:rFonts w:ascii="Liberation Sans Narrow" w:hAnsi="Liberation Sans Narrow"/>
                <w:sz w:val="18"/>
              </w:rPr>
              <w:t xml:space="preserve">STJ, AgInt no REsp 1.893.259, Segunda Turma, relator Min. Teodoro Silva Santos, DJe de 23/12/2025</w:t>
            </w:r>
          </w:p>
        </w:tc>
        <w:tc>
          <w:tcPr>
            <w:tcW w:type="dxa" w:w="4426"/>
          </w:tcPr>
          <w:p>
            <w:pPr>
              <w:pStyle w:val="Compact"/>
              <w:spacing w:line="276" w:lineRule="auto" w:before="40" w:after="40"/>
            </w:pPr>
            <w:r>
              <w:rPr>
                <w:rFonts w:ascii="Liberation Sans Narrow" w:hAnsi="Liberation Sans Narrow"/>
                <w:sz w:val="18"/>
              </w:rPr>
              <w:t xml:space="preserve">O prazo do art. 675 é de cinco dias da adjudicação, alienação ou arrematação, antes da assinatura da carta; excepcionalmente, e apenas em benefício do embargante, o termo inicial pode ser a data da turbação ou esbulho, quando o terceiro não tiver ciência da execução.</w:t>
            </w:r>
          </w:p>
        </w:tc>
      </w:tr>
    </w:tbl>
    <w:p>
      <w:pPr>
        <w:pStyle w:val="BodyText"/>
        <w:spacing w:after="80"/>
        <w:jc w:val="both"/>
      </w:pPr>
      <w:r>
        <w:t xml:space="preserve">Parágrafo único. Caso identifique a existência de terceiro titular de interesse em embargar o ato, o juiz mandará intimá-lo pessoalmente.</w:t>
      </w:r>
    </w:p>
    <w:bookmarkEnd w:id="444"/>
    <w:bookmarkStart w:id="445" w:name="art.-676"/>
    <w:p>
      <w:pPr>
        <w:pStyle w:val="Heading6"/>
        <w:pBdr>
          <w:left w:val="single" w:sz="36" w:space="4" w:color="2E75B6"/>
        </w:pBdr>
        <w:shd w:val="clear" w:color="auto" w:fill="E3EEF9"/>
        <w:spacing w:before="200" w:after="80"/>
        <w:ind w:left="85"/>
      </w:pPr>
      <w:r>
        <w:rPr>
          <w:i w:val="0"/>
          <w:color w:val="1F3A5F"/>
          <w:sz w:val="23"/>
        </w:rPr>
        <w:t xml:space="preserve">Art. 676</w:t>
      </w:r>
    </w:p>
    <w:p>
      <w:pPr>
        <w:pStyle w:val="FirstParagraph"/>
        <w:spacing w:after="80"/>
        <w:jc w:val="both"/>
      </w:pPr>
      <w:r>
        <w:rPr>
          <w:b/>
          <w:bCs/>
        </w:rPr>
        <w:t xml:space="preserve">Art. 676.</w:t>
      </w:r>
      <w:r>
        <w:t xml:space="preserve"> </w:t>
      </w:r>
      <w:r>
        <w:t xml:space="preserve">Os embargos serão distribuídos por dependência ao juízo que ordenou a constrição e autuados em apartado.</w:t>
      </w:r>
    </w:p>
    <w:p>
      <w:pPr>
        <w:pStyle w:val="BodyText"/>
        <w:spacing w:after="80"/>
        <w:jc w:val="both"/>
      </w:pPr>
      <w:r>
        <w:t xml:space="preserve">Parágrafo único. Nos casos de ato de constrição realizado por carta, os embargos serão oferecidos no juízo deprecado, salvo se indicado pelo juízo deprecante o bem constrito ou se já devolvida a carta.</w:t>
      </w:r>
    </w:p>
    <w:bookmarkEnd w:id="445"/>
    <w:bookmarkStart w:id="446" w:name="art.-677"/>
    <w:p>
      <w:pPr>
        <w:pStyle w:val="Heading6"/>
        <w:pBdr>
          <w:left w:val="single" w:sz="36" w:space="4" w:color="2E75B6"/>
        </w:pBdr>
        <w:shd w:val="clear" w:color="auto" w:fill="E3EEF9"/>
        <w:spacing w:before="200" w:after="80"/>
        <w:ind w:left="85"/>
      </w:pPr>
      <w:r>
        <w:rPr>
          <w:i w:val="0"/>
          <w:color w:val="1F3A5F"/>
          <w:sz w:val="23"/>
        </w:rPr>
        <w:t xml:space="preserve">Art. 677</w:t>
      </w:r>
    </w:p>
    <w:p>
      <w:pPr>
        <w:pStyle w:val="FirstParagraph"/>
        <w:keepNext/>
        <w:spacing w:after="80"/>
        <w:jc w:val="both"/>
      </w:pPr>
      <w:r>
        <w:rPr>
          <w:b/>
          <w:bCs/>
        </w:rPr>
        <w:t xml:space="preserve">Art. 677.</w:t>
      </w:r>
      <w:r>
        <w:t xml:space="preserve"> </w:t>
      </w:r>
      <w:r>
        <w:t xml:space="preserve">Na petição inicial, o embargante fará a prova sumária de sua posse ou de seu domínio e da qualidade de terceiro, oferecendo documentos e rol de testemunhas.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34"/>
        <w:gridCol w:w="2089"/>
        <w:gridCol w:w="5031"/>
      </w:tblGrid>
      <w:tr>
        <w:trPr>
          <w:tblHeader w:val="on"/>
          <w:cantSplit/>
          <w:tblHeader/>
        </w:trPr>
        <w:tc>
          <w:tcPr>
            <w:tcW w:type="dxa" w:w="2234"/>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08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03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34"/>
          </w:tcPr>
          <w:p>
            <w:pPr>
              <w:pStyle w:val="Compact"/>
              <w:spacing w:line="276" w:lineRule="auto" w:before="40" w:after="40"/>
            </w:pPr>
            <w:r>
              <w:rPr>
                <w:rFonts w:ascii="Liberation Sans Narrow" w:hAnsi="Liberation Sans Narrow"/>
                <w:sz w:val="18"/>
              </w:rPr>
              <w:t xml:space="preserve">Caput — prova sumária da posse e da qualidade de terceiro (aplicação narrada)</w:t>
            </w:r>
          </w:p>
        </w:tc>
        <w:tc>
          <w:tcPr>
            <w:tcW w:type="dxa" w:w="2089"/>
          </w:tcPr>
          <w:p>
            <w:pPr>
              <w:pStyle w:val="Compact"/>
              <w:spacing w:line="276" w:lineRule="auto" w:before="40" w:after="40"/>
            </w:pPr>
            <w:r>
              <w:rPr>
                <w:rFonts w:ascii="Liberation Sans Narrow" w:hAnsi="Liberation Sans Narrow"/>
                <w:sz w:val="18"/>
              </w:rPr>
              <w:t xml:space="preserve">STJ, AgInt no AREsp 2.659.349, Terceira Turma, relator Min. Moura Ribeiro</w:t>
            </w:r>
          </w:p>
        </w:tc>
        <w:tc>
          <w:tcPr>
            <w:tcW w:type="dxa" w:w="5031"/>
          </w:tcPr>
          <w:p>
            <w:pPr>
              <w:pStyle w:val="Compact"/>
              <w:spacing w:line="276" w:lineRule="auto" w:before="40" w:after="40"/>
            </w:pPr>
            <w:r>
              <w:rPr>
                <w:rFonts w:ascii="Liberation Sans Narrow" w:hAnsi="Liberation Sans Narrow"/>
                <w:sz w:val="18"/>
              </w:rPr>
              <w:t xml:space="preserve">O acolhimento dos embargos de terceiro pressupõe a prova sumária da posse ou do domínio e da qualidade de terceiro; não demonstrada essa prova constitutiva, o pedido não prospera, e a revisão do entendimento firmado nas instâncias ordinárias esbarra na Súmula 7 do Superior Tribunal de Justiça. Trecho: “O Tribunal recorrido firmou expressamente que a recorrente não demonstrou a prova sumária da posse e a sua qualidade de terceiro, ou seja, não fez prova constitutiva do seu direito”</w:t>
            </w:r>
          </w:p>
        </w:tc>
      </w:tr>
    </w:tbl>
    <w:p>
      <w:pPr>
        <w:pStyle w:val="BodyText"/>
        <w:spacing w:after="80"/>
        <w:jc w:val="both"/>
      </w:pPr>
      <w:r>
        <w:t xml:space="preserve">§ 1º É facultada a prova da posse em audiência preliminar designada pelo juiz.</w:t>
      </w:r>
    </w:p>
    <w:p>
      <w:pPr>
        <w:pStyle w:val="BodyText"/>
        <w:spacing w:after="80"/>
        <w:jc w:val="both"/>
      </w:pPr>
      <w:r>
        <w:t xml:space="preserve">§ 2º O possuidor direto pode alegar, além da sua posse, o domínio alheio.</w:t>
      </w:r>
    </w:p>
    <w:p>
      <w:pPr>
        <w:pStyle w:val="BodyText"/>
        <w:spacing w:after="80"/>
        <w:jc w:val="both"/>
      </w:pPr>
      <w:r>
        <w:t xml:space="preserve">§ 3º A citação será pessoal, se o embargado não tiver procurador constituído nos autos da ação principal.</w:t>
      </w:r>
    </w:p>
    <w:p>
      <w:pPr>
        <w:pStyle w:val="BodyText"/>
        <w:spacing w:after="80"/>
        <w:jc w:val="both"/>
      </w:pPr>
      <w:r>
        <w:t xml:space="preserve">§ 4º Será legitimado passivo o sujeito a quem o ato de constrição aproveita, assim como o será seu adversário no processo principal quando for sua a indicação do bem para a constrição judicial.</w:t>
      </w:r>
    </w:p>
    <w:bookmarkEnd w:id="446"/>
    <w:bookmarkStart w:id="447" w:name="art.-678"/>
    <w:p>
      <w:pPr>
        <w:pStyle w:val="Heading6"/>
        <w:pBdr>
          <w:left w:val="single" w:sz="36" w:space="4" w:color="2E75B6"/>
        </w:pBdr>
        <w:shd w:val="clear" w:color="auto" w:fill="E3EEF9"/>
        <w:spacing w:before="200" w:after="80"/>
        <w:ind w:left="85"/>
      </w:pPr>
      <w:r>
        <w:rPr>
          <w:i w:val="0"/>
          <w:color w:val="1F3A5F"/>
          <w:sz w:val="23"/>
        </w:rPr>
        <w:t xml:space="preserve">Art. 678</w:t>
      </w:r>
    </w:p>
    <w:p>
      <w:pPr>
        <w:pStyle w:val="FirstParagraph"/>
        <w:spacing w:after="80"/>
        <w:jc w:val="both"/>
      </w:pPr>
      <w:r>
        <w:rPr>
          <w:b/>
          <w:bCs/>
        </w:rPr>
        <w:t xml:space="preserve">Art. 678.</w:t>
      </w:r>
      <w:r>
        <w:t xml:space="preserve"> </w:t>
      </w:r>
      <w:r>
        <w:t xml:space="preserve">A decisão que reconhecer suficientemente provado o domínio ou a posse determinará a suspensão das medidas constritivas sobre os bens litigiosos objeto dos embargos, bem como a manutenção ou a reintegração provisória da posse, se o embargante a houver requerido.</w:t>
      </w:r>
    </w:p>
    <w:p>
      <w:pPr>
        <w:pStyle w:val="BodyText"/>
        <w:spacing w:after="80"/>
        <w:jc w:val="both"/>
      </w:pPr>
      <w:r>
        <w:t xml:space="preserve">Parágrafo único. O juiz poderá condicionar a ordem de manutenção ou de reintegração provisória de posse à prestação de caução pelo requerente, ressalvada a impossibilidade da parte economicamente hipossuficiente.</w:t>
      </w:r>
    </w:p>
    <w:bookmarkEnd w:id="447"/>
    <w:bookmarkStart w:id="448" w:name="art.-679"/>
    <w:p>
      <w:pPr>
        <w:pStyle w:val="Heading6"/>
        <w:pBdr>
          <w:left w:val="single" w:sz="36" w:space="4" w:color="2E75B6"/>
        </w:pBdr>
        <w:shd w:val="clear" w:color="auto" w:fill="E3EEF9"/>
        <w:spacing w:before="200" w:after="80"/>
        <w:ind w:left="85"/>
      </w:pPr>
      <w:r>
        <w:rPr>
          <w:i w:val="0"/>
          <w:color w:val="1F3A5F"/>
          <w:sz w:val="23"/>
        </w:rPr>
        <w:t xml:space="preserve">Art. 679</w:t>
      </w:r>
    </w:p>
    <w:p>
      <w:pPr>
        <w:pStyle w:val="FirstParagraph"/>
        <w:spacing w:after="80"/>
        <w:jc w:val="both"/>
      </w:pPr>
      <w:r>
        <w:rPr>
          <w:b/>
          <w:bCs/>
        </w:rPr>
        <w:t xml:space="preserve">Art. 679.</w:t>
      </w:r>
      <w:r>
        <w:t xml:space="preserve"> </w:t>
      </w:r>
      <w:r>
        <w:t xml:space="preserve">Os embargos poderão ser contestados no prazo de 15 (quinze) dias, findo o qual se seguirá o procedimento comum.</w:t>
      </w:r>
    </w:p>
    <w:bookmarkEnd w:id="448"/>
    <w:bookmarkStart w:id="449" w:name="art.-680"/>
    <w:p>
      <w:pPr>
        <w:pStyle w:val="Heading6"/>
        <w:pBdr>
          <w:left w:val="single" w:sz="36" w:space="4" w:color="2E75B6"/>
        </w:pBdr>
        <w:shd w:val="clear" w:color="auto" w:fill="E3EEF9"/>
        <w:spacing w:before="200" w:after="80"/>
        <w:ind w:left="85"/>
      </w:pPr>
      <w:r>
        <w:rPr>
          <w:i w:val="0"/>
          <w:color w:val="1F3A5F"/>
          <w:sz w:val="23"/>
        </w:rPr>
        <w:t xml:space="preserve">Art. 680</w:t>
      </w:r>
    </w:p>
    <w:p>
      <w:pPr>
        <w:pStyle w:val="FirstParagraph"/>
        <w:spacing w:after="80"/>
        <w:jc w:val="both"/>
      </w:pPr>
      <w:r>
        <w:rPr>
          <w:b/>
          <w:bCs/>
        </w:rPr>
        <w:t xml:space="preserve">Art. 680.</w:t>
      </w:r>
      <w:r>
        <w:t xml:space="preserve"> </w:t>
      </w:r>
      <w:r>
        <w:t xml:space="preserve">Contra os embargos do credor com garantia real, o embargado somente poderá alegar que:</w:t>
      </w:r>
    </w:p>
    <w:p>
      <w:pPr>
        <w:pStyle w:val="BodyText"/>
        <w:spacing w:after="80"/>
        <w:jc w:val="both"/>
      </w:pPr>
      <w:r>
        <w:t xml:space="preserve">I - o devedor comum é insolvente;</w:t>
      </w:r>
    </w:p>
    <w:p>
      <w:pPr>
        <w:pStyle w:val="BodyText"/>
        <w:spacing w:after="80"/>
        <w:jc w:val="both"/>
      </w:pPr>
      <w:r>
        <w:t xml:space="preserve">II - o título é nulo ou não obriga a terceiro;</w:t>
      </w:r>
    </w:p>
    <w:p>
      <w:pPr>
        <w:pStyle w:val="BodyText"/>
        <w:spacing w:after="80"/>
        <w:jc w:val="both"/>
      </w:pPr>
      <w:r>
        <w:t xml:space="preserve">III - outra é a coisa dada em garantia.</w:t>
      </w:r>
    </w:p>
    <w:bookmarkEnd w:id="449"/>
    <w:bookmarkStart w:id="450" w:name="art.-681"/>
    <w:p>
      <w:pPr>
        <w:pStyle w:val="Heading6"/>
        <w:pBdr>
          <w:left w:val="single" w:sz="36" w:space="4" w:color="2E75B6"/>
        </w:pBdr>
        <w:shd w:val="clear" w:color="auto" w:fill="E3EEF9"/>
        <w:spacing w:before="200" w:after="80"/>
        <w:ind w:left="85"/>
      </w:pPr>
      <w:r>
        <w:rPr>
          <w:i w:val="0"/>
          <w:color w:val="1F3A5F"/>
          <w:sz w:val="23"/>
        </w:rPr>
        <w:t xml:space="preserve">Art. 681</w:t>
      </w:r>
    </w:p>
    <w:p>
      <w:pPr>
        <w:pStyle w:val="FirstParagraph"/>
        <w:spacing w:after="80"/>
        <w:jc w:val="both"/>
      </w:pPr>
      <w:r>
        <w:rPr>
          <w:b/>
          <w:bCs/>
        </w:rPr>
        <w:t xml:space="preserve">Art. 681.</w:t>
      </w:r>
      <w:r>
        <w:t xml:space="preserve"> </w:t>
      </w:r>
      <w:r>
        <w:t xml:space="preserve">Acolhido o pedido inicial, o ato de constrição judicial indevida será cancelado, com o reconhecimento do domínio, da manutenção da posse ou da reintegração definitiva do bem ou do direito ao embargante.</w:t>
      </w:r>
    </w:p>
    <w:bookmarkEnd w:id="450"/>
    <w:bookmarkEnd w:id="451"/>
    <w:bookmarkStart w:id="457" w:name="X96fcf1b272555e1741c927b7e4a2e81e38e9ca4"/>
    <w:p>
      <w:pPr>
        <w:pStyle w:val="Heading4"/>
        <w:spacing w:before="160" w:after="40"/>
      </w:pPr>
      <w:r>
        <w:rPr>
          <w:smallCaps/>
          <w:color w:val="2E75B6"/>
        </w:rPr>
        <w:t xml:space="preserve">Capítulo VIII: da oposição (arts. 682 a 686)</w:t>
      </w:r>
    </w:p>
    <w:bookmarkStart w:id="452" w:name="art.-682"/>
    <w:p>
      <w:pPr>
        <w:pStyle w:val="Heading6"/>
        <w:pBdr>
          <w:left w:val="single" w:sz="36" w:space="4" w:color="2E75B6"/>
        </w:pBdr>
        <w:shd w:val="clear" w:color="auto" w:fill="E3EEF9"/>
        <w:spacing w:before="200" w:after="80"/>
        <w:ind w:left="85"/>
      </w:pPr>
      <w:r>
        <w:rPr>
          <w:i w:val="0"/>
          <w:color w:val="1F3A5F"/>
          <w:sz w:val="23"/>
        </w:rPr>
        <w:t xml:space="preserve">Art. 682</w:t>
      </w:r>
    </w:p>
    <w:p>
      <w:pPr>
        <w:pStyle w:val="FirstParagraph"/>
        <w:spacing w:after="80"/>
        <w:jc w:val="both"/>
      </w:pPr>
      <w:r>
        <w:rPr>
          <w:b/>
          <w:bCs/>
        </w:rPr>
        <w:t xml:space="preserve">Art. 682.</w:t>
      </w:r>
      <w:r>
        <w:t xml:space="preserve"> </w:t>
      </w:r>
      <w:r>
        <w:t xml:space="preserve">Quem pretender, no todo ou em parte, a coisa ou o direito sobre que controvertem autor e réu poderá, até ser proferida a sentença, oferecer oposição contra ambos.</w:t>
      </w:r>
    </w:p>
    <w:bookmarkEnd w:id="452"/>
    <w:bookmarkStart w:id="453" w:name="art.-683"/>
    <w:p>
      <w:pPr>
        <w:pStyle w:val="Heading6"/>
        <w:pBdr>
          <w:left w:val="single" w:sz="36" w:space="4" w:color="2E75B6"/>
        </w:pBdr>
        <w:shd w:val="clear" w:color="auto" w:fill="E3EEF9"/>
        <w:spacing w:before="200" w:after="80"/>
        <w:ind w:left="85"/>
      </w:pPr>
      <w:r>
        <w:rPr>
          <w:i w:val="0"/>
          <w:color w:val="1F3A5F"/>
          <w:sz w:val="23"/>
        </w:rPr>
        <w:t xml:space="preserve">Art. 683</w:t>
      </w:r>
    </w:p>
    <w:p>
      <w:pPr>
        <w:pStyle w:val="FirstParagraph"/>
        <w:spacing w:after="80"/>
        <w:jc w:val="both"/>
      </w:pPr>
      <w:r>
        <w:rPr>
          <w:b/>
          <w:bCs/>
        </w:rPr>
        <w:t xml:space="preserve">Art. 683.</w:t>
      </w:r>
      <w:r>
        <w:t xml:space="preserve"> </w:t>
      </w:r>
      <w:r>
        <w:t xml:space="preserve">O opoente deduzirá o pedido em observação aos requisitos exigidos para propositura da ação.</w:t>
      </w:r>
    </w:p>
    <w:p>
      <w:pPr>
        <w:pStyle w:val="BodyText"/>
        <w:spacing w:after="80"/>
        <w:jc w:val="both"/>
      </w:pPr>
      <w:r>
        <w:t xml:space="preserve">Parágrafo único. Distribuída a oposição por dependência, serão os opostos citados, na pessoa de seus respectivos advogados, para contestar o pedido no prazo comum de 15 (quinze) dias.</w:t>
      </w:r>
    </w:p>
    <w:bookmarkEnd w:id="453"/>
    <w:bookmarkStart w:id="454" w:name="art.-684"/>
    <w:p>
      <w:pPr>
        <w:pStyle w:val="Heading6"/>
        <w:pBdr>
          <w:left w:val="single" w:sz="36" w:space="4" w:color="2E75B6"/>
        </w:pBdr>
        <w:shd w:val="clear" w:color="auto" w:fill="E3EEF9"/>
        <w:spacing w:before="200" w:after="80"/>
        <w:ind w:left="85"/>
      </w:pPr>
      <w:r>
        <w:rPr>
          <w:i w:val="0"/>
          <w:color w:val="1F3A5F"/>
          <w:sz w:val="23"/>
        </w:rPr>
        <w:t xml:space="preserve">Art. 684</w:t>
      </w:r>
    </w:p>
    <w:p>
      <w:pPr>
        <w:pStyle w:val="FirstParagraph"/>
        <w:spacing w:after="80"/>
        <w:jc w:val="both"/>
      </w:pPr>
      <w:r>
        <w:rPr>
          <w:b/>
          <w:bCs/>
        </w:rPr>
        <w:t xml:space="preserve">Art. 684.</w:t>
      </w:r>
      <w:r>
        <w:t xml:space="preserve"> </w:t>
      </w:r>
      <w:r>
        <w:t xml:space="preserve">Se um dos opostos reconhecer a procedência do pedido, contra o outro prosseguirá o opoente.</w:t>
      </w:r>
    </w:p>
    <w:bookmarkEnd w:id="454"/>
    <w:bookmarkStart w:id="455" w:name="art.-685"/>
    <w:p>
      <w:pPr>
        <w:pStyle w:val="Heading6"/>
        <w:pBdr>
          <w:left w:val="single" w:sz="36" w:space="4" w:color="2E75B6"/>
        </w:pBdr>
        <w:shd w:val="clear" w:color="auto" w:fill="E3EEF9"/>
        <w:spacing w:before="200" w:after="80"/>
        <w:ind w:left="85"/>
      </w:pPr>
      <w:r>
        <w:rPr>
          <w:i w:val="0"/>
          <w:color w:val="1F3A5F"/>
          <w:sz w:val="23"/>
        </w:rPr>
        <w:t xml:space="preserve">Art. 685</w:t>
      </w:r>
    </w:p>
    <w:p>
      <w:pPr>
        <w:pStyle w:val="FirstParagraph"/>
        <w:keepNext/>
        <w:spacing w:after="80"/>
        <w:jc w:val="both"/>
      </w:pPr>
      <w:r>
        <w:rPr>
          <w:b/>
          <w:bCs/>
        </w:rPr>
        <w:t xml:space="preserve">Art. 685.</w:t>
      </w:r>
      <w:r>
        <w:t xml:space="preserve"> </w:t>
      </w:r>
      <w:r>
        <w:t xml:space="preserve">Admitido o processamento, a oposição será apensada aos autos e tramitará simultaneamente à ação originária, sendo ambas julgadas pela mesma sentença.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95"/>
        <w:gridCol w:w="3044"/>
        <w:gridCol w:w="4615"/>
      </w:tblGrid>
      <w:tr>
        <w:trPr>
          <w:tblHeader w:val="on"/>
          <w:cantSplit/>
          <w:tblHeader/>
        </w:trPr>
        <w:tc>
          <w:tcPr>
            <w:tcW w:type="dxa" w:w="1696"/>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04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61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96"/>
          </w:tcPr>
          <w:p>
            <w:pPr>
              <w:pStyle w:val="Compact"/>
              <w:spacing w:line="276" w:lineRule="auto" w:before="40" w:after="40"/>
            </w:pPr>
            <w:r>
              <w:rPr>
                <w:rFonts w:ascii="Liberation Sans Narrow" w:hAnsi="Liberation Sans Narrow"/>
                <w:sz w:val="18"/>
              </w:rPr>
              <w:t xml:space="preserve">caput — sentença única e recurso único (tese)</w:t>
            </w:r>
          </w:p>
        </w:tc>
        <w:tc>
          <w:tcPr>
            <w:tcW w:type="dxa" w:w="3044"/>
          </w:tcPr>
          <w:p>
            <w:pPr>
              <w:pStyle w:val="Compact"/>
              <w:spacing w:line="276" w:lineRule="auto" w:before="40" w:after="40"/>
            </w:pPr>
            <w:r>
              <w:rPr>
                <w:rFonts w:ascii="Liberation Sans Narrow" w:hAnsi="Liberation Sans Narrow"/>
                <w:sz w:val="18"/>
              </w:rPr>
              <w:t xml:space="preserve">STJ, REsp 2.241.950, Quarta Turma, relatora Min. Maria Isabel Gallotti, julgado em 25/05/2026</w:t>
            </w:r>
          </w:p>
        </w:tc>
        <w:tc>
          <w:tcPr>
            <w:tcW w:type="dxa" w:w="4615"/>
          </w:tcPr>
          <w:p>
            <w:pPr>
              <w:pStyle w:val="Compact"/>
              <w:spacing w:line="276" w:lineRule="auto" w:before="40" w:after="40"/>
            </w:pPr>
            <w:r>
              <w:rPr>
                <w:rFonts w:ascii="Liberation Sans Narrow" w:hAnsi="Liberation Sans Narrow"/>
                <w:sz w:val="18"/>
              </w:rPr>
              <w:t xml:space="preserve">Proferida sentença una para o julgamento simultâneo de ações conexas, a interposição de um único recurso de apelação, com o recolhimento de um único preparo, atende aos requisitos de admissibilidade recursal: o que se impugna é a decisão em sua unidade, e não cada um dos processos resolvidos, sob pena de ofensa à unirrecorribilidade e à economia processual.</w:t>
            </w:r>
          </w:p>
        </w:tc>
      </w:tr>
      <w:tr>
        <w:trPr>
          <w:cantSplit/>
        </w:trPr>
        <w:tc>
          <w:tcPr>
            <w:tcW w:type="dxa" w:w="1696"/>
          </w:tcPr>
          <w:p>
            <w:pPr>
              <w:pStyle w:val="Compact"/>
              <w:spacing w:line="276" w:lineRule="auto" w:before="40" w:after="40"/>
            </w:pPr>
            <w:r>
              <w:rPr>
                <w:rFonts w:ascii="Liberation Sans Narrow" w:hAnsi="Liberation Sans Narrow"/>
                <w:sz w:val="18"/>
              </w:rPr>
              <w:t xml:space="preserve">Caput — autonomia dos recursos na sentença única</w:t>
            </w:r>
          </w:p>
        </w:tc>
        <w:tc>
          <w:tcPr>
            <w:tcW w:type="dxa" w:w="3044"/>
          </w:tcPr>
          <w:p>
            <w:pPr>
              <w:pStyle w:val="Compact"/>
              <w:spacing w:line="276" w:lineRule="auto" w:before="40" w:after="40"/>
            </w:pPr>
            <w:r>
              <w:rPr>
                <w:rFonts w:ascii="Liberation Sans Narrow" w:hAnsi="Liberation Sans Narrow"/>
                <w:sz w:val="18"/>
              </w:rPr>
              <w:t xml:space="preserve">STJ, AgInt no REsp 1.725.179, Primeira Turma, relator Min. Sérgio Kukina, julgado em 12/12/2022, DJe de 15/12/2022</w:t>
            </w:r>
          </w:p>
        </w:tc>
        <w:tc>
          <w:tcPr>
            <w:tcW w:type="dxa" w:w="4615"/>
          </w:tcPr>
          <w:p>
            <w:pPr>
              <w:pStyle w:val="Compact"/>
              <w:spacing w:line="276" w:lineRule="auto" w:before="40" w:after="40"/>
            </w:pPr>
            <w:r>
              <w:rPr>
                <w:rFonts w:ascii="Liberation Sans Narrow" w:hAnsi="Liberation Sans Narrow"/>
                <w:sz w:val="18"/>
              </w:rPr>
              <w:t xml:space="preserve">O art. 685 não sustenta a tese de que, no julgamento simultâneo, o recurso interposto em um dos processos interrompe o prazo recursal dos demais: havendo sentença que julga conjuntamente ações conexas (a ordinária e a oposição), os recursos são analisados na relação processual em que interpostos e não produzem efeitos na outra causa, que preserva autonomia e independência.</w:t>
            </w:r>
          </w:p>
        </w:tc>
      </w:tr>
    </w:tbl>
    <w:p>
      <w:pPr>
        <w:pStyle w:val="BodyText"/>
        <w:spacing w:after="80"/>
        <w:jc w:val="both"/>
      </w:pPr>
      <w:r>
        <w:t xml:space="preserve">Parágrafo único. Se a oposição for proposta após o início da audiência de instrução, o juiz suspenderá o curso do processo ao fim da produção das provas, salvo se concluir que a unidade da instrução atende melhor ao princípio da duração razoável do processo.</w:t>
      </w:r>
    </w:p>
    <w:bookmarkEnd w:id="455"/>
    <w:bookmarkStart w:id="456" w:name="art.-686"/>
    <w:p>
      <w:pPr>
        <w:pStyle w:val="Heading6"/>
        <w:pBdr>
          <w:left w:val="single" w:sz="36" w:space="4" w:color="2E75B6"/>
        </w:pBdr>
        <w:shd w:val="clear" w:color="auto" w:fill="E3EEF9"/>
        <w:spacing w:before="200" w:after="80"/>
        <w:ind w:left="85"/>
      </w:pPr>
      <w:r>
        <w:rPr>
          <w:i w:val="0"/>
          <w:color w:val="1F3A5F"/>
          <w:sz w:val="23"/>
        </w:rPr>
        <w:t xml:space="preserve">Art. 686</w:t>
      </w:r>
    </w:p>
    <w:p>
      <w:pPr>
        <w:pStyle w:val="FirstParagraph"/>
        <w:spacing w:after="80"/>
        <w:jc w:val="both"/>
      </w:pPr>
      <w:r>
        <w:rPr>
          <w:b/>
          <w:bCs/>
        </w:rPr>
        <w:t xml:space="preserve">Art. 686.</w:t>
      </w:r>
      <w:r>
        <w:t xml:space="preserve"> </w:t>
      </w:r>
      <w:r>
        <w:t xml:space="preserve">Cabendo ao juiz decidir simultaneamente a ação originária e a oposição, desta conhecerá em primeiro lugar.</w:t>
      </w:r>
    </w:p>
    <w:bookmarkEnd w:id="456"/>
    <w:bookmarkEnd w:id="457"/>
    <w:bookmarkStart w:id="464" w:name="Xd4499b52cd484e4857365db73c4e0d9428d6858"/>
    <w:p>
      <w:pPr>
        <w:pStyle w:val="Heading4"/>
        <w:spacing w:before="160" w:after="40"/>
      </w:pPr>
      <w:r>
        <w:rPr>
          <w:smallCaps/>
          <w:color w:val="2E75B6"/>
        </w:rPr>
        <w:t xml:space="preserve">Capítulo IX: da habilitação (arts. 687 a 692)</w:t>
      </w:r>
    </w:p>
    <w:bookmarkStart w:id="458" w:name="art.-687"/>
    <w:p>
      <w:pPr>
        <w:pStyle w:val="Heading6"/>
        <w:pBdr>
          <w:left w:val="single" w:sz="36" w:space="4" w:color="2E75B6"/>
        </w:pBdr>
        <w:shd w:val="clear" w:color="auto" w:fill="E3EEF9"/>
        <w:spacing w:before="200" w:after="80"/>
        <w:ind w:left="85"/>
      </w:pPr>
      <w:r>
        <w:rPr>
          <w:i w:val="0"/>
          <w:color w:val="1F3A5F"/>
          <w:sz w:val="23"/>
        </w:rPr>
        <w:t xml:space="preserve">Art. 687</w:t>
      </w:r>
    </w:p>
    <w:p>
      <w:pPr>
        <w:pStyle w:val="FirstParagraph"/>
        <w:keepNext/>
        <w:spacing w:after="80"/>
        <w:jc w:val="both"/>
      </w:pPr>
      <w:r>
        <w:rPr>
          <w:b/>
          <w:bCs/>
        </w:rPr>
        <w:t xml:space="preserve">Art. 687.</w:t>
      </w:r>
      <w:r>
        <w:t xml:space="preserve"> </w:t>
      </w:r>
      <w:r>
        <w:t xml:space="preserve">A habilitação ocorre quando, por falecimento de qualquer das partes, os interessados houverem de suceder-lhe no processo.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83"/>
        <w:gridCol w:w="2746"/>
        <w:gridCol w:w="4325"/>
      </w:tblGrid>
      <w:tr>
        <w:trPr>
          <w:tblHeader w:val="on"/>
          <w:cantSplit/>
          <w:tblHeader/>
        </w:trPr>
        <w:tc>
          <w:tcPr>
            <w:tcW w:type="dxa" w:w="2283"/>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4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32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83"/>
          </w:tcPr>
          <w:p>
            <w:pPr>
              <w:pStyle w:val="Compact"/>
              <w:spacing w:line="276" w:lineRule="auto" w:before="40" w:after="40"/>
            </w:pPr>
            <w:r>
              <w:rPr>
                <w:rFonts w:ascii="Liberation Sans Narrow" w:hAnsi="Liberation Sans Narrow"/>
                <w:sz w:val="18"/>
              </w:rPr>
              <w:t xml:space="preserve">Caput — cabimento da habilitação por falecimento (aplicação narrada)</w:t>
            </w:r>
          </w:p>
        </w:tc>
        <w:tc>
          <w:tcPr>
            <w:tcW w:type="dxa" w:w="2746"/>
          </w:tcPr>
          <w:p>
            <w:pPr>
              <w:pStyle w:val="Compact"/>
              <w:spacing w:line="276" w:lineRule="auto" w:before="40" w:after="40"/>
            </w:pPr>
            <w:r>
              <w:rPr>
                <w:rFonts w:ascii="Liberation Sans Narrow" w:hAnsi="Liberation Sans Narrow"/>
                <w:sz w:val="18"/>
              </w:rPr>
              <w:t xml:space="preserve">STJ, AgInt no REsp 2.191.569, Segunda Turma, relator Min. Afrânio Vilela, julgado em 19/08/2026</w:t>
            </w:r>
          </w:p>
        </w:tc>
        <w:tc>
          <w:tcPr>
            <w:tcW w:type="dxa" w:w="4325"/>
          </w:tcPr>
          <w:p>
            <w:pPr>
              <w:pStyle w:val="Compact"/>
              <w:spacing w:line="276" w:lineRule="auto" w:before="40" w:after="40"/>
            </w:pPr>
            <w:r>
              <w:rPr>
                <w:rFonts w:ascii="Liberation Sans Narrow" w:hAnsi="Liberation Sans Narrow"/>
                <w:sz w:val="18"/>
              </w:rPr>
              <w:t xml:space="preserve">Falecida qualquer das partes, o processo é suspenso e deve proceder-se à habilitação dos sucessores nos próprios autos (arts. 313, I, e 689 do CPC). Trecho: “De fato, nos termos dos artigos 313, I, e 689 do CPC/2015 havendo o falecimento de qualquer, das partes, o processo será suspenso, devendo ser procedida à habilitação dos sucessores do falecido.”</w:t>
            </w:r>
          </w:p>
        </w:tc>
      </w:tr>
      <w:tr>
        <w:trPr>
          <w:cantSplit/>
        </w:trPr>
        <w:tc>
          <w:tcPr>
            <w:tcW w:type="dxa" w:w="2283"/>
          </w:tcPr>
          <w:p>
            <w:pPr>
              <w:pStyle w:val="Compact"/>
              <w:spacing w:line="276" w:lineRule="auto" w:before="40" w:after="40"/>
            </w:pPr>
            <w:r>
              <w:rPr>
                <w:rFonts w:ascii="Liberation Sans Narrow" w:hAnsi="Liberation Sans Narrow"/>
                <w:sz w:val="18"/>
              </w:rPr>
              <w:t xml:space="preserve">caput — ônus de promover a habilitação (orientação de aplicação) (aplicação narrada)</w:t>
            </w:r>
          </w:p>
        </w:tc>
        <w:tc>
          <w:tcPr>
            <w:tcW w:type="dxa" w:w="2746"/>
          </w:tcPr>
          <w:p>
            <w:pPr>
              <w:pStyle w:val="Compact"/>
              <w:spacing w:line="276" w:lineRule="auto" w:before="40" w:after="40"/>
            </w:pPr>
            <w:r>
              <w:rPr>
                <w:rFonts w:ascii="Liberation Sans Narrow" w:hAnsi="Liberation Sans Narrow"/>
                <w:sz w:val="18"/>
              </w:rPr>
              <w:t xml:space="preserve">STJ, AgInt no REsp 1.720.466, Quarta Turma, relatora Min. Maria Isabel Gallotti, julgado em 15/06/2026</w:t>
            </w:r>
          </w:p>
        </w:tc>
        <w:tc>
          <w:tcPr>
            <w:tcW w:type="dxa" w:w="4325"/>
          </w:tcPr>
          <w:p>
            <w:pPr>
              <w:pStyle w:val="Compact"/>
              <w:spacing w:line="276" w:lineRule="auto" w:before="40" w:after="40"/>
            </w:pPr>
            <w:r>
              <w:rPr>
                <w:rFonts w:ascii="Liberation Sans Narrow" w:hAnsi="Liberation Sans Narrow"/>
                <w:sz w:val="18"/>
              </w:rPr>
              <w:t xml:space="preserve">Determinada a intimação pessoal dos interessados para promover a habilitação e a sucessão processual do recorrente falecido, com advertência de que o não atendimento importaria o não conhecimento dos recursos, e decorrido o prazo sem manifestação, impõe-se o não conhecimento (art. 76, § 2º, I); são válidas as intimações dirigidas aos endereços constantes dos autos, ainda que o aviso de recebimento retorne com a anotação</w:t>
            </w:r>
            <w:r>
              <w:rPr>
                <w:rFonts w:ascii="Liberation Sans Narrow" w:hAnsi="Liberation Sans Narrow"/>
                <w:sz w:val="18"/>
              </w:rPr>
              <w:t xml:space="preserve"> </w:t>
            </w:r>
            <w:r>
              <w:rPr>
                <w:rFonts w:ascii="Liberation Sans Narrow" w:hAnsi="Liberation Sans Narrow"/>
                <w:sz w:val="18"/>
              </w:rPr>
              <w:t xml:space="preserve">“mudou-se”</w:t>
            </w:r>
            <w:r>
              <w:rPr>
                <w:rFonts w:ascii="Liberation Sans Narrow" w:hAnsi="Liberation Sans Narrow"/>
                <w:sz w:val="18"/>
              </w:rPr>
              <w:t xml:space="preserve">, se não houve comunicação de alteração de endereço (art. 274, parágrafo único). Trecho: “Determinada a intimação pessoal dos interessados para promoverem a habilitação e a sucessão processual do recorrente falecido, com expressa advertência de que o não atendimento da determinação importaria no não conhecimento dos recursos interpostos, decorreu o prazo assinalado sem manifestação.”</w:t>
            </w:r>
          </w:p>
        </w:tc>
      </w:tr>
    </w:tbl>
    <w:bookmarkEnd w:id="458"/>
    <w:bookmarkStart w:id="459" w:name="art.-688"/>
    <w:p>
      <w:pPr>
        <w:pStyle w:val="Heading6"/>
        <w:pBdr>
          <w:left w:val="single" w:sz="36" w:space="4" w:color="2E75B6"/>
        </w:pBdr>
        <w:shd w:val="clear" w:color="auto" w:fill="E3EEF9"/>
        <w:spacing w:before="200" w:after="80"/>
        <w:ind w:left="85"/>
      </w:pPr>
      <w:r>
        <w:rPr>
          <w:i w:val="0"/>
          <w:color w:val="1F3A5F"/>
          <w:sz w:val="23"/>
        </w:rPr>
        <w:t xml:space="preserve">Art. 688</w:t>
      </w:r>
    </w:p>
    <w:p>
      <w:pPr>
        <w:pStyle w:val="FirstParagraph"/>
        <w:spacing w:after="80"/>
        <w:jc w:val="both"/>
      </w:pPr>
      <w:r>
        <w:rPr>
          <w:b/>
          <w:bCs/>
        </w:rPr>
        <w:t xml:space="preserve">Art. 688.</w:t>
      </w:r>
      <w:r>
        <w:t xml:space="preserve"> </w:t>
      </w:r>
      <w:r>
        <w:t xml:space="preserve">A habilitação pode ser requerida:</w:t>
      </w:r>
    </w:p>
    <w:p>
      <w:pPr>
        <w:pStyle w:val="BodyText"/>
        <w:spacing w:after="80"/>
        <w:jc w:val="both"/>
      </w:pPr>
      <w:r>
        <w:t xml:space="preserve">I - pela parte, em relação aos sucessores do falecido;</w:t>
      </w:r>
    </w:p>
    <w:p>
      <w:pPr>
        <w:pStyle w:val="BodyText"/>
        <w:spacing w:after="80"/>
        <w:jc w:val="both"/>
      </w:pPr>
      <w:r>
        <w:t xml:space="preserve">II - pelos sucessores do falecido, em relação à parte.</w:t>
      </w:r>
    </w:p>
    <w:bookmarkEnd w:id="459"/>
    <w:bookmarkStart w:id="460" w:name="art.-689"/>
    <w:p>
      <w:pPr>
        <w:pStyle w:val="Heading6"/>
        <w:pBdr>
          <w:left w:val="single" w:sz="36" w:space="4" w:color="2E75B6"/>
        </w:pBdr>
        <w:shd w:val="clear" w:color="auto" w:fill="E3EEF9"/>
        <w:spacing w:before="200" w:after="80"/>
        <w:ind w:left="85"/>
      </w:pPr>
      <w:r>
        <w:rPr>
          <w:i w:val="0"/>
          <w:color w:val="1F3A5F"/>
          <w:sz w:val="23"/>
        </w:rPr>
        <w:t xml:space="preserve">Art. 689</w:t>
      </w:r>
    </w:p>
    <w:p>
      <w:pPr>
        <w:pStyle w:val="FirstParagraph"/>
        <w:keepNext/>
        <w:spacing w:after="80"/>
        <w:jc w:val="both"/>
      </w:pPr>
      <w:r>
        <w:rPr>
          <w:b/>
          <w:bCs/>
        </w:rPr>
        <w:t xml:space="preserve">Art. 689.</w:t>
      </w:r>
      <w:r>
        <w:t xml:space="preserve"> </w:t>
      </w:r>
      <w:r>
        <w:t xml:space="preserve">Proceder-se-á à habilitação nos autos do processo principal, na instância em que estiver, suspendendo-se, a partir de então, o processo.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09"/>
        <w:gridCol w:w="3263"/>
        <w:gridCol w:w="4382"/>
      </w:tblGrid>
      <w:tr>
        <w:trPr>
          <w:tblHeader w:val="on"/>
          <w:cantSplit/>
          <w:tblHeader/>
        </w:trPr>
        <w:tc>
          <w:tcPr>
            <w:tcW w:type="dxa" w:w="171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26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38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710"/>
          </w:tcPr>
          <w:p>
            <w:pPr>
              <w:pStyle w:val="Compact"/>
              <w:spacing w:line="276" w:lineRule="auto" w:before="40" w:after="40"/>
            </w:pPr>
            <w:r>
              <w:rPr>
                <w:rFonts w:ascii="Liberation Sans Narrow" w:hAnsi="Liberation Sans Narrow"/>
                <w:sz w:val="18"/>
              </w:rPr>
              <w:t xml:space="preserve">caput — inércia na habilitação (aplicação narrada)</w:t>
            </w:r>
          </w:p>
        </w:tc>
        <w:tc>
          <w:tcPr>
            <w:tcW w:type="dxa" w:w="3263"/>
          </w:tcPr>
          <w:p>
            <w:pPr>
              <w:pStyle w:val="Compact"/>
              <w:spacing w:line="276" w:lineRule="auto" w:before="40" w:after="40"/>
            </w:pPr>
            <w:r>
              <w:rPr>
                <w:rFonts w:ascii="Liberation Sans Narrow" w:hAnsi="Liberation Sans Narrow"/>
                <w:sz w:val="18"/>
              </w:rPr>
              <w:t xml:space="preserve">STJ, AgInt na PET na ExeMS 20.231, Primeira Seção, relatora Min. Regina Helena Costa, julgado em 12/11/2025, DJEN de 24/11/2025</w:t>
            </w:r>
          </w:p>
        </w:tc>
        <w:tc>
          <w:tcPr>
            <w:tcW w:type="dxa" w:w="4382"/>
          </w:tcPr>
          <w:p>
            <w:pPr>
              <w:pStyle w:val="Compact"/>
              <w:spacing w:line="276" w:lineRule="auto" w:before="40" w:after="40"/>
            </w:pPr>
            <w:r>
              <w:rPr>
                <w:rFonts w:ascii="Liberation Sans Narrow" w:hAnsi="Liberation Sans Narrow"/>
                <w:sz w:val="18"/>
              </w:rPr>
              <w:t xml:space="preserve">Noticiado o falecimento do substituído, a parte foi intimada a promover a habilitação dos sucessores e, mesmo após reiteradas dilações de prazo, limitou-se a requerer nova dilação; a desídia configura falta de pressuposto de constituição e desenvolvimento válido do processo e autoriza a extinção sem resolução do mérito (art. 485, IV). Trecho: “É patente a desídia da entidade sindical pois, embora intimada há mais 3 (três) anos, não cuidou de efetuar a sucessão processual à vista da notícia de falecimento do substituído.”</w:t>
            </w:r>
          </w:p>
        </w:tc>
      </w:tr>
      <w:tr>
        <w:trPr>
          <w:cantSplit/>
        </w:trPr>
        <w:tc>
          <w:tcPr>
            <w:tcW w:type="dxa" w:w="1710"/>
          </w:tcPr>
          <w:p>
            <w:pPr>
              <w:pStyle w:val="Compact"/>
              <w:spacing w:line="276" w:lineRule="auto" w:before="40" w:after="40"/>
            </w:pPr>
            <w:r>
              <w:rPr>
                <w:rFonts w:ascii="Liberation Sans Narrow" w:hAnsi="Liberation Sans Narrow"/>
                <w:sz w:val="18"/>
              </w:rPr>
              <w:t xml:space="preserve">Caput — orientação de aplicação (aplicação narrada)</w:t>
            </w:r>
          </w:p>
        </w:tc>
        <w:tc>
          <w:tcPr>
            <w:tcW w:type="dxa" w:w="3263"/>
          </w:tcPr>
          <w:p>
            <w:pPr>
              <w:pStyle w:val="Compact"/>
              <w:spacing w:line="276" w:lineRule="auto" w:before="40" w:after="40"/>
            </w:pPr>
            <w:r>
              <w:rPr>
                <w:rFonts w:ascii="Liberation Sans Narrow" w:hAnsi="Liberation Sans Narrow"/>
                <w:sz w:val="18"/>
              </w:rPr>
              <w:t xml:space="preserve">STJ, AgInt no REsp 2.191.569, Segunda Turma, relator Min. Afrânio Vilela, julgado em 19/08/2026, DJEN de 24/08/2026</w:t>
            </w:r>
          </w:p>
        </w:tc>
        <w:tc>
          <w:tcPr>
            <w:tcW w:type="dxa" w:w="4382"/>
          </w:tcPr>
          <w:p>
            <w:pPr>
              <w:pStyle w:val="Compact"/>
              <w:spacing w:line="276" w:lineRule="auto" w:before="40" w:after="40"/>
            </w:pPr>
            <w:r>
              <w:rPr>
                <w:rFonts w:ascii="Liberation Sans Narrow" w:hAnsi="Liberation Sans Narrow"/>
                <w:sz w:val="18"/>
              </w:rPr>
              <w:t xml:space="preserve">Falecida qualquer das partes, o processo é suspenso (art. 313, I, do CPC) e deve ser procedida a habilitação dos sucessores. Trecho: “De fato, nos termos dos artigos 313, I, e 689 do CPC/2015 havendo o falecimento de qualquer, das partes, o processo será suspenso, devendo ser procedida à habilitação dos sucessores do falecido.”</w:t>
            </w:r>
          </w:p>
        </w:tc>
      </w:tr>
    </w:tbl>
    <w:bookmarkEnd w:id="460"/>
    <w:bookmarkStart w:id="461" w:name="art.-690"/>
    <w:p>
      <w:pPr>
        <w:pStyle w:val="Heading6"/>
        <w:pBdr>
          <w:left w:val="single" w:sz="36" w:space="4" w:color="2E75B6"/>
        </w:pBdr>
        <w:shd w:val="clear" w:color="auto" w:fill="E3EEF9"/>
        <w:spacing w:before="200" w:after="80"/>
        <w:ind w:left="85"/>
      </w:pPr>
      <w:r>
        <w:rPr>
          <w:i w:val="0"/>
          <w:color w:val="1F3A5F"/>
          <w:sz w:val="23"/>
        </w:rPr>
        <w:t xml:space="preserve">Art. 690</w:t>
      </w:r>
    </w:p>
    <w:p>
      <w:pPr>
        <w:pStyle w:val="FirstParagraph"/>
        <w:spacing w:after="80"/>
        <w:jc w:val="both"/>
      </w:pPr>
      <w:r>
        <w:rPr>
          <w:b/>
          <w:bCs/>
        </w:rPr>
        <w:t xml:space="preserve">Art. 690.</w:t>
      </w:r>
      <w:r>
        <w:t xml:space="preserve"> </w:t>
      </w:r>
      <w:r>
        <w:t xml:space="preserve">Recebida a petição, o juiz ordenará a citação dos requeridos para se pronunciarem no prazo de 5 (cinco) dias.</w:t>
      </w:r>
    </w:p>
    <w:p>
      <w:pPr>
        <w:pStyle w:val="BodyText"/>
        <w:spacing w:after="80"/>
        <w:jc w:val="both"/>
      </w:pPr>
      <w:r>
        <w:t xml:space="preserve">Parágrafo único. A citação será pessoal, se a parte não tiver procurador constituído nos autos.</w:t>
      </w:r>
    </w:p>
    <w:bookmarkEnd w:id="461"/>
    <w:bookmarkStart w:id="462" w:name="art.-691"/>
    <w:p>
      <w:pPr>
        <w:pStyle w:val="Heading6"/>
        <w:pBdr>
          <w:left w:val="single" w:sz="36" w:space="4" w:color="2E75B6"/>
        </w:pBdr>
        <w:shd w:val="clear" w:color="auto" w:fill="E3EEF9"/>
        <w:spacing w:before="200" w:after="80"/>
        <w:ind w:left="85"/>
      </w:pPr>
      <w:r>
        <w:rPr>
          <w:i w:val="0"/>
          <w:color w:val="1F3A5F"/>
          <w:sz w:val="23"/>
        </w:rPr>
        <w:t xml:space="preserve">Art. 691</w:t>
      </w:r>
    </w:p>
    <w:p>
      <w:pPr>
        <w:pStyle w:val="FirstParagraph"/>
        <w:spacing w:after="80"/>
        <w:jc w:val="both"/>
      </w:pPr>
      <w:r>
        <w:rPr>
          <w:b/>
          <w:bCs/>
        </w:rPr>
        <w:t xml:space="preserve">Art. 691.</w:t>
      </w:r>
      <w:r>
        <w:t xml:space="preserve"> </w:t>
      </w:r>
      <w:r>
        <w:t xml:space="preserve">O juiz decidirá o pedido de habilitação imediatamente, salvo se este for impugnado e houver necessidade de dilação probatória diversa da documental, caso em que determinará que o pedido seja autuado em apartado e disporá sobre a instrução.</w:t>
      </w:r>
    </w:p>
    <w:bookmarkEnd w:id="462"/>
    <w:bookmarkStart w:id="463" w:name="art.-692"/>
    <w:p>
      <w:pPr>
        <w:pStyle w:val="Heading6"/>
        <w:pBdr>
          <w:left w:val="single" w:sz="36" w:space="4" w:color="2E75B6"/>
        </w:pBdr>
        <w:shd w:val="clear" w:color="auto" w:fill="E3EEF9"/>
        <w:spacing w:before="200" w:after="80"/>
        <w:ind w:left="85"/>
      </w:pPr>
      <w:r>
        <w:rPr>
          <w:i w:val="0"/>
          <w:color w:val="1F3A5F"/>
          <w:sz w:val="23"/>
        </w:rPr>
        <w:t xml:space="preserve">Art. 692</w:t>
      </w:r>
    </w:p>
    <w:p>
      <w:pPr>
        <w:pStyle w:val="FirstParagraph"/>
        <w:keepNext/>
        <w:spacing w:after="80"/>
        <w:jc w:val="both"/>
      </w:pPr>
      <w:r>
        <w:rPr>
          <w:b/>
          <w:bCs/>
        </w:rPr>
        <w:t xml:space="preserve">Art. 692.</w:t>
      </w:r>
      <w:r>
        <w:t xml:space="preserve"> </w:t>
      </w:r>
      <w:r>
        <w:t xml:space="preserve">Transitada em julgado a sentença de habilitação, o processo principal retomará o seu curso, e cópia da sentença será juntada aos autos respectivos.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51"/>
        <w:gridCol w:w="2909"/>
        <w:gridCol w:w="4694"/>
      </w:tblGrid>
      <w:tr>
        <w:trPr>
          <w:tblHeader w:val="on"/>
          <w:cantSplit/>
          <w:tblHeader/>
        </w:trPr>
        <w:tc>
          <w:tcPr>
            <w:tcW w:type="dxa" w:w="175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90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69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751"/>
          </w:tcPr>
          <w:p>
            <w:pPr>
              <w:pStyle w:val="Compact"/>
              <w:spacing w:line="276" w:lineRule="auto" w:before="40" w:after="40"/>
            </w:pPr>
            <w:r>
              <w:rPr>
                <w:rFonts w:ascii="Liberation Sans Narrow" w:hAnsi="Liberation Sans Narrow"/>
                <w:sz w:val="18"/>
              </w:rPr>
              <w:t xml:space="preserve">caput — retomada pelo título original (tese)</w:t>
            </w:r>
          </w:p>
        </w:tc>
        <w:tc>
          <w:tcPr>
            <w:tcW w:type="dxa" w:w="2909"/>
          </w:tcPr>
          <w:p>
            <w:pPr>
              <w:pStyle w:val="Compact"/>
              <w:spacing w:line="276" w:lineRule="auto" w:before="40" w:after="40"/>
            </w:pPr>
            <w:r>
              <w:rPr>
                <w:rFonts w:ascii="Liberation Sans Narrow" w:hAnsi="Liberation Sans Narrow"/>
                <w:sz w:val="18"/>
              </w:rPr>
              <w:t xml:space="preserve">STJ, REsp 2.238.204, Quarta Turma, relatora Min. Maria Isabel Gallotti, julgado em 11/05/2026</w:t>
            </w:r>
          </w:p>
        </w:tc>
        <w:tc>
          <w:tcPr>
            <w:tcW w:type="dxa" w:w="4694"/>
          </w:tcPr>
          <w:p>
            <w:pPr>
              <w:pStyle w:val="Compact"/>
              <w:spacing w:line="276" w:lineRule="auto" w:before="40" w:after="40"/>
            </w:pPr>
            <w:r>
              <w:rPr>
                <w:rFonts w:ascii="Liberation Sans Narrow" w:hAnsi="Liberation Sans Narrow"/>
                <w:sz w:val="18"/>
              </w:rPr>
              <w:t xml:space="preserve">A suspensão do cumprimento de sentença em razão de acordo (art. 922), descumprido posteriormente, autoriza a retomada do processo com base no título executivo original, ausente extinção da execução; a transação firmada por apenas um dos devedores não implica novação da obrigação nem extingue, por si, a responsabilidade dos demais.</w:t>
            </w:r>
          </w:p>
        </w:tc>
      </w:tr>
      <w:tr>
        <w:trPr>
          <w:cantSplit/>
        </w:trPr>
        <w:tc>
          <w:tcPr>
            <w:tcW w:type="dxa" w:w="1751"/>
          </w:tcPr>
          <w:p>
            <w:pPr>
              <w:pStyle w:val="Compact"/>
              <w:spacing w:line="276" w:lineRule="auto" w:before="40" w:after="40"/>
            </w:pPr>
            <w:r>
              <w:rPr>
                <w:rFonts w:ascii="Liberation Sans Narrow" w:hAnsi="Liberation Sans Narrow"/>
                <w:sz w:val="18"/>
              </w:rPr>
              <w:t xml:space="preserve">Caput — orientação de aplicação (aplicação narrada)</w:t>
            </w:r>
          </w:p>
        </w:tc>
        <w:tc>
          <w:tcPr>
            <w:tcW w:type="dxa" w:w="2909"/>
          </w:tcPr>
          <w:p>
            <w:pPr>
              <w:pStyle w:val="Compact"/>
              <w:spacing w:line="276" w:lineRule="auto" w:before="40" w:after="40"/>
            </w:pPr>
            <w:r>
              <w:rPr>
                <w:rFonts w:ascii="Liberation Sans Narrow" w:hAnsi="Liberation Sans Narrow"/>
                <w:sz w:val="18"/>
              </w:rPr>
              <w:t xml:space="preserve">STJ, AgInt no REsp 2.141.451, Terceira Turma, relator Min. Humberto Martins, julgado em 02/03/2026</w:t>
            </w:r>
          </w:p>
        </w:tc>
        <w:tc>
          <w:tcPr>
            <w:tcW w:type="dxa" w:w="4694"/>
          </w:tcPr>
          <w:p>
            <w:pPr>
              <w:pStyle w:val="Compact"/>
              <w:spacing w:line="276" w:lineRule="auto" w:before="40" w:after="40"/>
            </w:pPr>
            <w:r>
              <w:rPr>
                <w:rFonts w:ascii="Liberation Sans Narrow" w:hAnsi="Liberation Sans Narrow"/>
                <w:sz w:val="18"/>
              </w:rPr>
              <w:t xml:space="preserve">A decisão que determina a retomada do processo possui natureza interlocutória e não pode ser impugnada por apelação, sendo cabível o agravo de instrumento. Trecho: “A decisão que determina a retomada do processo possui natureza interlocutória e não pode ser impugnada por apelação, sendo cabível o agravo de instrumento.”</w:t>
            </w:r>
          </w:p>
        </w:tc>
      </w:tr>
    </w:tbl>
    <w:bookmarkEnd w:id="463"/>
    <w:bookmarkEnd w:id="464"/>
    <w:bookmarkStart w:id="472" w:name="X3a1166a4448e948299344cef0211bd89376ea3f"/>
    <w:p>
      <w:pPr>
        <w:pStyle w:val="Heading4"/>
        <w:spacing w:before="160" w:after="40"/>
      </w:pPr>
      <w:r>
        <w:rPr>
          <w:smallCaps/>
          <w:color w:val="2E75B6"/>
        </w:rPr>
        <w:t xml:space="preserve">Capítulo X: das ações de família (arts. 693 a 699)</w:t>
      </w:r>
    </w:p>
    <w:bookmarkStart w:id="465" w:name="art.-693"/>
    <w:p>
      <w:pPr>
        <w:pStyle w:val="Heading6"/>
        <w:pBdr>
          <w:left w:val="single" w:sz="36" w:space="4" w:color="2E75B6"/>
        </w:pBdr>
        <w:shd w:val="clear" w:color="auto" w:fill="E3EEF9"/>
        <w:spacing w:before="200" w:after="80"/>
        <w:ind w:left="85"/>
      </w:pPr>
      <w:r>
        <w:rPr>
          <w:i w:val="0"/>
          <w:color w:val="1F3A5F"/>
          <w:sz w:val="23"/>
        </w:rPr>
        <w:t xml:space="preserve">Art. 693</w:t>
      </w:r>
    </w:p>
    <w:p>
      <w:pPr>
        <w:pStyle w:val="FirstParagraph"/>
        <w:spacing w:after="80"/>
        <w:jc w:val="both"/>
      </w:pPr>
      <w:r>
        <w:rPr>
          <w:b/>
          <w:bCs/>
        </w:rPr>
        <w:t xml:space="preserve">Art. 693.</w:t>
      </w:r>
      <w:r>
        <w:t xml:space="preserve"> </w:t>
      </w:r>
      <w:r>
        <w:t xml:space="preserve">As normas deste Capítulo aplicam-se aos processos contenciosos de divórcio, separação, reconhecimento e extinção de união estável, guarda, visitação e filiação.</w:t>
      </w:r>
    </w:p>
    <w:p>
      <w:pPr>
        <w:pStyle w:val="BodyText"/>
        <w:spacing w:after="80"/>
        <w:jc w:val="both"/>
      </w:pPr>
      <w:r>
        <w:t xml:space="preserve">Parágrafo único. A ação de alimentos e a que versar sobre interesse de criança ou de adolescente observarão o procedimento previsto em legislação específica, aplicando-se, no que couber, as disposições deste Capítulo.</w:t>
      </w:r>
    </w:p>
    <w:bookmarkEnd w:id="465"/>
    <w:bookmarkStart w:id="466" w:name="art.-694"/>
    <w:p>
      <w:pPr>
        <w:pStyle w:val="Heading6"/>
        <w:pBdr>
          <w:left w:val="single" w:sz="36" w:space="4" w:color="2E75B6"/>
        </w:pBdr>
        <w:shd w:val="clear" w:color="auto" w:fill="E3EEF9"/>
        <w:spacing w:before="200" w:after="80"/>
        <w:ind w:left="85"/>
      </w:pPr>
      <w:r>
        <w:rPr>
          <w:i w:val="0"/>
          <w:color w:val="1F3A5F"/>
          <w:sz w:val="23"/>
        </w:rPr>
        <w:t xml:space="preserve">Art. 694</w:t>
      </w:r>
    </w:p>
    <w:p>
      <w:pPr>
        <w:pStyle w:val="FirstParagraph"/>
        <w:spacing w:after="80"/>
        <w:jc w:val="both"/>
      </w:pPr>
      <w:r>
        <w:rPr>
          <w:b/>
          <w:bCs/>
        </w:rPr>
        <w:t xml:space="preserve">Art. 694.</w:t>
      </w:r>
      <w:r>
        <w:t xml:space="preserve"> </w:t>
      </w:r>
      <w:r>
        <w:t xml:space="preserve">Nas ações de família, todos os esforços serão empreendidos para a solução consensual da controvérsia, devendo o juiz dispor do auxílio de profissionais de outras áreas de conhecimento para a mediação e conciliação.</w:t>
      </w:r>
    </w:p>
    <w:p>
      <w:pPr>
        <w:pStyle w:val="BodyText"/>
        <w:spacing w:after="80"/>
        <w:jc w:val="both"/>
      </w:pPr>
      <w:r>
        <w:t xml:space="preserve">Parágrafo único. A requerimento das partes, o juiz pode determinar a suspensão do processo enquanto os litigantes se submetem a mediação extrajudicial ou a atendimento multidisciplinar.</w:t>
      </w:r>
    </w:p>
    <w:bookmarkEnd w:id="466"/>
    <w:bookmarkStart w:id="467" w:name="art.-695"/>
    <w:p>
      <w:pPr>
        <w:pStyle w:val="Heading6"/>
        <w:pBdr>
          <w:left w:val="single" w:sz="36" w:space="4" w:color="2E75B6"/>
        </w:pBdr>
        <w:shd w:val="clear" w:color="auto" w:fill="E3EEF9"/>
        <w:spacing w:before="200" w:after="80"/>
        <w:ind w:left="85"/>
      </w:pPr>
      <w:r>
        <w:rPr>
          <w:i w:val="0"/>
          <w:color w:val="1F3A5F"/>
          <w:sz w:val="23"/>
        </w:rPr>
        <w:t xml:space="preserve">Art. 695</w:t>
      </w:r>
    </w:p>
    <w:p>
      <w:pPr>
        <w:pStyle w:val="FirstParagraph"/>
        <w:spacing w:after="80"/>
        <w:jc w:val="both"/>
      </w:pPr>
      <w:r>
        <w:rPr>
          <w:b/>
          <w:bCs/>
        </w:rPr>
        <w:t xml:space="preserve">Art. 695.</w:t>
      </w:r>
      <w:r>
        <w:t xml:space="preserve"> </w:t>
      </w:r>
      <w:r>
        <w:t xml:space="preserve">Recebida a petição inicial e, se for o caso, tomadas as providências referentes à tutela provisória, o juiz ordenará a citação do réu para comparecer à audiência de mediação e conciliação, observado o disposto no art. 694.</w:t>
      </w:r>
    </w:p>
    <w:p>
      <w:pPr>
        <w:pStyle w:val="BodyText"/>
        <w:spacing w:after="80"/>
        <w:jc w:val="both"/>
      </w:pPr>
      <w:r>
        <w:t xml:space="preserve">§ 1º O mandado de citação conterá apenas os dados necessários à audiência e deverá estar desacompanhado de cópia da petição inicial, assegurado ao réu o direito de examinar seu conteúdo a qualquer tempo.</w:t>
      </w:r>
    </w:p>
    <w:p>
      <w:pPr>
        <w:pStyle w:val="BodyText"/>
        <w:spacing w:after="80"/>
        <w:jc w:val="both"/>
      </w:pPr>
      <w:r>
        <w:t xml:space="preserve">§ 2º A citação ocorrerá com antecedência mínima de 15 (quinze) dias da data designada para a audiência.</w:t>
      </w:r>
    </w:p>
    <w:p>
      <w:pPr>
        <w:pStyle w:val="BodyText"/>
        <w:spacing w:after="80"/>
        <w:jc w:val="both"/>
      </w:pPr>
      <w:r>
        <w:t xml:space="preserve">§ 3º A citação será feita na pessoa do réu.</w:t>
      </w:r>
    </w:p>
    <w:p>
      <w:pPr>
        <w:pStyle w:val="BodyText"/>
        <w:spacing w:after="80"/>
        <w:jc w:val="both"/>
      </w:pPr>
      <w:r>
        <w:t xml:space="preserve">§ 4º Na audiência, as partes deverão estar acompanhadas de seus advogados ou de defensores públicos.</w:t>
      </w:r>
    </w:p>
    <w:bookmarkEnd w:id="467"/>
    <w:bookmarkStart w:id="468" w:name="art.-696"/>
    <w:p>
      <w:pPr>
        <w:pStyle w:val="Heading6"/>
        <w:pBdr>
          <w:left w:val="single" w:sz="36" w:space="4" w:color="2E75B6"/>
        </w:pBdr>
        <w:shd w:val="clear" w:color="auto" w:fill="E3EEF9"/>
        <w:spacing w:before="200" w:after="80"/>
        <w:ind w:left="85"/>
      </w:pPr>
      <w:r>
        <w:rPr>
          <w:i w:val="0"/>
          <w:color w:val="1F3A5F"/>
          <w:sz w:val="23"/>
        </w:rPr>
        <w:t xml:space="preserve">Art. 696</w:t>
      </w:r>
    </w:p>
    <w:p>
      <w:pPr>
        <w:pStyle w:val="FirstParagraph"/>
        <w:spacing w:after="80"/>
        <w:jc w:val="both"/>
      </w:pPr>
      <w:r>
        <w:rPr>
          <w:b/>
          <w:bCs/>
        </w:rPr>
        <w:t xml:space="preserve">Art. 696.</w:t>
      </w:r>
      <w:r>
        <w:t xml:space="preserve"> </w:t>
      </w:r>
      <w:r>
        <w:t xml:space="preserve">A audiência de mediação e conciliação poderá dividir-se em tantas sessões quantas sejam necessárias para viabilizar a solução consensual, sem prejuízo de providências jurisdicionais para evitar o perecimento do direito.</w:t>
      </w:r>
    </w:p>
    <w:bookmarkEnd w:id="468"/>
    <w:bookmarkStart w:id="469" w:name="art.-697"/>
    <w:p>
      <w:pPr>
        <w:pStyle w:val="Heading6"/>
        <w:pBdr>
          <w:left w:val="single" w:sz="36" w:space="4" w:color="2E75B6"/>
        </w:pBdr>
        <w:shd w:val="clear" w:color="auto" w:fill="E3EEF9"/>
        <w:spacing w:before="200" w:after="80"/>
        <w:ind w:left="85"/>
      </w:pPr>
      <w:r>
        <w:rPr>
          <w:i w:val="0"/>
          <w:color w:val="1F3A5F"/>
          <w:sz w:val="23"/>
        </w:rPr>
        <w:t xml:space="preserve">Art. 697</w:t>
      </w:r>
    </w:p>
    <w:p>
      <w:pPr>
        <w:pStyle w:val="FirstParagraph"/>
        <w:spacing w:after="80"/>
        <w:jc w:val="both"/>
      </w:pPr>
      <w:r>
        <w:rPr>
          <w:b/>
          <w:bCs/>
        </w:rPr>
        <w:t xml:space="preserve">Art. 697.</w:t>
      </w:r>
      <w:r>
        <w:t xml:space="preserve"> </w:t>
      </w:r>
      <w:r>
        <w:t xml:space="preserve">Não realizado o acordo, passarão a incidir, a partir de então, as normas do procedimento comum, observado o art. 335.</w:t>
      </w:r>
    </w:p>
    <w:bookmarkEnd w:id="469"/>
    <w:bookmarkStart w:id="470" w:name="art.-698"/>
    <w:p>
      <w:pPr>
        <w:pStyle w:val="Heading6"/>
        <w:pBdr>
          <w:left w:val="single" w:sz="36" w:space="4" w:color="2E75B6"/>
        </w:pBdr>
        <w:shd w:val="clear" w:color="auto" w:fill="E3EEF9"/>
        <w:spacing w:before="200" w:after="80"/>
        <w:ind w:left="85"/>
      </w:pPr>
      <w:r>
        <w:rPr>
          <w:i w:val="0"/>
          <w:color w:val="1F3A5F"/>
          <w:sz w:val="23"/>
        </w:rPr>
        <w:t xml:space="preserve">Art. 698</w:t>
      </w:r>
    </w:p>
    <w:p>
      <w:pPr>
        <w:pStyle w:val="FirstParagraph"/>
        <w:spacing w:after="80"/>
        <w:jc w:val="both"/>
      </w:pPr>
      <w:r>
        <w:rPr>
          <w:b/>
          <w:bCs/>
        </w:rPr>
        <w:t xml:space="preserve">Art. 698.</w:t>
      </w:r>
      <w:r>
        <w:t xml:space="preserve"> </w:t>
      </w:r>
      <w:r>
        <w:t xml:space="preserve">Nas ações de família, o Ministério Público somente intervirá quando houver interesse de incapaz e deverá ser ouvido previamente à homologação de acordo.</w:t>
      </w:r>
    </w:p>
    <w:p>
      <w:pPr>
        <w:pStyle w:val="BodyText"/>
        <w:spacing w:after="80"/>
        <w:jc w:val="both"/>
      </w:pPr>
      <w:r>
        <w:t xml:space="preserve">Parágrafo único. O Ministério Público intervirá, quando não for parte, nas ações de família em que figure como parte vítima de violência doméstica e familiar, nos termos da Lei nº 11.340, de 7 de agosto de 2006 (Lei Maria da Penha). (Incluído pela Lei nº 13.894, de 2019)</w:t>
      </w:r>
    </w:p>
    <w:bookmarkEnd w:id="470"/>
    <w:bookmarkStart w:id="471" w:name="art.-699"/>
    <w:p>
      <w:pPr>
        <w:pStyle w:val="Heading6"/>
        <w:pBdr>
          <w:left w:val="single" w:sz="36" w:space="4" w:color="2E75B6"/>
        </w:pBdr>
        <w:shd w:val="clear" w:color="auto" w:fill="E3EEF9"/>
        <w:spacing w:before="200" w:after="80"/>
        <w:ind w:left="85"/>
      </w:pPr>
      <w:r>
        <w:rPr>
          <w:i w:val="0"/>
          <w:color w:val="1F3A5F"/>
          <w:sz w:val="23"/>
        </w:rPr>
        <w:t xml:space="preserve">Art. 699</w:t>
      </w:r>
    </w:p>
    <w:p>
      <w:pPr>
        <w:pStyle w:val="FirstParagraph"/>
        <w:spacing w:after="80"/>
        <w:jc w:val="both"/>
      </w:pPr>
      <w:r>
        <w:rPr>
          <w:b/>
          <w:bCs/>
        </w:rPr>
        <w:t xml:space="preserve">Art. 699.</w:t>
      </w:r>
      <w:r>
        <w:t xml:space="preserve"> </w:t>
      </w:r>
      <w:r>
        <w:t xml:space="preserve">Quando o processo envolver discussão sobre fato relacionado a abuso ou a alienação parental, o juiz, ao tomar o depoimento do incapaz, deverá estar acompanhado por especialista.</w:t>
      </w:r>
    </w:p>
    <w:bookmarkEnd w:id="471"/>
    <w:bookmarkEnd w:id="472"/>
    <w:bookmarkStart w:id="476" w:name="X19238066bc3b94a8feb1f22a344f483813462e6"/>
    <w:p>
      <w:pPr>
        <w:pStyle w:val="Heading4"/>
        <w:spacing w:before="160" w:after="40"/>
      </w:pPr>
      <w:r>
        <w:rPr>
          <w:smallCaps/>
          <w:color w:val="2E75B6"/>
        </w:rPr>
        <w:t xml:space="preserve">Capítulo XI: da ação monitória (arts. 700 a 702)</w:t>
      </w:r>
    </w:p>
    <w:bookmarkStart w:id="473" w:name="art.-700"/>
    <w:p>
      <w:pPr>
        <w:pStyle w:val="Heading6"/>
        <w:pBdr>
          <w:left w:val="single" w:sz="36" w:space="4" w:color="2E75B6"/>
        </w:pBdr>
        <w:shd w:val="clear" w:color="auto" w:fill="E3EEF9"/>
        <w:spacing w:before="200" w:after="80"/>
        <w:ind w:left="85"/>
      </w:pPr>
      <w:r>
        <w:rPr>
          <w:i w:val="0"/>
          <w:color w:val="1F3A5F"/>
          <w:sz w:val="23"/>
        </w:rPr>
        <w:t xml:space="preserve">Art. 700</w:t>
      </w:r>
    </w:p>
    <w:p>
      <w:pPr>
        <w:pStyle w:val="FirstParagraph"/>
        <w:keepNext/>
        <w:spacing w:after="80"/>
        <w:jc w:val="both"/>
      </w:pPr>
      <w:r>
        <w:rPr>
          <w:b/>
          <w:bCs/>
        </w:rPr>
        <w:t xml:space="preserve">Art. 700.</w:t>
      </w:r>
      <w:r>
        <w:t xml:space="preserve"> </w:t>
      </w:r>
      <w:r>
        <w:t xml:space="preserve">A ação monitória pode ser proposta por aquele que afirmar, com base em prova escrita sem eficácia de título executivo, ter direito de exigir do devedor capaz:</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71"/>
        <w:gridCol w:w="3556"/>
        <w:gridCol w:w="3527"/>
      </w:tblGrid>
      <w:tr>
        <w:trPr>
          <w:tblHeader w:val="on"/>
          <w:cantSplit/>
          <w:tblHeader/>
        </w:trPr>
        <w:tc>
          <w:tcPr>
            <w:tcW w:type="dxa" w:w="227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55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3527"/>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71"/>
          </w:tcPr>
          <w:p>
            <w:pPr>
              <w:pStyle w:val="Compact"/>
              <w:spacing w:line="276" w:lineRule="auto" w:before="40" w:after="40"/>
            </w:pPr>
            <w:r>
              <w:rPr>
                <w:rFonts w:ascii="Liberation Sans Narrow" w:hAnsi="Liberation Sans Narrow"/>
                <w:sz w:val="18"/>
              </w:rPr>
              <w:t xml:space="preserve">Ação monitória contra a Fazenda Pública</w:t>
            </w:r>
          </w:p>
        </w:tc>
        <w:tc>
          <w:tcPr>
            <w:tcW w:type="dxa" w:w="3556"/>
          </w:tcPr>
          <w:p>
            <w:pPr>
              <w:pStyle w:val="Compact"/>
              <w:spacing w:line="276" w:lineRule="auto" w:before="40" w:after="40"/>
            </w:pPr>
            <w:r>
              <w:rPr>
                <w:rFonts w:ascii="Liberation Sans Narrow" w:hAnsi="Liberation Sans Narrow"/>
                <w:sz w:val="18"/>
              </w:rPr>
              <w:t xml:space="preserve">STJ, Súmula 339/STJ, Corte Especial (vigente; data de aprovação não informada pelo acervo)</w:t>
            </w:r>
          </w:p>
        </w:tc>
        <w:tc>
          <w:tcPr>
            <w:tcW w:type="dxa" w:w="3527"/>
          </w:tcPr>
          <w:p>
            <w:pPr>
              <w:pStyle w:val="Compact"/>
              <w:spacing w:line="276" w:lineRule="auto" w:before="40" w:after="40"/>
            </w:pPr>
            <w:r>
              <w:rPr>
                <w:rFonts w:ascii="Liberation Sans Narrow" w:hAnsi="Liberation Sans Narrow"/>
                <w:sz w:val="18"/>
              </w:rPr>
              <w:t xml:space="preserve">É cabível ação monitória contra a Fazenda Pública.</w:t>
            </w:r>
          </w:p>
        </w:tc>
      </w:tr>
      <w:tr>
        <w:trPr>
          <w:cantSplit/>
        </w:trPr>
        <w:tc>
          <w:tcPr>
            <w:tcW w:type="dxa" w:w="2271"/>
          </w:tcPr>
          <w:p>
            <w:pPr>
              <w:pStyle w:val="Compact"/>
              <w:spacing w:line="276" w:lineRule="auto" w:before="40" w:after="40"/>
            </w:pPr>
            <w:r>
              <w:rPr>
                <w:rFonts w:ascii="Liberation Sans Narrow" w:hAnsi="Liberation Sans Narrow"/>
                <w:sz w:val="18"/>
              </w:rPr>
              <w:t xml:space="preserve">Ação monitória fundada em cheque prescrito</w:t>
            </w:r>
          </w:p>
        </w:tc>
        <w:tc>
          <w:tcPr>
            <w:tcW w:type="dxa" w:w="3556"/>
          </w:tcPr>
          <w:p>
            <w:pPr>
              <w:pStyle w:val="Compact"/>
              <w:spacing w:line="276" w:lineRule="auto" w:before="40" w:after="40"/>
            </w:pPr>
            <w:r>
              <w:rPr>
                <w:rFonts w:ascii="Liberation Sans Narrow" w:hAnsi="Liberation Sans Narrow"/>
                <w:sz w:val="18"/>
              </w:rPr>
              <w:t xml:space="preserve">STJ, Súmula 299/STJ, Segunda Seção (vigente; data de aprovação não informada pelo acervo)</w:t>
            </w:r>
          </w:p>
        </w:tc>
        <w:tc>
          <w:tcPr>
            <w:tcW w:type="dxa" w:w="3527"/>
          </w:tcPr>
          <w:p>
            <w:pPr>
              <w:pStyle w:val="Compact"/>
              <w:spacing w:line="276" w:lineRule="auto" w:before="40" w:after="40"/>
            </w:pPr>
            <w:r>
              <w:rPr>
                <w:rFonts w:ascii="Liberation Sans Narrow" w:hAnsi="Liberation Sans Narrow"/>
                <w:sz w:val="18"/>
              </w:rPr>
              <w:t xml:space="preserve">É admissível a ação monitória fundada em cheque prescrito.</w:t>
            </w:r>
          </w:p>
        </w:tc>
      </w:tr>
      <w:tr>
        <w:trPr>
          <w:cantSplit/>
        </w:trPr>
        <w:tc>
          <w:tcPr>
            <w:tcW w:type="dxa" w:w="2271"/>
          </w:tcPr>
          <w:p>
            <w:pPr>
              <w:pStyle w:val="Compact"/>
              <w:spacing w:line="276" w:lineRule="auto" w:before="40" w:after="40"/>
            </w:pPr>
            <w:r>
              <w:rPr>
                <w:rFonts w:ascii="Liberation Sans Narrow" w:hAnsi="Liberation Sans Narrow"/>
                <w:sz w:val="18"/>
              </w:rPr>
              <w:t xml:space="preserve">Prova escrita sem eficácia de título executivo: cópia e relação contratual</w:t>
            </w:r>
          </w:p>
        </w:tc>
        <w:tc>
          <w:tcPr>
            <w:tcW w:type="dxa" w:w="3556"/>
          </w:tcPr>
          <w:p>
            <w:pPr>
              <w:pStyle w:val="Compact"/>
              <w:spacing w:line="276" w:lineRule="auto" w:before="40" w:after="40"/>
            </w:pPr>
            <w:r>
              <w:rPr>
                <w:rFonts w:ascii="Liberation Sans Narrow" w:hAnsi="Liberation Sans Narrow"/>
                <w:sz w:val="18"/>
              </w:rPr>
              <w:t xml:space="preserve">STJ, AREsp 2.895.747, Quarta Turma, relator Min. Raul Araújo, julgado em 20/10/2025, DJEN de 29/10/2025</w:t>
            </w:r>
          </w:p>
        </w:tc>
        <w:tc>
          <w:tcPr>
            <w:tcW w:type="dxa" w:w="3527"/>
          </w:tcPr>
          <w:p>
            <w:pPr>
              <w:pStyle w:val="Compact"/>
              <w:spacing w:line="276" w:lineRule="auto" w:before="40" w:after="40"/>
            </w:pPr>
            <w:r>
              <w:rPr>
                <w:rFonts w:ascii="Liberation Sans Narrow" w:hAnsi="Liberation Sans Narrow"/>
                <w:sz w:val="18"/>
              </w:rPr>
              <w:t xml:space="preserve">A ação monitória pode ser instruída com prova escrita sem eficácia de título executivo, como fotocópias, desde que demonstre a relação contratual entre as partes (art. 700).</w:t>
            </w:r>
          </w:p>
        </w:tc>
      </w:tr>
    </w:tbl>
    <w:p>
      <w:pPr>
        <w:pStyle w:val="BodyText"/>
        <w:spacing w:after="80"/>
        <w:jc w:val="both"/>
      </w:pPr>
      <w:r>
        <w:t xml:space="preserve">I - o pagamento de quantia em dinheiro;</w:t>
      </w:r>
    </w:p>
    <w:p>
      <w:pPr>
        <w:pStyle w:val="BodyText"/>
        <w:spacing w:after="80"/>
        <w:jc w:val="both"/>
      </w:pPr>
      <w:r>
        <w:t xml:space="preserve">II - a entrega de coisa fungível ou infungível ou de bem móvel ou imóvel;</w:t>
      </w:r>
    </w:p>
    <w:p>
      <w:pPr>
        <w:pStyle w:val="BodyText"/>
        <w:spacing w:after="80"/>
        <w:jc w:val="both"/>
      </w:pPr>
      <w:r>
        <w:t xml:space="preserve">III - o adimplemento de obrigação de fazer ou de não fazer.</w:t>
      </w:r>
    </w:p>
    <w:p>
      <w:pPr>
        <w:pStyle w:val="BodyText"/>
        <w:spacing w:after="80"/>
        <w:jc w:val="both"/>
      </w:pPr>
      <w:r>
        <w:t xml:space="preserve">§ 1º A prova escrita pode consistir em prova oral documentada, produzida antecipadamente nos termos do art. 381.</w:t>
      </w:r>
    </w:p>
    <w:p>
      <w:pPr>
        <w:pStyle w:val="BodyText"/>
        <w:spacing w:after="80"/>
        <w:jc w:val="both"/>
      </w:pPr>
      <w:r>
        <w:t xml:space="preserve">§ 2º Na petição inicial, incumbe ao autor explicitar, conforme o caso:</w:t>
      </w:r>
    </w:p>
    <w:p>
      <w:pPr>
        <w:pStyle w:val="BodyText"/>
        <w:spacing w:after="80"/>
        <w:jc w:val="both"/>
      </w:pPr>
      <w:r>
        <w:t xml:space="preserve">I - a importância devida, instruindo-a com memória de cálculo;</w:t>
      </w:r>
    </w:p>
    <w:p>
      <w:pPr>
        <w:pStyle w:val="BodyText"/>
        <w:spacing w:after="80"/>
        <w:jc w:val="both"/>
      </w:pPr>
      <w:r>
        <w:t xml:space="preserve">II - o valor atual da coisa reclamada;</w:t>
      </w:r>
    </w:p>
    <w:p>
      <w:pPr>
        <w:pStyle w:val="BodyText"/>
        <w:spacing w:after="80"/>
        <w:jc w:val="both"/>
      </w:pPr>
      <w:r>
        <w:t xml:space="preserve">III - o conteúdo patrimonial em discussão ou o proveito econômico perseguido.</w:t>
      </w:r>
    </w:p>
    <w:p>
      <w:pPr>
        <w:pStyle w:val="BodyText"/>
        <w:spacing w:after="80"/>
        <w:jc w:val="both"/>
      </w:pPr>
      <w:r>
        <w:t xml:space="preserve">§ 3º O valor da causa deverá corresponder à importância prevista no § 2º, incisos I a III.</w:t>
      </w:r>
    </w:p>
    <w:p>
      <w:pPr>
        <w:pStyle w:val="BodyText"/>
        <w:spacing w:after="80"/>
        <w:jc w:val="both"/>
      </w:pPr>
      <w:r>
        <w:t xml:space="preserve">§ 4º Além das hipóteses do art. 330, a petição inicial será indeferida quando não atendido o disposto no § 2º deste artigo.</w:t>
      </w:r>
    </w:p>
    <w:p>
      <w:pPr>
        <w:pStyle w:val="BodyText"/>
        <w:spacing w:after="80"/>
        <w:jc w:val="both"/>
      </w:pPr>
      <w:r>
        <w:t xml:space="preserve">§ 5º Havendo dúvida quanto à idoneidade de prova documental apresentada pelo autor, o juiz intimá-lo-á para, querendo, emendar a petição inicial, adaptando-a ao procedimento comum.</w:t>
      </w:r>
    </w:p>
    <w:p>
      <w:pPr>
        <w:pStyle w:val="BodyText"/>
        <w:spacing w:after="80"/>
        <w:jc w:val="both"/>
      </w:pPr>
      <w:r>
        <w:t xml:space="preserve">§ 6º É admissível ação monitória em face da Fazenda Pública.</w:t>
      </w:r>
    </w:p>
    <w:p>
      <w:pPr>
        <w:pStyle w:val="BodyText"/>
        <w:spacing w:after="80"/>
        <w:jc w:val="both"/>
      </w:pPr>
      <w:r>
        <w:t xml:space="preserve">§ 7º Na ação monitória, admite-se citação por qualquer dos meios permitidos para o procedimento comum.</w:t>
      </w:r>
    </w:p>
    <w:bookmarkEnd w:id="473"/>
    <w:bookmarkStart w:id="474" w:name="art.-701"/>
    <w:p>
      <w:pPr>
        <w:pStyle w:val="Heading6"/>
        <w:pBdr>
          <w:left w:val="single" w:sz="36" w:space="4" w:color="2E75B6"/>
        </w:pBdr>
        <w:shd w:val="clear" w:color="auto" w:fill="E3EEF9"/>
        <w:spacing w:before="200" w:after="80"/>
        <w:ind w:left="85"/>
      </w:pPr>
      <w:r>
        <w:rPr>
          <w:i w:val="0"/>
          <w:color w:val="1F3A5F"/>
          <w:sz w:val="23"/>
        </w:rPr>
        <w:t xml:space="preserve">Art. 701</w:t>
      </w:r>
    </w:p>
    <w:p>
      <w:pPr>
        <w:pStyle w:val="FirstParagraph"/>
        <w:spacing w:after="80"/>
        <w:jc w:val="both"/>
      </w:pPr>
      <w:r>
        <w:rPr>
          <w:b/>
          <w:bCs/>
        </w:rPr>
        <w:t xml:space="preserve">Art. 701.</w:t>
      </w:r>
      <w:r>
        <w:t xml:space="preserve"> </w:t>
      </w:r>
      <w:r>
        <w:t xml:space="preserve">Sendo evidente o direito do autor, o juiz deferirá a expedição de mandado de pagamento, de entrega de coisa ou para execução de obrigação de fazer ou de não fazer, concedendo ao réu prazo de 15 (quinze) dias para o cumprimento e o pagamento de honorários advocatícios de cinco por cento do valor atribuído à causa.</w:t>
      </w:r>
    </w:p>
    <w:p>
      <w:pPr>
        <w:pStyle w:val="BodyText"/>
        <w:spacing w:after="80"/>
        <w:jc w:val="both"/>
      </w:pPr>
      <w:r>
        <w:t xml:space="preserve">§ 1º O réu será isento do pagamento de custas processuais se cumprir o mandado no prazo.</w:t>
      </w:r>
    </w:p>
    <w:p>
      <w:pPr>
        <w:pStyle w:val="BodyText"/>
        <w:keepNext/>
        <w:spacing w:after="80"/>
        <w:jc w:val="both"/>
      </w:pPr>
      <w:r>
        <w:t xml:space="preserve">§ 2º Constituir-se-á de pleno direito o título executivo judicial, independentemente de qualquer formalidade, se não realizado o pagamento e não apresentados os embargos previstos no art. 702, observando-se, no que couber, o Título II do Livro I da Parte Especial .</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46"/>
        <w:gridCol w:w="2953"/>
        <w:gridCol w:w="4255"/>
      </w:tblGrid>
      <w:tr>
        <w:trPr>
          <w:tblHeader w:val="on"/>
          <w:cantSplit/>
          <w:tblHeader/>
        </w:trPr>
        <w:tc>
          <w:tcPr>
            <w:tcW w:type="dxa" w:w="2146"/>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95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25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46"/>
          </w:tcPr>
          <w:p>
            <w:pPr>
              <w:pStyle w:val="Compact"/>
              <w:spacing w:line="276" w:lineRule="auto" w:before="40" w:after="40"/>
            </w:pPr>
            <w:r>
              <w:rPr>
                <w:rFonts w:ascii="Liberation Sans Narrow" w:hAnsi="Liberation Sans Narrow"/>
                <w:sz w:val="18"/>
              </w:rPr>
              <w:t xml:space="preserve">§ 2º: conversão do mandado monitório em executivo e preclusão das defesas</w:t>
            </w:r>
          </w:p>
        </w:tc>
        <w:tc>
          <w:tcPr>
            <w:tcW w:type="dxa" w:w="2953"/>
          </w:tcPr>
          <w:p>
            <w:pPr>
              <w:pStyle w:val="Compact"/>
              <w:spacing w:line="276" w:lineRule="auto" w:before="40" w:after="40"/>
            </w:pPr>
            <w:r>
              <w:rPr>
                <w:rFonts w:ascii="Liberation Sans Narrow" w:hAnsi="Liberation Sans Narrow"/>
                <w:sz w:val="18"/>
              </w:rPr>
              <w:t xml:space="preserve">STJ, AREsp 2.764.416, Quarta Turma, relator Min. João Otávio de Noronha, julgado em 04/05/2026, DJEN de 07/05/2026</w:t>
            </w:r>
          </w:p>
        </w:tc>
        <w:tc>
          <w:tcPr>
            <w:tcW w:type="dxa" w:w="4255"/>
          </w:tcPr>
          <w:p>
            <w:pPr>
              <w:pStyle w:val="Compact"/>
              <w:spacing w:line="276" w:lineRule="auto" w:before="40" w:after="40"/>
            </w:pPr>
            <w:r>
              <w:rPr>
                <w:rFonts w:ascii="Liberation Sans Narrow" w:hAnsi="Liberation Sans Narrow"/>
                <w:sz w:val="18"/>
              </w:rPr>
              <w:t xml:space="preserve">Sem pagamento e sem embargos tempestivos, o mandado monitório se converte automaticamente em executivo e o título judicial se constitui de pleno direito (art. 701, § 2º), sem necessidade de decisão sobre a probabilidade do direito. O juiz verifica apenas, de forma objetiva, os requisitos do art. 700; a inconformidade se deduz em embargos, sob pena de preclusão, e a falta de embargos não gera inexigibilidade do título no cumprimento (art. 525, § 1º, III).</w:t>
            </w:r>
          </w:p>
        </w:tc>
      </w:tr>
      <w:tr>
        <w:trPr>
          <w:cantSplit/>
        </w:trPr>
        <w:tc>
          <w:tcPr>
            <w:tcW w:type="dxa" w:w="2146"/>
          </w:tcPr>
          <w:p>
            <w:pPr>
              <w:pStyle w:val="Compact"/>
              <w:spacing w:line="276" w:lineRule="auto" w:before="40" w:after="40"/>
            </w:pPr>
            <w:r>
              <w:rPr>
                <w:rFonts w:ascii="Liberation Sans Narrow" w:hAnsi="Liberation Sans Narrow"/>
                <w:sz w:val="18"/>
              </w:rPr>
              <w:t xml:space="preserve">§ 2º — conversão automática do mandado e natureza dos atos posteriores</w:t>
            </w:r>
          </w:p>
        </w:tc>
        <w:tc>
          <w:tcPr>
            <w:tcW w:type="dxa" w:w="2953"/>
          </w:tcPr>
          <w:p>
            <w:pPr>
              <w:pStyle w:val="Compact"/>
              <w:spacing w:line="276" w:lineRule="auto" w:before="40" w:after="40"/>
            </w:pPr>
            <w:r>
              <w:rPr>
                <w:rFonts w:ascii="Liberation Sans Narrow" w:hAnsi="Liberation Sans Narrow"/>
                <w:sz w:val="18"/>
              </w:rPr>
              <w:t xml:space="preserve">STJ, REsp 2.011.406, Terceira Turma, relatora Min. Nancy Andrighi, julgado em 12/12/2023, DJe de 15/12/2023</w:t>
            </w:r>
          </w:p>
        </w:tc>
        <w:tc>
          <w:tcPr>
            <w:tcW w:type="dxa" w:w="4255"/>
          </w:tcPr>
          <w:p>
            <w:pPr>
              <w:pStyle w:val="Compact"/>
              <w:spacing w:line="276" w:lineRule="auto" w:before="40" w:after="40"/>
            </w:pPr>
            <w:r>
              <w:rPr>
                <w:rFonts w:ascii="Liberation Sans Narrow" w:hAnsi="Liberation Sans Narrow"/>
                <w:sz w:val="18"/>
              </w:rPr>
              <w:t xml:space="preserve">A ausência de pagamento e de embargos tempestivos implica, por si só, a conversão automática do mandado monitório em executivo, independentemente de pronunciamento judicial; o ato que determina a conversão é mero despacho, sem conteúdo decisório, e, formado o título executivo judicial ope legis, inicia-se o cumprimento de sentença, de modo que todo pronunciamento decisório posterior é decisão interlocutória, salvo a extinção do processo.</w:t>
            </w:r>
          </w:p>
        </w:tc>
      </w:tr>
    </w:tbl>
    <w:p>
      <w:pPr>
        <w:pStyle w:val="BodyText"/>
        <w:spacing w:after="80"/>
        <w:jc w:val="both"/>
      </w:pPr>
      <w:r>
        <w:t xml:space="preserve">§ 3º É cabível ação rescisória da decisão prevista no caput quando ocorrer a hipótese do § 2º.</w:t>
      </w:r>
    </w:p>
    <w:p>
      <w:pPr>
        <w:pStyle w:val="BodyText"/>
        <w:spacing w:after="80"/>
        <w:jc w:val="both"/>
      </w:pPr>
      <w:r>
        <w:t xml:space="preserve">§ 4º Sendo a ré Fazenda Pública, não apresentados os embargos previstos no art. 702, aplicar-se-á o disposto no art. 496, observando-se, a seguir, no que couber, o Título II do Livro I da Parte Especial.</w:t>
      </w:r>
    </w:p>
    <w:p>
      <w:pPr>
        <w:pStyle w:val="BodyText"/>
        <w:spacing w:after="80"/>
        <w:jc w:val="both"/>
      </w:pPr>
      <w:r>
        <w:t xml:space="preserve">§ 5º Aplica-se à ação monitória, no que couber, o art. 916.</w:t>
      </w:r>
    </w:p>
    <w:bookmarkEnd w:id="474"/>
    <w:bookmarkStart w:id="475" w:name="art.-702"/>
    <w:p>
      <w:pPr>
        <w:pStyle w:val="Heading6"/>
        <w:pBdr>
          <w:left w:val="single" w:sz="36" w:space="4" w:color="2E75B6"/>
        </w:pBdr>
        <w:shd w:val="clear" w:color="auto" w:fill="E3EEF9"/>
        <w:spacing w:before="200" w:after="80"/>
        <w:ind w:left="85"/>
      </w:pPr>
      <w:r>
        <w:rPr>
          <w:i w:val="0"/>
          <w:color w:val="1F3A5F"/>
          <w:sz w:val="23"/>
        </w:rPr>
        <w:t xml:space="preserve">Art. 702</w:t>
      </w:r>
    </w:p>
    <w:p>
      <w:pPr>
        <w:pStyle w:val="FirstParagraph"/>
        <w:keepNext/>
        <w:spacing w:after="80"/>
        <w:jc w:val="both"/>
      </w:pPr>
      <w:r>
        <w:rPr>
          <w:b/>
          <w:bCs/>
        </w:rPr>
        <w:t xml:space="preserve">Art. 702.</w:t>
      </w:r>
      <w:r>
        <w:t xml:space="preserve"> </w:t>
      </w:r>
      <w:r>
        <w:t xml:space="preserve">Independentemente de prévia segurança do juízo, o réu poderá opor, nos próprios autos, no prazo previsto no art. 701, embargos à ação monitória.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54"/>
        <w:gridCol w:w="2825"/>
        <w:gridCol w:w="4375"/>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2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37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54"/>
          </w:tcPr>
          <w:p>
            <w:pPr>
              <w:pStyle w:val="Compact"/>
              <w:spacing w:line="276" w:lineRule="auto" w:before="40" w:after="40"/>
            </w:pPr>
            <w:r>
              <w:rPr>
                <w:rFonts w:ascii="Liberation Sans Narrow" w:hAnsi="Liberation Sans Narrow"/>
                <w:sz w:val="18"/>
              </w:rPr>
              <w:t xml:space="preserve">Reconvenção na ação monitória</w:t>
            </w:r>
          </w:p>
        </w:tc>
        <w:tc>
          <w:tcPr>
            <w:tcW w:type="dxa" w:w="2826"/>
          </w:tcPr>
          <w:p>
            <w:pPr>
              <w:pStyle w:val="Compact"/>
              <w:spacing w:line="276" w:lineRule="auto" w:before="40" w:after="40"/>
            </w:pPr>
            <w:r>
              <w:rPr>
                <w:rFonts w:ascii="Liberation Sans Narrow" w:hAnsi="Liberation Sans Narrow"/>
                <w:sz w:val="18"/>
              </w:rPr>
              <w:t xml:space="preserve">STJ, Súmula 292/STJ, Corte Especial (vigente; data de aprovação não informada pelo acervo)</w:t>
            </w:r>
          </w:p>
        </w:tc>
        <w:tc>
          <w:tcPr>
            <w:tcW w:type="dxa" w:w="4374"/>
          </w:tcPr>
          <w:p>
            <w:pPr>
              <w:pStyle w:val="Compact"/>
              <w:spacing w:line="276" w:lineRule="auto" w:before="40" w:after="40"/>
            </w:pPr>
            <w:r>
              <w:rPr>
                <w:rFonts w:ascii="Liberation Sans Narrow" w:hAnsi="Liberation Sans Narrow"/>
                <w:sz w:val="18"/>
              </w:rPr>
              <w:t xml:space="preserve">A reconvenção é cabível na ação monitória, após a conversão do procedimento em ordinário.</w:t>
            </w:r>
          </w:p>
        </w:tc>
      </w:tr>
      <w:tr>
        <w:trPr>
          <w:cantSplit/>
        </w:trPr>
        <w:tc>
          <w:tcPr>
            <w:tcW w:type="dxa" w:w="2154"/>
          </w:tcPr>
          <w:p>
            <w:pPr>
              <w:pStyle w:val="Compact"/>
              <w:spacing w:line="276" w:lineRule="auto" w:before="40" w:after="40"/>
            </w:pPr>
            <w:r>
              <w:rPr>
                <w:rFonts w:ascii="Liberation Sans Narrow" w:hAnsi="Liberation Sans Narrow"/>
                <w:sz w:val="18"/>
              </w:rPr>
              <w:t xml:space="preserve">Embargos monitórios: rito comum e impossibilidade de extinguir por inaptidão da prova escrita</w:t>
            </w:r>
          </w:p>
        </w:tc>
        <w:tc>
          <w:tcPr>
            <w:tcW w:type="dxa" w:w="2826"/>
          </w:tcPr>
          <w:p>
            <w:pPr>
              <w:pStyle w:val="Compact"/>
              <w:spacing w:line="276" w:lineRule="auto" w:before="40" w:after="40"/>
            </w:pPr>
            <w:r>
              <w:rPr>
                <w:rFonts w:ascii="Liberation Sans Narrow" w:hAnsi="Liberation Sans Narrow"/>
                <w:sz w:val="18"/>
              </w:rPr>
              <w:t xml:space="preserve">STJ, AREsp 3.054.913, Quarta Turma, relator Min. João Otávio de Noronha, julgado em 11/05/2026, DJEN de 14/05/2026</w:t>
            </w:r>
          </w:p>
        </w:tc>
        <w:tc>
          <w:tcPr>
            <w:tcW w:type="dxa" w:w="4374"/>
          </w:tcPr>
          <w:p>
            <w:pPr>
              <w:pStyle w:val="Compact"/>
              <w:spacing w:line="276" w:lineRule="auto" w:before="40" w:after="40"/>
            </w:pPr>
            <w:r>
              <w:rPr>
                <w:rFonts w:ascii="Liberation Sans Narrow" w:hAnsi="Liberation Sans Narrow"/>
                <w:sz w:val="18"/>
              </w:rPr>
              <w:t xml:space="preserve">Opostos os embargos, o rito se converte em comum, com cognição exauriente e ampla dilação probatória; é inviável extinguir a demanda por inaptidão da prova escrita inicial, admitindo-se complementação documental e emenda após os embargos (arts. 9º, 10, 369 e 700, § 5º).</w:t>
            </w:r>
          </w:p>
        </w:tc>
      </w:tr>
    </w:tbl>
    <w:p>
      <w:pPr>
        <w:pStyle w:val="BodyText"/>
        <w:spacing w:after="80"/>
        <w:jc w:val="both"/>
      </w:pPr>
      <w:r>
        <w:t xml:space="preserve">§ 1º Os embargos podem se fundar em matéria passível de alegação como defesa no procedimento comum.</w:t>
      </w:r>
    </w:p>
    <w:p>
      <w:pPr>
        <w:pStyle w:val="BodyText"/>
        <w:keepNext/>
        <w:spacing w:after="80"/>
        <w:jc w:val="both"/>
      </w:pPr>
      <w:r>
        <w:t xml:space="preserve">§ 2º Quando o réu alegar que o autor pleiteia quantia superior à devida, cumprir-lhe-á declarar de imediato o valor que entende correto, apresentando demonstrativo discriminado e atualizado da dívida.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30"/>
        <w:gridCol w:w="2253"/>
        <w:gridCol w:w="4771"/>
      </w:tblGrid>
      <w:tr>
        <w:trPr>
          <w:tblHeader w:val="on"/>
          <w:cantSplit/>
          <w:tblHeader/>
        </w:trPr>
        <w:tc>
          <w:tcPr>
            <w:tcW w:type="dxa" w:w="233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25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7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330"/>
          </w:tcPr>
          <w:p>
            <w:pPr>
              <w:pStyle w:val="Compact"/>
              <w:spacing w:line="276" w:lineRule="auto" w:before="40" w:after="40"/>
            </w:pPr>
            <w:r>
              <w:rPr>
                <w:rFonts w:ascii="Liberation Sans Narrow" w:hAnsi="Liberation Sans Narrow"/>
                <w:sz w:val="18"/>
              </w:rPr>
              <w:t xml:space="preserve">§§ 2º e 3º — rejeição liminar dos embargos (orientação de aplicação) (aplicação narrada)</w:t>
            </w:r>
          </w:p>
        </w:tc>
        <w:tc>
          <w:tcPr>
            <w:tcW w:type="dxa" w:w="2254"/>
          </w:tcPr>
          <w:p>
            <w:pPr>
              <w:pStyle w:val="Compact"/>
              <w:spacing w:line="276" w:lineRule="auto" w:before="40" w:after="40"/>
            </w:pPr>
            <w:r>
              <w:rPr>
                <w:rFonts w:ascii="Liberation Sans Narrow" w:hAnsi="Liberation Sans Narrow"/>
                <w:sz w:val="18"/>
              </w:rPr>
              <w:t xml:space="preserve">STJ, AREsp 2.858.590, Terceira Turma, relator Min. Moura Ribeiro, julgado em 16/03/2026</w:t>
            </w:r>
          </w:p>
        </w:tc>
        <w:tc>
          <w:tcPr>
            <w:tcW w:type="dxa" w:w="4771"/>
          </w:tcPr>
          <w:p>
            <w:pPr>
              <w:pStyle w:val="Compact"/>
              <w:spacing w:line="276" w:lineRule="auto" w:before="40" w:after="40"/>
            </w:pPr>
            <w:r>
              <w:rPr>
                <w:rFonts w:ascii="Liberation Sans Narrow" w:hAnsi="Liberation Sans Narrow"/>
                <w:sz w:val="18"/>
              </w:rPr>
              <w:t xml:space="preserve">A ausência de demonstrativo de cálculo e de indicação do valor incontroverso nos embargos à monitória, exigidos pelo art. 702, §§ 2º e 3º, evidencia carência de pressuposto processual específico de admissibilidade da defesa e enseja a rejeição liminar dos embargos; sendo matéria de ordem pública, pode ser conhecida de ofício pelo tribunal, por efeito translativo da apelação. Trecho: “A ausência de apresentação de demonstrativo de cálculo e de indicação do valor incontroverso nos embargos à monitória, conforme exigido pelo art.”</w:t>
            </w:r>
          </w:p>
        </w:tc>
      </w:tr>
    </w:tbl>
    <w:p>
      <w:pPr>
        <w:pStyle w:val="BodyText"/>
        <w:spacing w:after="80"/>
        <w:jc w:val="both"/>
      </w:pPr>
      <w:r>
        <w:t xml:space="preserve">§ 3º Não apontado o valor correto ou não apresentado o demonstrativo, os embargos serão liminarmente rejeitados, se esse for o seu único fundamento, e, se houver outro fundamento, os embargos serão processados, mas o juiz deixará de examinar a alegação de excesso.</w:t>
      </w:r>
    </w:p>
    <w:p>
      <w:pPr>
        <w:pStyle w:val="BodyText"/>
        <w:spacing w:after="80"/>
        <w:jc w:val="both"/>
      </w:pPr>
      <w:r>
        <w:t xml:space="preserve">§ 4º A oposição dos embargos suspende a eficácia da decisão referida no caput do art. 701 até o julgamento em primeiro grau.</w:t>
      </w:r>
    </w:p>
    <w:p>
      <w:pPr>
        <w:pStyle w:val="BodyText"/>
        <w:spacing w:after="80"/>
        <w:jc w:val="both"/>
      </w:pPr>
      <w:r>
        <w:t xml:space="preserve">§ 5º O autor será intimado para responder aos embargos no prazo de 15 (quinze) dias.</w:t>
      </w:r>
    </w:p>
    <w:p>
      <w:pPr>
        <w:pStyle w:val="BodyText"/>
        <w:spacing w:after="80"/>
        <w:jc w:val="both"/>
      </w:pPr>
      <w:r>
        <w:t xml:space="preserve">§ 6º Na ação monitória admite-se a reconvenção, sendo vedado o oferecimento de reconvenção à reconvenção.</w:t>
      </w:r>
    </w:p>
    <w:p>
      <w:pPr>
        <w:pStyle w:val="BodyText"/>
        <w:spacing w:after="80"/>
        <w:jc w:val="both"/>
      </w:pPr>
      <w:r>
        <w:t xml:space="preserve">§ 7º A critério do juiz, os embargos serão autuados em apartado, se parciais, constituindo-se de pleno direito o título executivo judicial em relação à parcela incontroversa.</w:t>
      </w:r>
    </w:p>
    <w:p>
      <w:pPr>
        <w:pStyle w:val="BodyText"/>
        <w:spacing w:after="80"/>
        <w:jc w:val="both"/>
      </w:pPr>
      <w:r>
        <w:t xml:space="preserve">§ 8º Rejeitados os embargos, constituir-se-á de pleno direito o título executivo judicial, prosseguindo-se o processo em observância ao disposto no Título II do Livro I da Parte Especial, no que for cabível.</w:t>
      </w:r>
    </w:p>
    <w:p>
      <w:pPr>
        <w:pStyle w:val="BodyText"/>
        <w:spacing w:after="80"/>
        <w:jc w:val="both"/>
      </w:pPr>
      <w:r>
        <w:t xml:space="preserve">§ 9º Cabe apelação contra a sentença que acolhe ou rejeita os embargos.</w:t>
      </w:r>
    </w:p>
    <w:p>
      <w:pPr>
        <w:pStyle w:val="BodyText"/>
        <w:spacing w:after="80"/>
        <w:jc w:val="both"/>
      </w:pPr>
      <w:r>
        <w:t xml:space="preserve">§ 10. O juiz condenará o autor de ação monitória proposta indevidamente e de má-fé ao pagamento, em favor do réu, de multa de até dez por cento sobre o valor da causa.</w:t>
      </w:r>
    </w:p>
    <w:p>
      <w:pPr>
        <w:pStyle w:val="BodyText"/>
        <w:spacing w:after="80"/>
        <w:jc w:val="both"/>
      </w:pPr>
      <w:r>
        <w:t xml:space="preserve">§ 11. O juiz condenará o réu que de má-fé opuser embargos à ação monitória ao pagamento de multa de até dez por cento sobre o valor atribuído à causa, em favor do autor.</w:t>
      </w:r>
    </w:p>
    <w:bookmarkEnd w:id="475"/>
    <w:bookmarkEnd w:id="476"/>
    <w:bookmarkStart w:id="481" w:name="X0a68caf5c6bc6bf310f53d654605b0a9cfac4b0"/>
    <w:p>
      <w:pPr>
        <w:pStyle w:val="Heading4"/>
        <w:spacing w:before="160" w:after="40"/>
      </w:pPr>
      <w:r>
        <w:rPr>
          <w:smallCaps/>
          <w:color w:val="2E75B6"/>
        </w:rPr>
        <w:t xml:space="preserve">Capítulo XII: da homologação do penhor legal (arts. 703 a 706)</w:t>
      </w:r>
    </w:p>
    <w:bookmarkStart w:id="477" w:name="art.-703"/>
    <w:p>
      <w:pPr>
        <w:pStyle w:val="Heading6"/>
        <w:pBdr>
          <w:left w:val="single" w:sz="36" w:space="4" w:color="2E75B6"/>
        </w:pBdr>
        <w:shd w:val="clear" w:color="auto" w:fill="E3EEF9"/>
        <w:spacing w:before="200" w:after="80"/>
        <w:ind w:left="85"/>
      </w:pPr>
      <w:r>
        <w:rPr>
          <w:i w:val="0"/>
          <w:color w:val="1F3A5F"/>
          <w:sz w:val="23"/>
        </w:rPr>
        <w:t xml:space="preserve">Art. 703</w:t>
      </w:r>
    </w:p>
    <w:p>
      <w:pPr>
        <w:pStyle w:val="FirstParagraph"/>
        <w:keepNext/>
        <w:spacing w:after="80"/>
        <w:jc w:val="both"/>
      </w:pPr>
      <w:r>
        <w:rPr>
          <w:b/>
          <w:bCs/>
        </w:rPr>
        <w:t xml:space="preserve">Art. 703.</w:t>
      </w:r>
      <w:r>
        <w:t xml:space="preserve"> </w:t>
      </w:r>
      <w:r>
        <w:t xml:space="preserve">Tomado o penhor legal nos casos previstos em lei, requererá o credor, ato contínuo, a homologação.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2824"/>
        <w:gridCol w:w="487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2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7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55"/>
          </w:tcPr>
          <w:p>
            <w:pPr>
              <w:pStyle w:val="Compact"/>
              <w:spacing w:line="276" w:lineRule="auto" w:before="40" w:after="40"/>
            </w:pPr>
            <w:r>
              <w:rPr>
                <w:rFonts w:ascii="Liberation Sans Narrow" w:hAnsi="Liberation Sans Narrow"/>
                <w:sz w:val="18"/>
              </w:rPr>
              <w:t xml:space="preserve">Caput — homologação do penhor legal</w:t>
            </w:r>
          </w:p>
        </w:tc>
        <w:tc>
          <w:tcPr>
            <w:tcW w:type="dxa" w:w="2825"/>
          </w:tcPr>
          <w:p>
            <w:pPr>
              <w:pStyle w:val="Compact"/>
              <w:spacing w:line="276" w:lineRule="auto" w:before="40" w:after="40"/>
            </w:pPr>
            <w:r>
              <w:rPr>
                <w:rFonts w:ascii="Liberation Sans Narrow" w:hAnsi="Liberation Sans Narrow"/>
                <w:sz w:val="18"/>
              </w:rPr>
              <w:t xml:space="preserve">STJ, REsp 2.233.511, Terceira Turma, relator Min. Ricardo Villas Bôas Cueva, julgado em 10/02/2026, DJEN de 13/02/2026</w:t>
            </w:r>
          </w:p>
        </w:tc>
        <w:tc>
          <w:tcPr>
            <w:tcW w:type="dxa" w:w="4874"/>
          </w:tcPr>
          <w:p>
            <w:pPr>
              <w:pStyle w:val="Compact"/>
              <w:spacing w:line="276" w:lineRule="auto" w:before="40" w:after="40"/>
            </w:pPr>
            <w:r>
              <w:rPr>
                <w:rFonts w:ascii="Liberation Sans Narrow" w:hAnsi="Liberation Sans Narrow"/>
                <w:sz w:val="18"/>
              </w:rPr>
              <w:t xml:space="preserve">O penhor legal do locador, direito real de garantia decorrente exclusivamente da lei e forma excepcional de autotutela, é compatível com a garantia convencional do contrato de locação; a vedação de cumulação de garantias contratuais não impede o seu exercício.</w:t>
            </w:r>
          </w:p>
        </w:tc>
      </w:tr>
    </w:tbl>
    <w:p>
      <w:pPr>
        <w:pStyle w:val="BodyText"/>
        <w:spacing w:after="80"/>
        <w:jc w:val="both"/>
      </w:pPr>
      <w:r>
        <w:t xml:space="preserve">§ 1º Na petição inicial, instruída com o contrato de locação ou a conta pormenorizada das despesas, a tabela dos preços e a relação dos objetos retidos, o credor pedirá a citação do devedor para pagar ou contestar na audiência preliminar que for designada.</w:t>
      </w:r>
    </w:p>
    <w:p>
      <w:pPr>
        <w:pStyle w:val="BodyText"/>
        <w:spacing w:after="80"/>
        <w:jc w:val="both"/>
      </w:pPr>
      <w:r>
        <w:t xml:space="preserve">§ 2º A homologação do penhor legal poderá ser promovida pela via extrajudicial mediante requerimento, que conterá os requisitos previstos no § 1º deste artigo, do credor a notário de sua livre escolha.</w:t>
      </w:r>
    </w:p>
    <w:p>
      <w:pPr>
        <w:pStyle w:val="BodyText"/>
        <w:spacing w:after="80"/>
        <w:jc w:val="both"/>
      </w:pPr>
      <w:r>
        <w:t xml:space="preserve">§ 3º Recebido o requerimento, o notário promoverá a notificação extrajudicial do devedor para, no prazo de 5 (cinco) dias, pagar o débito ou impugnar sua cobrança, alegando por escrito uma das causas previstas no art. 704, hipótese em que o procedimento será encaminhado ao juízo competente para decisão.</w:t>
      </w:r>
    </w:p>
    <w:p>
      <w:pPr>
        <w:pStyle w:val="BodyText"/>
        <w:spacing w:after="80"/>
        <w:jc w:val="both"/>
      </w:pPr>
      <w:r>
        <w:t xml:space="preserve">§ 4º Transcorrido o prazo sem manifestação do devedor, o notário formalizará a homologação do penhor legal por escritura pública.</w:t>
      </w:r>
    </w:p>
    <w:bookmarkEnd w:id="477"/>
    <w:bookmarkStart w:id="478" w:name="art.-704"/>
    <w:p>
      <w:pPr>
        <w:pStyle w:val="Heading6"/>
        <w:pBdr>
          <w:left w:val="single" w:sz="36" w:space="4" w:color="2E75B6"/>
        </w:pBdr>
        <w:shd w:val="clear" w:color="auto" w:fill="E3EEF9"/>
        <w:spacing w:before="200" w:after="80"/>
        <w:ind w:left="85"/>
      </w:pPr>
      <w:r>
        <w:rPr>
          <w:i w:val="0"/>
          <w:color w:val="1F3A5F"/>
          <w:sz w:val="23"/>
        </w:rPr>
        <w:t xml:space="preserve">Art. 704</w:t>
      </w:r>
    </w:p>
    <w:p>
      <w:pPr>
        <w:pStyle w:val="FirstParagraph"/>
        <w:spacing w:after="80"/>
        <w:jc w:val="both"/>
      </w:pPr>
      <w:r>
        <w:rPr>
          <w:b/>
          <w:bCs/>
        </w:rPr>
        <w:t xml:space="preserve">Art. 704.</w:t>
      </w:r>
      <w:r>
        <w:t xml:space="preserve"> </w:t>
      </w:r>
      <w:r>
        <w:t xml:space="preserve">A defesa só pode consistir em:</w:t>
      </w:r>
    </w:p>
    <w:p>
      <w:pPr>
        <w:pStyle w:val="BodyText"/>
        <w:spacing w:after="80"/>
        <w:jc w:val="both"/>
      </w:pPr>
      <w:r>
        <w:t xml:space="preserve">I - nulidade do processo;</w:t>
      </w:r>
    </w:p>
    <w:p>
      <w:pPr>
        <w:pStyle w:val="BodyText"/>
        <w:spacing w:after="80"/>
        <w:jc w:val="both"/>
      </w:pPr>
      <w:r>
        <w:t xml:space="preserve">II - extinção da obrigação;</w:t>
      </w:r>
    </w:p>
    <w:p>
      <w:pPr>
        <w:pStyle w:val="BodyText"/>
        <w:spacing w:after="80"/>
        <w:jc w:val="both"/>
      </w:pPr>
      <w:r>
        <w:t xml:space="preserve">III - não estar a dívida compreendida entre as previstas em lei ou não estarem os bens sujeitos a penhor legal;</w:t>
      </w:r>
    </w:p>
    <w:p>
      <w:pPr>
        <w:pStyle w:val="BodyText"/>
        <w:spacing w:after="80"/>
        <w:jc w:val="both"/>
      </w:pPr>
      <w:r>
        <w:t xml:space="preserve">IV - alegação de haver sido ofertada caução idônea, rejeitada pelo credor.</w:t>
      </w:r>
    </w:p>
    <w:bookmarkEnd w:id="478"/>
    <w:bookmarkStart w:id="479" w:name="art.-705"/>
    <w:p>
      <w:pPr>
        <w:pStyle w:val="Heading6"/>
        <w:pBdr>
          <w:left w:val="single" w:sz="36" w:space="4" w:color="2E75B6"/>
        </w:pBdr>
        <w:shd w:val="clear" w:color="auto" w:fill="E3EEF9"/>
        <w:spacing w:before="200" w:after="80"/>
        <w:ind w:left="85"/>
      </w:pPr>
      <w:r>
        <w:rPr>
          <w:i w:val="0"/>
          <w:color w:val="1F3A5F"/>
          <w:sz w:val="23"/>
        </w:rPr>
        <w:t xml:space="preserve">Art. 705</w:t>
      </w:r>
    </w:p>
    <w:p>
      <w:pPr>
        <w:pStyle w:val="FirstParagraph"/>
        <w:spacing w:after="80"/>
        <w:jc w:val="both"/>
      </w:pPr>
      <w:r>
        <w:rPr>
          <w:b/>
          <w:bCs/>
        </w:rPr>
        <w:t xml:space="preserve">Art. 705.</w:t>
      </w:r>
      <w:r>
        <w:t xml:space="preserve"> </w:t>
      </w:r>
      <w:r>
        <w:t xml:space="preserve">A partir da audiência preliminar, observar-se-á o procedimento comum.</w:t>
      </w:r>
    </w:p>
    <w:bookmarkEnd w:id="479"/>
    <w:bookmarkStart w:id="480" w:name="art.-706"/>
    <w:p>
      <w:pPr>
        <w:pStyle w:val="Heading6"/>
        <w:pBdr>
          <w:left w:val="single" w:sz="36" w:space="4" w:color="2E75B6"/>
        </w:pBdr>
        <w:shd w:val="clear" w:color="auto" w:fill="E3EEF9"/>
        <w:spacing w:before="200" w:after="80"/>
        <w:ind w:left="85"/>
      </w:pPr>
      <w:r>
        <w:rPr>
          <w:i w:val="0"/>
          <w:color w:val="1F3A5F"/>
          <w:sz w:val="23"/>
        </w:rPr>
        <w:t xml:space="preserve">Art. 706</w:t>
      </w:r>
    </w:p>
    <w:p>
      <w:pPr>
        <w:pStyle w:val="FirstParagraph"/>
        <w:spacing w:after="80"/>
        <w:jc w:val="both"/>
      </w:pPr>
      <w:r>
        <w:rPr>
          <w:b/>
          <w:bCs/>
        </w:rPr>
        <w:t xml:space="preserve">Art. 706.</w:t>
      </w:r>
      <w:r>
        <w:t xml:space="preserve"> </w:t>
      </w:r>
      <w:r>
        <w:t xml:space="preserve">Homologado judicialmente o penhor legal, consolidar-se-á a posse do autor sobre o objeto.</w:t>
      </w:r>
    </w:p>
    <w:p>
      <w:pPr>
        <w:pStyle w:val="BodyText"/>
        <w:spacing w:after="80"/>
        <w:jc w:val="both"/>
      </w:pPr>
      <w:r>
        <w:t xml:space="preserve">§ 1º Negada a homologação, o objeto será entregue ao réu, ressalvado ao autor o direito de cobrar a dívida pelo procedimento comum, salvo se acolhida a alegação de extinção da obrigação.</w:t>
      </w:r>
    </w:p>
    <w:p>
      <w:pPr>
        <w:pStyle w:val="BodyText"/>
        <w:spacing w:after="80"/>
        <w:jc w:val="both"/>
      </w:pPr>
      <w:r>
        <w:t xml:space="preserve">§ 2º Contra a sentença caberá apelação, e, na pendência de recurso, poderá o relator ordenar que a coisa permaneça depositada ou em poder do autor.</w:t>
      </w:r>
    </w:p>
    <w:bookmarkEnd w:id="480"/>
    <w:bookmarkEnd w:id="481"/>
    <w:bookmarkStart w:id="487" w:name="X9f211066ecaf8cd5925c334c2ce18489a2eee61"/>
    <w:p>
      <w:pPr>
        <w:pStyle w:val="Heading4"/>
        <w:spacing w:before="160" w:after="40"/>
      </w:pPr>
      <w:r>
        <w:rPr>
          <w:smallCaps/>
          <w:color w:val="2E75B6"/>
        </w:rPr>
        <w:t xml:space="preserve">Capítulo XIII: da regulação de avaria grossa (arts. 707 a 711)</w:t>
      </w:r>
    </w:p>
    <w:bookmarkStart w:id="482" w:name="art.-707"/>
    <w:p>
      <w:pPr>
        <w:pStyle w:val="Heading6"/>
        <w:pBdr>
          <w:left w:val="single" w:sz="36" w:space="4" w:color="2E75B6"/>
        </w:pBdr>
        <w:shd w:val="clear" w:color="auto" w:fill="E3EEF9"/>
        <w:spacing w:before="200" w:after="80"/>
        <w:ind w:left="85"/>
      </w:pPr>
      <w:r>
        <w:rPr>
          <w:i w:val="0"/>
          <w:color w:val="1F3A5F"/>
          <w:sz w:val="23"/>
        </w:rPr>
        <w:t xml:space="preserve">Art. 707</w:t>
      </w:r>
    </w:p>
    <w:p>
      <w:pPr>
        <w:pStyle w:val="FirstParagraph"/>
        <w:spacing w:after="80"/>
        <w:jc w:val="both"/>
      </w:pPr>
      <w:r>
        <w:rPr>
          <w:b/>
          <w:bCs/>
        </w:rPr>
        <w:t xml:space="preserve">Art. 707.</w:t>
      </w:r>
      <w:r>
        <w:t xml:space="preserve"> </w:t>
      </w:r>
      <w:r>
        <w:t xml:space="preserve">Quando inexistir consenso acerca da nomeação de um regulador de avarias, o juiz de direito da comarca do primeiro porto onde o navio houver chegado, provocado por qualquer parte interessada, nomeará um de notório conhecimento.</w:t>
      </w:r>
    </w:p>
    <w:bookmarkEnd w:id="482"/>
    <w:bookmarkStart w:id="483" w:name="art.-708"/>
    <w:p>
      <w:pPr>
        <w:pStyle w:val="Heading6"/>
        <w:pBdr>
          <w:left w:val="single" w:sz="36" w:space="4" w:color="2E75B6"/>
        </w:pBdr>
        <w:shd w:val="clear" w:color="auto" w:fill="E3EEF9"/>
        <w:spacing w:before="200" w:after="80"/>
        <w:ind w:left="85"/>
      </w:pPr>
      <w:r>
        <w:rPr>
          <w:i w:val="0"/>
          <w:color w:val="1F3A5F"/>
          <w:sz w:val="23"/>
        </w:rPr>
        <w:t xml:space="preserve">Art. 708</w:t>
      </w:r>
    </w:p>
    <w:p>
      <w:pPr>
        <w:pStyle w:val="FirstParagraph"/>
        <w:spacing w:after="80"/>
        <w:jc w:val="both"/>
      </w:pPr>
      <w:r>
        <w:rPr>
          <w:b/>
          <w:bCs/>
        </w:rPr>
        <w:t xml:space="preserve">Art. 708.</w:t>
      </w:r>
      <w:r>
        <w:t xml:space="preserve"> </w:t>
      </w:r>
      <w:r>
        <w:t xml:space="preserve">O regulador declarará justificadamente se os danos são passíveis de rateio na forma de avaria grossa e exigirá das partes envolvidas a apresentação de garantias idôneas para que possam ser liberadas as cargas aos consignatários.</w:t>
      </w:r>
    </w:p>
    <w:p>
      <w:pPr>
        <w:pStyle w:val="BodyText"/>
        <w:spacing w:after="80"/>
        <w:jc w:val="both"/>
      </w:pPr>
      <w:r>
        <w:t xml:space="preserve">§ 1º A parte que não concordar com o regulador quanto à declaração de abertura da avaria grossa deverá justificar suas razões ao juiz, que decidirá no prazo de 10 (dez) dias.</w:t>
      </w:r>
    </w:p>
    <w:p>
      <w:pPr>
        <w:pStyle w:val="BodyText"/>
        <w:spacing w:after="80"/>
        <w:jc w:val="both"/>
      </w:pPr>
      <w:r>
        <w:t xml:space="preserve">§ 2º Se o consignatário não apresentar garantia idônea a critério do regulador, este fixará o valor da contribuição provisória com base nos fatos narrados e nos documentos que instruírem a petição inicial, que deverá ser caucionado sob a forma de depósito judicial ou de garantia bancária.</w:t>
      </w:r>
    </w:p>
    <w:p>
      <w:pPr>
        <w:pStyle w:val="BodyText"/>
        <w:spacing w:after="80"/>
        <w:jc w:val="both"/>
      </w:pPr>
      <w:r>
        <w:t xml:space="preserve">§ 3º Recusando-se o consignatário a prestar caução, o regulador requererá ao juiz a alienação judicial de sua carga na forma dos arts. 879 a 903.</w:t>
      </w:r>
    </w:p>
    <w:p>
      <w:pPr>
        <w:pStyle w:val="BodyText"/>
        <w:spacing w:after="80"/>
        <w:jc w:val="both"/>
      </w:pPr>
      <w:r>
        <w:t xml:space="preserve">§ 4º É permitido o levantamento, por alvará, das quantias necessárias ao pagamento das despesas da alienação a serem arcadas pelo consignatário, mantendo-se o saldo remanescente em depósito judicial até o encerramento da regulação.</w:t>
      </w:r>
    </w:p>
    <w:bookmarkEnd w:id="483"/>
    <w:bookmarkStart w:id="484" w:name="art.-709"/>
    <w:p>
      <w:pPr>
        <w:pStyle w:val="Heading6"/>
        <w:pBdr>
          <w:left w:val="single" w:sz="36" w:space="4" w:color="2E75B6"/>
        </w:pBdr>
        <w:shd w:val="clear" w:color="auto" w:fill="E3EEF9"/>
        <w:spacing w:before="200" w:after="80"/>
        <w:ind w:left="85"/>
      </w:pPr>
      <w:r>
        <w:rPr>
          <w:i w:val="0"/>
          <w:color w:val="1F3A5F"/>
          <w:sz w:val="23"/>
        </w:rPr>
        <w:t xml:space="preserve">Art. 709</w:t>
      </w:r>
    </w:p>
    <w:p>
      <w:pPr>
        <w:pStyle w:val="FirstParagraph"/>
        <w:spacing w:after="80"/>
        <w:jc w:val="both"/>
      </w:pPr>
      <w:r>
        <w:rPr>
          <w:b/>
          <w:bCs/>
        </w:rPr>
        <w:t xml:space="preserve">Art. 709.</w:t>
      </w:r>
      <w:r>
        <w:t xml:space="preserve"> </w:t>
      </w:r>
      <w:r>
        <w:t xml:space="preserve">As partes deverão apresentar nos autos os documentos necessários à regulação da avaria grossa em prazo razoável a ser fixado pelo regulador.</w:t>
      </w:r>
    </w:p>
    <w:bookmarkEnd w:id="484"/>
    <w:bookmarkStart w:id="485" w:name="art.-710"/>
    <w:p>
      <w:pPr>
        <w:pStyle w:val="Heading6"/>
        <w:pBdr>
          <w:left w:val="single" w:sz="36" w:space="4" w:color="2E75B6"/>
        </w:pBdr>
        <w:shd w:val="clear" w:color="auto" w:fill="E3EEF9"/>
        <w:spacing w:before="200" w:after="80"/>
        <w:ind w:left="85"/>
      </w:pPr>
      <w:r>
        <w:rPr>
          <w:i w:val="0"/>
          <w:color w:val="1F3A5F"/>
          <w:sz w:val="23"/>
        </w:rPr>
        <w:t xml:space="preserve">Art. 710</w:t>
      </w:r>
    </w:p>
    <w:p>
      <w:pPr>
        <w:pStyle w:val="FirstParagraph"/>
        <w:spacing w:after="80"/>
        <w:jc w:val="both"/>
      </w:pPr>
      <w:r>
        <w:rPr>
          <w:b/>
          <w:bCs/>
        </w:rPr>
        <w:t xml:space="preserve">Art. 710.</w:t>
      </w:r>
      <w:r>
        <w:t xml:space="preserve"> </w:t>
      </w:r>
      <w:r>
        <w:t xml:space="preserve">O regulador apresentará o regulamento da avaria grossa no prazo de até 12 (doze) meses, contado da data da entrega dos documentos nos autos pelas partes, podendo o prazo ser estendido a critério do juiz.</w:t>
      </w:r>
    </w:p>
    <w:p>
      <w:pPr>
        <w:pStyle w:val="BodyText"/>
        <w:spacing w:after="80"/>
        <w:jc w:val="both"/>
      </w:pPr>
      <w:r>
        <w:t xml:space="preserve">§ 1º Oferecido o regulamento da avaria grossa, dele terão vista as partes pelo prazo comum de 15 (quinze) dias, e, não havendo impugnação, o regulamento será homologado por sentença.</w:t>
      </w:r>
    </w:p>
    <w:p>
      <w:pPr>
        <w:pStyle w:val="BodyText"/>
        <w:spacing w:after="80"/>
        <w:jc w:val="both"/>
      </w:pPr>
      <w:r>
        <w:t xml:space="preserve">§ 2º Havendo impugnação ao regulamento, o juiz decidirá no prazo de 10 (dez) dias, após a oitiva do regulador.</w:t>
      </w:r>
    </w:p>
    <w:bookmarkEnd w:id="485"/>
    <w:bookmarkStart w:id="486" w:name="art.-711"/>
    <w:p>
      <w:pPr>
        <w:pStyle w:val="Heading6"/>
        <w:pBdr>
          <w:left w:val="single" w:sz="36" w:space="4" w:color="2E75B6"/>
        </w:pBdr>
        <w:shd w:val="clear" w:color="auto" w:fill="E3EEF9"/>
        <w:spacing w:before="200" w:after="80"/>
        <w:ind w:left="85"/>
      </w:pPr>
      <w:r>
        <w:rPr>
          <w:i w:val="0"/>
          <w:color w:val="1F3A5F"/>
          <w:sz w:val="23"/>
        </w:rPr>
        <w:t xml:space="preserve">Art. 711</w:t>
      </w:r>
    </w:p>
    <w:p>
      <w:pPr>
        <w:pStyle w:val="FirstParagraph"/>
        <w:spacing w:after="80"/>
        <w:jc w:val="both"/>
      </w:pPr>
      <w:r>
        <w:rPr>
          <w:b/>
          <w:bCs/>
        </w:rPr>
        <w:t xml:space="preserve">Art. 711.</w:t>
      </w:r>
      <w:r>
        <w:t xml:space="preserve"> </w:t>
      </w:r>
      <w:r>
        <w:t xml:space="preserve">Aplicam-se ao regulador de avarias os arts. 156 a 158, no que couber.</w:t>
      </w:r>
    </w:p>
    <w:bookmarkEnd w:id="486"/>
    <w:bookmarkEnd w:id="487"/>
    <w:bookmarkStart w:id="495" w:name="Xb48bcfb01c9ab110f64a9ab02fcc199bb9e77d7"/>
    <w:p>
      <w:pPr>
        <w:pStyle w:val="Heading4"/>
        <w:spacing w:before="160" w:after="40"/>
      </w:pPr>
      <w:r>
        <w:rPr>
          <w:smallCaps/>
          <w:color w:val="2E75B6"/>
        </w:rPr>
        <w:t xml:space="preserve">Capítulo XIV: da restauração de autos (arts. 712 a 718)</w:t>
      </w:r>
    </w:p>
    <w:bookmarkStart w:id="488" w:name="art.-712"/>
    <w:p>
      <w:pPr>
        <w:pStyle w:val="Heading6"/>
        <w:pBdr>
          <w:left w:val="single" w:sz="36" w:space="4" w:color="2E75B6"/>
        </w:pBdr>
        <w:shd w:val="clear" w:color="auto" w:fill="E3EEF9"/>
        <w:spacing w:before="200" w:after="80"/>
        <w:ind w:left="85"/>
      </w:pPr>
      <w:r>
        <w:rPr>
          <w:i w:val="0"/>
          <w:color w:val="1F3A5F"/>
          <w:sz w:val="23"/>
        </w:rPr>
        <w:t xml:space="preserve">Art. 712</w:t>
      </w:r>
    </w:p>
    <w:p>
      <w:pPr>
        <w:pStyle w:val="FirstParagraph"/>
        <w:keepNext/>
        <w:spacing w:after="80"/>
        <w:jc w:val="both"/>
      </w:pPr>
      <w:r>
        <w:rPr>
          <w:b/>
          <w:bCs/>
        </w:rPr>
        <w:t xml:space="preserve">Art. 712.</w:t>
      </w:r>
      <w:r>
        <w:t xml:space="preserve"> </w:t>
      </w:r>
      <w:r>
        <w:t xml:space="preserve">Verificado o desaparecimento dos autos, eletrônicos ou não, pode o juiz, de ofício, qualquer das partes ou o Ministério Público, se for o caso, promover-lhes a restauração.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82"/>
        <w:gridCol w:w="2584"/>
        <w:gridCol w:w="4688"/>
      </w:tblGrid>
      <w:tr>
        <w:trPr>
          <w:tblHeader w:val="on"/>
          <w:cantSplit/>
          <w:tblHeader/>
        </w:trPr>
        <w:tc>
          <w:tcPr>
            <w:tcW w:type="dxa" w:w="208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8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688"/>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82"/>
          </w:tcPr>
          <w:p>
            <w:pPr>
              <w:pStyle w:val="Compact"/>
              <w:spacing w:line="276" w:lineRule="auto" w:before="40" w:after="40"/>
            </w:pPr>
            <w:r>
              <w:rPr>
                <w:rFonts w:ascii="Liberation Sans Narrow" w:hAnsi="Liberation Sans Narrow"/>
                <w:sz w:val="18"/>
              </w:rPr>
              <w:t xml:space="preserve">Restauração de autos: a Corregedoria local não pode fixar prazo para o pedido</w:t>
            </w:r>
          </w:p>
        </w:tc>
        <w:tc>
          <w:tcPr>
            <w:tcW w:type="dxa" w:w="2584"/>
          </w:tcPr>
          <w:p>
            <w:pPr>
              <w:pStyle w:val="Compact"/>
              <w:spacing w:line="276" w:lineRule="auto" w:before="40" w:after="40"/>
            </w:pPr>
            <w:r>
              <w:rPr>
                <w:rFonts w:ascii="Liberation Sans Narrow" w:hAnsi="Liberation Sans Narrow"/>
                <w:sz w:val="18"/>
              </w:rPr>
              <w:t xml:space="preserve">STJ, REsp 1.722.633, Terceira Turma, relatora Min. Nancy Andrighi, julgado em 07/08/2018, DJe de 10/08/2018</w:t>
            </w:r>
          </w:p>
        </w:tc>
        <w:tc>
          <w:tcPr>
            <w:tcW w:type="dxa" w:w="4688"/>
          </w:tcPr>
          <w:p>
            <w:pPr>
              <w:pStyle w:val="Compact"/>
              <w:spacing w:line="276" w:lineRule="auto" w:before="40" w:after="40"/>
            </w:pPr>
            <w:r>
              <w:rPr>
                <w:rFonts w:ascii="Liberation Sans Narrow" w:hAnsi="Liberation Sans Narrow"/>
                <w:sz w:val="18"/>
              </w:rPr>
              <w:t xml:space="preserve">O CPC não prevê prazo para a ação de restauração de autos; o prazo fixado por provimento da Corregedoria local é norma processual, de competência privativa da União, e viola o devido processo legal, pois cria prazo decadencial em prejuízo de quem não deu causa ao desaparecimento dos autos.</w:t>
            </w:r>
          </w:p>
        </w:tc>
      </w:tr>
    </w:tbl>
    <w:p>
      <w:pPr>
        <w:pStyle w:val="BodyText"/>
        <w:spacing w:after="80"/>
        <w:jc w:val="both"/>
      </w:pPr>
      <w:r>
        <w:t xml:space="preserve">Parágrafo único. Havendo autos suplementares, nesses prosseguirá o processo.</w:t>
      </w:r>
    </w:p>
    <w:bookmarkEnd w:id="488"/>
    <w:bookmarkStart w:id="489" w:name="art.-713"/>
    <w:p>
      <w:pPr>
        <w:pStyle w:val="Heading6"/>
        <w:pBdr>
          <w:left w:val="single" w:sz="36" w:space="4" w:color="2E75B6"/>
        </w:pBdr>
        <w:shd w:val="clear" w:color="auto" w:fill="E3EEF9"/>
        <w:spacing w:before="200" w:after="80"/>
        <w:ind w:left="85"/>
      </w:pPr>
      <w:r>
        <w:rPr>
          <w:i w:val="0"/>
          <w:color w:val="1F3A5F"/>
          <w:sz w:val="23"/>
        </w:rPr>
        <w:t xml:space="preserve">Art. 713</w:t>
      </w:r>
    </w:p>
    <w:p>
      <w:pPr>
        <w:pStyle w:val="FirstParagraph"/>
        <w:spacing w:after="80"/>
        <w:jc w:val="both"/>
      </w:pPr>
      <w:r>
        <w:rPr>
          <w:b/>
          <w:bCs/>
        </w:rPr>
        <w:t xml:space="preserve">Art. 713.</w:t>
      </w:r>
      <w:r>
        <w:t xml:space="preserve"> </w:t>
      </w:r>
      <w:r>
        <w:t xml:space="preserve">Na petição inicial, declarará a parte o estado do processo ao tempo do desaparecimento dos autos, oferecendo:</w:t>
      </w:r>
    </w:p>
    <w:p>
      <w:pPr>
        <w:pStyle w:val="BodyText"/>
        <w:spacing w:after="80"/>
        <w:jc w:val="both"/>
      </w:pPr>
      <w:r>
        <w:t xml:space="preserve">I - certidões dos atos constantes do protocolo de audiências do cartório por onde haja corrido o processo;</w:t>
      </w:r>
    </w:p>
    <w:p>
      <w:pPr>
        <w:pStyle w:val="BodyText"/>
        <w:spacing w:after="80"/>
        <w:jc w:val="both"/>
      </w:pPr>
      <w:r>
        <w:t xml:space="preserve">II - cópia das peças que tenha em seu poder;</w:t>
      </w:r>
    </w:p>
    <w:p>
      <w:pPr>
        <w:pStyle w:val="BodyText"/>
        <w:spacing w:after="80"/>
        <w:jc w:val="both"/>
      </w:pPr>
      <w:r>
        <w:t xml:space="preserve">III - qualquer outro documento que facilite a restauração.</w:t>
      </w:r>
    </w:p>
    <w:bookmarkEnd w:id="489"/>
    <w:bookmarkStart w:id="490" w:name="art.-714"/>
    <w:p>
      <w:pPr>
        <w:pStyle w:val="Heading6"/>
        <w:pBdr>
          <w:left w:val="single" w:sz="36" w:space="4" w:color="2E75B6"/>
        </w:pBdr>
        <w:shd w:val="clear" w:color="auto" w:fill="E3EEF9"/>
        <w:spacing w:before="200" w:after="80"/>
        <w:ind w:left="85"/>
      </w:pPr>
      <w:r>
        <w:rPr>
          <w:i w:val="0"/>
          <w:color w:val="1F3A5F"/>
          <w:sz w:val="23"/>
        </w:rPr>
        <w:t xml:space="preserve">Art. 714</w:t>
      </w:r>
    </w:p>
    <w:p>
      <w:pPr>
        <w:pStyle w:val="FirstParagraph"/>
        <w:spacing w:after="80"/>
        <w:jc w:val="both"/>
      </w:pPr>
      <w:r>
        <w:rPr>
          <w:b/>
          <w:bCs/>
        </w:rPr>
        <w:t xml:space="preserve">Art. 714.</w:t>
      </w:r>
      <w:r>
        <w:t xml:space="preserve"> </w:t>
      </w:r>
      <w:r>
        <w:t xml:space="preserve">A parte contrária será citada para contestar o pedido no prazo de 5 (cinco) dias, cabendo-lhe exibir as cópias, as contrafés e as reproduções dos atos e dos documentos que estiverem em seu poder.</w:t>
      </w:r>
    </w:p>
    <w:p>
      <w:pPr>
        <w:pStyle w:val="BodyText"/>
        <w:keepNext/>
        <w:spacing w:after="80"/>
        <w:jc w:val="both"/>
      </w:pPr>
      <w:r>
        <w:t xml:space="preserve">§ 1º Se a parte concordar com a restauração, lavrar-se-á o auto que, assinado pelas partes e homologado pelo juiz, suprirá o processo desaparecido.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76"/>
        <w:gridCol w:w="2705"/>
        <w:gridCol w:w="4873"/>
      </w:tblGrid>
      <w:tr>
        <w:trPr>
          <w:tblHeader w:val="on"/>
          <w:cantSplit/>
          <w:tblHeader/>
        </w:trPr>
        <w:tc>
          <w:tcPr>
            <w:tcW w:type="dxa" w:w="1777"/>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0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7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777"/>
          </w:tcPr>
          <w:p>
            <w:pPr>
              <w:pStyle w:val="Compact"/>
              <w:spacing w:line="276" w:lineRule="auto" w:before="40" w:after="40"/>
            </w:pPr>
            <w:r>
              <w:rPr>
                <w:rFonts w:ascii="Liberation Sans Narrow" w:hAnsi="Liberation Sans Narrow"/>
                <w:sz w:val="18"/>
              </w:rPr>
              <w:t xml:space="preserve">§ 1º — natureza do ato que homologa ou julga a restauração</w:t>
            </w:r>
          </w:p>
        </w:tc>
        <w:tc>
          <w:tcPr>
            <w:tcW w:type="dxa" w:w="2705"/>
          </w:tcPr>
          <w:p>
            <w:pPr>
              <w:pStyle w:val="Compact"/>
              <w:spacing w:line="276" w:lineRule="auto" w:before="40" w:after="40"/>
            </w:pPr>
            <w:r>
              <w:rPr>
                <w:rFonts w:ascii="Liberation Sans Narrow" w:hAnsi="Liberation Sans Narrow"/>
                <w:sz w:val="18"/>
              </w:rPr>
              <w:t xml:space="preserve">STJ, REsp 2.207.935, Terceira Turma, relatora Min. Nancy Andrighi, julgado em 16/10/2025, DJEN de 23/10/2025</w:t>
            </w:r>
          </w:p>
        </w:tc>
        <w:tc>
          <w:tcPr>
            <w:tcW w:type="dxa" w:w="4873"/>
          </w:tcPr>
          <w:p>
            <w:pPr>
              <w:pStyle w:val="Compact"/>
              <w:spacing w:line="276" w:lineRule="auto" w:before="40" w:after="40"/>
            </w:pPr>
            <w:r>
              <w:rPr>
                <w:rFonts w:ascii="Liberation Sans Narrow" w:hAnsi="Liberation Sans Narrow"/>
                <w:sz w:val="18"/>
              </w:rPr>
              <w:t xml:space="preserve">O ato que homologa a restauração (art. 714, § 1º) ou a julga (art. 716) tem natureza de sentença, porque põe fim ao procedimento especial e encerra a cognição da ação incidental, e o recurso cabível é a apelação; havendo divergência na interpretação sobre essa natureza, a dúvida objetiva autoriza a fungibilidade do agravo de instrumento, afastado o erro grosseiro.</w:t>
            </w:r>
          </w:p>
        </w:tc>
      </w:tr>
    </w:tbl>
    <w:p>
      <w:pPr>
        <w:pStyle w:val="BodyText"/>
        <w:spacing w:after="80"/>
        <w:jc w:val="both"/>
      </w:pPr>
      <w:r>
        <w:t xml:space="preserve">§ 2º Se a parte não contestar ou se a concordância for parcial, observar-se-á o procedimento comum.</w:t>
      </w:r>
    </w:p>
    <w:bookmarkEnd w:id="490"/>
    <w:bookmarkStart w:id="491" w:name="art.-715"/>
    <w:p>
      <w:pPr>
        <w:pStyle w:val="Heading6"/>
        <w:pBdr>
          <w:left w:val="single" w:sz="36" w:space="4" w:color="2E75B6"/>
        </w:pBdr>
        <w:shd w:val="clear" w:color="auto" w:fill="E3EEF9"/>
        <w:spacing w:before="200" w:after="80"/>
        <w:ind w:left="85"/>
      </w:pPr>
      <w:r>
        <w:rPr>
          <w:i w:val="0"/>
          <w:color w:val="1F3A5F"/>
          <w:sz w:val="23"/>
        </w:rPr>
        <w:t xml:space="preserve">Art. 715</w:t>
      </w:r>
    </w:p>
    <w:p>
      <w:pPr>
        <w:pStyle w:val="FirstParagraph"/>
        <w:spacing w:after="80"/>
        <w:jc w:val="both"/>
      </w:pPr>
      <w:r>
        <w:rPr>
          <w:b/>
          <w:bCs/>
        </w:rPr>
        <w:t xml:space="preserve">Art. 715.</w:t>
      </w:r>
      <w:r>
        <w:t xml:space="preserve"> </w:t>
      </w:r>
      <w:r>
        <w:t xml:space="preserve">Se a perda dos autos tiver ocorrido depois da produção das provas em audiência, o juiz, se necessário, mandará repeti-las.</w:t>
      </w:r>
    </w:p>
    <w:p>
      <w:pPr>
        <w:pStyle w:val="BodyText"/>
        <w:spacing w:after="80"/>
        <w:jc w:val="both"/>
      </w:pPr>
      <w:r>
        <w:t xml:space="preserve">§ 1º Serão reinquiridas as mesmas testemunhas, que, em caso de impossibilidade, poderão ser substituídas de ofício ou a requerimento.</w:t>
      </w:r>
    </w:p>
    <w:p>
      <w:pPr>
        <w:pStyle w:val="BodyText"/>
        <w:spacing w:after="80"/>
        <w:jc w:val="both"/>
      </w:pPr>
      <w:r>
        <w:t xml:space="preserve">§ 2º Não havendo certidão ou cópia do laudo, far-se-á nova perícia, sempre que possível pelo mesmo perito.</w:t>
      </w:r>
    </w:p>
    <w:p>
      <w:pPr>
        <w:pStyle w:val="BodyText"/>
        <w:spacing w:after="80"/>
        <w:jc w:val="both"/>
      </w:pPr>
      <w:r>
        <w:t xml:space="preserve">§ 3º Não havendo certidão de documentos, esses serão reconstituídos mediante cópias ou, na falta dessas, pelos meios ordinários de prova.</w:t>
      </w:r>
    </w:p>
    <w:p>
      <w:pPr>
        <w:pStyle w:val="BodyText"/>
        <w:spacing w:after="80"/>
        <w:jc w:val="both"/>
      </w:pPr>
      <w:r>
        <w:t xml:space="preserve">§ 4º Os serventuários e os auxiliares da justiça não podem eximir-se de depor como testemunhas a respeito de atos que tenham praticado ou assistido.</w:t>
      </w:r>
    </w:p>
    <w:p>
      <w:pPr>
        <w:pStyle w:val="BodyText"/>
        <w:spacing w:after="80"/>
        <w:jc w:val="both"/>
      </w:pPr>
      <w:r>
        <w:t xml:space="preserve">§ 5º Se o juiz houver proferido sentença da qual ele próprio ou o escrivão possua cópia, esta será juntada aos autos e terá a mesma autoridade da original.</w:t>
      </w:r>
    </w:p>
    <w:bookmarkEnd w:id="491"/>
    <w:bookmarkStart w:id="492" w:name="art.-716"/>
    <w:p>
      <w:pPr>
        <w:pStyle w:val="Heading6"/>
        <w:pBdr>
          <w:left w:val="single" w:sz="36" w:space="4" w:color="2E75B6"/>
        </w:pBdr>
        <w:shd w:val="clear" w:color="auto" w:fill="E3EEF9"/>
        <w:spacing w:before="200" w:after="80"/>
        <w:ind w:left="85"/>
      </w:pPr>
      <w:r>
        <w:rPr>
          <w:i w:val="0"/>
          <w:color w:val="1F3A5F"/>
          <w:sz w:val="23"/>
        </w:rPr>
        <w:t xml:space="preserve">Art. 716</w:t>
      </w:r>
    </w:p>
    <w:p>
      <w:pPr>
        <w:pStyle w:val="FirstParagraph"/>
        <w:keepNext/>
        <w:spacing w:after="80"/>
        <w:jc w:val="both"/>
      </w:pPr>
      <w:r>
        <w:rPr>
          <w:b/>
          <w:bCs/>
        </w:rPr>
        <w:t xml:space="preserve">Art. 716.</w:t>
      </w:r>
      <w:r>
        <w:t xml:space="preserve"> </w:t>
      </w:r>
      <w:r>
        <w:t xml:space="preserve">Julgada a restauração, seguirá o processo os seus termos.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2748"/>
        <w:gridCol w:w="4951"/>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4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95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55"/>
          </w:tcPr>
          <w:p>
            <w:pPr>
              <w:pStyle w:val="Compact"/>
              <w:spacing w:line="276" w:lineRule="auto" w:before="40" w:after="40"/>
            </w:pPr>
            <w:r>
              <w:rPr>
                <w:rFonts w:ascii="Liberation Sans Narrow" w:hAnsi="Liberation Sans Narrow"/>
                <w:sz w:val="18"/>
              </w:rPr>
              <w:t xml:space="preserve">Caput — orientação de aplicação (aplicação narrada)</w:t>
            </w:r>
          </w:p>
        </w:tc>
        <w:tc>
          <w:tcPr>
            <w:tcW w:type="dxa" w:w="2748"/>
          </w:tcPr>
          <w:p>
            <w:pPr>
              <w:pStyle w:val="Compact"/>
              <w:spacing w:line="276" w:lineRule="auto" w:before="40" w:after="40"/>
            </w:pPr>
            <w:r>
              <w:rPr>
                <w:rFonts w:ascii="Liberation Sans Narrow" w:hAnsi="Liberation Sans Narrow"/>
                <w:sz w:val="18"/>
              </w:rPr>
              <w:t xml:space="preserve">STJ, REsp 2.207.935, Terceira Turma, relatora Min. Nancy Andrighi, julgado em 16/10/2025, DJEN de 23/10/2025</w:t>
            </w:r>
          </w:p>
        </w:tc>
        <w:tc>
          <w:tcPr>
            <w:tcW w:type="dxa" w:w="4951"/>
          </w:tcPr>
          <w:p>
            <w:pPr>
              <w:pStyle w:val="Compact"/>
              <w:spacing w:line="276" w:lineRule="auto" w:before="40" w:after="40"/>
            </w:pPr>
            <w:r>
              <w:rPr>
                <w:rFonts w:ascii="Liberation Sans Narrow" w:hAnsi="Liberation Sans Narrow"/>
                <w:sz w:val="18"/>
              </w:rPr>
              <w:t xml:space="preserve">O ato judicial que homologa (art. 714, § 1º) ou julga a restauração de autos (art. 716) tem natureza de sentença, por pôr fim ao procedimento especial, de modo que o recurso cabível é a apelação, admitida a fungibilidade quando houver dúvida objetiva quanto ao recurso. Trecho: “O ato judicial que homologa (art. 714, § 1º, do CPC) ou julga a restauração de autos (art. 716 do CPC) tem natureza jurídica de sentença, uma vez que põe fim ao procedimento especial, encerrando a cognição própria daquela autônoma ação incidental”</w:t>
            </w:r>
          </w:p>
        </w:tc>
      </w:tr>
    </w:tbl>
    <w:p>
      <w:pPr>
        <w:pStyle w:val="BodyText"/>
        <w:spacing w:after="80"/>
        <w:jc w:val="both"/>
      </w:pPr>
      <w:r>
        <w:t xml:space="preserve">Parágrafo único. Aparecendo os autos originais, neles se prosseguirá, sendo-lhes apensados os autos da restauração.</w:t>
      </w:r>
    </w:p>
    <w:bookmarkEnd w:id="492"/>
    <w:bookmarkStart w:id="493" w:name="art.-717"/>
    <w:p>
      <w:pPr>
        <w:pStyle w:val="Heading6"/>
        <w:pBdr>
          <w:left w:val="single" w:sz="36" w:space="4" w:color="2E75B6"/>
        </w:pBdr>
        <w:shd w:val="clear" w:color="auto" w:fill="E3EEF9"/>
        <w:spacing w:before="200" w:after="80"/>
        <w:ind w:left="85"/>
      </w:pPr>
      <w:r>
        <w:rPr>
          <w:i w:val="0"/>
          <w:color w:val="1F3A5F"/>
          <w:sz w:val="23"/>
        </w:rPr>
        <w:t xml:space="preserve">Art. 717</w:t>
      </w:r>
    </w:p>
    <w:p>
      <w:pPr>
        <w:pStyle w:val="FirstParagraph"/>
        <w:spacing w:after="80"/>
        <w:jc w:val="both"/>
      </w:pPr>
      <w:r>
        <w:rPr>
          <w:b/>
          <w:bCs/>
        </w:rPr>
        <w:t xml:space="preserve">Art. 717.</w:t>
      </w:r>
      <w:r>
        <w:t xml:space="preserve"> </w:t>
      </w:r>
      <w:r>
        <w:t xml:space="preserve">Se o desaparecimento dos autos tiver ocorrido no tribunal, o processo de restauração será distribuído, sempre que possível, ao relator do processo.</w:t>
      </w:r>
    </w:p>
    <w:p>
      <w:pPr>
        <w:pStyle w:val="BodyText"/>
        <w:spacing w:after="80"/>
        <w:jc w:val="both"/>
      </w:pPr>
      <w:r>
        <w:t xml:space="preserve">§ 1º A restauração far-se-á no juízo de origem quanto aos atos nele realizados.</w:t>
      </w:r>
    </w:p>
    <w:p>
      <w:pPr>
        <w:pStyle w:val="BodyText"/>
        <w:spacing w:after="80"/>
        <w:jc w:val="both"/>
      </w:pPr>
      <w:r>
        <w:t xml:space="preserve">§ 2º Remetidos os autos ao tribunal, nele completar-se-á a restauração e proceder-se-á ao julgamento.</w:t>
      </w:r>
    </w:p>
    <w:bookmarkEnd w:id="493"/>
    <w:bookmarkStart w:id="494" w:name="art.-718"/>
    <w:p>
      <w:pPr>
        <w:pStyle w:val="Heading6"/>
        <w:pBdr>
          <w:left w:val="single" w:sz="36" w:space="4" w:color="2E75B6"/>
        </w:pBdr>
        <w:shd w:val="clear" w:color="auto" w:fill="E3EEF9"/>
        <w:spacing w:before="200" w:after="80"/>
        <w:ind w:left="85"/>
      </w:pPr>
      <w:r>
        <w:rPr>
          <w:i w:val="0"/>
          <w:color w:val="1F3A5F"/>
          <w:sz w:val="23"/>
        </w:rPr>
        <w:t xml:space="preserve">Art. 718</w:t>
      </w:r>
    </w:p>
    <w:p>
      <w:pPr>
        <w:pStyle w:val="FirstParagraph"/>
        <w:spacing w:after="80"/>
        <w:jc w:val="both"/>
      </w:pPr>
      <w:r>
        <w:rPr>
          <w:b/>
          <w:bCs/>
        </w:rPr>
        <w:t xml:space="preserve">Art. 718.</w:t>
      </w:r>
      <w:r>
        <w:t xml:space="preserve"> </w:t>
      </w:r>
      <w:r>
        <w:t xml:space="preserve">Quem houver dado causa ao desaparecimento dos autos responderá pelas custas da restauração e pelos honorários de advogado, sem prejuízo da responsabilidade civil ou penal em que incorrer.</w:t>
      </w:r>
    </w:p>
    <w:bookmarkEnd w:id="494"/>
    <w:bookmarkEnd w:id="495"/>
    <w:bookmarkStart w:id="560" w:name="X63fbf3e33072cd035a42e7c199f19bf1364ad63"/>
    <w:p>
      <w:pPr>
        <w:pStyle w:val="Heading4"/>
        <w:spacing w:before="160" w:after="40"/>
      </w:pPr>
      <w:r>
        <w:rPr>
          <w:smallCaps/>
          <w:color w:val="2E75B6"/>
        </w:rPr>
        <w:t xml:space="preserve">Capítulo XV: dos procedimentos de jurisdição voluntária (arts. 719 a 770)</w:t>
      </w:r>
    </w:p>
    <w:bookmarkStart w:id="503" w:name="Xaabea7b7feb6209b33cd0e9e917a9ee3d4ca34c"/>
    <w:p>
      <w:pPr>
        <w:pStyle w:val="Heading5"/>
        <w:spacing w:before="140" w:after="20"/>
      </w:pPr>
      <w:r>
        <w:rPr>
          <w:i/>
          <w:color w:val="595959"/>
        </w:rPr>
        <w:t xml:space="preserve">Seção I: disposições gerais (arts. 719 a 725)</w:t>
      </w:r>
    </w:p>
    <w:bookmarkStart w:id="496" w:name="art.-719"/>
    <w:p>
      <w:pPr>
        <w:pStyle w:val="Heading6"/>
        <w:pBdr>
          <w:left w:val="single" w:sz="36" w:space="4" w:color="2E75B6"/>
        </w:pBdr>
        <w:shd w:val="clear" w:color="auto" w:fill="E3EEF9"/>
        <w:spacing w:before="200" w:after="80"/>
        <w:ind w:left="85"/>
      </w:pPr>
      <w:r>
        <w:rPr>
          <w:i w:val="0"/>
          <w:color w:val="1F3A5F"/>
          <w:sz w:val="23"/>
        </w:rPr>
        <w:t xml:space="preserve">Art. 719</w:t>
      </w:r>
    </w:p>
    <w:p>
      <w:pPr>
        <w:pStyle w:val="FirstParagraph"/>
        <w:keepNext/>
        <w:spacing w:after="80"/>
        <w:jc w:val="both"/>
      </w:pPr>
      <w:r>
        <w:rPr>
          <w:b/>
          <w:bCs/>
        </w:rPr>
        <w:t xml:space="preserve">Art. 719.</w:t>
      </w:r>
      <w:r>
        <w:t xml:space="preserve"> </w:t>
      </w:r>
      <w:r>
        <w:t xml:space="preserve">Quando este Código não estabelecer procedimento especial, regem os procedimentos de jurisdição voluntária as disposições constantes desta Seção.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91"/>
        <w:gridCol w:w="2613"/>
        <w:gridCol w:w="4450"/>
      </w:tblGrid>
      <w:tr>
        <w:trPr>
          <w:tblHeader w:val="on"/>
          <w:cantSplit/>
          <w:tblHeader/>
        </w:trPr>
        <w:tc>
          <w:tcPr>
            <w:tcW w:type="dxa" w:w="229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1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45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91"/>
          </w:tcPr>
          <w:p>
            <w:pPr>
              <w:pStyle w:val="Compact"/>
              <w:spacing w:line="276" w:lineRule="auto" w:before="40" w:after="40"/>
            </w:pPr>
            <w:r>
              <w:rPr>
                <w:rFonts w:ascii="Liberation Sans Narrow" w:hAnsi="Liberation Sans Narrow"/>
                <w:sz w:val="18"/>
              </w:rPr>
              <w:t xml:space="preserve">caput — exame dos requisitos extrínsecos (orientação de aplicação) (aplicação narrada)</w:t>
            </w:r>
          </w:p>
        </w:tc>
        <w:tc>
          <w:tcPr>
            <w:tcW w:type="dxa" w:w="2613"/>
          </w:tcPr>
          <w:p>
            <w:pPr>
              <w:pStyle w:val="Compact"/>
              <w:spacing w:line="276" w:lineRule="auto" w:before="40" w:after="40"/>
            </w:pPr>
            <w:r>
              <w:rPr>
                <w:rFonts w:ascii="Liberation Sans Narrow" w:hAnsi="Liberation Sans Narrow"/>
                <w:sz w:val="18"/>
              </w:rPr>
              <w:t xml:space="preserve">STJ, REsp 2.115.909, Terceira Turma, relator Min. Moura Ribeiro, julgado em 16/06/2026</w:t>
            </w:r>
          </w:p>
        </w:tc>
        <w:tc>
          <w:tcPr>
            <w:tcW w:type="dxa" w:w="4450"/>
          </w:tcPr>
          <w:p>
            <w:pPr>
              <w:pStyle w:val="Compact"/>
              <w:spacing w:line="276" w:lineRule="auto" w:before="40" w:after="40"/>
            </w:pPr>
            <w:r>
              <w:rPr>
                <w:rFonts w:ascii="Liberation Sans Narrow" w:hAnsi="Liberation Sans Narrow"/>
                <w:sz w:val="18"/>
              </w:rPr>
              <w:t xml:space="preserve">Nos procedimentos de jurisdição voluntária, a verificação dos requisitos extrínsecos do ato se faz de plano; a citação dos interessados e a dilação probatória não se prestam a suprir a ausência dos requisitos legais de validade, quando a lei exige forma escrita e assinada. Trecho: “A dilação probatória e a citação de herdeiros não se prestam a suprir a inexistência de assinatura e de leitura perante testemunhas, pois prova oral não cria testamento onde a lei exige forma escrita e assinada.”</w:t>
            </w:r>
          </w:p>
        </w:tc>
      </w:tr>
      <w:tr>
        <w:trPr>
          <w:cantSplit/>
        </w:trPr>
        <w:tc>
          <w:tcPr>
            <w:tcW w:type="dxa" w:w="2291"/>
          </w:tcPr>
          <w:p>
            <w:pPr>
              <w:pStyle w:val="Compact"/>
              <w:spacing w:line="276" w:lineRule="auto" w:before="40" w:after="40"/>
            </w:pPr>
            <w:r>
              <w:rPr>
                <w:rFonts w:ascii="Liberation Sans Narrow" w:hAnsi="Liberation Sans Narrow"/>
                <w:sz w:val="18"/>
              </w:rPr>
              <w:t xml:space="preserve">Caput — honorários na jurisdição voluntária com litigiosidade</w:t>
            </w:r>
          </w:p>
        </w:tc>
        <w:tc>
          <w:tcPr>
            <w:tcW w:type="dxa" w:w="2613"/>
          </w:tcPr>
          <w:p>
            <w:pPr>
              <w:pStyle w:val="Compact"/>
              <w:spacing w:line="276" w:lineRule="auto" w:before="40" w:after="40"/>
            </w:pPr>
            <w:r>
              <w:rPr>
                <w:rFonts w:ascii="Liberation Sans Narrow" w:hAnsi="Liberation Sans Narrow"/>
                <w:sz w:val="18"/>
              </w:rPr>
              <w:t xml:space="preserve">STJ, AgInt no AREsp 1.562.651, Terceira Turma, relator Min. Moura Ribeiro, DJe de 13/05/2021</w:t>
            </w:r>
          </w:p>
        </w:tc>
        <w:tc>
          <w:tcPr>
            <w:tcW w:type="dxa" w:w="4450"/>
          </w:tcPr>
          <w:p>
            <w:pPr>
              <w:pStyle w:val="Compact"/>
              <w:spacing w:line="276" w:lineRule="auto" w:before="40" w:after="40"/>
            </w:pPr>
            <w:r>
              <w:rPr>
                <w:rFonts w:ascii="Liberation Sans Narrow" w:hAnsi="Liberation Sans Narrow"/>
                <w:sz w:val="18"/>
              </w:rPr>
              <w:t xml:space="preserve">Em procedimento de jurisdição voluntária, a existência de litigiosidade excepciona a regra de não cabimento de condenação em honorários advocatícios; no caso, a discordância dos herdeiros na habilitação de crédito em inventário tornou o procedimento contencioso e autorizou a verba.</w:t>
            </w:r>
          </w:p>
        </w:tc>
      </w:tr>
    </w:tbl>
    <w:bookmarkEnd w:id="496"/>
    <w:bookmarkStart w:id="497" w:name="art.-720"/>
    <w:p>
      <w:pPr>
        <w:pStyle w:val="Heading6"/>
        <w:pBdr>
          <w:left w:val="single" w:sz="36" w:space="4" w:color="2E75B6"/>
        </w:pBdr>
        <w:shd w:val="clear" w:color="auto" w:fill="E3EEF9"/>
        <w:spacing w:before="200" w:after="80"/>
        <w:ind w:left="85"/>
      </w:pPr>
      <w:r>
        <w:rPr>
          <w:i w:val="0"/>
          <w:color w:val="1F3A5F"/>
          <w:sz w:val="23"/>
        </w:rPr>
        <w:t xml:space="preserve">Art. 720</w:t>
      </w:r>
    </w:p>
    <w:p>
      <w:pPr>
        <w:pStyle w:val="FirstParagraph"/>
        <w:keepNext/>
        <w:spacing w:after="80"/>
        <w:jc w:val="both"/>
      </w:pPr>
      <w:r>
        <w:rPr>
          <w:b/>
          <w:bCs/>
        </w:rPr>
        <w:t xml:space="preserve">Art. 720.</w:t>
      </w:r>
      <w:r>
        <w:t xml:space="preserve"> </w:t>
      </w:r>
      <w:r>
        <w:t xml:space="preserve">O procedimento terá início por provocação do interessado, do Ministério Público ou da Defensoria Pública, cabendo-lhes formular o pedido devidamente instruído com os documentos necessários e com a indicação da providência judicial.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1"/>
        <w:gridCol w:w="2762"/>
        <w:gridCol w:w="4941"/>
      </w:tblGrid>
      <w:tr>
        <w:trPr>
          <w:tblHeader w:val="on"/>
          <w:cantSplit/>
          <w:tblHeader/>
        </w:trPr>
        <w:tc>
          <w:tcPr>
            <w:tcW w:type="dxa" w:w="165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6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94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52"/>
          </w:tcPr>
          <w:p>
            <w:pPr>
              <w:pStyle w:val="Compact"/>
              <w:spacing w:line="276" w:lineRule="auto" w:before="40" w:after="40"/>
            </w:pPr>
            <w:r>
              <w:rPr>
                <w:rFonts w:ascii="Liberation Sans Narrow" w:hAnsi="Liberation Sans Narrow"/>
                <w:sz w:val="18"/>
              </w:rPr>
              <w:t xml:space="preserve">Caput — orientação de aplicação (aplicação narrada)</w:t>
            </w:r>
          </w:p>
        </w:tc>
        <w:tc>
          <w:tcPr>
            <w:tcW w:type="dxa" w:w="2762"/>
          </w:tcPr>
          <w:p>
            <w:pPr>
              <w:pStyle w:val="Compact"/>
              <w:spacing w:line="276" w:lineRule="auto" w:before="40" w:after="40"/>
            </w:pPr>
            <w:r>
              <w:rPr>
                <w:rFonts w:ascii="Liberation Sans Narrow" w:hAnsi="Liberation Sans Narrow"/>
                <w:sz w:val="18"/>
              </w:rPr>
              <w:t xml:space="preserve">STJ, REsp 2.118.304, Terceira Turma, relator Min. Humberto Martins, julgado em 12/08/2026, DJEN de 17/08/2026</w:t>
            </w:r>
          </w:p>
        </w:tc>
        <w:tc>
          <w:tcPr>
            <w:tcW w:type="dxa" w:w="4941"/>
          </w:tcPr>
          <w:p>
            <w:pPr>
              <w:pStyle w:val="Compact"/>
              <w:spacing w:line="276" w:lineRule="auto" w:before="40" w:after="40"/>
            </w:pPr>
            <w:r>
              <w:rPr>
                <w:rFonts w:ascii="Liberation Sans Narrow" w:hAnsi="Liberation Sans Narrow"/>
                <w:sz w:val="18"/>
              </w:rPr>
              <w:t xml:space="preserve">Em procedimento de jurisdição voluntária que envolve ato de disposição patrimonial por curador em nome de interdito, incide com intensidade o dever de cautela do magistrado (art. 723 do CPC), que pode exigir os documentos indispensáveis à aferição da higidez do negócio, inclusive o comprovante de quitação do preço e o formal de partilha ou equivalente. Trecho: “Em procedimento de jurisdição voluntária que envolve ato de disposição patrimonial por curador em nome de interdito, incide com intensidade o dever de cautela do magistrado (art.”</w:t>
            </w:r>
          </w:p>
        </w:tc>
      </w:tr>
    </w:tbl>
    <w:bookmarkEnd w:id="497"/>
    <w:bookmarkStart w:id="498" w:name="art.-721"/>
    <w:p>
      <w:pPr>
        <w:pStyle w:val="Heading6"/>
        <w:pBdr>
          <w:left w:val="single" w:sz="36" w:space="4" w:color="2E75B6"/>
        </w:pBdr>
        <w:shd w:val="clear" w:color="auto" w:fill="E3EEF9"/>
        <w:spacing w:before="200" w:after="80"/>
        <w:ind w:left="85"/>
      </w:pPr>
      <w:r>
        <w:rPr>
          <w:i w:val="0"/>
          <w:color w:val="1F3A5F"/>
          <w:sz w:val="23"/>
        </w:rPr>
        <w:t xml:space="preserve">Art. 721</w:t>
      </w:r>
    </w:p>
    <w:p>
      <w:pPr>
        <w:pStyle w:val="FirstParagraph"/>
        <w:spacing w:after="80"/>
        <w:jc w:val="both"/>
      </w:pPr>
      <w:r>
        <w:rPr>
          <w:b/>
          <w:bCs/>
        </w:rPr>
        <w:t xml:space="preserve">Art. 721.</w:t>
      </w:r>
      <w:r>
        <w:t xml:space="preserve"> </w:t>
      </w:r>
      <w:r>
        <w:t xml:space="preserve">Serão citados todos os interessados, bem como intimado o Ministério Público, nos casos do art. 178, para que se manifestem, querendo, no prazo de 15 (quinze) dias.</w:t>
      </w:r>
    </w:p>
    <w:bookmarkEnd w:id="498"/>
    <w:bookmarkStart w:id="499" w:name="art.-722"/>
    <w:p>
      <w:pPr>
        <w:pStyle w:val="Heading6"/>
        <w:pBdr>
          <w:left w:val="single" w:sz="36" w:space="4" w:color="2E75B6"/>
        </w:pBdr>
        <w:shd w:val="clear" w:color="auto" w:fill="E3EEF9"/>
        <w:spacing w:before="200" w:after="80"/>
        <w:ind w:left="85"/>
      </w:pPr>
      <w:r>
        <w:rPr>
          <w:i w:val="0"/>
          <w:color w:val="1F3A5F"/>
          <w:sz w:val="23"/>
        </w:rPr>
        <w:t xml:space="preserve">Art. 722</w:t>
      </w:r>
    </w:p>
    <w:p>
      <w:pPr>
        <w:pStyle w:val="FirstParagraph"/>
        <w:spacing w:after="80"/>
        <w:jc w:val="both"/>
      </w:pPr>
      <w:r>
        <w:rPr>
          <w:b/>
          <w:bCs/>
        </w:rPr>
        <w:t xml:space="preserve">Art. 722.</w:t>
      </w:r>
      <w:r>
        <w:t xml:space="preserve"> </w:t>
      </w:r>
      <w:r>
        <w:t xml:space="preserve">A Fazenda Pública será sempre ouvida nos casos em que tiver interesse.</w:t>
      </w:r>
    </w:p>
    <w:bookmarkEnd w:id="499"/>
    <w:bookmarkStart w:id="500" w:name="art.-723"/>
    <w:p>
      <w:pPr>
        <w:pStyle w:val="Heading6"/>
        <w:pBdr>
          <w:left w:val="single" w:sz="36" w:space="4" w:color="2E75B6"/>
        </w:pBdr>
        <w:shd w:val="clear" w:color="auto" w:fill="E3EEF9"/>
        <w:spacing w:before="200" w:after="80"/>
        <w:ind w:left="85"/>
      </w:pPr>
      <w:r>
        <w:rPr>
          <w:i w:val="0"/>
          <w:color w:val="1F3A5F"/>
          <w:sz w:val="23"/>
        </w:rPr>
        <w:t xml:space="preserve">Art. 723</w:t>
      </w:r>
    </w:p>
    <w:p>
      <w:pPr>
        <w:pStyle w:val="FirstParagraph"/>
        <w:spacing w:after="80"/>
        <w:jc w:val="both"/>
      </w:pPr>
      <w:r>
        <w:rPr>
          <w:b/>
          <w:bCs/>
        </w:rPr>
        <w:t xml:space="preserve">Art. 723.</w:t>
      </w:r>
      <w:r>
        <w:t xml:space="preserve"> </w:t>
      </w:r>
      <w:r>
        <w:t xml:space="preserve">O juiz decidirá o pedido no prazo de 10 (dez) dias.</w:t>
      </w:r>
    </w:p>
    <w:p>
      <w:pPr>
        <w:pStyle w:val="BodyText"/>
        <w:spacing w:after="80"/>
        <w:jc w:val="both"/>
      </w:pPr>
      <w:r>
        <w:t xml:space="preserve">Parágrafo único. O juiz não é obrigado a observar critério de legalidade estrita, podendo adotar em cada caso a solução que considerar mais conveniente ou oportuna.</w:t>
      </w:r>
    </w:p>
    <w:bookmarkEnd w:id="500"/>
    <w:bookmarkStart w:id="501" w:name="art.-724"/>
    <w:p>
      <w:pPr>
        <w:pStyle w:val="Heading6"/>
        <w:pBdr>
          <w:left w:val="single" w:sz="36" w:space="4" w:color="2E75B6"/>
        </w:pBdr>
        <w:shd w:val="clear" w:color="auto" w:fill="E3EEF9"/>
        <w:spacing w:before="200" w:after="80"/>
        <w:ind w:left="85"/>
      </w:pPr>
      <w:r>
        <w:rPr>
          <w:i w:val="0"/>
          <w:color w:val="1F3A5F"/>
          <w:sz w:val="23"/>
        </w:rPr>
        <w:t xml:space="preserve">Art. 724</w:t>
      </w:r>
    </w:p>
    <w:p>
      <w:pPr>
        <w:pStyle w:val="FirstParagraph"/>
        <w:spacing w:after="80"/>
        <w:jc w:val="both"/>
      </w:pPr>
      <w:r>
        <w:rPr>
          <w:b/>
          <w:bCs/>
        </w:rPr>
        <w:t xml:space="preserve">Art. 724.</w:t>
      </w:r>
      <w:r>
        <w:t xml:space="preserve"> </w:t>
      </w:r>
      <w:r>
        <w:t xml:space="preserve">Da sentença caberá apelação.</w:t>
      </w:r>
    </w:p>
    <w:bookmarkEnd w:id="501"/>
    <w:bookmarkStart w:id="502" w:name="art.-725"/>
    <w:p>
      <w:pPr>
        <w:pStyle w:val="Heading6"/>
        <w:pBdr>
          <w:left w:val="single" w:sz="36" w:space="4" w:color="2E75B6"/>
        </w:pBdr>
        <w:shd w:val="clear" w:color="auto" w:fill="E3EEF9"/>
        <w:spacing w:before="200" w:after="80"/>
        <w:ind w:left="85"/>
      </w:pPr>
      <w:r>
        <w:rPr>
          <w:i w:val="0"/>
          <w:color w:val="1F3A5F"/>
          <w:sz w:val="23"/>
        </w:rPr>
        <w:t xml:space="preserve">Art. 725</w:t>
      </w:r>
    </w:p>
    <w:p>
      <w:pPr>
        <w:pStyle w:val="FirstParagraph"/>
        <w:spacing w:after="80"/>
        <w:jc w:val="both"/>
      </w:pPr>
      <w:r>
        <w:rPr>
          <w:b/>
          <w:bCs/>
        </w:rPr>
        <w:t xml:space="preserve">Art. 725.</w:t>
      </w:r>
      <w:r>
        <w:t xml:space="preserve"> </w:t>
      </w:r>
      <w:r>
        <w:t xml:space="preserve">Processar-se-á na forma estabelecida nesta Seção o pedido de:</w:t>
      </w:r>
    </w:p>
    <w:p>
      <w:pPr>
        <w:pStyle w:val="BodyText"/>
        <w:spacing w:after="80"/>
        <w:jc w:val="both"/>
      </w:pPr>
      <w:r>
        <w:t xml:space="preserve">I - emancipação;</w:t>
      </w:r>
    </w:p>
    <w:p>
      <w:pPr>
        <w:pStyle w:val="BodyText"/>
        <w:spacing w:after="80"/>
        <w:jc w:val="both"/>
      </w:pPr>
      <w:r>
        <w:t xml:space="preserve">II - sub-rogação;</w:t>
      </w:r>
    </w:p>
    <w:p>
      <w:pPr>
        <w:pStyle w:val="BodyText"/>
        <w:spacing w:after="80"/>
        <w:jc w:val="both"/>
      </w:pPr>
      <w:r>
        <w:t xml:space="preserve">III - alienação, arrendamento ou oneração de bens de crianças ou adolescentes, de órfãos e de interditos;</w:t>
      </w:r>
    </w:p>
    <w:p>
      <w:pPr>
        <w:pStyle w:val="BodyText"/>
        <w:spacing w:after="80"/>
        <w:jc w:val="both"/>
      </w:pPr>
      <w:r>
        <w:t xml:space="preserve">IV - alienação, locação e administração da coisa comum;</w:t>
      </w:r>
    </w:p>
    <w:p>
      <w:pPr>
        <w:pStyle w:val="BodyText"/>
        <w:spacing w:after="80"/>
        <w:jc w:val="both"/>
      </w:pPr>
      <w:r>
        <w:t xml:space="preserve">V - alienação de quinhão em coisa comum;</w:t>
      </w:r>
    </w:p>
    <w:p>
      <w:pPr>
        <w:pStyle w:val="BodyText"/>
        <w:keepNext/>
        <w:spacing w:after="80"/>
        <w:jc w:val="both"/>
      </w:pPr>
      <w:r>
        <w:t xml:space="preserve">VI - extinção de usufruto, quando não decorrer da morte do usufrutuário, do termo da sua duração ou da consolidação, e de fideicomisso, quando decorrer de renúncia ou quando ocorrer antes do evento que caracterizar a condição resolutória;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2701"/>
        <w:gridCol w:w="5123"/>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0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12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VI — aplicação (aplicação narrada)</w:t>
            </w:r>
          </w:p>
        </w:tc>
        <w:tc>
          <w:tcPr>
            <w:tcW w:type="dxa" w:w="2701"/>
          </w:tcPr>
          <w:p>
            <w:pPr>
              <w:pStyle w:val="Compact"/>
              <w:spacing w:line="276" w:lineRule="auto" w:before="40" w:after="40"/>
            </w:pPr>
            <w:r>
              <w:rPr>
                <w:rFonts w:ascii="Liberation Sans Narrow" w:hAnsi="Liberation Sans Narrow"/>
                <w:sz w:val="18"/>
              </w:rPr>
              <w:t xml:space="preserve">STJ, AREsp 2.601.607, Quarta Turma, relator Min. Raul Araújo, julgado em 22/09/2025, DJEN de 26/09/2025</w:t>
            </w:r>
          </w:p>
        </w:tc>
        <w:tc>
          <w:tcPr>
            <w:tcW w:type="dxa" w:w="5123"/>
          </w:tcPr>
          <w:p>
            <w:pPr>
              <w:pStyle w:val="Compact"/>
              <w:spacing w:line="276" w:lineRule="auto" w:before="40" w:after="40"/>
            </w:pPr>
            <w:r>
              <w:rPr>
                <w:rFonts w:ascii="Liberation Sans Narrow" w:hAnsi="Liberation Sans Narrow"/>
                <w:sz w:val="18"/>
              </w:rPr>
              <w:t xml:space="preserve">A extinção do usufruto por descumprimento das obrigações do usufrutuário deve ser apurada em procedimento judicial próprio, na forma do art. 725, VI, do CPC. Trecho: “A extinção do usufruto por descumprimento das obrigações do usufrutuário deve ser apurada em procedimento judicial próprio, conforme art.”</w:t>
            </w:r>
          </w:p>
        </w:tc>
      </w:tr>
    </w:tbl>
    <w:p>
      <w:pPr>
        <w:pStyle w:val="BodyText"/>
        <w:spacing w:after="80"/>
        <w:jc w:val="both"/>
      </w:pPr>
      <w:r>
        <w:t xml:space="preserve">VII - expedição de alvará judicial;</w:t>
      </w:r>
    </w:p>
    <w:p>
      <w:pPr>
        <w:pStyle w:val="BodyText"/>
        <w:spacing w:after="80"/>
        <w:jc w:val="both"/>
      </w:pPr>
      <w:r>
        <w:t xml:space="preserve">VIII - homologação de autocomposição extrajudicial, de qualquer natureza ou valor.</w:t>
      </w:r>
    </w:p>
    <w:p>
      <w:pPr>
        <w:pStyle w:val="BodyText"/>
        <w:spacing w:after="80"/>
        <w:jc w:val="both"/>
      </w:pPr>
      <w:r>
        <w:t xml:space="preserve">Parágrafo único. As normas desta Seção aplicam-se, no que couber, aos procedimentos regulados nas seções seguintes.</w:t>
      </w:r>
    </w:p>
    <w:bookmarkEnd w:id="502"/>
    <w:bookmarkEnd w:id="503"/>
    <w:bookmarkStart w:id="508" w:name="Xb12b26786314680f9428c186d322a794d3a03c1"/>
    <w:p>
      <w:pPr>
        <w:pStyle w:val="Heading5"/>
        <w:spacing w:before="140" w:after="20"/>
      </w:pPr>
      <w:r>
        <w:rPr>
          <w:i/>
          <w:color w:val="595959"/>
        </w:rPr>
        <w:t xml:space="preserve">Seção II: da notificação e da interpelação (arts. 726 a 729)</w:t>
      </w:r>
    </w:p>
    <w:bookmarkStart w:id="504" w:name="art.-726"/>
    <w:p>
      <w:pPr>
        <w:pStyle w:val="Heading6"/>
        <w:pBdr>
          <w:left w:val="single" w:sz="36" w:space="4" w:color="2E75B6"/>
        </w:pBdr>
        <w:shd w:val="clear" w:color="auto" w:fill="E3EEF9"/>
        <w:spacing w:before="200" w:after="80"/>
        <w:ind w:left="85"/>
      </w:pPr>
      <w:r>
        <w:rPr>
          <w:i w:val="0"/>
          <w:color w:val="1F3A5F"/>
          <w:sz w:val="23"/>
        </w:rPr>
        <w:t xml:space="preserve">Art. 726</w:t>
      </w:r>
    </w:p>
    <w:p>
      <w:pPr>
        <w:pStyle w:val="FirstParagraph"/>
        <w:keepNext/>
        <w:spacing w:after="80"/>
        <w:jc w:val="both"/>
      </w:pPr>
      <w:r>
        <w:rPr>
          <w:b/>
          <w:bCs/>
        </w:rPr>
        <w:t xml:space="preserve">Art. 726.</w:t>
      </w:r>
      <w:r>
        <w:t xml:space="preserve"> </w:t>
      </w:r>
      <w:r>
        <w:t xml:space="preserve">Quem tiver interesse em manifestar formalmente sua vontade a outrem sobre assunto juridicamente relevante poderá notificar pessoas participantes da mesma relação jurídica para dar-lhes ciência de seu propósito.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42"/>
        <w:gridCol w:w="2907"/>
        <w:gridCol w:w="4205"/>
      </w:tblGrid>
      <w:tr>
        <w:trPr>
          <w:tblHeader w:val="on"/>
          <w:cantSplit/>
          <w:tblHeader/>
        </w:trPr>
        <w:tc>
          <w:tcPr>
            <w:tcW w:type="dxa" w:w="224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90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20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42"/>
          </w:tcPr>
          <w:p>
            <w:pPr>
              <w:pStyle w:val="Compact"/>
              <w:spacing w:line="276" w:lineRule="auto" w:before="40" w:after="40"/>
            </w:pPr>
            <w:r>
              <w:rPr>
                <w:rFonts w:ascii="Liberation Sans Narrow" w:hAnsi="Liberation Sans Narrow"/>
                <w:sz w:val="18"/>
              </w:rPr>
              <w:t xml:space="preserve">Protesto contra a alienação de bens: legítimo interesse e bem de família</w:t>
            </w:r>
          </w:p>
        </w:tc>
        <w:tc>
          <w:tcPr>
            <w:tcW w:type="dxa" w:w="2908"/>
          </w:tcPr>
          <w:p>
            <w:pPr>
              <w:pStyle w:val="Compact"/>
              <w:spacing w:line="276" w:lineRule="auto" w:before="40" w:after="40"/>
            </w:pPr>
            <w:r>
              <w:rPr>
                <w:rFonts w:ascii="Liberation Sans Narrow" w:hAnsi="Liberation Sans Narrow"/>
                <w:sz w:val="18"/>
              </w:rPr>
              <w:t xml:space="preserve">STJ, REsp 1.236.057, Quarta Turma, relator Min. Antonio Carlos Ferreira, julgado em 06/04/2021, DJe de 28/04/2021</w:t>
            </w:r>
          </w:p>
        </w:tc>
        <w:tc>
          <w:tcPr>
            <w:tcW w:type="dxa" w:w="4205"/>
          </w:tcPr>
          <w:p>
            <w:pPr>
              <w:pStyle w:val="Compact"/>
              <w:spacing w:line="276" w:lineRule="auto" w:before="40" w:after="40"/>
            </w:pPr>
            <w:r>
              <w:rPr>
                <w:rFonts w:ascii="Liberation Sans Narrow" w:hAnsi="Liberation Sans Narrow"/>
                <w:sz w:val="18"/>
              </w:rPr>
              <w:t xml:space="preserve">O protesto contra a alienação de bens pressupõe legítimo interesse e não prejudicialidade efetiva da medida. Quanto ao bem de família, ele não impede nem anula a venda: apenas informa terceiros de boa-fé da pretensão do credor, caso se afaste a proteção da Lei 8.009/1990.</w:t>
            </w:r>
          </w:p>
        </w:tc>
      </w:tr>
      <w:tr>
        <w:trPr>
          <w:cantSplit/>
        </w:trPr>
        <w:tc>
          <w:tcPr>
            <w:tcW w:type="dxa" w:w="2242"/>
          </w:tcPr>
          <w:p>
            <w:pPr>
              <w:pStyle w:val="Compact"/>
              <w:spacing w:line="276" w:lineRule="auto" w:before="40" w:after="40"/>
            </w:pPr>
            <w:r>
              <w:rPr>
                <w:rFonts w:ascii="Liberation Sans Narrow" w:hAnsi="Liberation Sans Narrow"/>
                <w:sz w:val="18"/>
              </w:rPr>
              <w:t xml:space="preserve">Embargos de terceiro contra a averbação do protesto: falta de interesse processual</w:t>
            </w:r>
          </w:p>
        </w:tc>
        <w:tc>
          <w:tcPr>
            <w:tcW w:type="dxa" w:w="2908"/>
          </w:tcPr>
          <w:p>
            <w:pPr>
              <w:pStyle w:val="Compact"/>
              <w:spacing w:line="276" w:lineRule="auto" w:before="40" w:after="40"/>
            </w:pPr>
            <w:r>
              <w:rPr>
                <w:rFonts w:ascii="Liberation Sans Narrow" w:hAnsi="Liberation Sans Narrow"/>
                <w:sz w:val="18"/>
              </w:rPr>
              <w:t xml:space="preserve">STJ, REsp 1.758.858, Terceira Turma, relatora Min. Nancy Andrighi, julgado em 19/05/2020, DJe de 25/05/2020</w:t>
            </w:r>
          </w:p>
        </w:tc>
        <w:tc>
          <w:tcPr>
            <w:tcW w:type="dxa" w:w="4205"/>
          </w:tcPr>
          <w:p>
            <w:pPr>
              <w:pStyle w:val="Compact"/>
              <w:spacing w:line="276" w:lineRule="auto" w:before="40" w:after="40"/>
            </w:pPr>
            <w:r>
              <w:rPr>
                <w:rFonts w:ascii="Liberation Sans Narrow" w:hAnsi="Liberation Sans Narrow"/>
                <w:sz w:val="18"/>
              </w:rPr>
              <w:t xml:space="preserve">A averbação do protesto contra a alienação de bens na matrícula é mera publicidade da manifestação de vontade do promovente, sem efeito sobre as relações jurídicas nem apreensão judicial; faltam necessidade, utilidade e adequação aos embargos de terceiro contra a decisão que a defere.</w:t>
            </w:r>
          </w:p>
        </w:tc>
      </w:tr>
    </w:tbl>
    <w:p>
      <w:pPr>
        <w:pStyle w:val="BodyText"/>
        <w:spacing w:after="80"/>
        <w:jc w:val="both"/>
      </w:pPr>
      <w:r>
        <w:t xml:space="preserve">§ 1º Se a pretensão for a de dar conhecimento geral ao público, mediante edital, o juiz só a deferirá se a tiver por fundada e necessária ao resguardo de direito.</w:t>
      </w:r>
    </w:p>
    <w:p>
      <w:pPr>
        <w:pStyle w:val="BodyText"/>
        <w:spacing w:after="80"/>
        <w:jc w:val="both"/>
      </w:pPr>
      <w:r>
        <w:t xml:space="preserve">§ 2º Aplica-se o disposto nesta Seção, no que couber, ao protesto judicial.</w:t>
      </w:r>
    </w:p>
    <w:bookmarkEnd w:id="504"/>
    <w:bookmarkStart w:id="505" w:name="art.-727"/>
    <w:p>
      <w:pPr>
        <w:pStyle w:val="Heading6"/>
        <w:pBdr>
          <w:left w:val="single" w:sz="36" w:space="4" w:color="2E75B6"/>
        </w:pBdr>
        <w:shd w:val="clear" w:color="auto" w:fill="E3EEF9"/>
        <w:spacing w:before="200" w:after="80"/>
        <w:ind w:left="85"/>
      </w:pPr>
      <w:r>
        <w:rPr>
          <w:i w:val="0"/>
          <w:color w:val="1F3A5F"/>
          <w:sz w:val="23"/>
        </w:rPr>
        <w:t xml:space="preserve">Art. 727</w:t>
      </w:r>
    </w:p>
    <w:p>
      <w:pPr>
        <w:pStyle w:val="FirstParagraph"/>
        <w:spacing w:after="80"/>
        <w:jc w:val="both"/>
      </w:pPr>
      <w:r>
        <w:rPr>
          <w:b/>
          <w:bCs/>
        </w:rPr>
        <w:t xml:space="preserve">Art. 727.</w:t>
      </w:r>
      <w:r>
        <w:t xml:space="preserve"> </w:t>
      </w:r>
      <w:r>
        <w:t xml:space="preserve">Também poderá o interessado interpelar o requerido, no caso do art. 726, para que faça ou deixe de fazer o que o requerente entenda ser de seu direito.</w:t>
      </w:r>
    </w:p>
    <w:bookmarkEnd w:id="505"/>
    <w:bookmarkStart w:id="506" w:name="art.-728"/>
    <w:p>
      <w:pPr>
        <w:pStyle w:val="Heading6"/>
        <w:pBdr>
          <w:left w:val="single" w:sz="36" w:space="4" w:color="2E75B6"/>
        </w:pBdr>
        <w:shd w:val="clear" w:color="auto" w:fill="E3EEF9"/>
        <w:spacing w:before="200" w:after="80"/>
        <w:ind w:left="85"/>
      </w:pPr>
      <w:r>
        <w:rPr>
          <w:i w:val="0"/>
          <w:color w:val="1F3A5F"/>
          <w:sz w:val="23"/>
        </w:rPr>
        <w:t xml:space="preserve">Art. 728</w:t>
      </w:r>
    </w:p>
    <w:p>
      <w:pPr>
        <w:pStyle w:val="FirstParagraph"/>
        <w:spacing w:after="80"/>
        <w:jc w:val="both"/>
      </w:pPr>
      <w:r>
        <w:rPr>
          <w:b/>
          <w:bCs/>
        </w:rPr>
        <w:t xml:space="preserve">Art. 728.</w:t>
      </w:r>
      <w:r>
        <w:t xml:space="preserve"> </w:t>
      </w:r>
      <w:r>
        <w:t xml:space="preserve">O requerido será previamente ouvido antes do deferimento da notificação ou do respectivo edital:</w:t>
      </w:r>
    </w:p>
    <w:p>
      <w:pPr>
        <w:pStyle w:val="BodyText"/>
        <w:spacing w:after="80"/>
        <w:jc w:val="both"/>
      </w:pPr>
      <w:r>
        <w:t xml:space="preserve">I - se houver suspeita de que o requerente, por meio da notificação ou do edital, pretende alcançar fim ilícito;</w:t>
      </w:r>
    </w:p>
    <w:p>
      <w:pPr>
        <w:pStyle w:val="BodyText"/>
        <w:spacing w:after="80"/>
        <w:jc w:val="both"/>
      </w:pPr>
      <w:r>
        <w:t xml:space="preserve">II - se tiver sido requerida a averbação da notificação em registro público.</w:t>
      </w:r>
    </w:p>
    <w:bookmarkEnd w:id="506"/>
    <w:bookmarkStart w:id="507" w:name="art.-729"/>
    <w:p>
      <w:pPr>
        <w:pStyle w:val="Heading6"/>
        <w:pBdr>
          <w:left w:val="single" w:sz="36" w:space="4" w:color="2E75B6"/>
        </w:pBdr>
        <w:shd w:val="clear" w:color="auto" w:fill="E3EEF9"/>
        <w:spacing w:before="200" w:after="80"/>
        <w:ind w:left="85"/>
      </w:pPr>
      <w:r>
        <w:rPr>
          <w:i w:val="0"/>
          <w:color w:val="1F3A5F"/>
          <w:sz w:val="23"/>
        </w:rPr>
        <w:t xml:space="preserve">Art. 729</w:t>
      </w:r>
    </w:p>
    <w:p>
      <w:pPr>
        <w:pStyle w:val="FirstParagraph"/>
        <w:spacing w:after="80"/>
        <w:jc w:val="both"/>
      </w:pPr>
      <w:r>
        <w:rPr>
          <w:b/>
          <w:bCs/>
        </w:rPr>
        <w:t xml:space="preserve">Art. 729.</w:t>
      </w:r>
      <w:r>
        <w:t xml:space="preserve"> </w:t>
      </w:r>
      <w:r>
        <w:t xml:space="preserve">Deferida e realizada a notificação ou interpelação, os autos serão entregues ao requerente.</w:t>
      </w:r>
    </w:p>
    <w:bookmarkEnd w:id="507"/>
    <w:bookmarkEnd w:id="508"/>
    <w:bookmarkStart w:id="510" w:name="Xff371f75cd0baac22874d58646ea593dc9b6983"/>
    <w:p>
      <w:pPr>
        <w:pStyle w:val="Heading5"/>
        <w:spacing w:before="140" w:after="20"/>
      </w:pPr>
      <w:r>
        <w:rPr>
          <w:i/>
          <w:color w:val="595959"/>
        </w:rPr>
        <w:t xml:space="preserve">Seção III: da alienação judicial (arts. 730)</w:t>
      </w:r>
    </w:p>
    <w:bookmarkStart w:id="509" w:name="art.-730"/>
    <w:p>
      <w:pPr>
        <w:pStyle w:val="Heading6"/>
        <w:pBdr>
          <w:left w:val="single" w:sz="36" w:space="4" w:color="2E75B6"/>
        </w:pBdr>
        <w:shd w:val="clear" w:color="auto" w:fill="E3EEF9"/>
        <w:spacing w:before="200" w:after="80"/>
        <w:ind w:left="85"/>
      </w:pPr>
      <w:r>
        <w:rPr>
          <w:i w:val="0"/>
          <w:color w:val="1F3A5F"/>
          <w:sz w:val="23"/>
        </w:rPr>
        <w:t xml:space="preserve">Art. 730</w:t>
      </w:r>
    </w:p>
    <w:p>
      <w:pPr>
        <w:pStyle w:val="FirstParagraph"/>
        <w:keepNext/>
        <w:spacing w:after="80"/>
        <w:jc w:val="both"/>
      </w:pPr>
      <w:r>
        <w:rPr>
          <w:b/>
          <w:bCs/>
        </w:rPr>
        <w:t xml:space="preserve">Art. 730.</w:t>
      </w:r>
      <w:r>
        <w:t xml:space="preserve"> </w:t>
      </w:r>
      <w:r>
        <w:t xml:space="preserve">Nos casos expressos em lei, não havendo acordo entre os interessados sobre o modo como se deve realizar a alienação do bem, o juiz, de ofício ou a requerimento dos interessados ou do depositário, mandará aliená-lo em leilão, observando-se o disposto na Seção I deste Capítulo e, no que couber, o disposto nos arts. 879 a 903.</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2653"/>
        <w:gridCol w:w="4672"/>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5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67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30"/>
          </w:tcPr>
          <w:p>
            <w:pPr>
              <w:pStyle w:val="Compact"/>
              <w:spacing w:line="276" w:lineRule="auto" w:before="40" w:after="40"/>
            </w:pPr>
            <w:r>
              <w:rPr>
                <w:rFonts w:ascii="Liberation Sans Narrow" w:hAnsi="Liberation Sans Narrow"/>
                <w:sz w:val="18"/>
              </w:rPr>
              <w:t xml:space="preserve">Caput — extinção de condomínio e prosseguimento nos próprios autos</w:t>
            </w:r>
          </w:p>
        </w:tc>
        <w:tc>
          <w:tcPr>
            <w:tcW w:type="dxa" w:w="2653"/>
          </w:tcPr>
          <w:p>
            <w:pPr>
              <w:pStyle w:val="Compact"/>
              <w:spacing w:line="276" w:lineRule="auto" w:before="40" w:after="40"/>
            </w:pPr>
            <w:r>
              <w:rPr>
                <w:rFonts w:ascii="Liberation Sans Narrow" w:hAnsi="Liberation Sans Narrow"/>
                <w:sz w:val="18"/>
              </w:rPr>
              <w:t xml:space="preserve">STJ, REsp 2.175.109, Quarta Turma, relator Min. João Otávio de Noronha, julgado em 09/03/2026, DJEN de 12/03/2026</w:t>
            </w:r>
          </w:p>
        </w:tc>
        <w:tc>
          <w:tcPr>
            <w:tcW w:type="dxa" w:w="4671"/>
          </w:tcPr>
          <w:p>
            <w:pPr>
              <w:pStyle w:val="Compact"/>
              <w:spacing w:line="276" w:lineRule="auto" w:before="40" w:after="40"/>
            </w:pPr>
            <w:r>
              <w:rPr>
                <w:rFonts w:ascii="Liberation Sans Narrow" w:hAnsi="Liberation Sans Narrow"/>
                <w:sz w:val="18"/>
              </w:rPr>
              <w:t xml:space="preserve">O art. 730 impõe que, inexistindo acordo entre todos os condôminos, o juiz designe leilão e prossiga nos próprios autos, em procedimento de jurisdição voluntária (art. 725, IV), e não por cumprimentos de sentença individualizados. A ementa também afirma que o art. 942 não autoriza julgamento estendido em agravo de instrumento contra decisão interlocutória.</w:t>
            </w:r>
          </w:p>
        </w:tc>
      </w:tr>
    </w:tbl>
    <w:bookmarkEnd w:id="509"/>
    <w:bookmarkEnd w:id="510"/>
    <w:bookmarkStart w:id="515" w:name="Xa75f707143ca4c6484a02d287e3a70dbfc64e60"/>
    <w:p>
      <w:pPr>
        <w:pStyle w:val="Heading5"/>
        <w:spacing w:before="140" w:after="20"/>
      </w:pPr>
      <w:r>
        <w:rPr>
          <w:i/>
          <w:color w:val="595959"/>
        </w:rPr>
        <w:t xml:space="preserve">Seção IV: do divórcio e da separação consensuais, da extinção consensual de união estável e da alteração do regime de bens do matrimônio (arts. 731 a 734)</w:t>
      </w:r>
    </w:p>
    <w:bookmarkStart w:id="511" w:name="art.-731"/>
    <w:p>
      <w:pPr>
        <w:pStyle w:val="Heading6"/>
        <w:pBdr>
          <w:left w:val="single" w:sz="36" w:space="4" w:color="2E75B6"/>
        </w:pBdr>
        <w:shd w:val="clear" w:color="auto" w:fill="E3EEF9"/>
        <w:spacing w:before="200" w:after="80"/>
        <w:ind w:left="85"/>
      </w:pPr>
      <w:r>
        <w:rPr>
          <w:i w:val="0"/>
          <w:color w:val="1F3A5F"/>
          <w:sz w:val="23"/>
        </w:rPr>
        <w:t xml:space="preserve">Art. 731</w:t>
      </w:r>
    </w:p>
    <w:p>
      <w:pPr>
        <w:pStyle w:val="FirstParagraph"/>
        <w:keepNext/>
        <w:spacing w:after="80"/>
        <w:jc w:val="both"/>
      </w:pPr>
      <w:r>
        <w:rPr>
          <w:b/>
          <w:bCs/>
        </w:rPr>
        <w:t xml:space="preserve">Art. 731.</w:t>
      </w:r>
      <w:r>
        <w:t xml:space="preserve"> </w:t>
      </w:r>
      <w:r>
        <w:t xml:space="preserve">A homologação do divórcio ou da separação consensuais, observados os requisitos legais, poderá ser requerida em petição assinada por ambos os cônjuges, da qual constarão: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13"/>
        <w:gridCol w:w="2678"/>
        <w:gridCol w:w="4663"/>
      </w:tblGrid>
      <w:tr>
        <w:trPr>
          <w:tblHeader w:val="on"/>
          <w:cantSplit/>
          <w:tblHeader/>
        </w:trPr>
        <w:tc>
          <w:tcPr>
            <w:tcW w:type="dxa" w:w="2013"/>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7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66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13"/>
          </w:tcPr>
          <w:p>
            <w:pPr>
              <w:pStyle w:val="Compact"/>
              <w:spacing w:line="276" w:lineRule="auto" w:before="40" w:after="40"/>
            </w:pPr>
            <w:r>
              <w:rPr>
                <w:rFonts w:ascii="Liberation Sans Narrow" w:hAnsi="Liberation Sans Narrow"/>
                <w:sz w:val="18"/>
              </w:rPr>
              <w:t xml:space="preserve">Divórcio consensual: desistência unilateral do acordo antes da homologação</w:t>
            </w:r>
          </w:p>
        </w:tc>
        <w:tc>
          <w:tcPr>
            <w:tcW w:type="dxa" w:w="2678"/>
          </w:tcPr>
          <w:p>
            <w:pPr>
              <w:pStyle w:val="Compact"/>
              <w:spacing w:line="276" w:lineRule="auto" w:before="40" w:after="40"/>
            </w:pPr>
            <w:r>
              <w:rPr>
                <w:rFonts w:ascii="Liberation Sans Narrow" w:hAnsi="Liberation Sans Narrow"/>
                <w:sz w:val="18"/>
              </w:rPr>
              <w:t xml:space="preserve">STJ, REsp 2.162.164, Quarta Turma, relator Min. João Otávio de Noronha, julgado em 16/03/2026, DJEN de 19/03/2026</w:t>
            </w:r>
          </w:p>
        </w:tc>
        <w:tc>
          <w:tcPr>
            <w:tcW w:type="dxa" w:w="4663"/>
          </w:tcPr>
          <w:p>
            <w:pPr>
              <w:pStyle w:val="Compact"/>
              <w:spacing w:line="276" w:lineRule="auto" w:before="40" w:after="40"/>
            </w:pPr>
            <w:r>
              <w:rPr>
                <w:rFonts w:ascii="Liberation Sans Narrow" w:hAnsi="Liberation Sans Narrow"/>
                <w:sz w:val="18"/>
              </w:rPr>
              <w:t xml:space="preserve">Concluída a transação, nenhuma das partes pode se arrepender unilateralmente, mesmo antes da homologação judicial; o acordo só se rescinde por dolo, coação ou erro essencial (Código Civil, art. 849), e a desistência unilateral não impede a homologação do divórcio consensual.</w:t>
            </w:r>
          </w:p>
        </w:tc>
      </w:tr>
    </w:tbl>
    <w:p>
      <w:pPr>
        <w:pStyle w:val="BodyText"/>
        <w:spacing w:after="80"/>
        <w:jc w:val="both"/>
      </w:pPr>
      <w:r>
        <w:t xml:space="preserve">I - as disposições relativas à descrição e à partilha dos bens comuns;</w:t>
      </w:r>
    </w:p>
    <w:p>
      <w:pPr>
        <w:pStyle w:val="BodyText"/>
        <w:spacing w:after="80"/>
        <w:jc w:val="both"/>
      </w:pPr>
      <w:r>
        <w:t xml:space="preserve">II - as disposições relativas à pensão alimentícia entre os cônjuges;</w:t>
      </w:r>
    </w:p>
    <w:p>
      <w:pPr>
        <w:pStyle w:val="BodyText"/>
        <w:spacing w:after="80"/>
        <w:jc w:val="both"/>
      </w:pPr>
      <w:r>
        <w:t xml:space="preserve">III - o acordo relativo à guarda dos filhos incapazes e ao regime de visitas; e</w:t>
      </w:r>
    </w:p>
    <w:p>
      <w:pPr>
        <w:pStyle w:val="BodyText"/>
        <w:spacing w:after="80"/>
        <w:jc w:val="both"/>
      </w:pPr>
      <w:r>
        <w:t xml:space="preserve">IV - o valor da contribuição para criar e educar os filhos.</w:t>
      </w:r>
    </w:p>
    <w:p>
      <w:pPr>
        <w:pStyle w:val="BodyText"/>
        <w:spacing w:after="80"/>
        <w:jc w:val="both"/>
      </w:pPr>
      <w:r>
        <w:t xml:space="preserve">Parágrafo único. Se os cônjuges não acordarem sobre a partilha dos bens, far-se-á esta depois de homologado o divórcio, na forma estabelecida nos arts. 647 a 658.</w:t>
      </w:r>
    </w:p>
    <w:bookmarkEnd w:id="511"/>
    <w:bookmarkStart w:id="512" w:name="art.-732"/>
    <w:p>
      <w:pPr>
        <w:pStyle w:val="Heading6"/>
        <w:pBdr>
          <w:left w:val="single" w:sz="36" w:space="4" w:color="2E75B6"/>
        </w:pBdr>
        <w:shd w:val="clear" w:color="auto" w:fill="E3EEF9"/>
        <w:spacing w:before="200" w:after="80"/>
        <w:ind w:left="85"/>
      </w:pPr>
      <w:r>
        <w:rPr>
          <w:i w:val="0"/>
          <w:color w:val="1F3A5F"/>
          <w:sz w:val="23"/>
        </w:rPr>
        <w:t xml:space="preserve">Art. 732</w:t>
      </w:r>
    </w:p>
    <w:p>
      <w:pPr>
        <w:pStyle w:val="FirstParagraph"/>
        <w:spacing w:after="80"/>
        <w:jc w:val="both"/>
      </w:pPr>
      <w:r>
        <w:rPr>
          <w:b/>
          <w:bCs/>
        </w:rPr>
        <w:t xml:space="preserve">Art. 732.</w:t>
      </w:r>
      <w:r>
        <w:t xml:space="preserve"> </w:t>
      </w:r>
      <w:r>
        <w:t xml:space="preserve">As disposições relativas ao processo de homologação judicial de divórcio ou de separação consensuais aplicam-se, no que couber, ao processo de homologação da extinção consensual de união estável.</w:t>
      </w:r>
    </w:p>
    <w:bookmarkEnd w:id="512"/>
    <w:bookmarkStart w:id="513" w:name="art.-733"/>
    <w:p>
      <w:pPr>
        <w:pStyle w:val="Heading6"/>
        <w:pBdr>
          <w:left w:val="single" w:sz="36" w:space="4" w:color="2E75B6"/>
        </w:pBdr>
        <w:shd w:val="clear" w:color="auto" w:fill="E3EEF9"/>
        <w:spacing w:before="200" w:after="80"/>
        <w:ind w:left="85"/>
      </w:pPr>
      <w:r>
        <w:rPr>
          <w:i w:val="0"/>
          <w:color w:val="1F3A5F"/>
          <w:sz w:val="23"/>
        </w:rPr>
        <w:t xml:space="preserve">Art. 733</w:t>
      </w:r>
    </w:p>
    <w:p>
      <w:pPr>
        <w:pStyle w:val="FirstParagraph"/>
        <w:keepNext/>
        <w:spacing w:after="80"/>
        <w:jc w:val="both"/>
      </w:pPr>
      <w:r>
        <w:rPr>
          <w:b/>
          <w:bCs/>
        </w:rPr>
        <w:t xml:space="preserve">Art. 733.</w:t>
      </w:r>
      <w:r>
        <w:t xml:space="preserve"> </w:t>
      </w:r>
      <w:r>
        <w:t xml:space="preserve">O divórcio consensual, a separação consensual e a extinção consensual de união estável, não havendo nascituro ou filhos incapazes e observados os requisitos legais, poderão ser realizados por escritura pública, da qual constarão as disposições de que trata o art. 731.</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2886"/>
        <w:gridCol w:w="4813"/>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8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1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55"/>
          </w:tcPr>
          <w:p>
            <w:pPr>
              <w:pStyle w:val="Compact"/>
              <w:spacing w:line="276" w:lineRule="auto" w:before="40" w:after="40"/>
            </w:pPr>
            <w:r>
              <w:rPr>
                <w:rFonts w:ascii="Liberation Sans Narrow" w:hAnsi="Liberation Sans Narrow"/>
                <w:sz w:val="18"/>
              </w:rPr>
              <w:t xml:space="preserve">Caput — escritura pública (orientação de aplicação)</w:t>
            </w:r>
          </w:p>
        </w:tc>
        <w:tc>
          <w:tcPr>
            <w:tcW w:type="dxa" w:w="2886"/>
          </w:tcPr>
          <w:p>
            <w:pPr>
              <w:pStyle w:val="Compact"/>
              <w:spacing w:line="276" w:lineRule="auto" w:before="40" w:after="40"/>
            </w:pPr>
            <w:r>
              <w:rPr>
                <w:rFonts w:ascii="Liberation Sans Narrow" w:hAnsi="Liberation Sans Narrow"/>
                <w:sz w:val="18"/>
              </w:rPr>
              <w:t xml:space="preserve">STJ, AgInt no REsp 1.960.527, Segunda Turma, relator Min. Humberto Martins, julgado em 13/02/2023, DJe de 16/02/2023</w:t>
            </w:r>
          </w:p>
        </w:tc>
        <w:tc>
          <w:tcPr>
            <w:tcW w:type="dxa" w:w="4813"/>
          </w:tcPr>
          <w:p>
            <w:pPr>
              <w:pStyle w:val="Compact"/>
              <w:spacing w:line="276" w:lineRule="auto" w:before="40" w:after="40"/>
            </w:pPr>
            <w:r>
              <w:rPr>
                <w:rFonts w:ascii="Liberation Sans Narrow" w:hAnsi="Liberation Sans Narrow"/>
                <w:sz w:val="18"/>
              </w:rPr>
              <w:t xml:space="preserve">O divórcio consensual pode ser realizado por escritura pública, sem homologação judicial, desde que não haja nascituro ou filhos incapazes, nela podendo constar as disposições sobre partilha dos bens comuns e pensão alimentícia.</w:t>
            </w:r>
          </w:p>
        </w:tc>
      </w:tr>
    </w:tbl>
    <w:p>
      <w:pPr>
        <w:pStyle w:val="BodyText"/>
        <w:keepNext/>
        <w:spacing w:after="80"/>
        <w:jc w:val="both"/>
      </w:pPr>
      <w:r>
        <w:t xml:space="preserve">§ 1º A escritura não depende de homologação judicial e constitui título hábil para qualquer ato de registro, bem como para levantamento de importância depositada em instituições financeiras.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58"/>
        <w:gridCol w:w="2662"/>
        <w:gridCol w:w="4635"/>
      </w:tblGrid>
      <w:tr>
        <w:trPr>
          <w:tblHeader w:val="on"/>
          <w:cantSplit/>
          <w:tblHeader/>
        </w:trPr>
        <w:tc>
          <w:tcPr>
            <w:tcW w:type="dxa" w:w="2058"/>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6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63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58"/>
          </w:tcPr>
          <w:p>
            <w:pPr>
              <w:pStyle w:val="Compact"/>
              <w:spacing w:line="276" w:lineRule="auto" w:before="40" w:after="40"/>
            </w:pPr>
            <w:r>
              <w:rPr>
                <w:rFonts w:ascii="Liberation Sans Narrow" w:hAnsi="Liberation Sans Narrow"/>
                <w:sz w:val="18"/>
              </w:rPr>
              <w:t xml:space="preserve">§ 1º — escritura pública como título e prova do pagamento (aplicação narrada)</w:t>
            </w:r>
          </w:p>
        </w:tc>
        <w:tc>
          <w:tcPr>
            <w:tcW w:type="dxa" w:w="2662"/>
          </w:tcPr>
          <w:p>
            <w:pPr>
              <w:pStyle w:val="Compact"/>
              <w:spacing w:line="276" w:lineRule="auto" w:before="40" w:after="40"/>
            </w:pPr>
            <w:r>
              <w:rPr>
                <w:rFonts w:ascii="Liberation Sans Narrow" w:hAnsi="Liberation Sans Narrow"/>
                <w:sz w:val="18"/>
              </w:rPr>
              <w:t xml:space="preserve">STJ, REsp 2.161.064, Quarta Turma, relatora Min. Maria Isabel Gallotti, julgado em 09/03/2026, DJEN de 13/03/2026</w:t>
            </w:r>
          </w:p>
        </w:tc>
        <w:tc>
          <w:tcPr>
            <w:tcW w:type="dxa" w:w="4634"/>
          </w:tcPr>
          <w:p>
            <w:pPr>
              <w:pStyle w:val="Compact"/>
              <w:spacing w:line="276" w:lineRule="auto" w:before="40" w:after="40"/>
            </w:pPr>
            <w:r>
              <w:rPr>
                <w:rFonts w:ascii="Liberation Sans Narrow" w:hAnsi="Liberation Sans Narrow"/>
                <w:sz w:val="18"/>
              </w:rPr>
              <w:t xml:space="preserve">A escritura pública de divórcio consensual constitui título executivo; não havendo no título designação de conta específica para o pagamento, os depósitos feitos nas datas e valores ajustados, ainda que em contas de familiares da credora, comunicados a ela e sem oposição, comprovam o adimplemento da obrigação. Trecho: “O Tribunal de origem reconheceu, com base na prova dos autos, o adimplemento integral da reposição onerosa prevista na escritura de divórcio, mediante depósitos efetuados nas datas e valores ajustados, ainda que em contas de familiares da credora, circunstância comunicada à recorrente por e-mails sem nenhuma oposição.”</w:t>
            </w:r>
          </w:p>
        </w:tc>
      </w:tr>
    </w:tbl>
    <w:p>
      <w:pPr>
        <w:pStyle w:val="BodyText"/>
        <w:spacing w:after="80"/>
        <w:jc w:val="both"/>
      </w:pPr>
      <w:r>
        <w:t xml:space="preserve">§ 2º O tabelião somente lavrará a escritura se os interessados estiverem assistidos por advogado ou por defensor público, cuja qualificação e assinatura constarão do ato notarial.</w:t>
      </w:r>
    </w:p>
    <w:bookmarkEnd w:id="513"/>
    <w:bookmarkStart w:id="514" w:name="art.-734"/>
    <w:p>
      <w:pPr>
        <w:pStyle w:val="Heading6"/>
        <w:pBdr>
          <w:left w:val="single" w:sz="36" w:space="4" w:color="2E75B6"/>
        </w:pBdr>
        <w:shd w:val="clear" w:color="auto" w:fill="E3EEF9"/>
        <w:spacing w:before="200" w:after="80"/>
        <w:ind w:left="85"/>
      </w:pPr>
      <w:r>
        <w:rPr>
          <w:i w:val="0"/>
          <w:color w:val="1F3A5F"/>
          <w:sz w:val="23"/>
        </w:rPr>
        <w:t xml:space="preserve">Art. 734</w:t>
      </w:r>
    </w:p>
    <w:p>
      <w:pPr>
        <w:pStyle w:val="FirstParagraph"/>
        <w:spacing w:after="80"/>
        <w:jc w:val="both"/>
      </w:pPr>
      <w:r>
        <w:rPr>
          <w:b/>
          <w:bCs/>
        </w:rPr>
        <w:t xml:space="preserve">Art. 734.</w:t>
      </w:r>
      <w:r>
        <w:t xml:space="preserve"> </w:t>
      </w:r>
      <w:r>
        <w:t xml:space="preserve">A alteração do regime de bens do casamento, observados os requisitos legais, poderá ser requerida, motivadamente, em petição assinada por ambos os cônjuges, na qual serão expostas as razões que justificam a alteração, ressalvados os direitos de terceiros.</w:t>
      </w:r>
    </w:p>
    <w:p>
      <w:pPr>
        <w:pStyle w:val="BodyText"/>
        <w:spacing w:after="80"/>
        <w:jc w:val="both"/>
      </w:pPr>
      <w:r>
        <w:t xml:space="preserve">§ 1º Ao receber a petição inicial, o juiz determinará a intimação do Ministério Público e a publicação de edital que divulgue a pretendida alteração de bens, somente podendo decidir depois de decorrido o prazo de 30 (trinta) dias da publicação do edital.</w:t>
      </w:r>
    </w:p>
    <w:p>
      <w:pPr>
        <w:pStyle w:val="BodyText"/>
        <w:spacing w:after="80"/>
        <w:jc w:val="both"/>
      </w:pPr>
      <w:r>
        <w:t xml:space="preserve">§ 2º Os cônjuges, na petição inicial ou em petição avulsa, podem propor ao juiz meio alternativo de divulgação da alteração do regime de bens, a fim de resguardar direitos de terceiros.</w:t>
      </w:r>
    </w:p>
    <w:p>
      <w:pPr>
        <w:pStyle w:val="BodyText"/>
        <w:spacing w:after="80"/>
        <w:jc w:val="both"/>
      </w:pPr>
      <w:r>
        <w:t xml:space="preserve">§ 3º Após o trânsito em julgado da sentença, serão expedidos mandados de averbação aos cartórios de registro civil e de imóveis e, caso qualquer dos cônjuges seja empresário, ao Registro Público de Empresas Mercantis e Atividades Afins.</w:t>
      </w:r>
    </w:p>
    <w:bookmarkEnd w:id="514"/>
    <w:bookmarkEnd w:id="515"/>
    <w:bookmarkStart w:id="519" w:name="X3fef2dbe661ff163c1b287b6e916df3b5ae20cb"/>
    <w:p>
      <w:pPr>
        <w:pStyle w:val="Heading5"/>
        <w:spacing w:before="140" w:after="20"/>
      </w:pPr>
      <w:r>
        <w:rPr>
          <w:i/>
          <w:color w:val="595959"/>
        </w:rPr>
        <w:t xml:space="preserve">Seção V: dos testamentos e dos codicilos (arts. 735 a 737)</w:t>
      </w:r>
    </w:p>
    <w:bookmarkStart w:id="516" w:name="art.-735"/>
    <w:p>
      <w:pPr>
        <w:pStyle w:val="Heading6"/>
        <w:pBdr>
          <w:left w:val="single" w:sz="36" w:space="4" w:color="2E75B6"/>
        </w:pBdr>
        <w:shd w:val="clear" w:color="auto" w:fill="E3EEF9"/>
        <w:spacing w:before="200" w:after="80"/>
        <w:ind w:left="85"/>
      </w:pPr>
      <w:r>
        <w:rPr>
          <w:i w:val="0"/>
          <w:color w:val="1F3A5F"/>
          <w:sz w:val="23"/>
        </w:rPr>
        <w:t xml:space="preserve">Art. 735</w:t>
      </w:r>
    </w:p>
    <w:p>
      <w:pPr>
        <w:pStyle w:val="FirstParagraph"/>
        <w:spacing w:after="80"/>
        <w:jc w:val="both"/>
      </w:pPr>
      <w:r>
        <w:rPr>
          <w:b/>
          <w:bCs/>
        </w:rPr>
        <w:t xml:space="preserve">Art. 735.</w:t>
      </w:r>
      <w:r>
        <w:t xml:space="preserve"> </w:t>
      </w:r>
      <w:r>
        <w:t xml:space="preserve">Recebendo testamento cerrado, o juiz, se não achar vício externo que o torne suspeito de nulidade ou falsidade, o abrirá e mandará que o escrivão o leia em presença do apresentante.</w:t>
      </w:r>
    </w:p>
    <w:p>
      <w:pPr>
        <w:pStyle w:val="BodyText"/>
        <w:spacing w:after="80"/>
        <w:jc w:val="both"/>
      </w:pPr>
      <w:r>
        <w:t xml:space="preserve">§ 1º Do termo de abertura constarão o nome do apresentante e como ele obteve o testamento, a data e o lugar do falecimento do testador, com as respectivas provas, e qualquer circunstância digna de nota.</w:t>
      </w:r>
    </w:p>
    <w:p>
      <w:pPr>
        <w:pStyle w:val="BodyText"/>
        <w:spacing w:after="80"/>
        <w:jc w:val="both"/>
      </w:pPr>
      <w:r>
        <w:t xml:space="preserve">§ 2º Depois de ouvido o Ministério Público, não havendo dúvidas a serem esclarecidas, o juiz mandará registrar, arquivar e cumprir o testamento.</w:t>
      </w:r>
    </w:p>
    <w:p>
      <w:pPr>
        <w:pStyle w:val="BodyText"/>
        <w:spacing w:after="80"/>
        <w:jc w:val="both"/>
      </w:pPr>
      <w:r>
        <w:t xml:space="preserve">§ 3º Feito o registro, será intimado o testamenteiro para assinar o termo da testamentária.</w:t>
      </w:r>
    </w:p>
    <w:p>
      <w:pPr>
        <w:pStyle w:val="BodyText"/>
        <w:spacing w:after="80"/>
        <w:jc w:val="both"/>
      </w:pPr>
      <w:r>
        <w:t xml:space="preserve">§ 4º Se não houver testamenteiro nomeado ou se ele estiver ausente ou não aceitar o encargo, o juiz nomeará testamenteiro dativo, observando-se a preferência legal.</w:t>
      </w:r>
    </w:p>
    <w:p>
      <w:pPr>
        <w:pStyle w:val="BodyText"/>
        <w:spacing w:after="80"/>
        <w:jc w:val="both"/>
      </w:pPr>
      <w:r>
        <w:t xml:space="preserve">§ 5º O testamenteiro deverá cumprir as disposições testamentárias e prestar contas em juízo do que recebeu e despendeu, observando-se o disposto em lei.</w:t>
      </w:r>
    </w:p>
    <w:bookmarkEnd w:id="516"/>
    <w:bookmarkStart w:id="517" w:name="art.-736"/>
    <w:p>
      <w:pPr>
        <w:pStyle w:val="Heading6"/>
        <w:pBdr>
          <w:left w:val="single" w:sz="36" w:space="4" w:color="2E75B6"/>
        </w:pBdr>
        <w:shd w:val="clear" w:color="auto" w:fill="E3EEF9"/>
        <w:spacing w:before="200" w:after="80"/>
        <w:ind w:left="85"/>
      </w:pPr>
      <w:r>
        <w:rPr>
          <w:i w:val="0"/>
          <w:color w:val="1F3A5F"/>
          <w:sz w:val="23"/>
        </w:rPr>
        <w:t xml:space="preserve">Art. 736</w:t>
      </w:r>
    </w:p>
    <w:p>
      <w:pPr>
        <w:pStyle w:val="FirstParagraph"/>
        <w:keepNext/>
        <w:spacing w:after="80"/>
        <w:jc w:val="both"/>
      </w:pPr>
      <w:r>
        <w:rPr>
          <w:b/>
          <w:bCs/>
        </w:rPr>
        <w:t xml:space="preserve">Art. 736.</w:t>
      </w:r>
      <w:r>
        <w:t xml:space="preserve"> </w:t>
      </w:r>
      <w:r>
        <w:t xml:space="preserve">Qualquer interessado, exibindo o traslado ou a certidão de testamento público, poderá requerer ao juiz que ordene o seu cumprimento, observando-se, no que couber, o disposto nos parágrafos do art. 735.</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2748"/>
        <w:gridCol w:w="4951"/>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4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95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55"/>
          </w:tcPr>
          <w:p>
            <w:pPr>
              <w:pStyle w:val="Compact"/>
              <w:spacing w:line="276" w:lineRule="auto" w:before="40" w:after="40"/>
            </w:pPr>
            <w:r>
              <w:rPr>
                <w:rFonts w:ascii="Liberation Sans Narrow" w:hAnsi="Liberation Sans Narrow"/>
                <w:sz w:val="18"/>
              </w:rPr>
              <w:t xml:space="preserve">Caput — orientação de aplicação (aplicação narrada)</w:t>
            </w:r>
          </w:p>
        </w:tc>
        <w:tc>
          <w:tcPr>
            <w:tcW w:type="dxa" w:w="2748"/>
          </w:tcPr>
          <w:p>
            <w:pPr>
              <w:pStyle w:val="Compact"/>
              <w:spacing w:line="276" w:lineRule="auto" w:before="40" w:after="40"/>
            </w:pPr>
            <w:r>
              <w:rPr>
                <w:rFonts w:ascii="Liberation Sans Narrow" w:hAnsi="Liberation Sans Narrow"/>
                <w:sz w:val="18"/>
              </w:rPr>
              <w:t xml:space="preserve">STJ, REsp 2.207.430, Terceira Turma, relatora Min. Nancy Andrighi, julgado em 11/11/2025, DJEN de 19/11/2025</w:t>
            </w:r>
          </w:p>
        </w:tc>
        <w:tc>
          <w:tcPr>
            <w:tcW w:type="dxa" w:w="4951"/>
          </w:tcPr>
          <w:p>
            <w:pPr>
              <w:pStyle w:val="Compact"/>
              <w:spacing w:line="276" w:lineRule="auto" w:before="40" w:after="40"/>
            </w:pPr>
            <w:r>
              <w:rPr>
                <w:rFonts w:ascii="Liberation Sans Narrow" w:hAnsi="Liberation Sans Narrow"/>
                <w:sz w:val="18"/>
              </w:rPr>
              <w:t xml:space="preserve">Na ausência de registro do testamento em livro próprio da serventia, o termo inicial do prazo decadencial de cinco anos conta-se da decisão judicial que reconhece a autenticidade ou validade do testamento e autoriza seu cumprimento. Trecho: “Na ausência de registro em livro próprio da serventia judicial, o termo inicial do prazo decadencial de cinco anos deve ser contado a partir da decisão judicial que reconhece a autenticidade ou validade do testamento e autoriza seu cumprimento.”</w:t>
            </w:r>
          </w:p>
        </w:tc>
      </w:tr>
    </w:tbl>
    <w:bookmarkEnd w:id="517"/>
    <w:bookmarkStart w:id="518" w:name="art.-737"/>
    <w:p>
      <w:pPr>
        <w:pStyle w:val="Heading6"/>
        <w:pBdr>
          <w:left w:val="single" w:sz="36" w:space="4" w:color="2E75B6"/>
        </w:pBdr>
        <w:shd w:val="clear" w:color="auto" w:fill="E3EEF9"/>
        <w:spacing w:before="200" w:after="80"/>
        <w:ind w:left="85"/>
      </w:pPr>
      <w:r>
        <w:rPr>
          <w:i w:val="0"/>
          <w:color w:val="1F3A5F"/>
          <w:sz w:val="23"/>
        </w:rPr>
        <w:t xml:space="preserve">Art. 737</w:t>
      </w:r>
    </w:p>
    <w:p>
      <w:pPr>
        <w:pStyle w:val="FirstParagraph"/>
        <w:keepNext/>
        <w:spacing w:after="80"/>
        <w:jc w:val="both"/>
      </w:pPr>
      <w:r>
        <w:rPr>
          <w:b/>
          <w:bCs/>
        </w:rPr>
        <w:t xml:space="preserve">Art. 737.</w:t>
      </w:r>
      <w:r>
        <w:t xml:space="preserve"> </w:t>
      </w:r>
      <w:r>
        <w:t xml:space="preserve">A publicação do testamento particular poderá ser requerida, depois da morte do testador, pelo herdeiro, pelo legatário ou pelo testamenteiro, bem como pelo terceiro detentor do testamento, se impossibilitado de entregá-lo a algum dos outros legitimados para requerê-la.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458"/>
        <w:gridCol w:w="3075"/>
        <w:gridCol w:w="3820"/>
      </w:tblGrid>
      <w:tr>
        <w:trPr>
          <w:tblHeader w:val="on"/>
          <w:cantSplit/>
          <w:tblHeader/>
        </w:trPr>
        <w:tc>
          <w:tcPr>
            <w:tcW w:type="dxa" w:w="2459"/>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07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382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459"/>
          </w:tcPr>
          <w:p>
            <w:pPr>
              <w:pStyle w:val="Compact"/>
              <w:spacing w:line="276" w:lineRule="auto" w:before="40" w:after="40"/>
            </w:pPr>
            <w:r>
              <w:rPr>
                <w:rFonts w:ascii="Liberation Sans Narrow" w:hAnsi="Liberation Sans Narrow"/>
                <w:sz w:val="18"/>
              </w:rPr>
              <w:t xml:space="preserve">Testamento particular assinado em momentos e locais distintos: vício formal superável</w:t>
            </w:r>
          </w:p>
        </w:tc>
        <w:tc>
          <w:tcPr>
            <w:tcW w:type="dxa" w:w="3075"/>
          </w:tcPr>
          <w:p>
            <w:pPr>
              <w:pStyle w:val="Compact"/>
              <w:spacing w:line="276" w:lineRule="auto" w:before="40" w:after="40"/>
            </w:pPr>
            <w:r>
              <w:rPr>
                <w:rFonts w:ascii="Liberation Sans Narrow" w:hAnsi="Liberation Sans Narrow"/>
                <w:sz w:val="18"/>
              </w:rPr>
              <w:t xml:space="preserve">STJ, REsp 2.033.581, Terceira Turma, relator Min. Marco Aurélio Bellizze, julgado em 03/09/2024, DJe de 06/09/2024</w:t>
            </w:r>
          </w:p>
        </w:tc>
        <w:tc>
          <w:tcPr>
            <w:tcW w:type="dxa" w:w="3820"/>
          </w:tcPr>
          <w:p>
            <w:pPr>
              <w:pStyle w:val="Compact"/>
              <w:spacing w:line="276" w:lineRule="auto" w:before="40" w:after="40"/>
            </w:pPr>
            <w:r>
              <w:rPr>
                <w:rFonts w:ascii="Liberation Sans Narrow" w:hAnsi="Liberation Sans Narrow"/>
                <w:sz w:val="18"/>
              </w:rPr>
              <w:t xml:space="preserve">A assinatura da testadora e das testemunhas em momentos e locais distintos é vício formal superável: as formalidades não podem ser levadas a extremos que prejudiquem o cumprimento da última vontade, e prevalecem as disposições de última vontade.</w:t>
            </w:r>
          </w:p>
        </w:tc>
      </w:tr>
      <w:tr>
        <w:trPr>
          <w:cantSplit/>
        </w:trPr>
        <w:tc>
          <w:tcPr>
            <w:tcW w:type="dxa" w:w="2459"/>
          </w:tcPr>
          <w:p>
            <w:pPr>
              <w:pStyle w:val="Compact"/>
              <w:spacing w:line="276" w:lineRule="auto" w:before="40" w:after="40"/>
            </w:pPr>
            <w:r>
              <w:rPr>
                <w:rFonts w:ascii="Liberation Sans Narrow" w:hAnsi="Liberation Sans Narrow"/>
                <w:sz w:val="18"/>
              </w:rPr>
              <w:t xml:space="preserve">Confirmação do testamento particular: requisitos alternativos e flexibilização</w:t>
            </w:r>
          </w:p>
        </w:tc>
        <w:tc>
          <w:tcPr>
            <w:tcW w:type="dxa" w:w="3075"/>
          </w:tcPr>
          <w:p>
            <w:pPr>
              <w:pStyle w:val="Compact"/>
              <w:spacing w:line="276" w:lineRule="auto" w:before="40" w:after="40"/>
            </w:pPr>
            <w:r>
              <w:rPr>
                <w:rFonts w:ascii="Liberation Sans Narrow" w:hAnsi="Liberation Sans Narrow"/>
                <w:sz w:val="18"/>
              </w:rPr>
              <w:t xml:space="preserve">STJ, REsp 2.080.530, Terceira Turma, relatora Min. Nancy Andrighi, julgado em 17/10/2023, DJe de 30/10/2023</w:t>
            </w:r>
          </w:p>
        </w:tc>
        <w:tc>
          <w:tcPr>
            <w:tcW w:type="dxa" w:w="3820"/>
          </w:tcPr>
          <w:p>
            <w:pPr>
              <w:pStyle w:val="Compact"/>
              <w:spacing w:line="276" w:lineRule="auto" w:before="40" w:after="40"/>
            </w:pPr>
            <w:r>
              <w:rPr>
                <w:rFonts w:ascii="Liberation Sans Narrow" w:hAnsi="Liberation Sans Narrow"/>
                <w:sz w:val="18"/>
              </w:rPr>
              <w:t xml:space="preserve">A confirmação do testamento particular exige requisitos alternativos: as testemunhas confirmam o fato da disposição, ou que o testamento foi lido perante elas e que as assinaturas são verdadeiras. A imprecisão ou a ausência de respostas das testemunhas, o distanciamento temporal e a falta de leitura a uma delas são formalidades flexibilizáveis, em preservação da última vontade.</w:t>
            </w:r>
          </w:p>
        </w:tc>
      </w:tr>
      <w:tr>
        <w:trPr>
          <w:cantSplit/>
        </w:trPr>
        <w:tc>
          <w:tcPr>
            <w:tcW w:type="dxa" w:w="2459"/>
          </w:tcPr>
          <w:p>
            <w:pPr>
              <w:pStyle w:val="Compact"/>
              <w:spacing w:line="276" w:lineRule="auto" w:before="40" w:after="40"/>
            </w:pPr>
            <w:r>
              <w:rPr>
                <w:rFonts w:ascii="Liberation Sans Narrow" w:hAnsi="Liberation Sans Narrow"/>
                <w:sz w:val="18"/>
              </w:rPr>
              <w:t xml:space="preserve">Testamento de próprio punho sem testemunhas e com dúvida sobre a vontade</w:t>
            </w:r>
          </w:p>
        </w:tc>
        <w:tc>
          <w:tcPr>
            <w:tcW w:type="dxa" w:w="3075"/>
          </w:tcPr>
          <w:p>
            <w:pPr>
              <w:pStyle w:val="Compact"/>
              <w:spacing w:line="276" w:lineRule="auto" w:before="40" w:after="40"/>
            </w:pPr>
            <w:r>
              <w:rPr>
                <w:rFonts w:ascii="Liberation Sans Narrow" w:hAnsi="Liberation Sans Narrow"/>
                <w:sz w:val="18"/>
              </w:rPr>
              <w:t xml:space="preserve">STJ, REsp 2.000.938, Terceira Turma, relatora Min. Nancy Andrighi, julgado em 08/08/2023, DJe de 25/08/2023</w:t>
            </w:r>
          </w:p>
        </w:tc>
        <w:tc>
          <w:tcPr>
            <w:tcW w:type="dxa" w:w="3820"/>
          </w:tcPr>
          <w:p>
            <w:pPr>
              <w:pStyle w:val="Compact"/>
              <w:spacing w:line="276" w:lineRule="auto" w:before="40" w:after="40"/>
            </w:pPr>
            <w:r>
              <w:rPr>
                <w:rFonts w:ascii="Liberation Sans Narrow" w:hAnsi="Liberation Sans Narrow"/>
                <w:sz w:val="18"/>
              </w:rPr>
              <w:t xml:space="preserve">Não se confirma o testamento particular sem testemunhas presenciais e sem declaração de circunstância excepcional que as dispense, quando há dúvida quanto à real vontade do testador, por falta de assinatura em todas as folhas e feitura em mais de uma assentada.</w:t>
            </w:r>
          </w:p>
        </w:tc>
      </w:tr>
      <w:tr>
        <w:trPr>
          <w:cantSplit/>
        </w:trPr>
        <w:tc>
          <w:tcPr>
            <w:tcW w:type="dxa" w:w="2459"/>
          </w:tcPr>
          <w:p>
            <w:pPr>
              <w:pStyle w:val="Compact"/>
              <w:spacing w:line="276" w:lineRule="auto" w:before="40" w:after="40"/>
            </w:pPr>
            <w:r>
              <w:rPr>
                <w:rFonts w:ascii="Liberation Sans Narrow" w:hAnsi="Liberation Sans Narrow"/>
                <w:sz w:val="18"/>
              </w:rPr>
              <w:t xml:space="preserve">Testamento particular: vícios formais superáveis e vícios formais-materiais insuperáveis</w:t>
            </w:r>
          </w:p>
        </w:tc>
        <w:tc>
          <w:tcPr>
            <w:tcW w:type="dxa" w:w="3075"/>
          </w:tcPr>
          <w:p>
            <w:pPr>
              <w:pStyle w:val="Compact"/>
              <w:spacing w:line="276" w:lineRule="auto" w:before="40" w:after="40"/>
            </w:pPr>
            <w:r>
              <w:rPr>
                <w:rFonts w:ascii="Liberation Sans Narrow" w:hAnsi="Liberation Sans Narrow"/>
                <w:sz w:val="18"/>
              </w:rPr>
              <w:t xml:space="preserve">STJ, REsp 2.005.877, Terceira Turma, relatora Min. Nancy Andrighi, julgado em 30/08/2022, DJe de 01/09/2022</w:t>
            </w:r>
          </w:p>
        </w:tc>
        <w:tc>
          <w:tcPr>
            <w:tcW w:type="dxa" w:w="3820"/>
          </w:tcPr>
          <w:p>
            <w:pPr>
              <w:pStyle w:val="Compact"/>
              <w:spacing w:line="276" w:lineRule="auto" w:before="40" w:after="40"/>
            </w:pPr>
            <w:r>
              <w:rPr>
                <w:rFonts w:ascii="Liberation Sans Narrow" w:hAnsi="Liberation Sans Narrow"/>
                <w:sz w:val="18"/>
              </w:rPr>
              <w:t xml:space="preserve">Pode-se afastar vícios puramente formais, ligados a aspectos externos, mas não os vícios formais-materiais, capazes de contaminar o conteúdo e pôr em dúvida a real vontade do testador; é nulo o testamento escrito de próprio punho, sem leitura perante testemunhas, sem circunstância excepcional que justifique a falta e sem prova técnica da assinatura.</w:t>
            </w:r>
          </w:p>
        </w:tc>
      </w:tr>
      <w:tr>
        <w:trPr>
          <w:cantSplit/>
        </w:trPr>
        <w:tc>
          <w:tcPr>
            <w:tcW w:type="dxa" w:w="2459"/>
          </w:tcPr>
          <w:p>
            <w:pPr>
              <w:pStyle w:val="Compact"/>
              <w:spacing w:line="276" w:lineRule="auto" w:before="40" w:after="40"/>
            </w:pPr>
            <w:r>
              <w:rPr>
                <w:rFonts w:ascii="Liberation Sans Narrow" w:hAnsi="Liberation Sans Narrow"/>
                <w:sz w:val="18"/>
              </w:rPr>
              <w:t xml:space="preserve">Testamento particular: assinatura do testador indispensável, sem assinatura a rogo</w:t>
            </w:r>
          </w:p>
        </w:tc>
        <w:tc>
          <w:tcPr>
            <w:tcW w:type="dxa" w:w="3075"/>
          </w:tcPr>
          <w:p>
            <w:pPr>
              <w:pStyle w:val="Compact"/>
              <w:spacing w:line="276" w:lineRule="auto" w:before="40" w:after="40"/>
            </w:pPr>
            <w:r>
              <w:rPr>
                <w:rFonts w:ascii="Liberation Sans Narrow" w:hAnsi="Liberation Sans Narrow"/>
                <w:sz w:val="18"/>
              </w:rPr>
              <w:t xml:space="preserve">STJ, REsp 1.618.754, Terceira Turma, relatora Min. Nancy Andrighi, julgado em 26/09/2017, DJe de 13/10/2017</w:t>
            </w:r>
          </w:p>
        </w:tc>
        <w:tc>
          <w:tcPr>
            <w:tcW w:type="dxa" w:w="3820"/>
          </w:tcPr>
          <w:p>
            <w:pPr>
              <w:pStyle w:val="Compact"/>
              <w:spacing w:line="276" w:lineRule="auto" w:before="40" w:after="40"/>
            </w:pPr>
            <w:r>
              <w:rPr>
                <w:rFonts w:ascii="Liberation Sans Narrow" w:hAnsi="Liberation Sans Narrow"/>
                <w:sz w:val="18"/>
              </w:rPr>
              <w:t xml:space="preserve">A assinatura do testador é requisito essencial de validade do testamento particular, e não se admite a assinatura a rogo; a flexibilização das formalidades quanto às testemunhas exige que o documento tenha sido escrito e assinado pelo testador.</w:t>
            </w:r>
          </w:p>
        </w:tc>
      </w:tr>
    </w:tbl>
    <w:p>
      <w:pPr>
        <w:pStyle w:val="BodyText"/>
        <w:spacing w:after="80"/>
        <w:jc w:val="both"/>
      </w:pPr>
      <w:r>
        <w:t xml:space="preserve">§ 1º Serão intimados os herdeiros que não tiverem requerido a publicação do testamento.</w:t>
      </w:r>
    </w:p>
    <w:p>
      <w:pPr>
        <w:pStyle w:val="BodyText"/>
        <w:spacing w:after="80"/>
        <w:jc w:val="both"/>
      </w:pPr>
      <w:r>
        <w:t xml:space="preserve">§ 2º Verificando a presença dos requisitos da lei, ouvido o Ministério Público, o juiz confirmará o testamento.</w:t>
      </w:r>
    </w:p>
    <w:p>
      <w:pPr>
        <w:pStyle w:val="BodyText"/>
        <w:spacing w:after="80"/>
        <w:jc w:val="both"/>
      </w:pPr>
      <w:r>
        <w:t xml:space="preserve">§ 3º Aplica-se o disposto neste artigo ao codicilo e aos testamentos marítimo, aeronáutico, militar e nuncupativo.</w:t>
      </w:r>
    </w:p>
    <w:p>
      <w:pPr>
        <w:pStyle w:val="BodyText"/>
        <w:spacing w:after="80"/>
        <w:jc w:val="both"/>
      </w:pPr>
      <w:r>
        <w:t xml:space="preserve">§ 4º Observar-se-á, no cumprimento do testamento, o disposto nos parágrafos do art. 735.</w:t>
      </w:r>
    </w:p>
    <w:bookmarkEnd w:id="518"/>
    <w:bookmarkEnd w:id="519"/>
    <w:bookmarkStart w:id="526" w:name="X9ab0ffae4ab3fad6032e85009334043b57b077d"/>
    <w:p>
      <w:pPr>
        <w:pStyle w:val="Heading5"/>
        <w:spacing w:before="140" w:after="20"/>
      </w:pPr>
      <w:r>
        <w:rPr>
          <w:i/>
          <w:color w:val="595959"/>
        </w:rPr>
        <w:t xml:space="preserve">Seção VI: da herança jacente (arts. 738 a 743)</w:t>
      </w:r>
    </w:p>
    <w:bookmarkStart w:id="520" w:name="art.-738"/>
    <w:p>
      <w:pPr>
        <w:pStyle w:val="Heading6"/>
        <w:pBdr>
          <w:left w:val="single" w:sz="36" w:space="4" w:color="2E75B6"/>
        </w:pBdr>
        <w:shd w:val="clear" w:color="auto" w:fill="E3EEF9"/>
        <w:spacing w:before="200" w:after="80"/>
        <w:ind w:left="85"/>
      </w:pPr>
      <w:r>
        <w:rPr>
          <w:i w:val="0"/>
          <w:color w:val="1F3A5F"/>
          <w:sz w:val="23"/>
        </w:rPr>
        <w:t xml:space="preserve">Art. 738</w:t>
      </w:r>
    </w:p>
    <w:p>
      <w:pPr>
        <w:pStyle w:val="FirstParagraph"/>
        <w:spacing w:after="80"/>
        <w:jc w:val="both"/>
      </w:pPr>
      <w:r>
        <w:rPr>
          <w:b/>
          <w:bCs/>
        </w:rPr>
        <w:t xml:space="preserve">Art. 738.</w:t>
      </w:r>
      <w:r>
        <w:t xml:space="preserve"> </w:t>
      </w:r>
      <w:r>
        <w:t xml:space="preserve">Nos casos em que a lei considere jacente a herança, o juiz em cuja comarca tiver domicílio o falecido procederá imediatamente à arrecadação dos respectivos bens.</w:t>
      </w:r>
    </w:p>
    <w:bookmarkEnd w:id="520"/>
    <w:bookmarkStart w:id="521" w:name="art.-739"/>
    <w:p>
      <w:pPr>
        <w:pStyle w:val="Heading6"/>
        <w:pBdr>
          <w:left w:val="single" w:sz="36" w:space="4" w:color="2E75B6"/>
        </w:pBdr>
        <w:shd w:val="clear" w:color="auto" w:fill="E3EEF9"/>
        <w:spacing w:before="200" w:after="80"/>
        <w:ind w:left="85"/>
      </w:pPr>
      <w:r>
        <w:rPr>
          <w:i w:val="0"/>
          <w:color w:val="1F3A5F"/>
          <w:sz w:val="23"/>
        </w:rPr>
        <w:t xml:space="preserve">Art. 739</w:t>
      </w:r>
    </w:p>
    <w:p>
      <w:pPr>
        <w:pStyle w:val="FirstParagraph"/>
        <w:spacing w:after="80"/>
        <w:jc w:val="both"/>
      </w:pPr>
      <w:r>
        <w:rPr>
          <w:b/>
          <w:bCs/>
        </w:rPr>
        <w:t xml:space="preserve">Art. 739.</w:t>
      </w:r>
      <w:r>
        <w:t xml:space="preserve"> </w:t>
      </w:r>
      <w:r>
        <w:t xml:space="preserve">A herança jacente ficará sob a guarda, a conservação e a administração de um curador até a respectiva entrega ao sucessor legalmente habilitado ou até a declaração de vacância.</w:t>
      </w:r>
    </w:p>
    <w:p>
      <w:pPr>
        <w:pStyle w:val="BodyText"/>
        <w:spacing w:after="80"/>
        <w:jc w:val="both"/>
      </w:pPr>
      <w:r>
        <w:t xml:space="preserve">§ 1º Incumbe ao curador:</w:t>
      </w:r>
    </w:p>
    <w:p>
      <w:pPr>
        <w:pStyle w:val="BodyText"/>
        <w:spacing w:after="80"/>
        <w:jc w:val="both"/>
      </w:pPr>
      <w:r>
        <w:t xml:space="preserve">I - representar a herança em juízo ou fora dele, com intervenção do Ministério Público;</w:t>
      </w:r>
    </w:p>
    <w:p>
      <w:pPr>
        <w:pStyle w:val="BodyText"/>
        <w:spacing w:after="80"/>
        <w:jc w:val="both"/>
      </w:pPr>
      <w:r>
        <w:t xml:space="preserve">II - ter em boa guarda e conservação os bens arrecadados e promover a arrecadação de outros porventura existentes;</w:t>
      </w:r>
    </w:p>
    <w:p>
      <w:pPr>
        <w:pStyle w:val="BodyText"/>
        <w:spacing w:after="80"/>
        <w:jc w:val="both"/>
      </w:pPr>
      <w:r>
        <w:t xml:space="preserve">III - executar as medidas conservatórias dos direitos da herança;</w:t>
      </w:r>
    </w:p>
    <w:p>
      <w:pPr>
        <w:pStyle w:val="BodyText"/>
        <w:spacing w:after="80"/>
        <w:jc w:val="both"/>
      </w:pPr>
      <w:r>
        <w:t xml:space="preserve">IV - apresentar mensalmente ao juiz balancete da receita e da despesa;</w:t>
      </w:r>
    </w:p>
    <w:p>
      <w:pPr>
        <w:pStyle w:val="BodyText"/>
        <w:spacing w:after="80"/>
        <w:jc w:val="both"/>
      </w:pPr>
      <w:r>
        <w:t xml:space="preserve">V - prestar contas ao final de sua gestão.</w:t>
      </w:r>
    </w:p>
    <w:p>
      <w:pPr>
        <w:pStyle w:val="BodyText"/>
        <w:spacing w:after="80"/>
        <w:jc w:val="both"/>
      </w:pPr>
      <w:r>
        <w:t xml:space="preserve">§ 2º Aplica-se ao curador o disposto nos arts. 159 a 161.</w:t>
      </w:r>
    </w:p>
    <w:bookmarkEnd w:id="521"/>
    <w:bookmarkStart w:id="522" w:name="art.-740"/>
    <w:p>
      <w:pPr>
        <w:pStyle w:val="Heading6"/>
        <w:pBdr>
          <w:left w:val="single" w:sz="36" w:space="4" w:color="2E75B6"/>
        </w:pBdr>
        <w:shd w:val="clear" w:color="auto" w:fill="E3EEF9"/>
        <w:spacing w:before="200" w:after="80"/>
        <w:ind w:left="85"/>
      </w:pPr>
      <w:r>
        <w:rPr>
          <w:i w:val="0"/>
          <w:color w:val="1F3A5F"/>
          <w:sz w:val="23"/>
        </w:rPr>
        <w:t xml:space="preserve">Art. 740</w:t>
      </w:r>
    </w:p>
    <w:p>
      <w:pPr>
        <w:pStyle w:val="FirstParagraph"/>
        <w:spacing w:after="80"/>
        <w:jc w:val="both"/>
      </w:pPr>
      <w:r>
        <w:rPr>
          <w:b/>
          <w:bCs/>
        </w:rPr>
        <w:t xml:space="preserve">Art. 740.</w:t>
      </w:r>
      <w:r>
        <w:t xml:space="preserve"> </w:t>
      </w:r>
      <w:r>
        <w:t xml:space="preserve">O juiz ordenará que o oficial de justiça, acompanhado do escrivão ou do chefe de secretaria e do curador, arrole os bens e descreva-os em auto circunstanciado.</w:t>
      </w:r>
    </w:p>
    <w:p>
      <w:pPr>
        <w:pStyle w:val="BodyText"/>
        <w:spacing w:after="80"/>
        <w:jc w:val="both"/>
      </w:pPr>
      <w:r>
        <w:t xml:space="preserve">§ 1º Não podendo comparecer ao local, o juiz requisitará à autoridade policial que proceda à arrecadação e ao arrolamento dos bens, com 2 (duas) testemunhas, que assistirão às diligências.</w:t>
      </w:r>
    </w:p>
    <w:p>
      <w:pPr>
        <w:pStyle w:val="BodyText"/>
        <w:spacing w:after="80"/>
        <w:jc w:val="both"/>
      </w:pPr>
      <w:r>
        <w:t xml:space="preserve">§ 2º Não estando ainda nomeado o curador, o juiz designará depositário e lhe entregará os bens, mediante simples termo nos autos, depois de compromissado.</w:t>
      </w:r>
    </w:p>
    <w:p>
      <w:pPr>
        <w:pStyle w:val="BodyText"/>
        <w:spacing w:after="80"/>
        <w:jc w:val="both"/>
      </w:pPr>
      <w:r>
        <w:t xml:space="preserve">§ 3º Durante a arrecadação, o juiz ou a autoridade policial inquirirá os moradores da casa e da vizinhança sobre a qualificação do falecido, o paradeiro de seus sucessores e a existência de outros bens, lavrando-se de tudo auto de inquirição e informação.</w:t>
      </w:r>
    </w:p>
    <w:p>
      <w:pPr>
        <w:pStyle w:val="BodyText"/>
        <w:spacing w:after="80"/>
        <w:jc w:val="both"/>
      </w:pPr>
      <w:r>
        <w:t xml:space="preserve">§ 4º O juiz examinará reservadamente os papéis, as cartas missivas e os livros domésticos e, verificando que não apresentam interesse, mandará empacotá-los e lacrá-los para serem assim entregues aos sucessores do falecido ou queimados quando os bens forem declarados vacantes.</w:t>
      </w:r>
    </w:p>
    <w:p>
      <w:pPr>
        <w:pStyle w:val="BodyText"/>
        <w:spacing w:after="80"/>
        <w:jc w:val="both"/>
      </w:pPr>
      <w:r>
        <w:t xml:space="preserve">§ 5º Se constar ao juiz a existência de bens em outra comarca, mandará expedir carta precatória a fim de serem arrecadados.</w:t>
      </w:r>
    </w:p>
    <w:p>
      <w:pPr>
        <w:pStyle w:val="BodyText"/>
        <w:spacing w:after="80"/>
        <w:jc w:val="both"/>
      </w:pPr>
      <w:r>
        <w:t xml:space="preserve">§ 6º Não se fará a arrecadação, ou essa será suspensa, quando, iniciada, apresentarem-se para reclamar os bens o cônjuge ou companheiro, o herdeiro ou o testamenteiro notoriamente reconhecido e não houver oposição motivada do curador, de qualquer interessado, do Ministério Público ou do representante da Fazenda Pública.</w:t>
      </w:r>
    </w:p>
    <w:bookmarkEnd w:id="522"/>
    <w:bookmarkStart w:id="523" w:name="art.-741"/>
    <w:p>
      <w:pPr>
        <w:pStyle w:val="Heading6"/>
        <w:pBdr>
          <w:left w:val="single" w:sz="36" w:space="4" w:color="2E75B6"/>
        </w:pBdr>
        <w:shd w:val="clear" w:color="auto" w:fill="E3EEF9"/>
        <w:spacing w:before="200" w:after="80"/>
        <w:ind w:left="85"/>
      </w:pPr>
      <w:r>
        <w:rPr>
          <w:i w:val="0"/>
          <w:color w:val="1F3A5F"/>
          <w:sz w:val="23"/>
        </w:rPr>
        <w:t xml:space="preserve">Art. 741</w:t>
      </w:r>
    </w:p>
    <w:p>
      <w:pPr>
        <w:pStyle w:val="FirstParagraph"/>
        <w:spacing w:after="80"/>
        <w:jc w:val="both"/>
      </w:pPr>
      <w:r>
        <w:rPr>
          <w:b/>
          <w:bCs/>
        </w:rPr>
        <w:t xml:space="preserve">Art. 741.</w:t>
      </w:r>
      <w:r>
        <w:t xml:space="preserve"> </w:t>
      </w:r>
      <w:r>
        <w:t xml:space="preserve">Ultimada a arrecadação, o juiz mandará expedir edital, que será publicado na rede mundial de computadores, no sítio do tribunal a que estiver vinculado o juízo e na plataforma de editais do Conselho Nacional de Justiça, onde permanecerá por 3 (três) meses, ou, não havendo sítio, no órgão oficial e na imprensa da comarca, por 3 (três) vezes com intervalos de 1 (um) mês, para que os sucessores do falecido venham a habilitar-se no prazo de 6 (seis) meses contado da primeira publicação.</w:t>
      </w:r>
    </w:p>
    <w:p>
      <w:pPr>
        <w:pStyle w:val="BodyText"/>
        <w:spacing w:after="80"/>
        <w:jc w:val="both"/>
      </w:pPr>
      <w:r>
        <w:t xml:space="preserve">§ 1º Verificada a existência de sucessor ou de testamenteiro em lugar certo, far-se-á a sua citação, sem prejuízo do edital.</w:t>
      </w:r>
    </w:p>
    <w:p>
      <w:pPr>
        <w:pStyle w:val="BodyText"/>
        <w:spacing w:after="80"/>
        <w:jc w:val="both"/>
      </w:pPr>
      <w:r>
        <w:t xml:space="preserve">§ 2º Quando o falecido for estrangeiro, será também comunicado o fato à autoridade consular.</w:t>
      </w:r>
    </w:p>
    <w:p>
      <w:pPr>
        <w:pStyle w:val="BodyText"/>
        <w:spacing w:after="80"/>
        <w:jc w:val="both"/>
      </w:pPr>
      <w:r>
        <w:t xml:space="preserve">§ 3º Julgada a habilitação do herdeiro, reconhecida a qualidade do testamenteiro ou provada a identidade do cônjuge ou companheiro, a arrecadação converter-se-á em inventário.</w:t>
      </w:r>
    </w:p>
    <w:p>
      <w:pPr>
        <w:pStyle w:val="BodyText"/>
        <w:spacing w:after="80"/>
        <w:jc w:val="both"/>
      </w:pPr>
      <w:r>
        <w:t xml:space="preserve">§ 4º Os credores da herança poderão habilitar-se como nos inventários ou propor a ação de cobrança.</w:t>
      </w:r>
    </w:p>
    <w:bookmarkEnd w:id="523"/>
    <w:bookmarkStart w:id="524" w:name="art.-742"/>
    <w:p>
      <w:pPr>
        <w:pStyle w:val="Heading6"/>
        <w:pBdr>
          <w:left w:val="single" w:sz="36" w:space="4" w:color="2E75B6"/>
        </w:pBdr>
        <w:shd w:val="clear" w:color="auto" w:fill="E3EEF9"/>
        <w:spacing w:before="200" w:after="80"/>
        <w:ind w:left="85"/>
      </w:pPr>
      <w:r>
        <w:rPr>
          <w:i w:val="0"/>
          <w:color w:val="1F3A5F"/>
          <w:sz w:val="23"/>
        </w:rPr>
        <w:t xml:space="preserve">Art. 742</w:t>
      </w:r>
    </w:p>
    <w:p>
      <w:pPr>
        <w:pStyle w:val="FirstParagraph"/>
        <w:spacing w:after="80"/>
        <w:jc w:val="both"/>
      </w:pPr>
      <w:r>
        <w:rPr>
          <w:b/>
          <w:bCs/>
        </w:rPr>
        <w:t xml:space="preserve">Art. 742.</w:t>
      </w:r>
      <w:r>
        <w:t xml:space="preserve"> </w:t>
      </w:r>
      <w:r>
        <w:t xml:space="preserve">O juiz poderá autorizar a alienação:</w:t>
      </w:r>
    </w:p>
    <w:p>
      <w:pPr>
        <w:pStyle w:val="BodyText"/>
        <w:spacing w:after="80"/>
        <w:jc w:val="both"/>
      </w:pPr>
      <w:r>
        <w:t xml:space="preserve">I - de bens móveis, se forem de conservação difícil ou dispendiosa;</w:t>
      </w:r>
    </w:p>
    <w:p>
      <w:pPr>
        <w:pStyle w:val="BodyText"/>
        <w:spacing w:after="80"/>
        <w:jc w:val="both"/>
      </w:pPr>
      <w:r>
        <w:t xml:space="preserve">II - de semoventes, quando não empregados na exploração de alguma indústria;</w:t>
      </w:r>
    </w:p>
    <w:p>
      <w:pPr>
        <w:pStyle w:val="BodyText"/>
        <w:spacing w:after="80"/>
        <w:jc w:val="both"/>
      </w:pPr>
      <w:r>
        <w:t xml:space="preserve">III - de títulos e papéis de crédito, havendo fundado receio de depreciação;</w:t>
      </w:r>
    </w:p>
    <w:p>
      <w:pPr>
        <w:pStyle w:val="BodyText"/>
        <w:spacing w:after="80"/>
        <w:jc w:val="both"/>
      </w:pPr>
      <w:r>
        <w:t xml:space="preserve">IV - de ações de sociedade quando, reclamada a integralização, não dispuser a herança de dinheiro para o pagamento;</w:t>
      </w:r>
    </w:p>
    <w:p>
      <w:pPr>
        <w:pStyle w:val="BodyText"/>
        <w:spacing w:after="80"/>
        <w:jc w:val="both"/>
      </w:pPr>
      <w:r>
        <w:t xml:space="preserve">V - de bens imóveis:</w:t>
      </w:r>
    </w:p>
    <w:p>
      <w:pPr>
        <w:pStyle w:val="BodyText"/>
        <w:spacing w:after="80"/>
        <w:jc w:val="both"/>
      </w:pPr>
      <w:r>
        <w:t xml:space="preserve">a) se ameaçarem ruína, não convindo a reparação;</w:t>
      </w:r>
    </w:p>
    <w:p>
      <w:pPr>
        <w:pStyle w:val="BodyText"/>
        <w:spacing w:after="80"/>
        <w:jc w:val="both"/>
      </w:pPr>
      <w:r>
        <w:t xml:space="preserve">b) se estiverem hipotecados e vencer-se a dívida, não havendo dinheiro para o pagamento.</w:t>
      </w:r>
    </w:p>
    <w:p>
      <w:pPr>
        <w:pStyle w:val="BodyText"/>
        <w:spacing w:after="80"/>
        <w:jc w:val="both"/>
      </w:pPr>
      <w:r>
        <w:t xml:space="preserve">§ 1º Não se procederá, entretanto, à venda se a Fazenda Pública ou o habilitando adiantar a importância para as despesas.</w:t>
      </w:r>
    </w:p>
    <w:p>
      <w:pPr>
        <w:pStyle w:val="BodyText"/>
        <w:spacing w:after="80"/>
        <w:jc w:val="both"/>
      </w:pPr>
      <w:r>
        <w:t xml:space="preserve">§ 2º Os bens com valor de afeição, como retratos, objetos de uso pessoal, livros e obras de arte, só serão alienados depois de declarada a vacância da herança.</w:t>
      </w:r>
    </w:p>
    <w:bookmarkEnd w:id="524"/>
    <w:bookmarkStart w:id="525" w:name="art.-743"/>
    <w:p>
      <w:pPr>
        <w:pStyle w:val="Heading6"/>
        <w:pBdr>
          <w:left w:val="single" w:sz="36" w:space="4" w:color="2E75B6"/>
        </w:pBdr>
        <w:shd w:val="clear" w:color="auto" w:fill="E3EEF9"/>
        <w:spacing w:before="200" w:after="80"/>
        <w:ind w:left="85"/>
      </w:pPr>
      <w:r>
        <w:rPr>
          <w:i w:val="0"/>
          <w:color w:val="1F3A5F"/>
          <w:sz w:val="23"/>
        </w:rPr>
        <w:t xml:space="preserve">Art. 743</w:t>
      </w:r>
    </w:p>
    <w:p>
      <w:pPr>
        <w:pStyle w:val="FirstParagraph"/>
        <w:spacing w:after="80"/>
        <w:jc w:val="both"/>
      </w:pPr>
      <w:r>
        <w:rPr>
          <w:b/>
          <w:bCs/>
        </w:rPr>
        <w:t xml:space="preserve">Art. 743.</w:t>
      </w:r>
      <w:r>
        <w:t xml:space="preserve"> </w:t>
      </w:r>
      <w:r>
        <w:t xml:space="preserve">Passado 1 (um) ano da primeira publicação do edital e não havendo herdeiro habilitado nem habilitação pendente, será a herança declarada vacante.</w:t>
      </w:r>
    </w:p>
    <w:p>
      <w:pPr>
        <w:pStyle w:val="BodyText"/>
        <w:spacing w:after="80"/>
        <w:jc w:val="both"/>
      </w:pPr>
      <w:r>
        <w:t xml:space="preserve">§ 1º Pendendo habilitação, a vacância será declarada pela mesma sentença que a julgar improcedente, aguardando-se, no caso de serem diversas as habilitações, o julgamento da última.</w:t>
      </w:r>
    </w:p>
    <w:p>
      <w:pPr>
        <w:pStyle w:val="BodyText"/>
        <w:spacing w:after="80"/>
        <w:jc w:val="both"/>
      </w:pPr>
      <w:r>
        <w:t xml:space="preserve">§ 2º Transitada em julgado a sentença que declarou a vacância, o cônjuge, o companheiro, os herdeiros e os credores só poderão reclamar o seu direito por ação direta.</w:t>
      </w:r>
    </w:p>
    <w:bookmarkEnd w:id="525"/>
    <w:bookmarkEnd w:id="526"/>
    <w:bookmarkStart w:id="529" w:name="Xa053b2e96478f8de70325080fb1ae231329f6f5"/>
    <w:p>
      <w:pPr>
        <w:pStyle w:val="Heading5"/>
        <w:spacing w:before="140" w:after="20"/>
      </w:pPr>
      <w:r>
        <w:rPr>
          <w:i/>
          <w:color w:val="595959"/>
        </w:rPr>
        <w:t xml:space="preserve">Seção VII: dos bens dos ausentes (arts. 744 a 745)</w:t>
      </w:r>
    </w:p>
    <w:bookmarkStart w:id="527" w:name="art.-744"/>
    <w:p>
      <w:pPr>
        <w:pStyle w:val="Heading6"/>
        <w:pBdr>
          <w:left w:val="single" w:sz="36" w:space="4" w:color="2E75B6"/>
        </w:pBdr>
        <w:shd w:val="clear" w:color="auto" w:fill="E3EEF9"/>
        <w:spacing w:before="200" w:after="80"/>
        <w:ind w:left="85"/>
      </w:pPr>
      <w:r>
        <w:rPr>
          <w:i w:val="0"/>
          <w:color w:val="1F3A5F"/>
          <w:sz w:val="23"/>
        </w:rPr>
        <w:t xml:space="preserve">Art. 744</w:t>
      </w:r>
    </w:p>
    <w:p>
      <w:pPr>
        <w:pStyle w:val="FirstParagraph"/>
        <w:spacing w:after="80"/>
        <w:jc w:val="both"/>
      </w:pPr>
      <w:r>
        <w:rPr>
          <w:b/>
          <w:bCs/>
        </w:rPr>
        <w:t xml:space="preserve">Art. 744.</w:t>
      </w:r>
      <w:r>
        <w:t xml:space="preserve"> </w:t>
      </w:r>
      <w:r>
        <w:t xml:space="preserve">Declarada a ausência nos casos previstos em lei, o juiz mandará arrecadar os bens do ausente e nomear-lhes-á curador na forma estabelecida na Seção VI, observando-se o disposto em lei.</w:t>
      </w:r>
    </w:p>
    <w:bookmarkEnd w:id="527"/>
    <w:bookmarkStart w:id="528" w:name="art.-745"/>
    <w:p>
      <w:pPr>
        <w:pStyle w:val="Heading6"/>
        <w:pBdr>
          <w:left w:val="single" w:sz="36" w:space="4" w:color="2E75B6"/>
        </w:pBdr>
        <w:shd w:val="clear" w:color="auto" w:fill="E3EEF9"/>
        <w:spacing w:before="200" w:after="80"/>
        <w:ind w:left="85"/>
      </w:pPr>
      <w:r>
        <w:rPr>
          <w:i w:val="0"/>
          <w:color w:val="1F3A5F"/>
          <w:sz w:val="23"/>
        </w:rPr>
        <w:t xml:space="preserve">Art. 745</w:t>
      </w:r>
    </w:p>
    <w:p>
      <w:pPr>
        <w:pStyle w:val="FirstParagraph"/>
        <w:spacing w:after="80"/>
        <w:jc w:val="both"/>
      </w:pPr>
      <w:r>
        <w:rPr>
          <w:b/>
          <w:bCs/>
        </w:rPr>
        <w:t xml:space="preserve">Art. 745.</w:t>
      </w:r>
      <w:r>
        <w:t xml:space="preserve"> </w:t>
      </w:r>
      <w:r>
        <w:t xml:space="preserve">Feita a arrecadação, o juiz mandará publicar editais na rede mundial de computadores, no sítio do tribunal a que estiver vinculado e na plataforma de editais do Conselho Nacional de Justiça, onde permanecerá por 1 (um) ano, ou, não havendo sítio, no órgão oficial e na imprensa da comarca, durante 1 (um) ano, reproduzida de 2 (dois) em 2 (dois) meses, anunciando a arrecadação e chamando o ausente a entrar na posse de seus bens.</w:t>
      </w:r>
    </w:p>
    <w:p>
      <w:pPr>
        <w:pStyle w:val="BodyText"/>
        <w:spacing w:after="80"/>
        <w:jc w:val="both"/>
      </w:pPr>
      <w:r>
        <w:t xml:space="preserve">§ 1º Findo o prazo previsto no edital, poderão os interessados requerer a abertura da sucessão provisória, observando-se o disposto em lei.</w:t>
      </w:r>
    </w:p>
    <w:p>
      <w:pPr>
        <w:pStyle w:val="BodyText"/>
        <w:spacing w:after="80"/>
        <w:jc w:val="both"/>
      </w:pPr>
      <w:r>
        <w:t xml:space="preserve">§ 2º O interessado, ao requerer a abertura da sucessão provisória, pedirá a citação pessoal dos herdeiros presentes e do curador e, por editais, a dos ausentes para requererem habilitação, na forma dos arts. 689 a 692.</w:t>
      </w:r>
    </w:p>
    <w:p>
      <w:pPr>
        <w:pStyle w:val="BodyText"/>
        <w:spacing w:after="80"/>
        <w:jc w:val="both"/>
      </w:pPr>
      <w:r>
        <w:t xml:space="preserve">§ 3º Presentes os requisitos legais, poderá ser requerida a conversão da sucessão provisória em definitiva.</w:t>
      </w:r>
    </w:p>
    <w:p>
      <w:pPr>
        <w:pStyle w:val="BodyText"/>
        <w:spacing w:after="80"/>
        <w:jc w:val="both"/>
      </w:pPr>
      <w:r>
        <w:t xml:space="preserve">§ 4º Regressando o ausente ou algum de seus descendentes ou ascendentes para requerer ao juiz a entrega de bens, serão citados para contestar o pedido os sucessores provisórios ou definitivos, o Ministério Público e o representante da Fazenda Pública, seguindo-se o procedimento comum.</w:t>
      </w:r>
    </w:p>
    <w:bookmarkEnd w:id="528"/>
    <w:bookmarkEnd w:id="529"/>
    <w:bookmarkStart w:id="531" w:name="seção-viii-das-coisas-vagas-arts.-746"/>
    <w:p>
      <w:pPr>
        <w:pStyle w:val="Heading5"/>
        <w:spacing w:before="140" w:after="20"/>
      </w:pPr>
      <w:r>
        <w:rPr>
          <w:i/>
          <w:color w:val="595959"/>
        </w:rPr>
        <w:t xml:space="preserve">Seção VIII: das coisas vagas (arts. 746)</w:t>
      </w:r>
    </w:p>
    <w:bookmarkStart w:id="530" w:name="art.-746"/>
    <w:p>
      <w:pPr>
        <w:pStyle w:val="Heading6"/>
        <w:pBdr>
          <w:left w:val="single" w:sz="36" w:space="4" w:color="2E75B6"/>
        </w:pBdr>
        <w:shd w:val="clear" w:color="auto" w:fill="E3EEF9"/>
        <w:spacing w:before="200" w:after="80"/>
        <w:ind w:left="85"/>
      </w:pPr>
      <w:r>
        <w:rPr>
          <w:i w:val="0"/>
          <w:color w:val="1F3A5F"/>
          <w:sz w:val="23"/>
        </w:rPr>
        <w:t xml:space="preserve">Art. 746</w:t>
      </w:r>
    </w:p>
    <w:p>
      <w:pPr>
        <w:pStyle w:val="FirstParagraph"/>
        <w:spacing w:after="80"/>
        <w:jc w:val="both"/>
      </w:pPr>
      <w:r>
        <w:rPr>
          <w:b/>
          <w:bCs/>
        </w:rPr>
        <w:t xml:space="preserve">Art. 746.</w:t>
      </w:r>
      <w:r>
        <w:t xml:space="preserve"> </w:t>
      </w:r>
      <w:r>
        <w:t xml:space="preserve">Recebendo do descobridor coisa alheia perdida, o juiz mandará lavrar o respectivo auto, do qual constará a descrição do bem e as declarações do descobridor.</w:t>
      </w:r>
    </w:p>
    <w:p>
      <w:pPr>
        <w:pStyle w:val="BodyText"/>
        <w:spacing w:after="80"/>
        <w:jc w:val="both"/>
      </w:pPr>
      <w:r>
        <w:t xml:space="preserve">§ 1º Recebida a coisa por autoridade policial, esta a remeterá em seguida ao juízo competente.</w:t>
      </w:r>
    </w:p>
    <w:p>
      <w:pPr>
        <w:pStyle w:val="BodyText"/>
        <w:spacing w:after="80"/>
        <w:jc w:val="both"/>
      </w:pPr>
      <w:r>
        <w:t xml:space="preserve">§ 2º Depositada a coisa, o juiz mandará publicar edital na rede mundial de computadores, no sítio do tribunal a que estiver vinculado e na plataforma de editais do Conselho Nacional de Justiça ou, não havendo sítio, no órgão oficial e na imprensa da comarca, para que o dono ou o legítimo possuidor a reclame, salvo se se tratar de coisa de pequeno valor e não for possível a publicação no sítio do tribunal, caso em que o edital será apenas afixado no átrio do edifício do fórum.</w:t>
      </w:r>
    </w:p>
    <w:p>
      <w:pPr>
        <w:pStyle w:val="BodyText"/>
        <w:spacing w:after="80"/>
        <w:jc w:val="both"/>
      </w:pPr>
      <w:r>
        <w:t xml:space="preserve">§ 3º Observar-se-á, quanto ao mais, o disposto em lei.</w:t>
      </w:r>
    </w:p>
    <w:bookmarkEnd w:id="530"/>
    <w:bookmarkEnd w:id="531"/>
    <w:bookmarkStart w:id="544" w:name="seção-ix-da-interdição-arts.-747-a-758"/>
    <w:p>
      <w:pPr>
        <w:pStyle w:val="Heading5"/>
        <w:spacing w:before="140" w:after="20"/>
      </w:pPr>
      <w:r>
        <w:rPr>
          <w:i/>
          <w:color w:val="595959"/>
        </w:rPr>
        <w:t xml:space="preserve">Seção IX: da interdição (arts. 747 a 758)</w:t>
      </w:r>
    </w:p>
    <w:bookmarkStart w:id="532" w:name="art.-747"/>
    <w:p>
      <w:pPr>
        <w:pStyle w:val="Heading6"/>
        <w:pBdr>
          <w:left w:val="single" w:sz="36" w:space="4" w:color="2E75B6"/>
        </w:pBdr>
        <w:shd w:val="clear" w:color="auto" w:fill="E3EEF9"/>
        <w:spacing w:before="200" w:after="80"/>
        <w:ind w:left="85"/>
      </w:pPr>
      <w:r>
        <w:rPr>
          <w:i w:val="0"/>
          <w:color w:val="1F3A5F"/>
          <w:sz w:val="23"/>
        </w:rPr>
        <w:t xml:space="preserve">Art. 747</w:t>
      </w:r>
    </w:p>
    <w:p>
      <w:pPr>
        <w:pStyle w:val="FirstParagraph"/>
        <w:keepNext/>
        <w:spacing w:after="80"/>
        <w:jc w:val="both"/>
      </w:pPr>
      <w:r>
        <w:rPr>
          <w:b/>
          <w:bCs/>
        </w:rPr>
        <w:t xml:space="preserve">Art. 747.</w:t>
      </w:r>
      <w:r>
        <w:t xml:space="preserve"> </w:t>
      </w:r>
      <w:r>
        <w:t xml:space="preserve">A interdição pode ser promovida: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13"/>
        <w:gridCol w:w="2678"/>
        <w:gridCol w:w="4663"/>
      </w:tblGrid>
      <w:tr>
        <w:trPr>
          <w:tblHeader w:val="on"/>
          <w:cantSplit/>
          <w:tblHeader/>
        </w:trPr>
        <w:tc>
          <w:tcPr>
            <w:tcW w:type="dxa" w:w="2013"/>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7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66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13"/>
          </w:tcPr>
          <w:p>
            <w:pPr>
              <w:pStyle w:val="Compact"/>
              <w:spacing w:line="276" w:lineRule="auto" w:before="40" w:after="40"/>
            </w:pPr>
            <w:r>
              <w:rPr>
                <w:rFonts w:ascii="Liberation Sans Narrow" w:hAnsi="Liberation Sans Narrow"/>
                <w:sz w:val="18"/>
              </w:rPr>
              <w:t xml:space="preserve">Legitimidade ativa para a interdição: rol taxativo, sem ordem preferencial</w:t>
            </w:r>
          </w:p>
        </w:tc>
        <w:tc>
          <w:tcPr>
            <w:tcW w:type="dxa" w:w="2678"/>
          </w:tcPr>
          <w:p>
            <w:pPr>
              <w:pStyle w:val="Compact"/>
              <w:spacing w:line="276" w:lineRule="auto" w:before="40" w:after="40"/>
            </w:pPr>
            <w:r>
              <w:rPr>
                <w:rFonts w:ascii="Liberation Sans Narrow" w:hAnsi="Liberation Sans Narrow"/>
                <w:sz w:val="18"/>
              </w:rPr>
              <w:t xml:space="preserve">STJ, REsp 2.156.970, Quarta Turma, relator Min. João Otávio de Noronha, julgado em 12/08/2026, DJEN de 17/08/2026</w:t>
            </w:r>
          </w:p>
        </w:tc>
        <w:tc>
          <w:tcPr>
            <w:tcW w:type="dxa" w:w="4663"/>
          </w:tcPr>
          <w:p>
            <w:pPr>
              <w:pStyle w:val="Compact"/>
              <w:spacing w:line="276" w:lineRule="auto" w:before="40" w:after="40"/>
            </w:pPr>
            <w:r>
              <w:rPr>
                <w:rFonts w:ascii="Liberation Sans Narrow" w:hAnsi="Liberation Sans Narrow"/>
                <w:sz w:val="18"/>
              </w:rPr>
              <w:t xml:space="preserve">O rol de legitimados para propor a interdição (art. 747) é taxativo, embora não estabeleça ordem preferencial; havendo intervenção posterior de parentes legitimados, regulariza-se o polo ativo e aproveitam-se os atos, em prestígio ao julgamento de mérito, à proteção da pessoa vulnerável e à instrumentalidade das formas.</w:t>
            </w:r>
          </w:p>
        </w:tc>
      </w:tr>
    </w:tbl>
    <w:p>
      <w:pPr>
        <w:pStyle w:val="BodyText"/>
        <w:spacing w:after="80"/>
        <w:jc w:val="both"/>
      </w:pPr>
      <w:r>
        <w:t xml:space="preserve">I - pelo cônjuge ou companheiro;</w:t>
      </w:r>
    </w:p>
    <w:p>
      <w:pPr>
        <w:pStyle w:val="BodyText"/>
        <w:spacing w:after="80"/>
        <w:jc w:val="both"/>
      </w:pPr>
      <w:r>
        <w:t xml:space="preserve">II - pelos parentes ou tutores;</w:t>
      </w:r>
    </w:p>
    <w:p>
      <w:pPr>
        <w:pStyle w:val="BodyText"/>
        <w:spacing w:after="80"/>
        <w:jc w:val="both"/>
      </w:pPr>
      <w:r>
        <w:t xml:space="preserve">III - pelo representante da entidade em que se encontra abrigado o interditando;</w:t>
      </w:r>
    </w:p>
    <w:p>
      <w:pPr>
        <w:pStyle w:val="BodyText"/>
        <w:spacing w:after="80"/>
        <w:jc w:val="both"/>
      </w:pPr>
      <w:r>
        <w:t xml:space="preserve">IV - pelo Ministério Público.</w:t>
      </w:r>
    </w:p>
    <w:p>
      <w:pPr>
        <w:pStyle w:val="BodyText"/>
        <w:spacing w:after="80"/>
        <w:jc w:val="both"/>
      </w:pPr>
      <w:r>
        <w:t xml:space="preserve">Parágrafo único. A legitimidade deverá ser comprovada por documentação que acompanhe a petição inicial.</w:t>
      </w:r>
    </w:p>
    <w:bookmarkEnd w:id="532"/>
    <w:bookmarkStart w:id="533" w:name="art.-748"/>
    <w:p>
      <w:pPr>
        <w:pStyle w:val="Heading6"/>
        <w:pBdr>
          <w:left w:val="single" w:sz="36" w:space="4" w:color="2E75B6"/>
        </w:pBdr>
        <w:shd w:val="clear" w:color="auto" w:fill="E3EEF9"/>
        <w:spacing w:before="200" w:after="80"/>
        <w:ind w:left="85"/>
      </w:pPr>
      <w:r>
        <w:rPr>
          <w:i w:val="0"/>
          <w:color w:val="1F3A5F"/>
          <w:sz w:val="23"/>
        </w:rPr>
        <w:t xml:space="preserve">Art. 748</w:t>
      </w:r>
    </w:p>
    <w:p>
      <w:pPr>
        <w:pStyle w:val="FirstParagraph"/>
        <w:spacing w:after="80"/>
        <w:jc w:val="both"/>
      </w:pPr>
      <w:r>
        <w:rPr>
          <w:b/>
          <w:bCs/>
        </w:rPr>
        <w:t xml:space="preserve">Art. 748.</w:t>
      </w:r>
      <w:r>
        <w:t xml:space="preserve"> </w:t>
      </w:r>
      <w:r>
        <w:t xml:space="preserve">O Ministério Público só promoverá interdição em caso de doença mental grave:</w:t>
      </w:r>
    </w:p>
    <w:p>
      <w:pPr>
        <w:pStyle w:val="BodyText"/>
        <w:spacing w:after="80"/>
        <w:jc w:val="both"/>
      </w:pPr>
      <w:r>
        <w:t xml:space="preserve">I - se as pessoas designadas nos incisos I, II e III do art. 747 não existirem ou não promoverem a interdição;</w:t>
      </w:r>
    </w:p>
    <w:p>
      <w:pPr>
        <w:pStyle w:val="BodyText"/>
        <w:spacing w:after="80"/>
        <w:jc w:val="both"/>
      </w:pPr>
      <w:r>
        <w:t xml:space="preserve">II - se, existindo, forem incapazes as pessoas mencionadas nos incisos I e II do art. 747.</w:t>
      </w:r>
    </w:p>
    <w:bookmarkEnd w:id="533"/>
    <w:bookmarkStart w:id="534" w:name="art.-749"/>
    <w:p>
      <w:pPr>
        <w:pStyle w:val="Heading6"/>
        <w:pBdr>
          <w:left w:val="single" w:sz="36" w:space="4" w:color="2E75B6"/>
        </w:pBdr>
        <w:shd w:val="clear" w:color="auto" w:fill="E3EEF9"/>
        <w:spacing w:before="200" w:after="80"/>
        <w:ind w:left="85"/>
      </w:pPr>
      <w:r>
        <w:rPr>
          <w:i w:val="0"/>
          <w:color w:val="1F3A5F"/>
          <w:sz w:val="23"/>
        </w:rPr>
        <w:t xml:space="preserve">Art. 749</w:t>
      </w:r>
    </w:p>
    <w:p>
      <w:pPr>
        <w:pStyle w:val="FirstParagraph"/>
        <w:spacing w:after="80"/>
        <w:jc w:val="both"/>
      </w:pPr>
      <w:r>
        <w:rPr>
          <w:b/>
          <w:bCs/>
        </w:rPr>
        <w:t xml:space="preserve">Art. 749.</w:t>
      </w:r>
      <w:r>
        <w:t xml:space="preserve"> </w:t>
      </w:r>
      <w:r>
        <w:t xml:space="preserve">Incumbe ao autor, na petição inicial, especificar os fatos que demonstram a incapacidade do interditando para administrar seus bens e, se for o caso, para praticar atos da vida civil, bem como o momento em que a incapacidade se revelou.</w:t>
      </w:r>
    </w:p>
    <w:p>
      <w:pPr>
        <w:pStyle w:val="BodyText"/>
        <w:spacing w:after="80"/>
        <w:jc w:val="both"/>
      </w:pPr>
      <w:r>
        <w:t xml:space="preserve">Parágrafo único. Justificada a urgência, o juiz pode nomear curador provisório ao interditando para a prática de determinados atos.</w:t>
      </w:r>
    </w:p>
    <w:bookmarkEnd w:id="534"/>
    <w:bookmarkStart w:id="535" w:name="art.-750"/>
    <w:p>
      <w:pPr>
        <w:pStyle w:val="Heading6"/>
        <w:pBdr>
          <w:left w:val="single" w:sz="36" w:space="4" w:color="2E75B6"/>
        </w:pBdr>
        <w:shd w:val="clear" w:color="auto" w:fill="E3EEF9"/>
        <w:spacing w:before="200" w:after="80"/>
        <w:ind w:left="85"/>
      </w:pPr>
      <w:r>
        <w:rPr>
          <w:i w:val="0"/>
          <w:color w:val="1F3A5F"/>
          <w:sz w:val="23"/>
        </w:rPr>
        <w:t xml:space="preserve">Art. 750</w:t>
      </w:r>
    </w:p>
    <w:p>
      <w:pPr>
        <w:pStyle w:val="FirstParagraph"/>
        <w:keepNext/>
        <w:spacing w:after="80"/>
        <w:jc w:val="both"/>
      </w:pPr>
      <w:r>
        <w:rPr>
          <w:b/>
          <w:bCs/>
        </w:rPr>
        <w:t xml:space="preserve">Art. 750.</w:t>
      </w:r>
      <w:r>
        <w:t xml:space="preserve"> </w:t>
      </w:r>
      <w:r>
        <w:t xml:space="preserve">O requerente deverá juntar laudo médico para fazer prova de suas alegações ou informar a impossibilidade de fazê-lo.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847"/>
        <w:gridCol w:w="2668"/>
        <w:gridCol w:w="4840"/>
      </w:tblGrid>
      <w:tr>
        <w:trPr>
          <w:tblHeader w:val="on"/>
          <w:cantSplit/>
          <w:tblHeader/>
        </w:trPr>
        <w:tc>
          <w:tcPr>
            <w:tcW w:type="dxa" w:w="1847"/>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6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3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847"/>
          </w:tcPr>
          <w:p>
            <w:pPr>
              <w:pStyle w:val="Compact"/>
              <w:spacing w:line="276" w:lineRule="auto" w:before="40" w:after="40"/>
            </w:pPr>
            <w:r>
              <w:rPr>
                <w:rFonts w:ascii="Liberation Sans Narrow" w:hAnsi="Liberation Sans Narrow"/>
                <w:sz w:val="18"/>
              </w:rPr>
              <w:t xml:space="preserve">Caput — dispensa do laudo quando o interditando recusa o exame</w:t>
            </w:r>
          </w:p>
        </w:tc>
        <w:tc>
          <w:tcPr>
            <w:tcW w:type="dxa" w:w="2668"/>
          </w:tcPr>
          <w:p>
            <w:pPr>
              <w:pStyle w:val="Compact"/>
              <w:spacing w:line="276" w:lineRule="auto" w:before="40" w:after="40"/>
            </w:pPr>
            <w:r>
              <w:rPr>
                <w:rFonts w:ascii="Liberation Sans Narrow" w:hAnsi="Liberation Sans Narrow"/>
                <w:sz w:val="18"/>
              </w:rPr>
              <w:t xml:space="preserve">STJ, REsp 1.933.597, Terceira Turma, relatora Min. Nancy Andrighi, julgado em 26/10/2021, DJe de 03/11/2021</w:t>
            </w:r>
          </w:p>
        </w:tc>
        <w:tc>
          <w:tcPr>
            <w:tcW w:type="dxa" w:w="4839"/>
          </w:tcPr>
          <w:p>
            <w:pPr>
              <w:pStyle w:val="Compact"/>
              <w:spacing w:line="276" w:lineRule="auto" w:before="40" w:after="40"/>
            </w:pPr>
            <w:r>
              <w:rPr>
                <w:rFonts w:ascii="Liberation Sans Narrow" w:hAnsi="Liberation Sans Narrow"/>
                <w:sz w:val="18"/>
              </w:rPr>
              <w:t xml:space="preserve">O laudo médico do art. 750 é documento necessário à propositura da ação de interdição, mas sua juntada pode ser flexibilizada: o laudo não substitui a prova pericial e serve apenas para conferir plausibilidade jurídica à petição inicial. A recusa do interditando em se submeter ao exame médico autoriza providência substitutiva — a audiência de justificação —, e o indeferimento dessa providência impede a extinção do processo sem resolução do mérito por excesso de rigor e violação do acesso à justiça.</w:t>
            </w:r>
          </w:p>
        </w:tc>
      </w:tr>
    </w:tbl>
    <w:bookmarkEnd w:id="535"/>
    <w:bookmarkStart w:id="536" w:name="art.-751"/>
    <w:p>
      <w:pPr>
        <w:pStyle w:val="Heading6"/>
        <w:pBdr>
          <w:left w:val="single" w:sz="36" w:space="4" w:color="2E75B6"/>
        </w:pBdr>
        <w:shd w:val="clear" w:color="auto" w:fill="E3EEF9"/>
        <w:spacing w:before="200" w:after="80"/>
        <w:ind w:left="85"/>
      </w:pPr>
      <w:r>
        <w:rPr>
          <w:i w:val="0"/>
          <w:color w:val="1F3A5F"/>
          <w:sz w:val="23"/>
        </w:rPr>
        <w:t xml:space="preserve">Art. 751</w:t>
      </w:r>
    </w:p>
    <w:p>
      <w:pPr>
        <w:pStyle w:val="FirstParagraph"/>
        <w:spacing w:after="80"/>
        <w:jc w:val="both"/>
      </w:pPr>
      <w:r>
        <w:rPr>
          <w:b/>
          <w:bCs/>
        </w:rPr>
        <w:t xml:space="preserve">Art. 751.</w:t>
      </w:r>
      <w:r>
        <w:t xml:space="preserve"> </w:t>
      </w:r>
      <w:r>
        <w:t xml:space="preserve">O interditando será citado para, em dia designado, comparecer perante o juiz, que o entrevistará minuciosamente acerca de sua vida, negócios, bens, vontades, preferências e laços familiares e afetivos e sobre o que mais lhe parecer necessário para convencimento quanto à sua capacidade para praticar atos da vida civil, devendo ser reduzidas a termo as perguntas e respostas.</w:t>
      </w:r>
    </w:p>
    <w:p>
      <w:pPr>
        <w:pStyle w:val="BodyText"/>
        <w:spacing w:after="80"/>
        <w:jc w:val="both"/>
      </w:pPr>
      <w:r>
        <w:t xml:space="preserve">§ 1º Não podendo o interditando deslocar-se, o juiz o ouvirá no local onde estiver.</w:t>
      </w:r>
    </w:p>
    <w:p>
      <w:pPr>
        <w:pStyle w:val="BodyText"/>
        <w:spacing w:after="80"/>
        <w:jc w:val="both"/>
      </w:pPr>
      <w:r>
        <w:t xml:space="preserve">§ 2º A entrevista poderá ser acompanhada por especialista.</w:t>
      </w:r>
    </w:p>
    <w:p>
      <w:pPr>
        <w:pStyle w:val="BodyText"/>
        <w:spacing w:after="80"/>
        <w:jc w:val="both"/>
      </w:pPr>
      <w:r>
        <w:t xml:space="preserve">§ 3º Durante a entrevista, é assegurado o emprego de recursos tecnológicos capazes de permitir ou de auxiliar o interditando a expressar suas vontades e preferências e a responder às perguntas formuladas.</w:t>
      </w:r>
    </w:p>
    <w:p>
      <w:pPr>
        <w:pStyle w:val="BodyText"/>
        <w:spacing w:after="80"/>
        <w:jc w:val="both"/>
      </w:pPr>
      <w:r>
        <w:t xml:space="preserve">§ 4º A critério do juiz, poderá ser requisitada a oitiva de parentes e de pessoas próximas.</w:t>
      </w:r>
    </w:p>
    <w:bookmarkEnd w:id="536"/>
    <w:bookmarkStart w:id="537" w:name="art.-752"/>
    <w:p>
      <w:pPr>
        <w:pStyle w:val="Heading6"/>
        <w:pBdr>
          <w:left w:val="single" w:sz="36" w:space="4" w:color="2E75B6"/>
        </w:pBdr>
        <w:shd w:val="clear" w:color="auto" w:fill="E3EEF9"/>
        <w:spacing w:before="200" w:after="80"/>
        <w:ind w:left="85"/>
      </w:pPr>
      <w:r>
        <w:rPr>
          <w:i w:val="0"/>
          <w:color w:val="1F3A5F"/>
          <w:sz w:val="23"/>
        </w:rPr>
        <w:t xml:space="preserve">Art. 752</w:t>
      </w:r>
    </w:p>
    <w:p>
      <w:pPr>
        <w:pStyle w:val="FirstParagraph"/>
        <w:spacing w:after="80"/>
        <w:jc w:val="both"/>
      </w:pPr>
      <w:r>
        <w:rPr>
          <w:b/>
          <w:bCs/>
        </w:rPr>
        <w:t xml:space="preserve">Art. 752.</w:t>
      </w:r>
      <w:r>
        <w:t xml:space="preserve"> </w:t>
      </w:r>
      <w:r>
        <w:t xml:space="preserve">Dentro do prazo de 15 (quinze) dias contado da entrevista, o interditando poderá impugnar o pedido.</w:t>
      </w:r>
    </w:p>
    <w:p>
      <w:pPr>
        <w:pStyle w:val="BodyText"/>
        <w:spacing w:after="80"/>
        <w:jc w:val="both"/>
      </w:pPr>
      <w:r>
        <w:t xml:space="preserve">§ 1º O Ministério Público intervirá como fiscal da ordem jurídica.</w:t>
      </w:r>
    </w:p>
    <w:p>
      <w:pPr>
        <w:pStyle w:val="BodyText"/>
        <w:spacing w:after="80"/>
        <w:jc w:val="both"/>
      </w:pPr>
      <w:r>
        <w:t xml:space="preserve">§ 2º O interditando poderá constituir advogado, e, caso não o faça, deverá ser nomeado curador especial.</w:t>
      </w:r>
    </w:p>
    <w:p>
      <w:pPr>
        <w:pStyle w:val="BodyText"/>
        <w:spacing w:after="80"/>
        <w:jc w:val="both"/>
      </w:pPr>
      <w:r>
        <w:t xml:space="preserve">§ 3º Caso o interditando não constitua advogado, o seu cônjuge, companheiro ou qualquer parente sucessível poderá intervir como assistente.</w:t>
      </w:r>
    </w:p>
    <w:bookmarkEnd w:id="537"/>
    <w:bookmarkStart w:id="538" w:name="art.-753"/>
    <w:p>
      <w:pPr>
        <w:pStyle w:val="Heading6"/>
        <w:pBdr>
          <w:left w:val="single" w:sz="36" w:space="4" w:color="2E75B6"/>
        </w:pBdr>
        <w:shd w:val="clear" w:color="auto" w:fill="E3EEF9"/>
        <w:spacing w:before="200" w:after="80"/>
        <w:ind w:left="85"/>
      </w:pPr>
      <w:r>
        <w:rPr>
          <w:i w:val="0"/>
          <w:color w:val="1F3A5F"/>
          <w:sz w:val="23"/>
        </w:rPr>
        <w:t xml:space="preserve">Art. 753</w:t>
      </w:r>
    </w:p>
    <w:p>
      <w:pPr>
        <w:pStyle w:val="FirstParagraph"/>
        <w:keepNext/>
        <w:spacing w:after="80"/>
        <w:jc w:val="both"/>
      </w:pPr>
      <w:r>
        <w:rPr>
          <w:b/>
          <w:bCs/>
        </w:rPr>
        <w:t xml:space="preserve">Art. 753.</w:t>
      </w:r>
      <w:r>
        <w:t xml:space="preserve"> </w:t>
      </w:r>
      <w:r>
        <w:t xml:space="preserve">Decorrido o prazo previsto no art. 752, o juiz determinará a produção de prova pericial para avaliação da capacidade do interditando para praticar atos da vida civil.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3163"/>
        <w:gridCol w:w="466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16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66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Caput — orientação de aplicação</w:t>
            </w:r>
          </w:p>
        </w:tc>
        <w:tc>
          <w:tcPr>
            <w:tcW w:type="dxa" w:w="3163"/>
          </w:tcPr>
          <w:p>
            <w:pPr>
              <w:pStyle w:val="Compact"/>
              <w:spacing w:line="276" w:lineRule="auto" w:before="40" w:after="40"/>
            </w:pPr>
            <w:r>
              <w:rPr>
                <w:rFonts w:ascii="Liberation Sans Narrow" w:hAnsi="Liberation Sans Narrow"/>
                <w:sz w:val="18"/>
              </w:rPr>
              <w:t xml:space="preserve">STJ, AREsp 3.057.382, Quarta Turma, relator Min. João Otávio de Noronha, julgado em 22/04/2026, DJEN de 27/04/2026</w:t>
            </w:r>
          </w:p>
        </w:tc>
        <w:tc>
          <w:tcPr>
            <w:tcW w:type="dxa" w:w="4661"/>
          </w:tcPr>
          <w:p>
            <w:pPr>
              <w:pStyle w:val="Compact"/>
              <w:spacing w:line="276" w:lineRule="auto" w:before="40" w:after="40"/>
            </w:pPr>
            <w:r>
              <w:rPr>
                <w:rFonts w:ascii="Liberation Sans Narrow" w:hAnsi="Liberation Sans Narrow"/>
                <w:sz w:val="18"/>
              </w:rPr>
              <w:t xml:space="preserve">A perícia do art. 753 do CPC é dispensável quando os elementos probatórios dos autos são suficientes para aferir a causa justificadora da interdição, sua extensão e limites.</w:t>
            </w:r>
          </w:p>
        </w:tc>
      </w:tr>
      <w:tr>
        <w:trPr>
          <w:cantSplit/>
        </w:trPr>
        <w:tc>
          <w:tcPr>
            <w:tcW w:type="dxa" w:w="1531"/>
          </w:tcPr>
          <w:p>
            <w:pPr>
              <w:pStyle w:val="Compact"/>
              <w:spacing w:line="276" w:lineRule="auto" w:before="40" w:after="40"/>
            </w:pPr>
            <w:r>
              <w:rPr>
                <w:rFonts w:ascii="Liberation Sans Narrow" w:hAnsi="Liberation Sans Narrow"/>
                <w:sz w:val="18"/>
              </w:rPr>
              <w:t xml:space="preserve">Caput — tese</w:t>
            </w:r>
          </w:p>
        </w:tc>
        <w:tc>
          <w:tcPr>
            <w:tcW w:type="dxa" w:w="3163"/>
          </w:tcPr>
          <w:p>
            <w:pPr>
              <w:pStyle w:val="Compact"/>
              <w:spacing w:line="276" w:lineRule="auto" w:before="40" w:after="40"/>
            </w:pPr>
            <w:r>
              <w:rPr>
                <w:rFonts w:ascii="Liberation Sans Narrow" w:hAnsi="Liberation Sans Narrow"/>
                <w:sz w:val="18"/>
              </w:rPr>
              <w:t xml:space="preserve">STJ, REsp 2.124.428, Terceira Turma, relatora Min. Nancy Andrighi, julgado em 14/05/2024, DJe de 17/05/2024</w:t>
            </w:r>
          </w:p>
        </w:tc>
        <w:tc>
          <w:tcPr>
            <w:tcW w:type="dxa" w:w="4661"/>
          </w:tcPr>
          <w:p>
            <w:pPr>
              <w:pStyle w:val="Compact"/>
              <w:spacing w:line="276" w:lineRule="auto" w:before="40" w:after="40"/>
            </w:pPr>
            <w:r>
              <w:rPr>
                <w:rFonts w:ascii="Liberation Sans Narrow" w:hAnsi="Liberation Sans Narrow"/>
                <w:sz w:val="18"/>
              </w:rPr>
              <w:t xml:space="preserve">Na ação de interdição, a prova pericial é de fundamental importância para constatar a causa da interdição, sua extensão e seus limites, não sendo substituível por laudo médico unilateralmente produzido ou pela entrevista do interditando realizada pelo juiz.</w:t>
            </w:r>
          </w:p>
        </w:tc>
      </w:tr>
    </w:tbl>
    <w:p>
      <w:pPr>
        <w:pStyle w:val="BodyText"/>
        <w:spacing w:after="80"/>
        <w:jc w:val="both"/>
      </w:pPr>
      <w:r>
        <w:t xml:space="preserve">§ 1º A perícia pode ser realizada por equipe composta por expertos com formação multidisciplinar.</w:t>
      </w:r>
    </w:p>
    <w:p>
      <w:pPr>
        <w:pStyle w:val="BodyText"/>
        <w:spacing w:after="80"/>
        <w:jc w:val="both"/>
      </w:pPr>
      <w:r>
        <w:t xml:space="preserve">§ 2º O laudo pericial indicará especificadamente, se for o caso, os atos para os quais haverá necessidade de curatela.</w:t>
      </w:r>
    </w:p>
    <w:bookmarkEnd w:id="538"/>
    <w:bookmarkStart w:id="539" w:name="art.-754"/>
    <w:p>
      <w:pPr>
        <w:pStyle w:val="Heading6"/>
        <w:pBdr>
          <w:left w:val="single" w:sz="36" w:space="4" w:color="2E75B6"/>
        </w:pBdr>
        <w:shd w:val="clear" w:color="auto" w:fill="E3EEF9"/>
        <w:spacing w:before="200" w:after="80"/>
        <w:ind w:left="85"/>
      </w:pPr>
      <w:r>
        <w:rPr>
          <w:i w:val="0"/>
          <w:color w:val="1F3A5F"/>
          <w:sz w:val="23"/>
        </w:rPr>
        <w:t xml:space="preserve">Art. 754</w:t>
      </w:r>
    </w:p>
    <w:p>
      <w:pPr>
        <w:pStyle w:val="FirstParagraph"/>
        <w:keepNext/>
        <w:spacing w:after="80"/>
        <w:jc w:val="both"/>
      </w:pPr>
      <w:r>
        <w:rPr>
          <w:b/>
          <w:bCs/>
        </w:rPr>
        <w:t xml:space="preserve">Art. 754.</w:t>
      </w:r>
      <w:r>
        <w:t xml:space="preserve"> </w:t>
      </w:r>
      <w:r>
        <w:t xml:space="preserve">Apresentado o laudo, produzidas as demais provas e ouvidos os interessados, o juiz proferirá sentença.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11"/>
        <w:gridCol w:w="2521"/>
        <w:gridCol w:w="5121"/>
      </w:tblGrid>
      <w:tr>
        <w:trPr>
          <w:tblHeader w:val="on"/>
          <w:cantSplit/>
          <w:tblHeader/>
        </w:trPr>
        <w:tc>
          <w:tcPr>
            <w:tcW w:type="dxa" w:w="171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2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12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712"/>
          </w:tcPr>
          <w:p>
            <w:pPr>
              <w:pStyle w:val="Compact"/>
              <w:spacing w:line="276" w:lineRule="auto" w:before="40" w:after="40"/>
            </w:pPr>
            <w:r>
              <w:rPr>
                <w:rFonts w:ascii="Liberation Sans Narrow" w:hAnsi="Liberation Sans Narrow"/>
                <w:sz w:val="18"/>
              </w:rPr>
              <w:t xml:space="preserve">Caput — orientação de aplicação (aplicação narrada)</w:t>
            </w:r>
          </w:p>
        </w:tc>
        <w:tc>
          <w:tcPr>
            <w:tcW w:type="dxa" w:w="2522"/>
          </w:tcPr>
          <w:p>
            <w:pPr>
              <w:pStyle w:val="Compact"/>
              <w:spacing w:line="276" w:lineRule="auto" w:before="40" w:after="40"/>
            </w:pPr>
            <w:r>
              <w:rPr>
                <w:rFonts w:ascii="Liberation Sans Narrow" w:hAnsi="Liberation Sans Narrow"/>
                <w:sz w:val="18"/>
              </w:rPr>
              <w:t xml:space="preserve">STJ, REsp 2.231.171, Segunda Turma, relator Min. Teodoro Silva Santos, julgado em 29/04/2026</w:t>
            </w:r>
          </w:p>
        </w:tc>
        <w:tc>
          <w:tcPr>
            <w:tcW w:type="dxa" w:w="5121"/>
          </w:tcPr>
          <w:p>
            <w:pPr>
              <w:pStyle w:val="Compact"/>
              <w:spacing w:line="276" w:lineRule="auto" w:before="40" w:after="40"/>
            </w:pPr>
            <w:r>
              <w:rPr>
                <w:rFonts w:ascii="Liberation Sans Narrow" w:hAnsi="Liberation Sans Narrow"/>
                <w:sz w:val="18"/>
              </w:rPr>
              <w:t xml:space="preserve">A sentença de interdição opera efeitos ex nunc, não tendo o condão de retroagir para afastar prescrição já consumada. Trecho: “A sentença de interdição, proferida em 2010, opera efeitos ex nunc, não tendo o condão de retroagir para afastar prescrição já consumada, máxime quando o conjunto probatório indica capacidade plena do recorrente ao tempo do licenciamento (1986).”</w:t>
            </w:r>
          </w:p>
        </w:tc>
      </w:tr>
    </w:tbl>
    <w:bookmarkEnd w:id="539"/>
    <w:bookmarkStart w:id="540" w:name="art.-755"/>
    <w:p>
      <w:pPr>
        <w:pStyle w:val="Heading6"/>
        <w:pBdr>
          <w:left w:val="single" w:sz="36" w:space="4" w:color="2E75B6"/>
        </w:pBdr>
        <w:shd w:val="clear" w:color="auto" w:fill="E3EEF9"/>
        <w:spacing w:before="200" w:after="80"/>
        <w:ind w:left="85"/>
      </w:pPr>
      <w:r>
        <w:rPr>
          <w:i w:val="0"/>
          <w:color w:val="1F3A5F"/>
          <w:sz w:val="23"/>
        </w:rPr>
        <w:t xml:space="preserve">Art. 755</w:t>
      </w:r>
    </w:p>
    <w:p>
      <w:pPr>
        <w:pStyle w:val="FirstParagraph"/>
        <w:spacing w:after="80"/>
        <w:jc w:val="both"/>
      </w:pPr>
      <w:r>
        <w:rPr>
          <w:b/>
          <w:bCs/>
        </w:rPr>
        <w:t xml:space="preserve">Art. 755.</w:t>
      </w:r>
      <w:r>
        <w:t xml:space="preserve"> </w:t>
      </w:r>
      <w:r>
        <w:t xml:space="preserve">Na sentença que decretar a interdição, o juiz:</w:t>
      </w:r>
    </w:p>
    <w:p>
      <w:pPr>
        <w:pStyle w:val="BodyText"/>
        <w:keepNext/>
        <w:spacing w:after="80"/>
        <w:jc w:val="both"/>
      </w:pPr>
      <w:r>
        <w:t xml:space="preserve">I - nomeará curador, que poderá ser o requerente da interdição, e fixará os limites da curatela, segundo o estado e o desenvolvimento mental do interdito;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16"/>
        <w:gridCol w:w="2640"/>
        <w:gridCol w:w="4598"/>
      </w:tblGrid>
      <w:tr>
        <w:trPr>
          <w:tblHeader w:val="on"/>
          <w:cantSplit/>
          <w:tblHeader/>
        </w:trPr>
        <w:tc>
          <w:tcPr>
            <w:tcW w:type="dxa" w:w="2116"/>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4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597"/>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16"/>
          </w:tcPr>
          <w:p>
            <w:pPr>
              <w:pStyle w:val="Compact"/>
              <w:spacing w:line="276" w:lineRule="auto" w:before="40" w:after="40"/>
            </w:pPr>
            <w:r>
              <w:rPr>
                <w:rFonts w:ascii="Liberation Sans Narrow" w:hAnsi="Liberation Sans Narrow"/>
                <w:sz w:val="18"/>
              </w:rPr>
              <w:t xml:space="preserve">I — fixação dos limites da curatela (orientação de aplicação) (aplicação narrada)</w:t>
            </w:r>
          </w:p>
        </w:tc>
        <w:tc>
          <w:tcPr>
            <w:tcW w:type="dxa" w:w="2641"/>
          </w:tcPr>
          <w:p>
            <w:pPr>
              <w:pStyle w:val="Compact"/>
              <w:spacing w:line="276" w:lineRule="auto" w:before="40" w:after="40"/>
            </w:pPr>
            <w:r>
              <w:rPr>
                <w:rFonts w:ascii="Liberation Sans Narrow" w:hAnsi="Liberation Sans Narrow"/>
                <w:sz w:val="18"/>
              </w:rPr>
              <w:t xml:space="preserve">STJ, REsp 2.243.242, Quarta Turma, relator Min. João Otávio de Noronha, julgado em 16/03/2026, DJEN de 19/03/2026</w:t>
            </w:r>
          </w:p>
        </w:tc>
        <w:tc>
          <w:tcPr>
            <w:tcW w:type="dxa" w:w="4597"/>
          </w:tcPr>
          <w:p>
            <w:pPr>
              <w:pStyle w:val="Compact"/>
              <w:spacing w:line="276" w:lineRule="auto" w:before="40" w:after="40"/>
            </w:pPr>
            <w:r>
              <w:rPr>
                <w:rFonts w:ascii="Liberation Sans Narrow" w:hAnsi="Liberation Sans Narrow"/>
                <w:sz w:val="18"/>
              </w:rPr>
              <w:t xml:space="preserve">Os poderes conferidos ao curador podem ser estendidos a outros atos da vida civil além dos patrimoniais e negociais, excepcionalmente e de forma fundamentada, atendidas as necessidades do curatelado. Trecho: “O acórdão recorrido está em consonância com a jurisprudência do STJ, de que os poderes conferidos ao curador podem ser estendidos para outros atos da vida civil que não apenas os de caráter patrimonial e negocial, excepcionalmente e de forma fundamentada, atendidas as necessidades do curatelado e observadas as peculiaridades do caso concreto.”</w:t>
            </w:r>
          </w:p>
        </w:tc>
      </w:tr>
    </w:tbl>
    <w:p>
      <w:pPr>
        <w:pStyle w:val="BodyText"/>
        <w:spacing w:after="80"/>
        <w:jc w:val="both"/>
      </w:pPr>
      <w:r>
        <w:t xml:space="preserve">II - considerará as características pessoais do interdito, observando suas potencialidades, habilidades, vontades e preferências.</w:t>
      </w:r>
    </w:p>
    <w:p>
      <w:pPr>
        <w:pStyle w:val="BodyText"/>
        <w:spacing w:after="80"/>
        <w:jc w:val="both"/>
      </w:pPr>
      <w:r>
        <w:t xml:space="preserve">§ 1º A curatela deve ser atribuída a quem melhor possa atender aos interesses do curatelado.</w:t>
      </w:r>
    </w:p>
    <w:p>
      <w:pPr>
        <w:pStyle w:val="BodyText"/>
        <w:spacing w:after="80"/>
        <w:jc w:val="both"/>
      </w:pPr>
      <w:r>
        <w:t xml:space="preserve">§ 2º Havendo, ao tempo da interdição, pessoa incapaz sob a guarda e a responsabilidade do interdito, o juiz atribuirá a curatela a quem melhor puder atender aos interesses do interdito e do incapaz.</w:t>
      </w:r>
    </w:p>
    <w:p>
      <w:pPr>
        <w:pStyle w:val="BodyText"/>
        <w:spacing w:after="80"/>
        <w:jc w:val="both"/>
      </w:pPr>
      <w:r>
        <w:t xml:space="preserve">§ 3º A sentença de interdição será inscrita no registro de pessoas naturais e imediatamente publicada na rede mundial de computadores, no sítio do tribunal a que estiver vinculado o juízo e na plataforma de editais do Conselho Nacional de Justiça, onde permanecerá por 6 (seis) meses, na imprensa local, 1 (uma) vez, e no órgão oficial, por 3 (três) vezes, com intervalo de 10 (dez) dias, constando do edital os nomes do interdito e do curador, a causa da interdição, os limites da curatela e, não sendo total a interdição, os atos que o interdito poderá praticar autonomamente.</w:t>
      </w:r>
    </w:p>
    <w:bookmarkEnd w:id="540"/>
    <w:bookmarkStart w:id="541" w:name="art.-756"/>
    <w:p>
      <w:pPr>
        <w:pStyle w:val="Heading6"/>
        <w:pBdr>
          <w:left w:val="single" w:sz="36" w:space="4" w:color="2E75B6"/>
        </w:pBdr>
        <w:shd w:val="clear" w:color="auto" w:fill="E3EEF9"/>
        <w:spacing w:before="200" w:after="80"/>
        <w:ind w:left="85"/>
      </w:pPr>
      <w:r>
        <w:rPr>
          <w:i w:val="0"/>
          <w:color w:val="1F3A5F"/>
          <w:sz w:val="23"/>
        </w:rPr>
        <w:t xml:space="preserve">Art. 756</w:t>
      </w:r>
    </w:p>
    <w:p>
      <w:pPr>
        <w:pStyle w:val="FirstParagraph"/>
        <w:spacing w:after="80"/>
        <w:jc w:val="both"/>
      </w:pPr>
      <w:r>
        <w:rPr>
          <w:b/>
          <w:bCs/>
        </w:rPr>
        <w:t xml:space="preserve">Art. 756.</w:t>
      </w:r>
      <w:r>
        <w:t xml:space="preserve"> </w:t>
      </w:r>
      <w:r>
        <w:t xml:space="preserve">Levantar-se-á a curatela quando cessar a causa que a determinou.</w:t>
      </w:r>
    </w:p>
    <w:p>
      <w:pPr>
        <w:pStyle w:val="BodyText"/>
        <w:spacing w:after="80"/>
        <w:jc w:val="both"/>
      </w:pPr>
      <w:r>
        <w:t xml:space="preserve">§ 1º O pedido de levantamento da curatela poderá ser feito pelo interdito, pelo curador ou pelo Ministério Público e será apensado aos autos da interdição.</w:t>
      </w:r>
    </w:p>
    <w:p>
      <w:pPr>
        <w:pStyle w:val="BodyText"/>
        <w:spacing w:after="80"/>
        <w:jc w:val="both"/>
      </w:pPr>
      <w:r>
        <w:t xml:space="preserve">§ 2º O juiz nomeará perito ou equipe multidisciplinar para proceder ao exame do interdito e designará audiência de instrução e julgamento após a apresentação do laudo.</w:t>
      </w:r>
    </w:p>
    <w:p>
      <w:pPr>
        <w:pStyle w:val="BodyText"/>
        <w:spacing w:after="80"/>
        <w:jc w:val="both"/>
      </w:pPr>
      <w:r>
        <w:t xml:space="preserve">§ 3º Acolhido o pedido, o juiz decretará o levantamento da interdição e determinará a publicação da sentença, após o trânsito em julgado, na forma do art. 755, § 3º, ou, não sendo possível, na imprensa local e no órgão oficial, por 3 (três) vezes, com intervalo de 10 (dez) dias, seguindo-se a averbação no registro de pessoas naturais.</w:t>
      </w:r>
    </w:p>
    <w:p>
      <w:pPr>
        <w:pStyle w:val="BodyText"/>
        <w:spacing w:after="80"/>
        <w:jc w:val="both"/>
      </w:pPr>
      <w:r>
        <w:t xml:space="preserve">§ 4º A interdição poderá ser levantada parcialmente quando demonstrada a capacidade do interdito para praticar alguns atos da vida civil.</w:t>
      </w:r>
    </w:p>
    <w:bookmarkEnd w:id="541"/>
    <w:bookmarkStart w:id="542" w:name="art.-757"/>
    <w:p>
      <w:pPr>
        <w:pStyle w:val="Heading6"/>
        <w:pBdr>
          <w:left w:val="single" w:sz="36" w:space="4" w:color="2E75B6"/>
        </w:pBdr>
        <w:shd w:val="clear" w:color="auto" w:fill="E3EEF9"/>
        <w:spacing w:before="200" w:after="80"/>
        <w:ind w:left="85"/>
      </w:pPr>
      <w:r>
        <w:rPr>
          <w:i w:val="0"/>
          <w:color w:val="1F3A5F"/>
          <w:sz w:val="23"/>
        </w:rPr>
        <w:t xml:space="preserve">Art. 757</w:t>
      </w:r>
    </w:p>
    <w:p>
      <w:pPr>
        <w:pStyle w:val="FirstParagraph"/>
        <w:spacing w:after="80"/>
        <w:jc w:val="both"/>
      </w:pPr>
      <w:r>
        <w:rPr>
          <w:b/>
          <w:bCs/>
        </w:rPr>
        <w:t xml:space="preserve">Art. 757.</w:t>
      </w:r>
      <w:r>
        <w:t xml:space="preserve"> </w:t>
      </w:r>
      <w:r>
        <w:t xml:space="preserve">A autoridade do curador estende-se à pessoa e aos bens do incapaz que se encontrar sob a guarda e a responsabilidade do curatelado ao tempo da interdição, salvo se o juiz considerar outra solução como mais conveniente aos interesses do incapaz.</w:t>
      </w:r>
    </w:p>
    <w:bookmarkEnd w:id="542"/>
    <w:bookmarkStart w:id="543" w:name="art.-758"/>
    <w:p>
      <w:pPr>
        <w:pStyle w:val="Heading6"/>
        <w:pBdr>
          <w:left w:val="single" w:sz="36" w:space="4" w:color="2E75B6"/>
        </w:pBdr>
        <w:shd w:val="clear" w:color="auto" w:fill="E3EEF9"/>
        <w:spacing w:before="200" w:after="80"/>
        <w:ind w:left="85"/>
      </w:pPr>
      <w:r>
        <w:rPr>
          <w:i w:val="0"/>
          <w:color w:val="1F3A5F"/>
          <w:sz w:val="23"/>
        </w:rPr>
        <w:t xml:space="preserve">Art. 758</w:t>
      </w:r>
    </w:p>
    <w:p>
      <w:pPr>
        <w:pStyle w:val="FirstParagraph"/>
        <w:spacing w:after="80"/>
        <w:jc w:val="both"/>
      </w:pPr>
      <w:r>
        <w:rPr>
          <w:b/>
          <w:bCs/>
        </w:rPr>
        <w:t xml:space="preserve">Art. 758.</w:t>
      </w:r>
      <w:r>
        <w:t xml:space="preserve"> </w:t>
      </w:r>
      <w:r>
        <w:t xml:space="preserve">O curador deverá buscar tratamento e apoio apropriados à conquista da autonomia pelo interdito.</w:t>
      </w:r>
    </w:p>
    <w:bookmarkEnd w:id="543"/>
    <w:bookmarkEnd w:id="544"/>
    <w:bookmarkStart w:id="550" w:name="X42fdab46ed01a058b9cb979250d2d74d311e9c0"/>
    <w:p>
      <w:pPr>
        <w:pStyle w:val="Heading5"/>
        <w:spacing w:before="140" w:after="20"/>
      </w:pPr>
      <w:r>
        <w:rPr>
          <w:i/>
          <w:color w:val="595959"/>
        </w:rPr>
        <w:t xml:space="preserve">Seção X: disposições comuns à tutela e à curatela (arts. 759 a 763)</w:t>
      </w:r>
    </w:p>
    <w:bookmarkStart w:id="545" w:name="art.-759"/>
    <w:p>
      <w:pPr>
        <w:pStyle w:val="Heading6"/>
        <w:pBdr>
          <w:left w:val="single" w:sz="36" w:space="4" w:color="2E75B6"/>
        </w:pBdr>
        <w:shd w:val="clear" w:color="auto" w:fill="E3EEF9"/>
        <w:spacing w:before="200" w:after="80"/>
        <w:ind w:left="85"/>
      </w:pPr>
      <w:r>
        <w:rPr>
          <w:i w:val="0"/>
          <w:color w:val="1F3A5F"/>
          <w:sz w:val="23"/>
        </w:rPr>
        <w:t xml:space="preserve">Art. 759</w:t>
      </w:r>
    </w:p>
    <w:p>
      <w:pPr>
        <w:pStyle w:val="FirstParagraph"/>
        <w:spacing w:after="80"/>
        <w:jc w:val="both"/>
      </w:pPr>
      <w:r>
        <w:rPr>
          <w:b/>
          <w:bCs/>
        </w:rPr>
        <w:t xml:space="preserve">Art. 759.</w:t>
      </w:r>
      <w:r>
        <w:t xml:space="preserve"> </w:t>
      </w:r>
      <w:r>
        <w:t xml:space="preserve">O tutor ou o curador será intimado a prestar compromisso no prazo de 5 (cinco) dias contado da:</w:t>
      </w:r>
    </w:p>
    <w:p>
      <w:pPr>
        <w:pStyle w:val="BodyText"/>
        <w:spacing w:after="80"/>
        <w:jc w:val="both"/>
      </w:pPr>
      <w:r>
        <w:t xml:space="preserve">I - nomeação feita em conformidade com a lei;</w:t>
      </w:r>
    </w:p>
    <w:p>
      <w:pPr>
        <w:pStyle w:val="BodyText"/>
        <w:spacing w:after="80"/>
        <w:jc w:val="both"/>
      </w:pPr>
      <w:r>
        <w:t xml:space="preserve">II - intimação do despacho que mandar cumprir o testamento ou o instrumento público que o houver instituído.</w:t>
      </w:r>
    </w:p>
    <w:p>
      <w:pPr>
        <w:pStyle w:val="BodyText"/>
        <w:spacing w:after="80"/>
        <w:jc w:val="both"/>
      </w:pPr>
      <w:r>
        <w:t xml:space="preserve">§ 1º O tutor ou o curador prestará o compromisso por termo em livro rubricado pelo juiz.</w:t>
      </w:r>
    </w:p>
    <w:p>
      <w:pPr>
        <w:pStyle w:val="BodyText"/>
        <w:spacing w:after="80"/>
        <w:jc w:val="both"/>
      </w:pPr>
      <w:r>
        <w:t xml:space="preserve">§ 2º Prestado o compromisso, o tutor ou o curador assume a administração dos bens do tutelado ou do interditado.</w:t>
      </w:r>
    </w:p>
    <w:bookmarkEnd w:id="545"/>
    <w:bookmarkStart w:id="546" w:name="art.-760"/>
    <w:p>
      <w:pPr>
        <w:pStyle w:val="Heading6"/>
        <w:pBdr>
          <w:left w:val="single" w:sz="36" w:space="4" w:color="2E75B6"/>
        </w:pBdr>
        <w:shd w:val="clear" w:color="auto" w:fill="E3EEF9"/>
        <w:spacing w:before="200" w:after="80"/>
        <w:ind w:left="85"/>
      </w:pPr>
      <w:r>
        <w:rPr>
          <w:i w:val="0"/>
          <w:color w:val="1F3A5F"/>
          <w:sz w:val="23"/>
        </w:rPr>
        <w:t xml:space="preserve">Art. 760</w:t>
      </w:r>
    </w:p>
    <w:p>
      <w:pPr>
        <w:pStyle w:val="FirstParagraph"/>
        <w:spacing w:after="80"/>
        <w:jc w:val="both"/>
      </w:pPr>
      <w:r>
        <w:rPr>
          <w:b/>
          <w:bCs/>
        </w:rPr>
        <w:t xml:space="preserve">Art. 760.</w:t>
      </w:r>
      <w:r>
        <w:t xml:space="preserve"> </w:t>
      </w:r>
      <w:r>
        <w:t xml:space="preserve">O tutor ou o curador poderá eximir-se do encargo apresentando escusa ao juiz no prazo de 5 (cinco) dias contado:</w:t>
      </w:r>
    </w:p>
    <w:p>
      <w:pPr>
        <w:pStyle w:val="BodyText"/>
        <w:spacing w:after="80"/>
        <w:jc w:val="both"/>
      </w:pPr>
      <w:r>
        <w:t xml:space="preserve">I - antes de aceitar o encargo, da intimação para prestar compromisso;</w:t>
      </w:r>
    </w:p>
    <w:p>
      <w:pPr>
        <w:pStyle w:val="BodyText"/>
        <w:spacing w:after="80"/>
        <w:jc w:val="both"/>
      </w:pPr>
      <w:r>
        <w:t xml:space="preserve">II - depois de entrar em exercício, do dia em que sobrevier o motivo da escusa.</w:t>
      </w:r>
    </w:p>
    <w:p>
      <w:pPr>
        <w:pStyle w:val="BodyText"/>
        <w:spacing w:after="80"/>
        <w:jc w:val="both"/>
      </w:pPr>
      <w:r>
        <w:t xml:space="preserve">§ 1º Não sendo requerida a escusa no prazo estabelecido neste artigo, considerar-se-á renunciado o direito de alegá-la.</w:t>
      </w:r>
    </w:p>
    <w:p>
      <w:pPr>
        <w:pStyle w:val="BodyText"/>
        <w:spacing w:after="80"/>
        <w:jc w:val="both"/>
      </w:pPr>
      <w:r>
        <w:t xml:space="preserve">§ 2º O juiz decidirá de plano o pedido de escusa, e, não o admitindo, exercerá o nomeado a tutela ou a curatela enquanto não for dispensado por sentença transitada em julgado.</w:t>
      </w:r>
    </w:p>
    <w:bookmarkEnd w:id="546"/>
    <w:bookmarkStart w:id="547" w:name="art.-761"/>
    <w:p>
      <w:pPr>
        <w:pStyle w:val="Heading6"/>
        <w:pBdr>
          <w:left w:val="single" w:sz="36" w:space="4" w:color="2E75B6"/>
        </w:pBdr>
        <w:shd w:val="clear" w:color="auto" w:fill="E3EEF9"/>
        <w:spacing w:before="200" w:after="80"/>
        <w:ind w:left="85"/>
      </w:pPr>
      <w:r>
        <w:rPr>
          <w:i w:val="0"/>
          <w:color w:val="1F3A5F"/>
          <w:sz w:val="23"/>
        </w:rPr>
        <w:t xml:space="preserve">Art. 761</w:t>
      </w:r>
    </w:p>
    <w:p>
      <w:pPr>
        <w:pStyle w:val="FirstParagraph"/>
        <w:spacing w:after="80"/>
        <w:jc w:val="both"/>
      </w:pPr>
      <w:r>
        <w:rPr>
          <w:b/>
          <w:bCs/>
        </w:rPr>
        <w:t xml:space="preserve">Art. 761.</w:t>
      </w:r>
      <w:r>
        <w:t xml:space="preserve"> </w:t>
      </w:r>
      <w:r>
        <w:t xml:space="preserve">Incumbe ao Ministério Público ou a quem tenha legítimo interesse requerer, nos casos previstos em lei, a remoção do tutor ou do curador.</w:t>
      </w:r>
    </w:p>
    <w:p>
      <w:pPr>
        <w:pStyle w:val="BodyText"/>
        <w:spacing w:after="80"/>
        <w:jc w:val="both"/>
      </w:pPr>
      <w:r>
        <w:t xml:space="preserve">Parágrafo único. O tutor ou o curador será citado para contestar a arguição no prazo de 5 (cinco) dias, findo o qual observar-se-á o procedimento comum.</w:t>
      </w:r>
    </w:p>
    <w:bookmarkEnd w:id="547"/>
    <w:bookmarkStart w:id="548" w:name="art.-762"/>
    <w:p>
      <w:pPr>
        <w:pStyle w:val="Heading6"/>
        <w:pBdr>
          <w:left w:val="single" w:sz="36" w:space="4" w:color="2E75B6"/>
        </w:pBdr>
        <w:shd w:val="clear" w:color="auto" w:fill="E3EEF9"/>
        <w:spacing w:before="200" w:after="80"/>
        <w:ind w:left="85"/>
      </w:pPr>
      <w:r>
        <w:rPr>
          <w:i w:val="0"/>
          <w:color w:val="1F3A5F"/>
          <w:sz w:val="23"/>
        </w:rPr>
        <w:t xml:space="preserve">Art. 762</w:t>
      </w:r>
    </w:p>
    <w:p>
      <w:pPr>
        <w:pStyle w:val="FirstParagraph"/>
        <w:spacing w:after="80"/>
        <w:jc w:val="both"/>
      </w:pPr>
      <w:r>
        <w:rPr>
          <w:b/>
          <w:bCs/>
        </w:rPr>
        <w:t xml:space="preserve">Art. 762.</w:t>
      </w:r>
      <w:r>
        <w:t xml:space="preserve"> </w:t>
      </w:r>
      <w:r>
        <w:t xml:space="preserve">Em caso de extrema gravidade, o juiz poderá suspender o tutor ou o curador do exercício de suas funções, nomeando substituto interino.</w:t>
      </w:r>
    </w:p>
    <w:bookmarkEnd w:id="548"/>
    <w:bookmarkStart w:id="549" w:name="art.-763"/>
    <w:p>
      <w:pPr>
        <w:pStyle w:val="Heading6"/>
        <w:pBdr>
          <w:left w:val="single" w:sz="36" w:space="4" w:color="2E75B6"/>
        </w:pBdr>
        <w:shd w:val="clear" w:color="auto" w:fill="E3EEF9"/>
        <w:spacing w:before="200" w:after="80"/>
        <w:ind w:left="85"/>
      </w:pPr>
      <w:r>
        <w:rPr>
          <w:i w:val="0"/>
          <w:color w:val="1F3A5F"/>
          <w:sz w:val="23"/>
        </w:rPr>
        <w:t xml:space="preserve">Art. 763</w:t>
      </w:r>
    </w:p>
    <w:p>
      <w:pPr>
        <w:pStyle w:val="FirstParagraph"/>
        <w:spacing w:after="80"/>
        <w:jc w:val="both"/>
      </w:pPr>
      <w:r>
        <w:rPr>
          <w:b/>
          <w:bCs/>
        </w:rPr>
        <w:t xml:space="preserve">Art. 763.</w:t>
      </w:r>
      <w:r>
        <w:t xml:space="preserve"> </w:t>
      </w:r>
      <w:r>
        <w:t xml:space="preserve">Cessando as funções do tutor ou do curador pelo decurso do prazo em que era obrigado a servir, ser-lhe-á lícito requerer a exoneração do encargo.</w:t>
      </w:r>
    </w:p>
    <w:p>
      <w:pPr>
        <w:pStyle w:val="BodyText"/>
        <w:spacing w:after="80"/>
        <w:jc w:val="both"/>
      </w:pPr>
      <w:r>
        <w:t xml:space="preserve">§ 1º Caso o tutor ou o curador não requeira a exoneração do encargo dentro dos 10 (dez) dias seguintes à expiração do termo, entender-se-á reconduzido, salvo se o juiz o dispensar.</w:t>
      </w:r>
    </w:p>
    <w:p>
      <w:pPr>
        <w:pStyle w:val="BodyText"/>
        <w:spacing w:after="80"/>
        <w:jc w:val="both"/>
      </w:pPr>
      <w:r>
        <w:t xml:space="preserve">§ 2º Cessada a tutela ou a curatela, é indispensável a prestação de contas pelo tutor ou pelo curador, na forma da lei civil.</w:t>
      </w:r>
    </w:p>
    <w:bookmarkEnd w:id="549"/>
    <w:bookmarkEnd w:id="550"/>
    <w:bookmarkStart w:id="553" w:name="Xb7742c9ce5290a762a4a719e51088475464abd5"/>
    <w:p>
      <w:pPr>
        <w:pStyle w:val="Heading5"/>
        <w:spacing w:before="140" w:after="20"/>
      </w:pPr>
      <w:r>
        <w:rPr>
          <w:i/>
          <w:color w:val="595959"/>
        </w:rPr>
        <w:t xml:space="preserve">Seção XI: da organização e da fiscalização das fundações (arts. 764 a 765)</w:t>
      </w:r>
    </w:p>
    <w:bookmarkStart w:id="551" w:name="art.-764"/>
    <w:p>
      <w:pPr>
        <w:pStyle w:val="Heading6"/>
        <w:pBdr>
          <w:left w:val="single" w:sz="36" w:space="4" w:color="2E75B6"/>
        </w:pBdr>
        <w:shd w:val="clear" w:color="auto" w:fill="E3EEF9"/>
        <w:spacing w:before="200" w:after="80"/>
        <w:ind w:left="85"/>
      </w:pPr>
      <w:r>
        <w:rPr>
          <w:i w:val="0"/>
          <w:color w:val="1F3A5F"/>
          <w:sz w:val="23"/>
        </w:rPr>
        <w:t xml:space="preserve">Art. 764</w:t>
      </w:r>
    </w:p>
    <w:p>
      <w:pPr>
        <w:pStyle w:val="FirstParagraph"/>
        <w:spacing w:after="80"/>
        <w:jc w:val="both"/>
      </w:pPr>
      <w:r>
        <w:rPr>
          <w:b/>
          <w:bCs/>
        </w:rPr>
        <w:t xml:space="preserve">Art. 764.</w:t>
      </w:r>
      <w:r>
        <w:t xml:space="preserve"> </w:t>
      </w:r>
      <w:r>
        <w:t xml:space="preserve">O juiz decidirá sobre a aprovação do estatuto das fundações e de suas alterações sempre que o requeira o interessado, quando:</w:t>
      </w:r>
    </w:p>
    <w:p>
      <w:pPr>
        <w:pStyle w:val="BodyText"/>
        <w:spacing w:after="80"/>
        <w:jc w:val="both"/>
      </w:pPr>
      <w:r>
        <w:t xml:space="preserve">I - ela for negada previamente pelo Ministério Público ou por este forem exigidas modificações com as quais o interessado não concorde;</w:t>
      </w:r>
    </w:p>
    <w:p>
      <w:pPr>
        <w:pStyle w:val="BodyText"/>
        <w:spacing w:after="80"/>
        <w:jc w:val="both"/>
      </w:pPr>
      <w:r>
        <w:t xml:space="preserve">II - o interessado discordar do estatuto elaborado pelo Ministério Público.</w:t>
      </w:r>
    </w:p>
    <w:p>
      <w:pPr>
        <w:pStyle w:val="BodyText"/>
        <w:spacing w:after="80"/>
        <w:jc w:val="both"/>
      </w:pPr>
      <w:r>
        <w:t xml:space="preserve">§ 1º O estatuto das fundações deve observar o disposto na Lei nº 10.406, de 10 de janeiro de 2002 (Código Civil).</w:t>
      </w:r>
    </w:p>
    <w:p>
      <w:pPr>
        <w:pStyle w:val="BodyText"/>
        <w:spacing w:after="80"/>
        <w:jc w:val="both"/>
      </w:pPr>
      <w:r>
        <w:t xml:space="preserve">§ 2º Antes de suprir a aprovação, o juiz poderá mandar fazer no estatuto modificações a fim de adaptá-lo ao objetivo do instituidor.</w:t>
      </w:r>
    </w:p>
    <w:bookmarkEnd w:id="551"/>
    <w:bookmarkStart w:id="552" w:name="art.-765"/>
    <w:p>
      <w:pPr>
        <w:pStyle w:val="Heading6"/>
        <w:pBdr>
          <w:left w:val="single" w:sz="36" w:space="4" w:color="2E75B6"/>
        </w:pBdr>
        <w:shd w:val="clear" w:color="auto" w:fill="E3EEF9"/>
        <w:spacing w:before="200" w:after="80"/>
        <w:ind w:left="85"/>
      </w:pPr>
      <w:r>
        <w:rPr>
          <w:i w:val="0"/>
          <w:color w:val="1F3A5F"/>
          <w:sz w:val="23"/>
        </w:rPr>
        <w:t xml:space="preserve">Art. 765</w:t>
      </w:r>
    </w:p>
    <w:p>
      <w:pPr>
        <w:pStyle w:val="FirstParagraph"/>
        <w:keepNext/>
        <w:spacing w:after="80"/>
        <w:jc w:val="both"/>
      </w:pPr>
      <w:r>
        <w:rPr>
          <w:b/>
          <w:bCs/>
        </w:rPr>
        <w:t xml:space="preserve">Art. 765.</w:t>
      </w:r>
      <w:r>
        <w:t xml:space="preserve"> </w:t>
      </w:r>
      <w:r>
        <w:t xml:space="preserve">Qualquer interessado ou o Ministério Público promoverá em juízo a extinção da fundação quando: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885"/>
        <w:gridCol w:w="2237"/>
        <w:gridCol w:w="5232"/>
      </w:tblGrid>
      <w:tr>
        <w:trPr>
          <w:tblHeader w:val="on"/>
          <w:cantSplit/>
          <w:tblHeader/>
        </w:trPr>
        <w:tc>
          <w:tcPr>
            <w:tcW w:type="dxa" w:w="188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23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23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885"/>
          </w:tcPr>
          <w:p>
            <w:pPr>
              <w:pStyle w:val="Compact"/>
              <w:spacing w:line="276" w:lineRule="auto" w:before="40" w:after="40"/>
            </w:pPr>
            <w:r>
              <w:rPr>
                <w:rFonts w:ascii="Liberation Sans Narrow" w:hAnsi="Liberation Sans Narrow"/>
                <w:sz w:val="18"/>
              </w:rPr>
              <w:t xml:space="preserve">Caput — extinção judicial de fundação (aplicação narrada)</w:t>
            </w:r>
          </w:p>
        </w:tc>
        <w:tc>
          <w:tcPr>
            <w:tcW w:type="dxa" w:w="2237"/>
          </w:tcPr>
          <w:p>
            <w:pPr>
              <w:pStyle w:val="Compact"/>
              <w:spacing w:line="276" w:lineRule="auto" w:before="40" w:after="40"/>
            </w:pPr>
            <w:r>
              <w:rPr>
                <w:rFonts w:ascii="Liberation Sans Narrow" w:hAnsi="Liberation Sans Narrow"/>
                <w:sz w:val="18"/>
              </w:rPr>
              <w:t xml:space="preserve">STJ, AgInt no AREsp 2.472.778, Terceira Turma, relator Min. Humberto Martins</w:t>
            </w:r>
          </w:p>
        </w:tc>
        <w:tc>
          <w:tcPr>
            <w:tcW w:type="dxa" w:w="5232"/>
          </w:tcPr>
          <w:p>
            <w:pPr>
              <w:pStyle w:val="Compact"/>
              <w:spacing w:line="276" w:lineRule="auto" w:before="40" w:after="40"/>
            </w:pPr>
            <w:r>
              <w:rPr>
                <w:rFonts w:ascii="Liberation Sans Narrow" w:hAnsi="Liberation Sans Narrow"/>
                <w:sz w:val="18"/>
              </w:rPr>
              <w:t xml:space="preserve">A ação civil de extinção de fundação destina-se a extinguir a fundação e a incorporar o seu patrimônio a outra de igual objetivo; o indeferimento de provas inúteis à solução da controvérsia não configura cerceamento de defesa. Trecho: “Cuida-se de ação civil para extinção de fundação, objetivando a extinção da fundação requerida e a incorporação de eventual patrimônio a outra fundação que tenha o mesmo objetivo.”</w:t>
            </w:r>
          </w:p>
        </w:tc>
      </w:tr>
    </w:tbl>
    <w:p>
      <w:pPr>
        <w:pStyle w:val="BodyText"/>
        <w:spacing w:after="80"/>
        <w:jc w:val="both"/>
      </w:pPr>
      <w:r>
        <w:t xml:space="preserve">I - se tornar ilícito o seu objeto;</w:t>
      </w:r>
    </w:p>
    <w:p>
      <w:pPr>
        <w:pStyle w:val="BodyText"/>
        <w:spacing w:after="80"/>
        <w:jc w:val="both"/>
      </w:pPr>
      <w:r>
        <w:t xml:space="preserve">II - for impossível a sua manutenção;</w:t>
      </w:r>
    </w:p>
    <w:p>
      <w:pPr>
        <w:pStyle w:val="BodyText"/>
        <w:spacing w:after="80"/>
        <w:jc w:val="both"/>
      </w:pPr>
      <w:r>
        <w:t xml:space="preserve">III - vencer o prazo de sua existência.</w:t>
      </w:r>
    </w:p>
    <w:bookmarkEnd w:id="552"/>
    <w:bookmarkEnd w:id="553"/>
    <w:bookmarkStart w:id="559" w:name="X1e68d7ff67bee2546a75a15c210486b62ad5c9c"/>
    <w:p>
      <w:pPr>
        <w:pStyle w:val="Heading5"/>
        <w:spacing w:before="140" w:after="20"/>
      </w:pPr>
      <w:r>
        <w:rPr>
          <w:i/>
          <w:color w:val="595959"/>
        </w:rPr>
        <w:t xml:space="preserve">Seção XII: da ratificação dos protestos marítimos e dos processos testemunháveis formados a bordo (arts. 766 a 770)</w:t>
      </w:r>
    </w:p>
    <w:bookmarkStart w:id="554" w:name="art.-766"/>
    <w:p>
      <w:pPr>
        <w:pStyle w:val="Heading6"/>
        <w:pBdr>
          <w:left w:val="single" w:sz="36" w:space="4" w:color="2E75B6"/>
        </w:pBdr>
        <w:shd w:val="clear" w:color="auto" w:fill="E3EEF9"/>
        <w:spacing w:before="200" w:after="80"/>
        <w:ind w:left="85"/>
      </w:pPr>
      <w:r>
        <w:rPr>
          <w:i w:val="0"/>
          <w:color w:val="1F3A5F"/>
          <w:sz w:val="23"/>
        </w:rPr>
        <w:t xml:space="preserve">Art. 766</w:t>
      </w:r>
    </w:p>
    <w:p>
      <w:pPr>
        <w:pStyle w:val="FirstParagraph"/>
        <w:spacing w:after="80"/>
        <w:jc w:val="both"/>
      </w:pPr>
      <w:r>
        <w:rPr>
          <w:b/>
          <w:bCs/>
        </w:rPr>
        <w:t xml:space="preserve">Art. 766.</w:t>
      </w:r>
      <w:r>
        <w:t xml:space="preserve"> </w:t>
      </w:r>
      <w:r>
        <w:t xml:space="preserve">Todos os protestos e os processos testemunháveis formados a bordo e lançados no livro Diário da Navegação deverão ser apresentados pelo comandante ao juiz de direito do primeiro porto, nas primeiras 24 (vinte e quatro) horas de chegada da embarcação, para sua ratificação judicial.</w:t>
      </w:r>
    </w:p>
    <w:bookmarkEnd w:id="554"/>
    <w:bookmarkStart w:id="555" w:name="art.-767"/>
    <w:p>
      <w:pPr>
        <w:pStyle w:val="Heading6"/>
        <w:pBdr>
          <w:left w:val="single" w:sz="36" w:space="4" w:color="2E75B6"/>
        </w:pBdr>
        <w:shd w:val="clear" w:color="auto" w:fill="E3EEF9"/>
        <w:spacing w:before="200" w:after="80"/>
        <w:ind w:left="85"/>
      </w:pPr>
      <w:r>
        <w:rPr>
          <w:i w:val="0"/>
          <w:color w:val="1F3A5F"/>
          <w:sz w:val="23"/>
        </w:rPr>
        <w:t xml:space="preserve">Art. 767</w:t>
      </w:r>
    </w:p>
    <w:p>
      <w:pPr>
        <w:pStyle w:val="FirstParagraph"/>
        <w:spacing w:after="80"/>
        <w:jc w:val="both"/>
      </w:pPr>
      <w:r>
        <w:rPr>
          <w:b/>
          <w:bCs/>
        </w:rPr>
        <w:t xml:space="preserve">Art. 767.</w:t>
      </w:r>
      <w:r>
        <w:t xml:space="preserve"> </w:t>
      </w:r>
      <w:r>
        <w:t xml:space="preserve">A petição inicial conterá a transcrição dos termos lançados no livro Diário da Navegação e deverá ser instruída com cópias das páginas que contenham os termos que serão ratificados, dos documentos de identificação do comandante e das testemunhas arroladas, do rol de tripulantes, do documento de registro da embarcação e, quando for o caso, do manifesto das cargas sinistradas e a qualificação de seus consignatários, traduzidos, quando for o caso, de forma livre para o português.</w:t>
      </w:r>
    </w:p>
    <w:bookmarkEnd w:id="555"/>
    <w:bookmarkStart w:id="556" w:name="art.-768"/>
    <w:p>
      <w:pPr>
        <w:pStyle w:val="Heading6"/>
        <w:pBdr>
          <w:left w:val="single" w:sz="36" w:space="4" w:color="2E75B6"/>
        </w:pBdr>
        <w:shd w:val="clear" w:color="auto" w:fill="E3EEF9"/>
        <w:spacing w:before="200" w:after="80"/>
        <w:ind w:left="85"/>
      </w:pPr>
      <w:r>
        <w:rPr>
          <w:i w:val="0"/>
          <w:color w:val="1F3A5F"/>
          <w:sz w:val="23"/>
        </w:rPr>
        <w:t xml:space="preserve">Art. 768</w:t>
      </w:r>
    </w:p>
    <w:p>
      <w:pPr>
        <w:pStyle w:val="FirstParagraph"/>
        <w:spacing w:after="80"/>
        <w:jc w:val="both"/>
      </w:pPr>
      <w:r>
        <w:rPr>
          <w:b/>
          <w:bCs/>
        </w:rPr>
        <w:t xml:space="preserve">Art. 768.</w:t>
      </w:r>
      <w:r>
        <w:t xml:space="preserve"> </w:t>
      </w:r>
      <w:r>
        <w:t xml:space="preserve">A petição inicial deverá ser distribuída com urgência e encaminhada ao juiz, que ouvirá, sob compromisso a ser prestado no mesmo dia, o comandante e as testemunhas em número mínimo de 2 (duas) e máximo de 4 (quatro), que deverão comparecer ao ato independentemente de intimação.</w:t>
      </w:r>
    </w:p>
    <w:p>
      <w:pPr>
        <w:pStyle w:val="BodyText"/>
        <w:spacing w:after="80"/>
        <w:jc w:val="both"/>
      </w:pPr>
      <w:r>
        <w:t xml:space="preserve">§ 1º Tratando-se de estrangeiros que não dominem a língua portuguesa, o autor deverá fazer-se acompanhar por tradutor, que prestará compromisso em audiência.</w:t>
      </w:r>
    </w:p>
    <w:p>
      <w:pPr>
        <w:pStyle w:val="BodyText"/>
        <w:spacing w:after="80"/>
        <w:jc w:val="both"/>
      </w:pPr>
      <w:r>
        <w:t xml:space="preserve">§ 2º Caso o autor não se faça acompanhar por tradutor, o juiz deverá nomear outro que preste compromisso em audiência.</w:t>
      </w:r>
    </w:p>
    <w:bookmarkEnd w:id="556"/>
    <w:bookmarkStart w:id="557" w:name="art.-769"/>
    <w:p>
      <w:pPr>
        <w:pStyle w:val="Heading6"/>
        <w:pBdr>
          <w:left w:val="single" w:sz="36" w:space="4" w:color="2E75B6"/>
        </w:pBdr>
        <w:shd w:val="clear" w:color="auto" w:fill="E3EEF9"/>
        <w:spacing w:before="200" w:after="80"/>
        <w:ind w:left="85"/>
      </w:pPr>
      <w:r>
        <w:rPr>
          <w:i w:val="0"/>
          <w:color w:val="1F3A5F"/>
          <w:sz w:val="23"/>
        </w:rPr>
        <w:t xml:space="preserve">Art. 769</w:t>
      </w:r>
    </w:p>
    <w:p>
      <w:pPr>
        <w:pStyle w:val="FirstParagraph"/>
        <w:spacing w:after="80"/>
        <w:jc w:val="both"/>
      </w:pPr>
      <w:r>
        <w:rPr>
          <w:b/>
          <w:bCs/>
        </w:rPr>
        <w:t xml:space="preserve">Art. 769.</w:t>
      </w:r>
      <w:r>
        <w:t xml:space="preserve"> </w:t>
      </w:r>
      <w:r>
        <w:t xml:space="preserve">Aberta a audiência, o juiz mandará apregoar os consignatários das cargas indicados na petição inicial e outros eventuais interessados, nomeando para os ausentes curador para o ato.</w:t>
      </w:r>
    </w:p>
    <w:bookmarkEnd w:id="557"/>
    <w:bookmarkStart w:id="558" w:name="art.-770"/>
    <w:p>
      <w:pPr>
        <w:pStyle w:val="Heading6"/>
        <w:pBdr>
          <w:left w:val="single" w:sz="36" w:space="4" w:color="2E75B6"/>
        </w:pBdr>
        <w:shd w:val="clear" w:color="auto" w:fill="E3EEF9"/>
        <w:spacing w:before="200" w:after="80"/>
        <w:ind w:left="85"/>
      </w:pPr>
      <w:r>
        <w:rPr>
          <w:i w:val="0"/>
          <w:color w:val="1F3A5F"/>
          <w:sz w:val="23"/>
        </w:rPr>
        <w:t xml:space="preserve">Art. 770</w:t>
      </w:r>
    </w:p>
    <w:p>
      <w:pPr>
        <w:pStyle w:val="FirstParagraph"/>
        <w:spacing w:after="80"/>
        <w:jc w:val="both"/>
      </w:pPr>
      <w:r>
        <w:rPr>
          <w:b/>
          <w:bCs/>
        </w:rPr>
        <w:t xml:space="preserve">Art. 770.</w:t>
      </w:r>
      <w:r>
        <w:t xml:space="preserve"> </w:t>
      </w:r>
      <w:r>
        <w:t xml:space="preserve">Inquiridos o comandante e as testemunhas, o juiz, convencido da veracidade dos termos lançados no Diário da Navegação, em audiência, ratificará por sentença o protesto ou o processo testemunhável lavrado a bordo, dispensado o relatório.</w:t>
      </w:r>
    </w:p>
    <w:p>
      <w:pPr>
        <w:pStyle w:val="BodyText"/>
        <w:spacing w:after="80"/>
        <w:jc w:val="both"/>
      </w:pPr>
      <w:r>
        <w:t xml:space="preserve">Parágrafo único. Independentemente do trânsito em julgado, o juiz determinará a entrega dos autos ao autor ou ao seu advogado, mediante a apresentação de traslado.</w:t>
      </w:r>
    </w:p>
    <w:bookmarkEnd w:id="558"/>
    <w:bookmarkEnd w:id="559"/>
    <w:bookmarkEnd w:id="560"/>
    <w:bookmarkEnd w:id="561"/>
    <w:bookmarkEnd w:id="562"/>
    <w:bookmarkStart w:id="747" w:name="X9aef69d15195bad4e25523d55135b787cb19b23"/>
    <w:p>
      <w:pPr>
        <w:spacing w:before="0" w:after="0" w:line="20" w:lineRule="exact"/>
        <w:sectPr>
          <w:headerReference w:type="default" r:id="rId10"/>
          <w:footnotePr>
            <w:numRestart w:val="eachSect"/>
          </w:footnotePr>
          <w:pgSz w:w="11906" w:h="16838"/>
          <w:pgMar w:top="1417" w:left="1417" w:bottom="1134" w:right="1134"/>
          <w:cols w:num="1" w:space="340"/>
        </w:sectPr>
      </w:pPr>
    </w:p>
    <w:p>
      <w:pPr>
        <w:pStyle w:val="Heading2"/>
        <w:shd w:val="clear" w:color="auto" w:fill="1F3A5F"/>
        <w:spacing w:before="0" w:after="100"/>
        <w:ind w:left="113"/>
      </w:pPr>
      <w:r>
        <w:rPr>
          <w:color w:val="FFFFFF"/>
          <w:sz w:val="28"/>
        </w:rPr>
        <w:t xml:space="preserve">Livro II: do processo de execução (arts. 771 a 925)</w:t>
      </w:r>
    </w:p>
    <w:bookmarkStart w:id="596" w:name="X3f9fbfc48e22bf8961f138f009e301634d5a112"/>
    <w:p>
      <w:pPr>
        <w:pStyle w:val="Heading3"/>
        <w:pBdr>
          <w:bottom w:val="single" w:sz="8" w:space="2" w:color="2E75B6"/>
        </w:pBdr>
        <w:spacing w:before="200" w:after="80"/>
      </w:pPr>
      <w:r>
        <w:rPr>
          <w:sz w:val="24"/>
        </w:rPr>
        <w:t xml:space="preserve">Título I: da execução em geral (arts. 771 a 796)</w:t>
      </w:r>
    </w:p>
    <w:bookmarkStart w:id="570" w:name="X447a5764b0e1ca44cee9e53076935b0862785b2"/>
    <w:p>
      <w:pPr>
        <w:pStyle w:val="Heading4"/>
        <w:spacing w:before="160" w:after="40"/>
      </w:pPr>
      <w:r>
        <w:rPr>
          <w:smallCaps/>
          <w:color w:val="2E75B6"/>
        </w:rPr>
        <w:t xml:space="preserve">Capítulo I: disposições gerais (arts. 771 a 777)</w:t>
      </w:r>
    </w:p>
    <w:bookmarkStart w:id="563" w:name="art.-771"/>
    <w:p>
      <w:pPr>
        <w:pStyle w:val="Heading6"/>
        <w:pBdr>
          <w:left w:val="single" w:sz="36" w:space="4" w:color="2E75B6"/>
        </w:pBdr>
        <w:shd w:val="clear" w:color="auto" w:fill="E3EEF9"/>
        <w:spacing w:before="200" w:after="80"/>
        <w:ind w:left="85"/>
      </w:pPr>
      <w:r>
        <w:rPr>
          <w:i w:val="0"/>
          <w:color w:val="1F3A5F"/>
          <w:sz w:val="23"/>
        </w:rPr>
        <w:t xml:space="preserve">Art. 771</w:t>
      </w:r>
    </w:p>
    <w:p>
      <w:pPr>
        <w:pStyle w:val="FirstParagraph"/>
        <w:spacing w:after="80"/>
        <w:jc w:val="both"/>
      </w:pPr>
      <w:r>
        <w:rPr>
          <w:b/>
          <w:bCs/>
        </w:rPr>
        <w:t xml:space="preserve">Art. 771.</w:t>
      </w:r>
      <w:r>
        <w:t xml:space="preserve"> </w:t>
      </w:r>
      <w:r>
        <w:t xml:space="preserve">Este Livro regula o procedimento da execução fundada em título extrajudicial, e suas disposições aplicam-se, também, no que couber, aos procedimentos especiais de execução, aos atos executivos realizados no procedimento de cumprimento de sentença, bem como aos efeitos de atos ou fatos processuais a que a lei atribuir força executiva.</w:t>
      </w:r>
    </w:p>
    <w:p>
      <w:pPr>
        <w:pStyle w:val="BodyText"/>
        <w:spacing w:after="80"/>
        <w:jc w:val="both"/>
      </w:pPr>
      <w:r>
        <w:t xml:space="preserve">Parágrafo único. Aplicam-se subsidiariamente à execução as disposições do Livro I da Parte Especial.</w:t>
      </w:r>
    </w:p>
    <w:bookmarkEnd w:id="563"/>
    <w:bookmarkStart w:id="564" w:name="art.-772"/>
    <w:p>
      <w:pPr>
        <w:pStyle w:val="Heading6"/>
        <w:pBdr>
          <w:left w:val="single" w:sz="36" w:space="4" w:color="2E75B6"/>
        </w:pBdr>
        <w:shd w:val="clear" w:color="auto" w:fill="E3EEF9"/>
        <w:spacing w:before="200" w:after="80"/>
        <w:ind w:left="85"/>
      </w:pPr>
      <w:r>
        <w:rPr>
          <w:i w:val="0"/>
          <w:color w:val="1F3A5F"/>
          <w:sz w:val="23"/>
        </w:rPr>
        <w:t xml:space="preserve">Art. 772</w:t>
      </w:r>
    </w:p>
    <w:p>
      <w:pPr>
        <w:pStyle w:val="FirstParagraph"/>
        <w:spacing w:after="80"/>
        <w:jc w:val="both"/>
      </w:pPr>
      <w:r>
        <w:rPr>
          <w:b/>
          <w:bCs/>
        </w:rPr>
        <w:t xml:space="preserve">Art. 772.</w:t>
      </w:r>
      <w:r>
        <w:t xml:space="preserve"> </w:t>
      </w:r>
      <w:r>
        <w:t xml:space="preserve">O juiz pode, em qualquer momento do processo:</w:t>
      </w:r>
    </w:p>
    <w:p>
      <w:pPr>
        <w:pStyle w:val="BodyText"/>
        <w:spacing w:after="80"/>
        <w:jc w:val="both"/>
      </w:pPr>
      <w:r>
        <w:t xml:space="preserve">I - ordenar o comparecimento das partes;</w:t>
      </w:r>
    </w:p>
    <w:p>
      <w:pPr>
        <w:pStyle w:val="BodyText"/>
        <w:spacing w:after="80"/>
        <w:jc w:val="both"/>
      </w:pPr>
      <w:r>
        <w:t xml:space="preserve">II - advertir o executado de que seu procedimento constitui ato atentatório à dignidade da justiça;</w:t>
      </w:r>
    </w:p>
    <w:p>
      <w:pPr>
        <w:pStyle w:val="BodyText"/>
        <w:keepNext/>
        <w:spacing w:after="80"/>
        <w:jc w:val="both"/>
      </w:pPr>
      <w:r>
        <w:t xml:space="preserve">III - determinar que sujeitos indicados pelo exequente forneçam informações em geral relacionadas ao objeto da execução, tais como documentos e dados que tenham em seu poder, assinando-lhes prazo razoável.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2666"/>
        <w:gridCol w:w="5033"/>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6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03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55"/>
          </w:tcPr>
          <w:p>
            <w:pPr>
              <w:pStyle w:val="Compact"/>
              <w:spacing w:line="276" w:lineRule="auto" w:before="40" w:after="40"/>
            </w:pPr>
            <w:r>
              <w:rPr>
                <w:rFonts w:ascii="Liberation Sans Narrow" w:hAnsi="Liberation Sans Narrow"/>
                <w:sz w:val="18"/>
              </w:rPr>
              <w:t xml:space="preserve">III — requisição de informações a terceiros</w:t>
            </w:r>
          </w:p>
        </w:tc>
        <w:tc>
          <w:tcPr>
            <w:tcW w:type="dxa" w:w="2666"/>
          </w:tcPr>
          <w:p>
            <w:pPr>
              <w:pStyle w:val="Compact"/>
              <w:spacing w:line="276" w:lineRule="auto" w:before="40" w:after="40"/>
            </w:pPr>
            <w:r>
              <w:rPr>
                <w:rFonts w:ascii="Liberation Sans Narrow" w:hAnsi="Liberation Sans Narrow"/>
                <w:sz w:val="18"/>
              </w:rPr>
              <w:t xml:space="preserve">STJ, AgInt no REsp 2.139.858, Segunda Turma, relator Min. Marco Aurélio Bellizze, julgado em 12/08/2026</w:t>
            </w:r>
          </w:p>
        </w:tc>
        <w:tc>
          <w:tcPr>
            <w:tcW w:type="dxa" w:w="5033"/>
          </w:tcPr>
          <w:p>
            <w:pPr>
              <w:pStyle w:val="Compact"/>
              <w:spacing w:line="276" w:lineRule="auto" w:before="40" w:after="40"/>
            </w:pPr>
            <w:r>
              <w:rPr>
                <w:rFonts w:ascii="Liberation Sans Narrow" w:hAnsi="Liberation Sans Narrow"/>
                <w:sz w:val="18"/>
              </w:rPr>
              <w:t xml:space="preserve">A expedição de ofício à Receita Federal para obter informações fiscais do executado (DOI, DIMOB, DIRF e e-Financeira), com a finalidade de localizar bens penhoráveis, é legal e não constitui quebra de sigilo fiscal, sendo desnecessário o exaurimento prévio das buscas por bens pelas vias extrajudiciais.</w:t>
            </w:r>
          </w:p>
        </w:tc>
      </w:tr>
    </w:tbl>
    <w:bookmarkEnd w:id="564"/>
    <w:bookmarkStart w:id="565" w:name="art.-773"/>
    <w:p>
      <w:pPr>
        <w:pStyle w:val="Heading6"/>
        <w:pBdr>
          <w:left w:val="single" w:sz="36" w:space="4" w:color="2E75B6"/>
        </w:pBdr>
        <w:shd w:val="clear" w:color="auto" w:fill="E3EEF9"/>
        <w:spacing w:before="200" w:after="80"/>
        <w:ind w:left="85"/>
      </w:pPr>
      <w:r>
        <w:rPr>
          <w:i w:val="0"/>
          <w:color w:val="1F3A5F"/>
          <w:sz w:val="23"/>
        </w:rPr>
        <w:t xml:space="preserve">Art. 773</w:t>
      </w:r>
    </w:p>
    <w:p>
      <w:pPr>
        <w:pStyle w:val="FirstParagraph"/>
        <w:spacing w:after="80"/>
        <w:jc w:val="both"/>
      </w:pPr>
      <w:r>
        <w:rPr>
          <w:b/>
          <w:bCs/>
        </w:rPr>
        <w:t xml:space="preserve">Art. 773.</w:t>
      </w:r>
      <w:r>
        <w:t xml:space="preserve"> </w:t>
      </w:r>
      <w:r>
        <w:t xml:space="preserve">O juiz poderá, de ofício ou a requerimento, determinar as medidas necessárias ao cumprimento da ordem de entrega de documentos e dados.</w:t>
      </w:r>
    </w:p>
    <w:p>
      <w:pPr>
        <w:pStyle w:val="BodyText"/>
        <w:spacing w:after="80"/>
        <w:jc w:val="both"/>
      </w:pPr>
      <w:r>
        <w:t xml:space="preserve">Parágrafo único. Quando, em decorrência do disposto neste artigo, o juízo receber dados sigilosos para os fins da execução, o juiz adotará as medidas necessárias para assegurar a confidencialidade.</w:t>
      </w:r>
    </w:p>
    <w:bookmarkEnd w:id="565"/>
    <w:bookmarkStart w:id="566" w:name="art.-774"/>
    <w:p>
      <w:pPr>
        <w:pStyle w:val="Heading6"/>
        <w:pBdr>
          <w:left w:val="single" w:sz="36" w:space="4" w:color="2E75B6"/>
        </w:pBdr>
        <w:shd w:val="clear" w:color="auto" w:fill="E3EEF9"/>
        <w:spacing w:before="200" w:after="80"/>
        <w:ind w:left="85"/>
      </w:pPr>
      <w:r>
        <w:rPr>
          <w:i w:val="0"/>
          <w:color w:val="1F3A5F"/>
          <w:sz w:val="23"/>
        </w:rPr>
        <w:t xml:space="preserve">Art. 774</w:t>
      </w:r>
    </w:p>
    <w:p>
      <w:pPr>
        <w:pStyle w:val="FirstParagraph"/>
        <w:spacing w:after="80"/>
        <w:jc w:val="both"/>
      </w:pPr>
      <w:r>
        <w:rPr>
          <w:b/>
          <w:bCs/>
        </w:rPr>
        <w:t xml:space="preserve">Art. 774.</w:t>
      </w:r>
      <w:r>
        <w:t xml:space="preserve"> </w:t>
      </w:r>
      <w:r>
        <w:t xml:space="preserve">Considera-se atentatória à dignidade da justiça a conduta comissiva ou omissiva do executado que:</w:t>
      </w:r>
    </w:p>
    <w:p>
      <w:pPr>
        <w:pStyle w:val="BodyText"/>
        <w:spacing w:after="80"/>
        <w:jc w:val="both"/>
      </w:pPr>
      <w:r>
        <w:t xml:space="preserve">I - frauda a execução;</w:t>
      </w:r>
    </w:p>
    <w:p>
      <w:pPr>
        <w:pStyle w:val="BodyText"/>
        <w:spacing w:after="80"/>
        <w:jc w:val="both"/>
      </w:pPr>
      <w:r>
        <w:t xml:space="preserve">II - se opõe maliciosamente à execução, empregando ardis e meios artificiosos;</w:t>
      </w:r>
    </w:p>
    <w:p>
      <w:pPr>
        <w:pStyle w:val="BodyText"/>
        <w:spacing w:after="80"/>
        <w:jc w:val="both"/>
      </w:pPr>
      <w:r>
        <w:t xml:space="preserve">III - dificulta ou embaraça a realização da penhora;</w:t>
      </w:r>
    </w:p>
    <w:p>
      <w:pPr>
        <w:pStyle w:val="BodyText"/>
        <w:spacing w:after="80"/>
        <w:jc w:val="both"/>
      </w:pPr>
      <w:r>
        <w:t xml:space="preserve">IV - resiste injustificadamente às ordens judiciais;</w:t>
      </w:r>
    </w:p>
    <w:p>
      <w:pPr>
        <w:pStyle w:val="BodyText"/>
        <w:keepNext/>
        <w:spacing w:after="80"/>
        <w:jc w:val="both"/>
      </w:pPr>
      <w:r>
        <w:t xml:space="preserve">V - intimado, não indica ao juiz quais são e onde estão os bens sujeitos à penhora e os respectivos valores, nem exibe prova de sua propriedade e, se for o caso, certidão negativa de ônus.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864"/>
        <w:gridCol w:w="3404"/>
        <w:gridCol w:w="4086"/>
      </w:tblGrid>
      <w:tr>
        <w:trPr>
          <w:tblHeader w:val="on"/>
          <w:cantSplit/>
          <w:tblHeader/>
        </w:trPr>
        <w:tc>
          <w:tcPr>
            <w:tcW w:type="dxa" w:w="1864"/>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40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08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864"/>
          </w:tcPr>
          <w:p>
            <w:pPr>
              <w:pStyle w:val="Compact"/>
              <w:spacing w:line="276" w:lineRule="auto" w:before="40" w:after="40"/>
            </w:pPr>
            <w:r>
              <w:rPr>
                <w:rFonts w:ascii="Liberation Sans Narrow" w:hAnsi="Liberation Sans Narrow"/>
                <w:sz w:val="18"/>
              </w:rPr>
              <w:t xml:space="preserve">Inciso V — não indicação de bens pelo executado</w:t>
            </w:r>
          </w:p>
        </w:tc>
        <w:tc>
          <w:tcPr>
            <w:tcW w:type="dxa" w:w="3404"/>
          </w:tcPr>
          <w:p>
            <w:pPr>
              <w:pStyle w:val="Compact"/>
              <w:spacing w:line="276" w:lineRule="auto" w:before="40" w:after="40"/>
            </w:pPr>
            <w:r>
              <w:rPr>
                <w:rFonts w:ascii="Liberation Sans Narrow" w:hAnsi="Liberation Sans Narrow"/>
                <w:sz w:val="18"/>
              </w:rPr>
              <w:t xml:space="preserve">STJ, AREsp 2.565.365, Quarta Turma, relator Min. João Otávio de Noronha, julgado em 16/03/2026, DJEN de 19/03/2026</w:t>
            </w:r>
          </w:p>
        </w:tc>
        <w:tc>
          <w:tcPr>
            <w:tcW w:type="dxa" w:w="4086"/>
          </w:tcPr>
          <w:p>
            <w:pPr>
              <w:pStyle w:val="Compact"/>
              <w:spacing w:line="276" w:lineRule="auto" w:before="40" w:after="40"/>
            </w:pPr>
            <w:r>
              <w:rPr>
                <w:rFonts w:ascii="Liberation Sans Narrow" w:hAnsi="Liberation Sans Narrow"/>
                <w:sz w:val="18"/>
              </w:rPr>
              <w:t xml:space="preserve">A multa do art. 774, V, deve ser aplicada pelo simples descumprimento da intimação para indicar bens penhoráveis, sem exigência de dolo específico.</w:t>
            </w:r>
          </w:p>
        </w:tc>
      </w:tr>
    </w:tbl>
    <w:p>
      <w:pPr>
        <w:pStyle w:val="BodyText"/>
        <w:keepNext/>
        <w:spacing w:after="80"/>
        <w:jc w:val="both"/>
      </w:pPr>
      <w:r>
        <w:t xml:space="preserve">Parágrafo único. Nos casos previstos neste artigo, o juiz fixará multa em montante não superior a vinte por cento do valor atualizado do débito em execução, a qual será revertida em proveito do exequente, exigível nos próprios autos do processo, sem prejuízo de outras sanções de natureza processual ou material.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2834"/>
        <w:gridCol w:w="498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3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98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Parágrafo único — base de cálculo da multa</w:t>
            </w:r>
          </w:p>
        </w:tc>
        <w:tc>
          <w:tcPr>
            <w:tcW w:type="dxa" w:w="2835"/>
          </w:tcPr>
          <w:p>
            <w:pPr>
              <w:pStyle w:val="Compact"/>
              <w:spacing w:line="276" w:lineRule="auto" w:before="40" w:after="40"/>
            </w:pPr>
            <w:r>
              <w:rPr>
                <w:rFonts w:ascii="Liberation Sans Narrow" w:hAnsi="Liberation Sans Narrow"/>
                <w:sz w:val="18"/>
              </w:rPr>
              <w:t xml:space="preserve">STJ, AgInt no AREsp 2.989.688, Quarta Turma, relator Min. Raul Araújo, julgado em 08/06/2026, DJEN de 12/06/2026</w:t>
            </w:r>
          </w:p>
        </w:tc>
        <w:tc>
          <w:tcPr>
            <w:tcW w:type="dxa" w:w="4989"/>
          </w:tcPr>
          <w:p>
            <w:pPr>
              <w:pStyle w:val="Compact"/>
              <w:spacing w:line="276" w:lineRule="auto" w:before="40" w:after="40"/>
            </w:pPr>
            <w:r>
              <w:rPr>
                <w:rFonts w:ascii="Liberation Sans Narrow" w:hAnsi="Liberation Sans Narrow"/>
                <w:sz w:val="18"/>
              </w:rPr>
              <w:t xml:space="preserve">Há distinção entre a multa por litigância de má-fé (arts. 80 e 81), que incide sobre o valor corrigido da causa, e a multa por ato atentatório à dignidade da justiça (art. 774, parágrafo único), que incide sobre o valor atualizado do débito em execução; a ocorrência da conduta em fase executiva não transmuda a natureza da sanção nem autoriza a adoção da base de cálculo própria do ato atentatório.</w:t>
            </w:r>
          </w:p>
        </w:tc>
      </w:tr>
    </w:tbl>
    <w:bookmarkEnd w:id="566"/>
    <w:bookmarkStart w:id="567" w:name="art.-775"/>
    <w:p>
      <w:pPr>
        <w:pStyle w:val="Heading6"/>
        <w:pBdr>
          <w:left w:val="single" w:sz="36" w:space="4" w:color="2E75B6"/>
        </w:pBdr>
        <w:shd w:val="clear" w:color="auto" w:fill="E3EEF9"/>
        <w:spacing w:before="200" w:after="80"/>
        <w:ind w:left="85"/>
      </w:pPr>
      <w:r>
        <w:rPr>
          <w:i w:val="0"/>
          <w:color w:val="1F3A5F"/>
          <w:sz w:val="23"/>
        </w:rPr>
        <w:t xml:space="preserve">Art. 775</w:t>
      </w:r>
    </w:p>
    <w:p>
      <w:pPr>
        <w:pStyle w:val="FirstParagraph"/>
        <w:keepNext/>
        <w:spacing w:after="80"/>
        <w:jc w:val="both"/>
      </w:pPr>
      <w:r>
        <w:rPr>
          <w:b/>
          <w:bCs/>
        </w:rPr>
        <w:t xml:space="preserve">Art. 775.</w:t>
      </w:r>
      <w:r>
        <w:t xml:space="preserve"> </w:t>
      </w:r>
      <w:r>
        <w:t xml:space="preserve">O exequente tem o direito de desistir de toda a execução ou de apenas alguma medida executiva.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2705"/>
        <w:gridCol w:w="499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0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99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55"/>
          </w:tcPr>
          <w:p>
            <w:pPr>
              <w:pStyle w:val="Compact"/>
              <w:spacing w:line="276" w:lineRule="auto" w:before="40" w:after="40"/>
            </w:pPr>
            <w:r>
              <w:rPr>
                <w:rFonts w:ascii="Liberation Sans Narrow" w:hAnsi="Liberation Sans Narrow"/>
                <w:sz w:val="18"/>
              </w:rPr>
              <w:t xml:space="preserve">Caput — desistência da execução</w:t>
            </w:r>
          </w:p>
        </w:tc>
        <w:tc>
          <w:tcPr>
            <w:tcW w:type="dxa" w:w="2705"/>
          </w:tcPr>
          <w:p>
            <w:pPr>
              <w:pStyle w:val="Compact"/>
              <w:spacing w:line="276" w:lineRule="auto" w:before="40" w:after="40"/>
            </w:pPr>
            <w:r>
              <w:rPr>
                <w:rFonts w:ascii="Liberation Sans Narrow" w:hAnsi="Liberation Sans Narrow"/>
                <w:sz w:val="18"/>
              </w:rPr>
              <w:t xml:space="preserve">STJ, REsp 1.675.741, Quarta Turma, relator Min. Luis Felipe Salomão, julgado em 11/06/2019, DJe de 05/08/2019</w:t>
            </w:r>
          </w:p>
        </w:tc>
        <w:tc>
          <w:tcPr>
            <w:tcW w:type="dxa" w:w="4994"/>
          </w:tcPr>
          <w:p>
            <w:pPr>
              <w:pStyle w:val="Compact"/>
              <w:spacing w:line="276" w:lineRule="auto" w:before="40" w:after="40"/>
            </w:pPr>
            <w:r>
              <w:rPr>
                <w:rFonts w:ascii="Liberation Sans Narrow" w:hAnsi="Liberation Sans Narrow"/>
                <w:sz w:val="18"/>
              </w:rPr>
              <w:t xml:space="preserve">A desistência da execução motivada pela ausência de bens penhoráveis do devedor, por força do princípio da causalidade, não enseja a condenação do exequente em honorários advocatícios, pois a frustração da pretensão executória não lhe pode ser imputada.</w:t>
            </w:r>
          </w:p>
        </w:tc>
      </w:tr>
    </w:tbl>
    <w:p>
      <w:pPr>
        <w:pStyle w:val="BodyText"/>
        <w:keepNext/>
        <w:spacing w:after="80"/>
        <w:jc w:val="both"/>
      </w:pPr>
      <w:r>
        <w:t xml:space="preserve">Parágrafo único. Na desistência da execução, observar-se-á o seguinte: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570"/>
        <w:gridCol w:w="2309"/>
        <w:gridCol w:w="4475"/>
      </w:tblGrid>
      <w:tr>
        <w:trPr>
          <w:tblHeader w:val="on"/>
          <w:cantSplit/>
          <w:tblHeader/>
        </w:trPr>
        <w:tc>
          <w:tcPr>
            <w:tcW w:type="dxa" w:w="257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31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47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570"/>
          </w:tcPr>
          <w:p>
            <w:pPr>
              <w:pStyle w:val="Compact"/>
              <w:spacing w:line="276" w:lineRule="auto" w:before="40" w:after="40"/>
            </w:pPr>
            <w:r>
              <w:rPr>
                <w:rFonts w:ascii="Liberation Sans Narrow" w:hAnsi="Liberation Sans Narrow"/>
                <w:sz w:val="18"/>
              </w:rPr>
              <w:t xml:space="preserve">Caput e parágrafo único — desistência da execução e honorários fixados no despacho inicial (aplicação narrada)</w:t>
            </w:r>
          </w:p>
        </w:tc>
        <w:tc>
          <w:tcPr>
            <w:tcW w:type="dxa" w:w="2310"/>
          </w:tcPr>
          <w:p>
            <w:pPr>
              <w:pStyle w:val="Compact"/>
              <w:spacing w:line="276" w:lineRule="auto" w:before="40" w:after="40"/>
            </w:pPr>
            <w:r>
              <w:rPr>
                <w:rFonts w:ascii="Liberation Sans Narrow" w:hAnsi="Liberation Sans Narrow"/>
                <w:sz w:val="18"/>
              </w:rPr>
              <w:t xml:space="preserve">STJ, AgInt no REsp 2.111.955, Terceira Turma, relator Min. Humberto Martins, julgado em 22/06/2026</w:t>
            </w:r>
          </w:p>
        </w:tc>
        <w:tc>
          <w:tcPr>
            <w:tcW w:type="dxa" w:w="4475"/>
          </w:tcPr>
          <w:p>
            <w:pPr>
              <w:pStyle w:val="Compact"/>
              <w:spacing w:line="276" w:lineRule="auto" w:before="40" w:after="40"/>
            </w:pPr>
            <w:r>
              <w:rPr>
                <w:rFonts w:ascii="Liberation Sans Narrow" w:hAnsi="Liberation Sans Narrow"/>
                <w:sz w:val="18"/>
              </w:rPr>
              <w:t xml:space="preserve">A desistência da execução motivada pela frustração na localização de bens penhoráveis não exime o executado recalcitrante de responder pelos honorários fixados de plano no despacho inicial (art. 827), verba de natureza autônoma que nasce com o recebimento da inicial e se condiciona ao inadimplemento voluntário do devedor; pelo princípio da causalidade (art. 85, § 10), afasta-se a aplicação do art. 90 quando a extinção decorre de ato alheio à desídia do credor. Trecho: “A posterior desistência da execução, motivada exclusivamente pela frustração na localização de patrimônio penhorável, não exime o executado recalcitrante de responder pela verba honorária”</w:t>
            </w:r>
          </w:p>
        </w:tc>
      </w:tr>
    </w:tbl>
    <w:p>
      <w:pPr>
        <w:pStyle w:val="BodyText"/>
        <w:spacing w:after="80"/>
        <w:jc w:val="both"/>
      </w:pPr>
      <w:r>
        <w:t xml:space="preserve">I - serão extintos a impugnação e os embargos que versarem apenas sobre questões processuais, pagando o exequente as custas processuais e os honorários advocatícios;</w:t>
      </w:r>
    </w:p>
    <w:p>
      <w:pPr>
        <w:pStyle w:val="BodyText"/>
        <w:spacing w:after="80"/>
        <w:jc w:val="both"/>
      </w:pPr>
      <w:r>
        <w:t xml:space="preserve">II - nos demais casos, a extinção dependerá da concordância do impugnante ou do embargante.</w:t>
      </w:r>
    </w:p>
    <w:bookmarkEnd w:id="567"/>
    <w:bookmarkStart w:id="568" w:name="art.-776"/>
    <w:p>
      <w:pPr>
        <w:pStyle w:val="Heading6"/>
        <w:pBdr>
          <w:left w:val="single" w:sz="36" w:space="4" w:color="2E75B6"/>
        </w:pBdr>
        <w:shd w:val="clear" w:color="auto" w:fill="E3EEF9"/>
        <w:spacing w:before="200" w:after="80"/>
        <w:ind w:left="85"/>
      </w:pPr>
      <w:r>
        <w:rPr>
          <w:i w:val="0"/>
          <w:color w:val="1F3A5F"/>
          <w:sz w:val="23"/>
        </w:rPr>
        <w:t xml:space="preserve">Art. 776</w:t>
      </w:r>
    </w:p>
    <w:p>
      <w:pPr>
        <w:pStyle w:val="FirstParagraph"/>
        <w:keepNext/>
        <w:spacing w:after="80"/>
        <w:jc w:val="both"/>
      </w:pPr>
      <w:r>
        <w:rPr>
          <w:b/>
          <w:bCs/>
        </w:rPr>
        <w:t xml:space="preserve">Art. 776.</w:t>
      </w:r>
      <w:r>
        <w:t xml:space="preserve"> </w:t>
      </w:r>
      <w:r>
        <w:t xml:space="preserve">O exequente ressarcirá ao executado os danos que este sofreu, quando a sentença, transitada em julgado, declarar inexistente, no todo ou em parte, a obrigação que ensejou a execução.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79"/>
        <w:gridCol w:w="2384"/>
        <w:gridCol w:w="4691"/>
      </w:tblGrid>
      <w:tr>
        <w:trPr>
          <w:tblHeader w:val="on"/>
          <w:cantSplit/>
          <w:tblHeader/>
        </w:trPr>
        <w:tc>
          <w:tcPr>
            <w:tcW w:type="dxa" w:w="2279"/>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38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69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79"/>
          </w:tcPr>
          <w:p>
            <w:pPr>
              <w:pStyle w:val="Compact"/>
              <w:spacing w:line="276" w:lineRule="auto" w:before="40" w:after="40"/>
            </w:pPr>
            <w:r>
              <w:rPr>
                <w:rFonts w:ascii="Liberation Sans Narrow" w:hAnsi="Liberation Sans Narrow"/>
                <w:sz w:val="18"/>
              </w:rPr>
              <w:t xml:space="preserve">Caput — responsabilidade do exequente</w:t>
            </w:r>
          </w:p>
        </w:tc>
        <w:tc>
          <w:tcPr>
            <w:tcW w:type="dxa" w:w="2384"/>
          </w:tcPr>
          <w:p>
            <w:pPr>
              <w:pStyle w:val="Compact"/>
              <w:spacing w:line="276" w:lineRule="auto" w:before="40" w:after="40"/>
            </w:pPr>
            <w:r>
              <w:rPr>
                <w:rFonts w:ascii="Liberation Sans Narrow" w:hAnsi="Liberation Sans Narrow"/>
                <w:sz w:val="18"/>
              </w:rPr>
              <w:t xml:space="preserve">STJ, AREsp 2.096.621, Quarta Turma, relator Min. Raul Araújo, julgado em 09/02/2026, DJEN de 13/02/2026</w:t>
            </w:r>
          </w:p>
        </w:tc>
        <w:tc>
          <w:tcPr>
            <w:tcW w:type="dxa" w:w="4691"/>
          </w:tcPr>
          <w:p>
            <w:pPr>
              <w:pStyle w:val="Compact"/>
              <w:spacing w:line="276" w:lineRule="auto" w:before="40" w:after="40"/>
            </w:pPr>
            <w:r>
              <w:rPr>
                <w:rFonts w:ascii="Liberation Sans Narrow" w:hAnsi="Liberation Sans Narrow"/>
                <w:sz w:val="18"/>
              </w:rPr>
              <w:t xml:space="preserve">A responsabilidade do exequente pelos danos causados pela execução indevida é objetiva (arts. 520, I, e 776), bastando a prova do dano e do nexo de causalidade; a sentença que extinguiu a execução por ausência de título é título executivo para o ressarcimento, liquidado nos próprios autos.</w:t>
            </w:r>
          </w:p>
        </w:tc>
      </w:tr>
    </w:tbl>
    <w:bookmarkEnd w:id="568"/>
    <w:bookmarkStart w:id="569" w:name="art.-777"/>
    <w:p>
      <w:pPr>
        <w:pStyle w:val="Heading6"/>
        <w:pBdr>
          <w:left w:val="single" w:sz="36" w:space="4" w:color="2E75B6"/>
        </w:pBdr>
        <w:shd w:val="clear" w:color="auto" w:fill="E3EEF9"/>
        <w:spacing w:before="200" w:after="80"/>
        <w:ind w:left="85"/>
      </w:pPr>
      <w:r>
        <w:rPr>
          <w:i w:val="0"/>
          <w:color w:val="1F3A5F"/>
          <w:sz w:val="23"/>
        </w:rPr>
        <w:t xml:space="preserve">Art. 777</w:t>
      </w:r>
    </w:p>
    <w:p>
      <w:pPr>
        <w:pStyle w:val="FirstParagraph"/>
        <w:spacing w:after="80"/>
        <w:jc w:val="both"/>
      </w:pPr>
      <w:r>
        <w:rPr>
          <w:b/>
          <w:bCs/>
        </w:rPr>
        <w:t xml:space="preserve">Art. 777.</w:t>
      </w:r>
      <w:r>
        <w:t xml:space="preserve"> </w:t>
      </w:r>
      <w:r>
        <w:t xml:space="preserve">A cobrança de multas ou de indenizações decorrentes de litigância de má-fé ou de prática de ato atentatório à dignidade da justiça será promovida nos próprios autos do processo.</w:t>
      </w:r>
    </w:p>
    <w:bookmarkEnd w:id="569"/>
    <w:bookmarkEnd w:id="570"/>
    <w:bookmarkStart w:id="574" w:name="capítulo-ii-das-partes-arts.-778-a-780"/>
    <w:p>
      <w:pPr>
        <w:pStyle w:val="Heading4"/>
        <w:spacing w:before="160" w:after="40"/>
      </w:pPr>
      <w:r>
        <w:rPr>
          <w:smallCaps/>
          <w:color w:val="2E75B6"/>
        </w:rPr>
        <w:t xml:space="preserve">Capítulo II: das partes (arts. 778 a 780)</w:t>
      </w:r>
    </w:p>
    <w:bookmarkStart w:id="571" w:name="art.-778"/>
    <w:p>
      <w:pPr>
        <w:pStyle w:val="Heading6"/>
        <w:pBdr>
          <w:left w:val="single" w:sz="36" w:space="4" w:color="2E75B6"/>
        </w:pBdr>
        <w:shd w:val="clear" w:color="auto" w:fill="E3EEF9"/>
        <w:spacing w:before="200" w:after="80"/>
        <w:ind w:left="85"/>
      </w:pPr>
      <w:r>
        <w:rPr>
          <w:i w:val="0"/>
          <w:color w:val="1F3A5F"/>
          <w:sz w:val="23"/>
        </w:rPr>
        <w:t xml:space="preserve">Art. 778</w:t>
      </w:r>
    </w:p>
    <w:p>
      <w:pPr>
        <w:pStyle w:val="FirstParagraph"/>
        <w:spacing w:after="80"/>
        <w:jc w:val="both"/>
      </w:pPr>
      <w:r>
        <w:rPr>
          <w:b/>
          <w:bCs/>
        </w:rPr>
        <w:t xml:space="preserve">Art. 778.</w:t>
      </w:r>
      <w:r>
        <w:t xml:space="preserve"> </w:t>
      </w:r>
      <w:r>
        <w:t xml:space="preserve">Pode promover a execução forçada o credor a quem a lei confere título executivo.</w:t>
      </w:r>
    </w:p>
    <w:p>
      <w:pPr>
        <w:pStyle w:val="BodyText"/>
        <w:spacing w:after="80"/>
        <w:jc w:val="both"/>
      </w:pPr>
      <w:r>
        <w:t xml:space="preserve">§ 1º Podem promover a execução forçada ou nela prosseguir, em sucessão ao exequente originário:</w:t>
      </w:r>
    </w:p>
    <w:p>
      <w:pPr>
        <w:pStyle w:val="BodyText"/>
        <w:spacing w:after="80"/>
        <w:jc w:val="both"/>
      </w:pPr>
      <w:r>
        <w:t xml:space="preserve">I - o Ministério Público, nos casos previstos em lei;</w:t>
      </w:r>
    </w:p>
    <w:p>
      <w:pPr>
        <w:pStyle w:val="BodyText"/>
        <w:spacing w:after="80"/>
        <w:jc w:val="both"/>
      </w:pPr>
      <w:r>
        <w:t xml:space="preserve">II - o espólio, os herdeiros ou os sucessores do credor, sempre que, por morte deste, lhes for transmitido o direito resultante do título executivo;</w:t>
      </w:r>
    </w:p>
    <w:p>
      <w:pPr>
        <w:pStyle w:val="BodyText"/>
        <w:keepNext/>
        <w:spacing w:after="80"/>
        <w:jc w:val="both"/>
      </w:pPr>
      <w:r>
        <w:t xml:space="preserve">III - o cessionário, quando o direito resultante do título executivo lhe for transferido por ato entre vivos;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2775"/>
        <w:gridCol w:w="492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7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92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55"/>
          </w:tcPr>
          <w:p>
            <w:pPr>
              <w:pStyle w:val="Compact"/>
              <w:spacing w:line="276" w:lineRule="auto" w:before="40" w:after="40"/>
            </w:pPr>
            <w:r>
              <w:rPr>
                <w:rFonts w:ascii="Liberation Sans Narrow" w:hAnsi="Liberation Sans Narrow"/>
                <w:sz w:val="18"/>
              </w:rPr>
              <w:t xml:space="preserve">§ 1º, III — cessionário do título executivo</w:t>
            </w:r>
          </w:p>
        </w:tc>
        <w:tc>
          <w:tcPr>
            <w:tcW w:type="dxa" w:w="2775"/>
          </w:tcPr>
          <w:p>
            <w:pPr>
              <w:pStyle w:val="Compact"/>
              <w:spacing w:line="276" w:lineRule="auto" w:before="40" w:after="40"/>
            </w:pPr>
            <w:r>
              <w:rPr>
                <w:rFonts w:ascii="Liberation Sans Narrow" w:hAnsi="Liberation Sans Narrow"/>
                <w:sz w:val="18"/>
              </w:rPr>
              <w:t xml:space="preserve">STJ, AgInt no AREsp 3.004.092, Quarta Turma, relator Min. Raul Araújo, julgado em 30/06/2026, DJEN de 30/07/2026</w:t>
            </w:r>
          </w:p>
        </w:tc>
        <w:tc>
          <w:tcPr>
            <w:tcW w:type="dxa" w:w="4924"/>
          </w:tcPr>
          <w:p>
            <w:pPr>
              <w:pStyle w:val="Compact"/>
              <w:spacing w:line="276" w:lineRule="auto" w:before="40" w:after="40"/>
            </w:pPr>
            <w:r>
              <w:rPr>
                <w:rFonts w:ascii="Liberation Sans Narrow" w:hAnsi="Liberation Sans Narrow"/>
                <w:sz w:val="18"/>
              </w:rPr>
              <w:t xml:space="preserve">Em execução forçada, a sucessão do exequente pelo cessionário independe do consentimento do executado (art. 778, § 1º); a ciência inequívoca do devedor nos autos supre a exigência do art. 290 do Código Civil, cuja finalidade é evitar o pagamento indevido ao credor originário, e não torna a dívida inexigível.</w:t>
            </w:r>
          </w:p>
        </w:tc>
      </w:tr>
    </w:tbl>
    <w:p>
      <w:pPr>
        <w:pStyle w:val="BodyText"/>
        <w:spacing w:after="80"/>
        <w:jc w:val="both"/>
      </w:pPr>
      <w:r>
        <w:t xml:space="preserve">IV - o sub-rogado, nos casos de sub-rogação legal ou convencional.</w:t>
      </w:r>
    </w:p>
    <w:p>
      <w:pPr>
        <w:pStyle w:val="BodyText"/>
        <w:spacing w:after="80"/>
        <w:jc w:val="both"/>
      </w:pPr>
      <w:r>
        <w:t xml:space="preserve">§ 2º A sucessão prevista no § 1º independe de consentimento do executado.</w:t>
      </w:r>
    </w:p>
    <w:bookmarkEnd w:id="571"/>
    <w:bookmarkStart w:id="572" w:name="art.-779"/>
    <w:p>
      <w:pPr>
        <w:pStyle w:val="Heading6"/>
        <w:pBdr>
          <w:left w:val="single" w:sz="36" w:space="4" w:color="2E75B6"/>
        </w:pBdr>
        <w:shd w:val="clear" w:color="auto" w:fill="E3EEF9"/>
        <w:spacing w:before="200" w:after="80"/>
        <w:ind w:left="85"/>
      </w:pPr>
      <w:r>
        <w:rPr>
          <w:i w:val="0"/>
          <w:color w:val="1F3A5F"/>
          <w:sz w:val="23"/>
        </w:rPr>
        <w:t xml:space="preserve">Art. 779</w:t>
      </w:r>
    </w:p>
    <w:p>
      <w:pPr>
        <w:pStyle w:val="FirstParagraph"/>
        <w:spacing w:after="80"/>
        <w:jc w:val="both"/>
      </w:pPr>
      <w:r>
        <w:rPr>
          <w:b/>
          <w:bCs/>
        </w:rPr>
        <w:t xml:space="preserve">Art. 779.</w:t>
      </w:r>
      <w:r>
        <w:t xml:space="preserve"> </w:t>
      </w:r>
      <w:r>
        <w:t xml:space="preserve">A execução pode ser promovida contra:</w:t>
      </w:r>
    </w:p>
    <w:p>
      <w:pPr>
        <w:pStyle w:val="BodyText"/>
        <w:spacing w:after="80"/>
        <w:jc w:val="both"/>
      </w:pPr>
      <w:r>
        <w:t xml:space="preserve">I - o devedor, reconhecido como tal no título executivo;</w:t>
      </w:r>
    </w:p>
    <w:p>
      <w:pPr>
        <w:pStyle w:val="BodyText"/>
        <w:keepNext/>
        <w:spacing w:after="80"/>
        <w:jc w:val="both"/>
      </w:pPr>
      <w:r>
        <w:t xml:space="preserve">II - o espólio, os herdeiros ou os sucessores do devedor;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76"/>
        <w:gridCol w:w="2367"/>
        <w:gridCol w:w="5011"/>
      </w:tblGrid>
      <w:tr>
        <w:trPr>
          <w:tblHeader w:val="on"/>
          <w:cantSplit/>
          <w:tblHeader/>
        </w:trPr>
        <w:tc>
          <w:tcPr>
            <w:tcW w:type="dxa" w:w="1976"/>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36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01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76"/>
          </w:tcPr>
          <w:p>
            <w:pPr>
              <w:pStyle w:val="Compact"/>
              <w:spacing w:line="276" w:lineRule="auto" w:before="40" w:after="40"/>
            </w:pPr>
            <w:r>
              <w:rPr>
                <w:rFonts w:ascii="Liberation Sans Narrow" w:hAnsi="Liberation Sans Narrow"/>
                <w:sz w:val="18"/>
              </w:rPr>
              <w:t xml:space="preserve">Inciso II — herdeiros e sucessores do devedor (aplicação narrada)</w:t>
            </w:r>
          </w:p>
        </w:tc>
        <w:tc>
          <w:tcPr>
            <w:tcW w:type="dxa" w:w="2367"/>
          </w:tcPr>
          <w:p>
            <w:pPr>
              <w:pStyle w:val="Compact"/>
              <w:spacing w:line="276" w:lineRule="auto" w:before="40" w:after="40"/>
            </w:pPr>
            <w:r>
              <w:rPr>
                <w:rFonts w:ascii="Liberation Sans Narrow" w:hAnsi="Liberation Sans Narrow"/>
                <w:sz w:val="18"/>
              </w:rPr>
              <w:t xml:space="preserve">STJ, AREsp 3.107.495, Terceira Turma, relator Min. Moura Ribeiro, julgado em 22/06/2026</w:t>
            </w:r>
          </w:p>
        </w:tc>
        <w:tc>
          <w:tcPr>
            <w:tcW w:type="dxa" w:w="5011"/>
          </w:tcPr>
          <w:p>
            <w:pPr>
              <w:pStyle w:val="Compact"/>
              <w:spacing w:line="276" w:lineRule="auto" w:before="40" w:after="40"/>
            </w:pPr>
            <w:r>
              <w:rPr>
                <w:rFonts w:ascii="Liberation Sans Narrow" w:hAnsi="Liberation Sans Narrow"/>
                <w:sz w:val="18"/>
              </w:rPr>
              <w:t xml:space="preserve">As herdeiras da fiadora respondem pela dívida locativa anterior ao óbito apenas até esse momento e nos limites das forças da herança (art. 836 do Código Civil), afastado o benefício de ordem porque a falecida assumira a condição de principal pagadora (art. 828, II, do Código Civil); o contrato de locação é título executivo independentemente da assinatura de duas testemunhas (art. 784, VIII). Trecho: “Agravo em recurso especial contra decisão que inadmitiu apelo nobre interposto em embargos à execução fundados em contrato de locação, no qual se discutem negativa de prestação jurisdicional, ilegitimidade passiva das herdeiras da fiadora, benefício de ordem, penhorabilidade de bem de família do fiador e força executiva do contrato sem duas testemunhas.”</w:t>
            </w:r>
          </w:p>
        </w:tc>
      </w:tr>
    </w:tbl>
    <w:p>
      <w:pPr>
        <w:pStyle w:val="BodyText"/>
        <w:spacing w:after="80"/>
        <w:jc w:val="both"/>
      </w:pPr>
      <w:r>
        <w:t xml:space="preserve">III - o novo devedor que assumiu, com o consentimento do credor, a obrigação resultante do título executivo;</w:t>
      </w:r>
    </w:p>
    <w:p>
      <w:pPr>
        <w:pStyle w:val="BodyText"/>
        <w:keepNext/>
        <w:spacing w:after="80"/>
        <w:jc w:val="both"/>
      </w:pPr>
      <w:r>
        <w:t xml:space="preserve">IV - o fiador do débito constante em título extrajudicial;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37"/>
        <w:gridCol w:w="3034"/>
        <w:gridCol w:w="4284"/>
      </w:tblGrid>
      <w:tr>
        <w:trPr>
          <w:tblHeader w:val="on"/>
          <w:cantSplit/>
          <w:tblHeader/>
        </w:trPr>
        <w:tc>
          <w:tcPr>
            <w:tcW w:type="dxa" w:w="2037"/>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03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28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37"/>
          </w:tcPr>
          <w:p>
            <w:pPr>
              <w:pStyle w:val="Compact"/>
              <w:spacing w:line="276" w:lineRule="auto" w:before="40" w:after="40"/>
            </w:pPr>
            <w:r>
              <w:rPr>
                <w:rFonts w:ascii="Liberation Sans Narrow" w:hAnsi="Liberation Sans Narrow"/>
                <w:sz w:val="18"/>
              </w:rPr>
              <w:t xml:space="preserve">Inciso IV — fiador do débito em título extrajudicial</w:t>
            </w:r>
          </w:p>
        </w:tc>
        <w:tc>
          <w:tcPr>
            <w:tcW w:type="dxa" w:w="3034"/>
          </w:tcPr>
          <w:p>
            <w:pPr>
              <w:pStyle w:val="Compact"/>
              <w:spacing w:line="276" w:lineRule="auto" w:before="40" w:after="40"/>
            </w:pPr>
            <w:r>
              <w:rPr>
                <w:rFonts w:ascii="Liberation Sans Narrow" w:hAnsi="Liberation Sans Narrow"/>
                <w:sz w:val="18"/>
              </w:rPr>
              <w:t xml:space="preserve">STJ, AgInt no AREsp 2.716.112, Terceira Turma, relator Min. Humberto Martins, DJe de 27/04/2026</w:t>
            </w:r>
          </w:p>
        </w:tc>
        <w:tc>
          <w:tcPr>
            <w:tcW w:type="dxa" w:w="4284"/>
          </w:tcPr>
          <w:p>
            <w:pPr>
              <w:pStyle w:val="Compact"/>
              <w:spacing w:line="276" w:lineRule="auto" w:before="40" w:after="40"/>
            </w:pPr>
            <w:r>
              <w:rPr>
                <w:rFonts w:ascii="Liberation Sans Narrow" w:hAnsi="Liberation Sans Narrow"/>
                <w:sz w:val="18"/>
              </w:rPr>
              <w:t xml:space="preserve">Sem renúncia expressa ao benefício de ordem e sem convenção de solidariedade, o fiador é parte ilegítima na execução ajuizada exclusivamente contra ele.</w:t>
            </w:r>
          </w:p>
        </w:tc>
      </w:tr>
    </w:tbl>
    <w:p>
      <w:pPr>
        <w:pStyle w:val="BodyText"/>
        <w:spacing w:after="80"/>
        <w:jc w:val="both"/>
      </w:pPr>
      <w:r>
        <w:t xml:space="preserve">V - o responsável titular do bem vinculado por garantia real ao pagamento do débito;</w:t>
      </w:r>
    </w:p>
    <w:p>
      <w:pPr>
        <w:pStyle w:val="BodyText"/>
        <w:spacing w:after="80"/>
        <w:jc w:val="both"/>
      </w:pPr>
      <w:r>
        <w:t xml:space="preserve">VI - o responsável tributário, assim definido em lei.</w:t>
      </w:r>
    </w:p>
    <w:bookmarkEnd w:id="572"/>
    <w:bookmarkStart w:id="573" w:name="art.-780"/>
    <w:p>
      <w:pPr>
        <w:pStyle w:val="Heading6"/>
        <w:pBdr>
          <w:left w:val="single" w:sz="36" w:space="4" w:color="2E75B6"/>
        </w:pBdr>
        <w:shd w:val="clear" w:color="auto" w:fill="E3EEF9"/>
        <w:spacing w:before="200" w:after="80"/>
        <w:ind w:left="85"/>
      </w:pPr>
      <w:r>
        <w:rPr>
          <w:i w:val="0"/>
          <w:color w:val="1F3A5F"/>
          <w:sz w:val="23"/>
        </w:rPr>
        <w:t xml:space="preserve">Art. 780</w:t>
      </w:r>
    </w:p>
    <w:p>
      <w:pPr>
        <w:pStyle w:val="FirstParagraph"/>
        <w:keepNext/>
        <w:spacing w:after="80"/>
        <w:jc w:val="both"/>
      </w:pPr>
      <w:r>
        <w:rPr>
          <w:b/>
          <w:bCs/>
        </w:rPr>
        <w:t xml:space="preserve">Art. 780.</w:t>
      </w:r>
      <w:r>
        <w:t xml:space="preserve"> </w:t>
      </w:r>
      <w:r>
        <w:t xml:space="preserve">O exequente pode cumular várias execuções, ainda que fundadas em títulos diferentes, quando o executado for o mesmo e desde que para todas elas seja competente o mesmo juízo e idêntico o procedimento.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2411"/>
        <w:gridCol w:w="5413"/>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41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41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Caput — cumulação de execuções</w:t>
            </w:r>
          </w:p>
        </w:tc>
        <w:tc>
          <w:tcPr>
            <w:tcW w:type="dxa" w:w="2411"/>
          </w:tcPr>
          <w:p>
            <w:pPr>
              <w:pStyle w:val="Compact"/>
              <w:spacing w:line="276" w:lineRule="auto" w:before="40" w:after="40"/>
            </w:pPr>
            <w:r>
              <w:rPr>
                <w:rFonts w:ascii="Liberation Sans Narrow" w:hAnsi="Liberation Sans Narrow"/>
                <w:sz w:val="18"/>
              </w:rPr>
              <w:t xml:space="preserve">STJ, AREsp 2.505.279, Quarta Turma, relator Min. Raul Araújo, julgado em 04/05/2026</w:t>
            </w:r>
          </w:p>
        </w:tc>
        <w:tc>
          <w:tcPr>
            <w:tcW w:type="dxa" w:w="5412"/>
          </w:tcPr>
          <w:p>
            <w:pPr>
              <w:pStyle w:val="Compact"/>
              <w:spacing w:line="276" w:lineRule="auto" w:before="40" w:after="40"/>
            </w:pPr>
            <w:r>
              <w:rPr>
                <w:rFonts w:ascii="Liberation Sans Narrow" w:hAnsi="Liberation Sans Narrow"/>
                <w:sz w:val="18"/>
              </w:rPr>
              <w:t xml:space="preserve">A cumulação, em um só processo, de execução por quantia certa e de execução de obrigação de fazer é possível quando há unidade de devedor, correlação direta entre as obrigações, ambas derivam da mesma relação jurídica e não há prejuízo ao exercício da ampla defesa, sobretudo quando uma obrigação decorre logicamente da outra.</w:t>
            </w:r>
          </w:p>
        </w:tc>
      </w:tr>
    </w:tbl>
    <w:bookmarkEnd w:id="573"/>
    <w:bookmarkEnd w:id="574"/>
    <w:bookmarkStart w:id="577" w:name="Xd0e7413db1aa8cca2a50247ebf7a0fd6794893e"/>
    <w:p>
      <w:pPr>
        <w:pStyle w:val="Heading4"/>
        <w:spacing w:before="160" w:after="40"/>
      </w:pPr>
      <w:r>
        <w:rPr>
          <w:smallCaps/>
          <w:color w:val="2E75B6"/>
        </w:rPr>
        <w:t xml:space="preserve">Capítulo III: da competência (arts. 781 a 782)</w:t>
      </w:r>
    </w:p>
    <w:bookmarkStart w:id="575" w:name="art.-781"/>
    <w:p>
      <w:pPr>
        <w:pStyle w:val="Heading6"/>
        <w:pBdr>
          <w:left w:val="single" w:sz="36" w:space="4" w:color="2E75B6"/>
        </w:pBdr>
        <w:shd w:val="clear" w:color="auto" w:fill="E3EEF9"/>
        <w:spacing w:before="200" w:after="80"/>
        <w:ind w:left="85"/>
      </w:pPr>
      <w:r>
        <w:rPr>
          <w:i w:val="0"/>
          <w:color w:val="1F3A5F"/>
          <w:sz w:val="23"/>
        </w:rPr>
        <w:t xml:space="preserve">Art. 781</w:t>
      </w:r>
    </w:p>
    <w:p>
      <w:pPr>
        <w:pStyle w:val="FirstParagraph"/>
        <w:keepNext/>
        <w:spacing w:after="80"/>
        <w:jc w:val="both"/>
      </w:pPr>
      <w:r>
        <w:rPr>
          <w:b/>
          <w:bCs/>
        </w:rPr>
        <w:t xml:space="preserve">Art. 781.</w:t>
      </w:r>
      <w:r>
        <w:t xml:space="preserve"> </w:t>
      </w:r>
      <w:r>
        <w:t xml:space="preserve">A execução fundada em título extrajudicial será processada perante o juízo competente, observando-se o seguinte: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2547"/>
        <w:gridCol w:w="5152"/>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4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15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55"/>
          </w:tcPr>
          <w:p>
            <w:pPr>
              <w:pStyle w:val="Compact"/>
              <w:spacing w:line="276" w:lineRule="auto" w:before="40" w:after="40"/>
            </w:pPr>
            <w:r>
              <w:rPr>
                <w:rFonts w:ascii="Liberation Sans Narrow" w:hAnsi="Liberation Sans Narrow"/>
                <w:sz w:val="18"/>
              </w:rPr>
              <w:t xml:space="preserve">Caput — competência para a execução</w:t>
            </w:r>
          </w:p>
        </w:tc>
        <w:tc>
          <w:tcPr>
            <w:tcW w:type="dxa" w:w="2547"/>
          </w:tcPr>
          <w:p>
            <w:pPr>
              <w:pStyle w:val="Compact"/>
              <w:spacing w:line="276" w:lineRule="auto" w:before="40" w:after="40"/>
            </w:pPr>
            <w:r>
              <w:rPr>
                <w:rFonts w:ascii="Liberation Sans Narrow" w:hAnsi="Liberation Sans Narrow"/>
                <w:sz w:val="18"/>
              </w:rPr>
              <w:t xml:space="preserve">STJ, CC 216.850, Segunda Seção, relatora Min. Daniela Teixeira, DJe de 17/11/2025</w:t>
            </w:r>
          </w:p>
        </w:tc>
        <w:tc>
          <w:tcPr>
            <w:tcW w:type="dxa" w:w="5152"/>
          </w:tcPr>
          <w:p>
            <w:pPr>
              <w:pStyle w:val="Compact"/>
              <w:spacing w:line="276" w:lineRule="auto" w:before="40" w:after="40"/>
            </w:pPr>
            <w:r>
              <w:rPr>
                <w:rFonts w:ascii="Liberation Sans Narrow" w:hAnsi="Liberation Sans Narrow"/>
                <w:sz w:val="18"/>
              </w:rPr>
              <w:t xml:space="preserve">A competência territorial da execução é relativa: havendo cláusula de eleição de foro, é incabível o declínio de ofício, que depende de provocação do executado (Súmula 33 do Superior Tribunal de Justiça).</w:t>
            </w:r>
          </w:p>
        </w:tc>
      </w:tr>
    </w:tbl>
    <w:p>
      <w:pPr>
        <w:pStyle w:val="BodyText"/>
        <w:spacing w:after="80"/>
        <w:jc w:val="both"/>
      </w:pPr>
      <w:r>
        <w:t xml:space="preserve">I - a execução poderá ser proposta no foro de domicílio do executado, de eleição constante do título ou, ainda, de situação dos bens a ela sujeitos;</w:t>
      </w:r>
    </w:p>
    <w:p>
      <w:pPr>
        <w:pStyle w:val="BodyText"/>
        <w:spacing w:after="80"/>
        <w:jc w:val="both"/>
      </w:pPr>
      <w:r>
        <w:t xml:space="preserve">II - tendo mais de um domicílio, o executado poderá ser demandado no foro de qualquer deles;</w:t>
      </w:r>
    </w:p>
    <w:p>
      <w:pPr>
        <w:pStyle w:val="BodyText"/>
        <w:spacing w:after="80"/>
        <w:jc w:val="both"/>
      </w:pPr>
      <w:r>
        <w:t xml:space="preserve">III - sendo incerto ou desconhecido o domicílio do executado, a execução poderá ser proposta no lugar onde for encontrado ou no foro de domicílio do exequente;</w:t>
      </w:r>
    </w:p>
    <w:p>
      <w:pPr>
        <w:pStyle w:val="BodyText"/>
        <w:spacing w:after="80"/>
        <w:jc w:val="both"/>
      </w:pPr>
      <w:r>
        <w:t xml:space="preserve">IV - havendo mais de um devedor, com diferentes domicílios, a execução será proposta no foro de qualquer deles, à escolha do exequente;</w:t>
      </w:r>
    </w:p>
    <w:p>
      <w:pPr>
        <w:pStyle w:val="BodyText"/>
        <w:spacing w:after="80"/>
        <w:jc w:val="both"/>
      </w:pPr>
      <w:r>
        <w:t xml:space="preserve">V - a execução poderá ser proposta no foro do lugar em que se praticou o ato ou em que ocorreu o fato que deu origem ao título, mesmo que nele não mais resida o executado.</w:t>
      </w:r>
    </w:p>
    <w:bookmarkEnd w:id="575"/>
    <w:bookmarkStart w:id="576" w:name="art.-782"/>
    <w:p>
      <w:pPr>
        <w:pStyle w:val="Heading6"/>
        <w:pBdr>
          <w:left w:val="single" w:sz="36" w:space="4" w:color="2E75B6"/>
        </w:pBdr>
        <w:shd w:val="clear" w:color="auto" w:fill="E3EEF9"/>
        <w:spacing w:before="200" w:after="80"/>
        <w:ind w:left="85"/>
      </w:pPr>
      <w:r>
        <w:rPr>
          <w:i w:val="0"/>
          <w:color w:val="1F3A5F"/>
          <w:sz w:val="23"/>
        </w:rPr>
        <w:t xml:space="preserve">Art. 782</w:t>
      </w:r>
    </w:p>
    <w:p>
      <w:pPr>
        <w:pStyle w:val="FirstParagraph"/>
        <w:spacing w:after="80"/>
        <w:jc w:val="both"/>
      </w:pPr>
      <w:r>
        <w:rPr>
          <w:b/>
          <w:bCs/>
        </w:rPr>
        <w:t xml:space="preserve">Art. 782.</w:t>
      </w:r>
      <w:r>
        <w:t xml:space="preserve"> </w:t>
      </w:r>
      <w:r>
        <w:t xml:space="preserve">Não dispondo a lei de modo diverso, o juiz determinará os atos executivos, e o oficial de justiça os cumprirá.</w:t>
      </w:r>
    </w:p>
    <w:p>
      <w:pPr>
        <w:pStyle w:val="BodyText"/>
        <w:spacing w:after="80"/>
        <w:jc w:val="both"/>
      </w:pPr>
      <w:r>
        <w:t xml:space="preserve">§ 1º O oficial de justiça poderá cumprir os atos executivos determinados pelo juiz também nas comarcas contíguas, de fácil comunicação, e nas que se situem na mesma região metropolitana.</w:t>
      </w:r>
    </w:p>
    <w:p>
      <w:pPr>
        <w:pStyle w:val="BodyText"/>
        <w:spacing w:after="80"/>
        <w:jc w:val="both"/>
      </w:pPr>
      <w:r>
        <w:t xml:space="preserve">§ 2º Sempre que, para efetivar a execução, for necessário o emprego de força policial, o juiz a requisitará.</w:t>
      </w:r>
    </w:p>
    <w:p>
      <w:pPr>
        <w:pStyle w:val="BodyText"/>
        <w:spacing w:after="80"/>
        <w:jc w:val="both"/>
      </w:pPr>
      <w:r>
        <w:t xml:space="preserve">§ 3º A requerimento da parte, o juiz pode determinar a inclusão do nome do executado em cadastros de inadimplentes.</w:t>
      </w:r>
    </w:p>
    <w:p>
      <w:pPr>
        <w:pStyle w:val="BodyText"/>
        <w:spacing w:after="80"/>
        <w:jc w:val="both"/>
      </w:pPr>
      <w:r>
        <w:t xml:space="preserve">§ 4º A inscrição será cancelada imediatamente se for efetuado o pagamento, se for garantida a execução ou se a execução for extinta por qualquer outro motivo.</w:t>
      </w:r>
    </w:p>
    <w:p>
      <w:pPr>
        <w:pStyle w:val="BodyText"/>
        <w:spacing w:after="80"/>
        <w:jc w:val="both"/>
      </w:pPr>
      <w:r>
        <w:t xml:space="preserve">§ 5º O disposto nos §§ 3º e 4º aplica-se à execução definitiva de título judicial.</w:t>
      </w:r>
    </w:p>
    <w:bookmarkEnd w:id="576"/>
    <w:bookmarkEnd w:id="577"/>
    <w:bookmarkStart w:id="586" w:name="Xc67ee4f237d9841df9df9d7b80105a77c2bc40c"/>
    <w:p>
      <w:pPr>
        <w:pStyle w:val="Heading4"/>
        <w:spacing w:before="160" w:after="40"/>
      </w:pPr>
      <w:r>
        <w:rPr>
          <w:smallCaps/>
          <w:color w:val="2E75B6"/>
        </w:rPr>
        <w:t xml:space="preserve">Capítulo IV: dos requisitos necessários para realizar qualquer execução (arts. 783 a 788)</w:t>
      </w:r>
    </w:p>
    <w:bookmarkStart w:id="581" w:name="X7cca6cdb53ab964828760f00ab5792e95a7c3f8"/>
    <w:p>
      <w:pPr>
        <w:pStyle w:val="Heading5"/>
        <w:spacing w:before="140" w:after="20"/>
      </w:pPr>
      <w:r>
        <w:rPr>
          <w:i/>
          <w:color w:val="595959"/>
        </w:rPr>
        <w:t xml:space="preserve">Seção I: do título executivo (arts. 783 a 785)</w:t>
      </w:r>
    </w:p>
    <w:bookmarkStart w:id="578" w:name="art.-783"/>
    <w:p>
      <w:pPr>
        <w:pStyle w:val="Heading6"/>
        <w:pBdr>
          <w:left w:val="single" w:sz="36" w:space="4" w:color="2E75B6"/>
        </w:pBdr>
        <w:shd w:val="clear" w:color="auto" w:fill="E3EEF9"/>
        <w:spacing w:before="200" w:after="80"/>
        <w:ind w:left="85"/>
      </w:pPr>
      <w:r>
        <w:rPr>
          <w:i w:val="0"/>
          <w:color w:val="1F3A5F"/>
          <w:sz w:val="23"/>
        </w:rPr>
        <w:t xml:space="preserve">Art. 783</w:t>
      </w:r>
    </w:p>
    <w:p>
      <w:pPr>
        <w:pStyle w:val="FirstParagraph"/>
        <w:keepNext/>
        <w:spacing w:after="80"/>
        <w:jc w:val="both"/>
      </w:pPr>
      <w:r>
        <w:rPr>
          <w:b/>
          <w:bCs/>
        </w:rPr>
        <w:t xml:space="preserve">Art. 783.</w:t>
      </w:r>
      <w:r>
        <w:t xml:space="preserve"> </w:t>
      </w:r>
      <w:r>
        <w:t xml:space="preserve">A execução para cobrança de crédito fundar-se-á sempre em título de obrigação certa, líquida e exigível.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3176"/>
        <w:gridCol w:w="4648"/>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17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648"/>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Caput — liquidez do título</w:t>
            </w:r>
          </w:p>
        </w:tc>
        <w:tc>
          <w:tcPr>
            <w:tcW w:type="dxa" w:w="3176"/>
          </w:tcPr>
          <w:p>
            <w:pPr>
              <w:pStyle w:val="Compact"/>
              <w:spacing w:line="276" w:lineRule="auto" w:before="40" w:after="40"/>
            </w:pPr>
            <w:r>
              <w:rPr>
                <w:rFonts w:ascii="Liberation Sans Narrow" w:hAnsi="Liberation Sans Narrow"/>
                <w:sz w:val="18"/>
              </w:rPr>
              <w:t xml:space="preserve">STJ, REsp 2.225.590, Terceira Turma, relator Min. Humberto Martins, julgado em 12/08/2026, DJEN de 17/08/2026</w:t>
            </w:r>
          </w:p>
        </w:tc>
        <w:tc>
          <w:tcPr>
            <w:tcW w:type="dxa" w:w="4648"/>
          </w:tcPr>
          <w:p>
            <w:pPr>
              <w:pStyle w:val="Compact"/>
              <w:spacing w:line="276" w:lineRule="auto" w:before="40" w:after="40"/>
            </w:pPr>
            <w:r>
              <w:rPr>
                <w:rFonts w:ascii="Liberation Sans Narrow" w:hAnsi="Liberation Sans Narrow"/>
                <w:sz w:val="18"/>
              </w:rPr>
              <w:t xml:space="preserve">A execução exige obrigação certa, líquida e exigível (art. 783); a escritura pública de abertura de linha de crédito que não fixa valor nem vencimento, dependendo de dilação probatória para apurar o quantum, carece da liquidez necessária ao rito executivo, e as notas fiscais que a acompanham não suprem o vício.</w:t>
            </w:r>
          </w:p>
        </w:tc>
      </w:tr>
      <w:tr>
        <w:trPr>
          <w:cantSplit/>
        </w:trPr>
        <w:tc>
          <w:tcPr>
            <w:tcW w:type="dxa" w:w="1531"/>
          </w:tcPr>
          <w:p>
            <w:pPr>
              <w:pStyle w:val="Compact"/>
              <w:spacing w:line="276" w:lineRule="auto" w:before="40" w:after="40"/>
            </w:pPr>
            <w:r>
              <w:rPr>
                <w:rFonts w:ascii="Liberation Sans Narrow" w:hAnsi="Liberation Sans Narrow"/>
                <w:sz w:val="18"/>
              </w:rPr>
              <w:t xml:space="preserve">Caput — cédula de crédito bancário</w:t>
            </w:r>
          </w:p>
        </w:tc>
        <w:tc>
          <w:tcPr>
            <w:tcW w:type="dxa" w:w="3176"/>
          </w:tcPr>
          <w:p>
            <w:pPr>
              <w:pStyle w:val="Compact"/>
              <w:spacing w:line="276" w:lineRule="auto" w:before="40" w:after="40"/>
            </w:pPr>
            <w:r>
              <w:rPr>
                <w:rFonts w:ascii="Liberation Sans Narrow" w:hAnsi="Liberation Sans Narrow"/>
                <w:sz w:val="18"/>
              </w:rPr>
              <w:t xml:space="preserve">STJ, AgInt no AREsp 1.746.039, Quarta Turma, relator Min. Raul Araújo, julgado em 19/04/2021, DJe de 24/05/2021</w:t>
            </w:r>
          </w:p>
        </w:tc>
        <w:tc>
          <w:tcPr>
            <w:tcW w:type="dxa" w:w="4648"/>
          </w:tcPr>
          <w:p>
            <w:pPr>
              <w:pStyle w:val="Compact"/>
              <w:spacing w:line="276" w:lineRule="auto" w:before="40" w:after="40"/>
            </w:pPr>
            <w:r>
              <w:rPr>
                <w:rFonts w:ascii="Liberation Sans Narrow" w:hAnsi="Liberation Sans Narrow"/>
                <w:sz w:val="18"/>
              </w:rPr>
              <w:t xml:space="preserve">A cédula de crédito bancário, ainda que o valor nela expresso decorra de saldo de contrato de abertura de crédito em conta corrente, é título executivo e exprime obrigação líquida e certa.</w:t>
            </w:r>
          </w:p>
        </w:tc>
      </w:tr>
    </w:tbl>
    <w:bookmarkEnd w:id="578"/>
    <w:bookmarkStart w:id="579" w:name="art.-784"/>
    <w:p>
      <w:pPr>
        <w:pStyle w:val="Heading6"/>
        <w:pBdr>
          <w:left w:val="single" w:sz="36" w:space="4" w:color="2E75B6"/>
        </w:pBdr>
        <w:shd w:val="clear" w:color="auto" w:fill="E3EEF9"/>
        <w:spacing w:before="200" w:after="80"/>
        <w:ind w:left="85"/>
      </w:pPr>
      <w:r>
        <w:rPr>
          <w:i w:val="0"/>
          <w:color w:val="1F3A5F"/>
          <w:sz w:val="23"/>
        </w:rPr>
        <w:t xml:space="preserve">Art. 784</w:t>
      </w:r>
    </w:p>
    <w:p>
      <w:pPr>
        <w:pStyle w:val="FirstParagraph"/>
        <w:spacing w:after="80"/>
        <w:jc w:val="both"/>
      </w:pPr>
      <w:r>
        <w:rPr>
          <w:b/>
          <w:bCs/>
        </w:rPr>
        <w:t xml:space="preserve">Art. 784.</w:t>
      </w:r>
      <w:r>
        <w:t xml:space="preserve"> </w:t>
      </w:r>
      <w:r>
        <w:t xml:space="preserve">São títulos executivos extrajudiciais:</w:t>
      </w:r>
    </w:p>
    <w:p>
      <w:pPr>
        <w:pStyle w:val="BodyText"/>
        <w:spacing w:after="80"/>
        <w:jc w:val="both"/>
      </w:pPr>
      <w:r>
        <w:t xml:space="preserve">I - a letra de câmbio, a nota promissória, a duplicata, a debênture e o cheque;</w:t>
      </w:r>
    </w:p>
    <w:p>
      <w:pPr>
        <w:pStyle w:val="BodyText"/>
        <w:spacing w:after="80"/>
        <w:jc w:val="both"/>
      </w:pPr>
      <w:r>
        <w:t xml:space="preserve">II - a escritura pública ou outro documento público assinado pelo devedor;</w:t>
      </w:r>
    </w:p>
    <w:p>
      <w:pPr>
        <w:pStyle w:val="BodyText"/>
        <w:spacing w:after="80"/>
        <w:jc w:val="both"/>
      </w:pPr>
      <w:r>
        <w:t xml:space="preserve">III - o documento particular assinado pelo devedor e por 2 (duas) testemunhas;</w:t>
      </w:r>
    </w:p>
    <w:p>
      <w:pPr>
        <w:pStyle w:val="BodyText"/>
        <w:spacing w:after="80"/>
        <w:jc w:val="both"/>
      </w:pPr>
      <w:r>
        <w:t xml:space="preserve">IV - o instrumento de transação referendado pelo Ministério Público, pela Defensoria Pública, pela Advocacia Pública, pelos advogados dos transatores ou por conciliador ou mediador credenciado por tribunal;</w:t>
      </w:r>
    </w:p>
    <w:p>
      <w:pPr>
        <w:pStyle w:val="BodyText"/>
        <w:spacing w:after="80"/>
        <w:jc w:val="both"/>
      </w:pPr>
      <w:r>
        <w:t xml:space="preserve">V - o contrato garantido por hipoteca, penhor, anticrese ou outro direito real de garantia e aquele garantido por caução;</w:t>
      </w:r>
    </w:p>
    <w:p>
      <w:pPr>
        <w:pStyle w:val="BodyText"/>
        <w:spacing w:after="80"/>
        <w:jc w:val="both"/>
      </w:pPr>
      <w:r>
        <w:t xml:space="preserve">VI - o contrato de seguro de vida em caso de morte;</w:t>
      </w:r>
    </w:p>
    <w:p>
      <w:pPr>
        <w:pStyle w:val="BodyText"/>
        <w:spacing w:after="80"/>
        <w:jc w:val="both"/>
      </w:pPr>
      <w:r>
        <w:t xml:space="preserve">VII - o crédito decorrente de foro e laudêmio;</w:t>
      </w:r>
    </w:p>
    <w:p>
      <w:pPr>
        <w:pStyle w:val="BodyText"/>
        <w:spacing w:after="80"/>
        <w:jc w:val="both"/>
      </w:pPr>
      <w:r>
        <w:t xml:space="preserve">VIII - o crédito, documentalmente comprovado, decorrente de aluguel de imóvel, bem como de encargos acessórios, tais como taxas e despesas de condomínio;</w:t>
      </w:r>
    </w:p>
    <w:p>
      <w:pPr>
        <w:pStyle w:val="BodyText"/>
        <w:spacing w:after="80"/>
        <w:jc w:val="both"/>
      </w:pPr>
      <w:r>
        <w:t xml:space="preserve">IX - a certidão de dívida ativa da Fazenda Pública da União, dos Estados, do Distrito Federal e dos Municípios, correspondente aos créditos inscritos na forma da lei;</w:t>
      </w:r>
    </w:p>
    <w:p>
      <w:pPr>
        <w:pStyle w:val="BodyText"/>
        <w:spacing w:after="80"/>
        <w:jc w:val="both"/>
      </w:pPr>
      <w:r>
        <w:t xml:space="preserve">X - o crédito referente às contribuições ordinárias ou extraordinárias de condomínio edilício, previstas na respectiva convenção ou aprovadas em assembleia geral, desde que documentalmente comprovadas;</w:t>
      </w:r>
    </w:p>
    <w:p>
      <w:pPr>
        <w:pStyle w:val="BodyText"/>
        <w:spacing w:after="80"/>
        <w:jc w:val="both"/>
      </w:pPr>
      <w:r>
        <w:t xml:space="preserve">XI - a certidão expedida por serventia notarial ou de registro relativa a valores de emolumentos e demais despesas devidas pelos atos por ela praticados, fixados nas tabelas estabelecidas em lei;</w:t>
      </w:r>
    </w:p>
    <w:p>
      <w:pPr>
        <w:pStyle w:val="BodyText"/>
        <w:spacing w:after="80"/>
        <w:jc w:val="both"/>
      </w:pPr>
      <w:r>
        <w:t xml:space="preserve">XI-A - o contrato de contragarantia ou qualquer outro instrumento que materialize o direito de ressarcimento da seguradora contra tomadores de seguro-garantia e seus garantidores; (Incluído pela Lei nº 14.711, de 2023)</w:t>
      </w:r>
    </w:p>
    <w:p>
      <w:pPr>
        <w:pStyle w:val="BodyText"/>
        <w:keepNext/>
        <w:spacing w:after="80"/>
        <w:jc w:val="both"/>
      </w:pPr>
      <w:r>
        <w:t xml:space="preserve">XII - todos os demais títulos aos quais, por disposição expressa, a lei atribuir força executiva.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27"/>
        <w:gridCol w:w="2541"/>
        <w:gridCol w:w="4886"/>
      </w:tblGrid>
      <w:tr>
        <w:trPr>
          <w:tblHeader w:val="on"/>
          <w:cantSplit/>
          <w:tblHeader/>
        </w:trPr>
        <w:tc>
          <w:tcPr>
            <w:tcW w:type="dxa" w:w="1927"/>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4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8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27"/>
          </w:tcPr>
          <w:p>
            <w:pPr>
              <w:pStyle w:val="Compact"/>
              <w:spacing w:line="276" w:lineRule="auto" w:before="40" w:after="40"/>
            </w:pPr>
            <w:r>
              <w:rPr>
                <w:rFonts w:ascii="Liberation Sans Narrow" w:hAnsi="Liberation Sans Narrow"/>
                <w:sz w:val="18"/>
              </w:rPr>
              <w:t xml:space="preserve">Caput e inciso XII — títulos com força executiva por lei especial</w:t>
            </w:r>
          </w:p>
        </w:tc>
        <w:tc>
          <w:tcPr>
            <w:tcW w:type="dxa" w:w="2541"/>
          </w:tcPr>
          <w:p>
            <w:pPr>
              <w:pStyle w:val="Compact"/>
              <w:spacing w:line="276" w:lineRule="auto" w:before="40" w:after="40"/>
            </w:pPr>
            <w:r>
              <w:rPr>
                <w:rFonts w:ascii="Liberation Sans Narrow" w:hAnsi="Liberation Sans Narrow"/>
                <w:sz w:val="18"/>
              </w:rPr>
              <w:t xml:space="preserve">STJ, AgInt no AREsp 2.720.239, Quarta Turma, relator Min. João Otávio de Noronha, DJe de 22/12/2025</w:t>
            </w:r>
          </w:p>
        </w:tc>
        <w:tc>
          <w:tcPr>
            <w:tcW w:type="dxa" w:w="4886"/>
          </w:tcPr>
          <w:p>
            <w:pPr>
              <w:pStyle w:val="Compact"/>
              <w:spacing w:line="276" w:lineRule="auto" w:before="40" w:after="40"/>
            </w:pPr>
            <w:r>
              <w:rPr>
                <w:rFonts w:ascii="Liberation Sans Narrow" w:hAnsi="Liberation Sans Narrow"/>
                <w:sz w:val="18"/>
              </w:rPr>
              <w:t xml:space="preserve">O contrato de seguro saúde tem força executiva com fundamento no art. 784, XII, e no art. 27 do Decreto-Lei n. 73/1966; a apólice assinada, acompanhada de boletos, faturas e demonstrativo do débito, satisfaz os requisitos de certeza, liquidez e exigibilidade.</w:t>
            </w:r>
          </w:p>
        </w:tc>
      </w:tr>
    </w:tbl>
    <w:p>
      <w:pPr>
        <w:pStyle w:val="BodyText"/>
        <w:spacing w:after="80"/>
        <w:jc w:val="both"/>
      </w:pPr>
      <w:r>
        <w:t xml:space="preserve">§ 1º A propositura de qualquer ação relativa a débito constante de título executivo não inibe o credor de promover-lhe a execução.</w:t>
      </w:r>
    </w:p>
    <w:p>
      <w:pPr>
        <w:pStyle w:val="BodyText"/>
        <w:spacing w:after="80"/>
        <w:jc w:val="both"/>
      </w:pPr>
      <w:r>
        <w:t xml:space="preserve">§ 2º Os títulos executivos extrajudiciais oriundos de país estrangeiro não dependem de homologação para serem executados.</w:t>
      </w:r>
    </w:p>
    <w:p>
      <w:pPr>
        <w:pStyle w:val="BodyText"/>
        <w:spacing w:after="80"/>
        <w:jc w:val="both"/>
      </w:pPr>
      <w:r>
        <w:t xml:space="preserve">§ 3º O título estrangeiro só terá eficácia executiva quando satisfeitos os requisitos de formação exigidos pela lei do lugar de sua celebração e quando o Brasil for indicado como o lugar de cumprimento da obrigação.</w:t>
      </w:r>
    </w:p>
    <w:p>
      <w:pPr>
        <w:pStyle w:val="BodyText"/>
        <w:keepNext/>
        <w:spacing w:after="80"/>
        <w:jc w:val="both"/>
      </w:pPr>
      <w:r>
        <w:t xml:space="preserve">§ 4º Nos títulos executivos constituídos ou atestados por meio eletrônico, é admitida qualquer modalidade de assinatura eletrônica prevista em lei, dispensada a assinatura de testemunhas quando sua integridade for conferida por provedor de assinatura. (Incluído pela Lei nº 14.620, de 2023)</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2583"/>
        <w:gridCol w:w="524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8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24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 4º — assinatura eletrônica do título</w:t>
            </w:r>
          </w:p>
        </w:tc>
        <w:tc>
          <w:tcPr>
            <w:tcW w:type="dxa" w:w="2583"/>
          </w:tcPr>
          <w:p>
            <w:pPr>
              <w:pStyle w:val="Compact"/>
              <w:spacing w:line="276" w:lineRule="auto" w:before="40" w:after="40"/>
            </w:pPr>
            <w:r>
              <w:rPr>
                <w:rFonts w:ascii="Liberation Sans Narrow" w:hAnsi="Liberation Sans Narrow"/>
                <w:sz w:val="18"/>
              </w:rPr>
              <w:t xml:space="preserve">STJ, REsp 2.041.272, Quarta Turma, relator Min. João Otávio de Noronha, julgado em 22/06/2026</w:t>
            </w:r>
          </w:p>
        </w:tc>
        <w:tc>
          <w:tcPr>
            <w:tcW w:type="dxa" w:w="5241"/>
          </w:tcPr>
          <w:p>
            <w:pPr>
              <w:pStyle w:val="Compact"/>
              <w:spacing w:line="276" w:lineRule="auto" w:before="40" w:after="40"/>
            </w:pPr>
            <w:r>
              <w:rPr>
                <w:rFonts w:ascii="Liberation Sans Narrow" w:hAnsi="Liberation Sans Narrow"/>
                <w:sz w:val="18"/>
              </w:rPr>
              <w:t xml:space="preserve">A Lei 14.620/2023 incluiu o § 4º do art. 784 e passou a admitir qualquer modalidade de assinatura eletrônica na constituição de títulos executivos extrajudiciais, desde que assegurada a integridade pela entidade provedora; a assinatura por entidade não credenciada ao ICP-Brasil é válida quando aceita pelas partes e dotada de mecanismos confiáveis de autenticação.</w:t>
            </w:r>
          </w:p>
        </w:tc>
      </w:tr>
    </w:tbl>
    <w:bookmarkEnd w:id="579"/>
    <w:bookmarkStart w:id="580" w:name="art.-785"/>
    <w:p>
      <w:pPr>
        <w:pStyle w:val="Heading6"/>
        <w:pBdr>
          <w:left w:val="single" w:sz="36" w:space="4" w:color="2E75B6"/>
        </w:pBdr>
        <w:shd w:val="clear" w:color="auto" w:fill="E3EEF9"/>
        <w:spacing w:before="200" w:after="80"/>
        <w:ind w:left="85"/>
      </w:pPr>
      <w:r>
        <w:rPr>
          <w:i w:val="0"/>
          <w:color w:val="1F3A5F"/>
          <w:sz w:val="23"/>
        </w:rPr>
        <w:t xml:space="preserve">Art. 785</w:t>
      </w:r>
    </w:p>
    <w:p>
      <w:pPr>
        <w:pStyle w:val="FirstParagraph"/>
        <w:spacing w:after="80"/>
        <w:jc w:val="both"/>
      </w:pPr>
      <w:r>
        <w:rPr>
          <w:b/>
          <w:bCs/>
        </w:rPr>
        <w:t xml:space="preserve">Art. 785.</w:t>
      </w:r>
      <w:r>
        <w:t xml:space="preserve"> </w:t>
      </w:r>
      <w:r>
        <w:t xml:space="preserve">A existência de título executivo extrajudicial não impede a parte de optar pelo processo de conhecimento, a fim de obter título executivo judicial.</w:t>
      </w:r>
    </w:p>
    <w:bookmarkEnd w:id="580"/>
    <w:bookmarkEnd w:id="581"/>
    <w:bookmarkStart w:id="585" w:name="Xa4c85d95185166a78546e466911ab3bdccf4ab8"/>
    <w:p>
      <w:pPr>
        <w:pStyle w:val="Heading5"/>
        <w:spacing w:before="140" w:after="20"/>
      </w:pPr>
      <w:r>
        <w:rPr>
          <w:i/>
          <w:color w:val="595959"/>
        </w:rPr>
        <w:t xml:space="preserve">Seção II: da exigibilidade da obrigação (arts. 786 a 788)</w:t>
      </w:r>
    </w:p>
    <w:bookmarkStart w:id="582" w:name="art.-786"/>
    <w:p>
      <w:pPr>
        <w:pStyle w:val="Heading6"/>
        <w:pBdr>
          <w:left w:val="single" w:sz="36" w:space="4" w:color="2E75B6"/>
        </w:pBdr>
        <w:shd w:val="clear" w:color="auto" w:fill="E3EEF9"/>
        <w:spacing w:before="200" w:after="80"/>
        <w:ind w:left="85"/>
      </w:pPr>
      <w:r>
        <w:rPr>
          <w:i w:val="0"/>
          <w:color w:val="1F3A5F"/>
          <w:sz w:val="23"/>
        </w:rPr>
        <w:t xml:space="preserve">Art. 786</w:t>
      </w:r>
    </w:p>
    <w:p>
      <w:pPr>
        <w:pStyle w:val="FirstParagraph"/>
        <w:spacing w:after="80"/>
        <w:jc w:val="both"/>
      </w:pPr>
      <w:r>
        <w:rPr>
          <w:b/>
          <w:bCs/>
        </w:rPr>
        <w:t xml:space="preserve">Art. 786.</w:t>
      </w:r>
      <w:r>
        <w:t xml:space="preserve"> </w:t>
      </w:r>
      <w:r>
        <w:t xml:space="preserve">A execução pode ser instaurada caso o devedor não satisfaça a obrigação certa, líquida e exigível consubstanciada em título executivo.</w:t>
      </w:r>
    </w:p>
    <w:p>
      <w:pPr>
        <w:pStyle w:val="BodyText"/>
        <w:keepNext/>
        <w:spacing w:after="80"/>
        <w:jc w:val="both"/>
      </w:pPr>
      <w:r>
        <w:t xml:space="preserve">Parágrafo único. A necessidade de simples operações aritméticas para apurar o crédito exequendo não retira a liquidez da obrigação constante do título.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27"/>
        <w:gridCol w:w="2961"/>
        <w:gridCol w:w="4665"/>
      </w:tblGrid>
      <w:tr>
        <w:trPr>
          <w:tblHeader w:val="on"/>
          <w:cantSplit/>
          <w:tblHeader/>
        </w:trPr>
        <w:tc>
          <w:tcPr>
            <w:tcW w:type="dxa" w:w="1728"/>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96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66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728"/>
          </w:tcPr>
          <w:p>
            <w:pPr>
              <w:pStyle w:val="Compact"/>
              <w:spacing w:line="276" w:lineRule="auto" w:before="40" w:after="40"/>
            </w:pPr>
            <w:r>
              <w:rPr>
                <w:rFonts w:ascii="Liberation Sans Narrow" w:hAnsi="Liberation Sans Narrow"/>
                <w:sz w:val="18"/>
              </w:rPr>
              <w:t xml:space="preserve">Parágrafo único — liquidez e operações aritméticas</w:t>
            </w:r>
          </w:p>
        </w:tc>
        <w:tc>
          <w:tcPr>
            <w:tcW w:type="dxa" w:w="2962"/>
          </w:tcPr>
          <w:p>
            <w:pPr>
              <w:pStyle w:val="Compact"/>
              <w:spacing w:line="276" w:lineRule="auto" w:before="40" w:after="40"/>
            </w:pPr>
            <w:r>
              <w:rPr>
                <w:rFonts w:ascii="Liberation Sans Narrow" w:hAnsi="Liberation Sans Narrow"/>
                <w:sz w:val="18"/>
              </w:rPr>
              <w:t xml:space="preserve">STJ, AgInt no AREsp 3.076.915, Quarta Turma, relatora Min. Maria Isabel Gallotti, julgado em 08/06/2026</w:t>
            </w:r>
          </w:p>
        </w:tc>
        <w:tc>
          <w:tcPr>
            <w:tcW w:type="dxa" w:w="4665"/>
          </w:tcPr>
          <w:p>
            <w:pPr>
              <w:pStyle w:val="Compact"/>
              <w:spacing w:line="276" w:lineRule="auto" w:before="40" w:after="40"/>
            </w:pPr>
            <w:r>
              <w:rPr>
                <w:rFonts w:ascii="Liberation Sans Narrow" w:hAnsi="Liberation Sans Narrow"/>
                <w:sz w:val="18"/>
              </w:rPr>
              <w:t xml:space="preserve">A necessidade de simples operações aritméticas para apurar o crédito não afasta a liquidez da obrigação constante do título, nos termos do art. 786, parágrafo único, do Código de Processo Civil.</w:t>
            </w:r>
          </w:p>
        </w:tc>
      </w:tr>
      <w:tr>
        <w:trPr>
          <w:cantSplit/>
        </w:trPr>
        <w:tc>
          <w:tcPr>
            <w:tcW w:type="dxa" w:w="1728"/>
          </w:tcPr>
          <w:p>
            <w:pPr>
              <w:pStyle w:val="Compact"/>
              <w:spacing w:line="276" w:lineRule="auto" w:before="40" w:after="40"/>
            </w:pPr>
            <w:r>
              <w:rPr>
                <w:rFonts w:ascii="Liberation Sans Narrow" w:hAnsi="Liberation Sans Narrow"/>
                <w:sz w:val="18"/>
              </w:rPr>
              <w:t xml:space="preserve">Parágrafo único — liquidez e ação revisional</w:t>
            </w:r>
          </w:p>
        </w:tc>
        <w:tc>
          <w:tcPr>
            <w:tcW w:type="dxa" w:w="2962"/>
          </w:tcPr>
          <w:p>
            <w:pPr>
              <w:pStyle w:val="Compact"/>
              <w:spacing w:line="276" w:lineRule="auto" w:before="40" w:after="40"/>
            </w:pPr>
            <w:r>
              <w:rPr>
                <w:rFonts w:ascii="Liberation Sans Narrow" w:hAnsi="Liberation Sans Narrow"/>
                <w:sz w:val="18"/>
              </w:rPr>
              <w:t xml:space="preserve">STJ, AREsp 2.556.419, Quarta Turma, relator Min. João Otávio de Noronha, julgado em 09/03/2026</w:t>
            </w:r>
          </w:p>
        </w:tc>
        <w:tc>
          <w:tcPr>
            <w:tcW w:type="dxa" w:w="4665"/>
          </w:tcPr>
          <w:p>
            <w:pPr>
              <w:pStyle w:val="Compact"/>
              <w:spacing w:line="276" w:lineRule="auto" w:before="40" w:after="40"/>
            </w:pPr>
            <w:r>
              <w:rPr>
                <w:rFonts w:ascii="Liberation Sans Narrow" w:hAnsi="Liberation Sans Narrow"/>
                <w:sz w:val="18"/>
              </w:rPr>
              <w:t xml:space="preserve">O julgamento da ação revisional não retira a liquidez, certeza e exigibilidade do título executivo extrajudicial, impondo apenas a adequação do valor executado aos parâmetros ali fixados, por simples operações aritméticas, sem justificar a extinção da execução.</w:t>
            </w:r>
          </w:p>
        </w:tc>
      </w:tr>
    </w:tbl>
    <w:bookmarkEnd w:id="582"/>
    <w:bookmarkStart w:id="583" w:name="art.-787"/>
    <w:p>
      <w:pPr>
        <w:pStyle w:val="Heading6"/>
        <w:pBdr>
          <w:left w:val="single" w:sz="36" w:space="4" w:color="2E75B6"/>
        </w:pBdr>
        <w:shd w:val="clear" w:color="auto" w:fill="E3EEF9"/>
        <w:spacing w:before="200" w:after="80"/>
        <w:ind w:left="85"/>
      </w:pPr>
      <w:r>
        <w:rPr>
          <w:i w:val="0"/>
          <w:color w:val="1F3A5F"/>
          <w:sz w:val="23"/>
        </w:rPr>
        <w:t xml:space="preserve">Art. 787</w:t>
      </w:r>
    </w:p>
    <w:p>
      <w:pPr>
        <w:pStyle w:val="FirstParagraph"/>
        <w:spacing w:after="80"/>
        <w:jc w:val="both"/>
      </w:pPr>
      <w:r>
        <w:rPr>
          <w:b/>
          <w:bCs/>
        </w:rPr>
        <w:t xml:space="preserve">Art. 787.</w:t>
      </w:r>
      <w:r>
        <w:t xml:space="preserve"> </w:t>
      </w:r>
      <w:r>
        <w:t xml:space="preserve">Se o devedor não for obrigado a satisfazer sua prestação senão mediante a contraprestação do credor, este deverá provar que a adimpliu ao requerer a execução, sob pena de extinção do processo.</w:t>
      </w:r>
    </w:p>
    <w:p>
      <w:pPr>
        <w:pStyle w:val="BodyText"/>
        <w:spacing w:after="80"/>
        <w:jc w:val="both"/>
      </w:pPr>
      <w:r>
        <w:t xml:space="preserve">Parágrafo único. O executado poderá eximir-se da obrigação, depositando em juízo a prestação ou a coisa, caso em que o juiz não permitirá que o credor a receba sem cumprir a contraprestação que lhe tocar.</w:t>
      </w:r>
    </w:p>
    <w:bookmarkEnd w:id="583"/>
    <w:bookmarkStart w:id="584" w:name="art.-788"/>
    <w:p>
      <w:pPr>
        <w:pStyle w:val="Heading6"/>
        <w:pBdr>
          <w:left w:val="single" w:sz="36" w:space="4" w:color="2E75B6"/>
        </w:pBdr>
        <w:shd w:val="clear" w:color="auto" w:fill="E3EEF9"/>
        <w:spacing w:before="200" w:after="80"/>
        <w:ind w:left="85"/>
      </w:pPr>
      <w:r>
        <w:rPr>
          <w:i w:val="0"/>
          <w:color w:val="1F3A5F"/>
          <w:sz w:val="23"/>
        </w:rPr>
        <w:t xml:space="preserve">Art. 788</w:t>
      </w:r>
    </w:p>
    <w:p>
      <w:pPr>
        <w:pStyle w:val="FirstParagraph"/>
        <w:spacing w:after="80"/>
        <w:jc w:val="both"/>
      </w:pPr>
      <w:r>
        <w:rPr>
          <w:b/>
          <w:bCs/>
        </w:rPr>
        <w:t xml:space="preserve">Art. 788.</w:t>
      </w:r>
      <w:r>
        <w:t xml:space="preserve"> </w:t>
      </w:r>
      <w:r>
        <w:t xml:space="preserve">O credor não poderá iniciar a execução ou nela prosseguir se o devedor cumprir a obrigação, mas poderá recusar o recebimento da prestação se ela não corresponder ao direito ou à obrigação estabelecidos no título executivo, caso em que poderá requerer a execução forçada, ressalvado ao devedor o direito de embargá-la.</w:t>
      </w:r>
    </w:p>
    <w:bookmarkEnd w:id="584"/>
    <w:bookmarkEnd w:id="585"/>
    <w:bookmarkEnd w:id="586"/>
    <w:bookmarkStart w:id="595" w:name="X3ba6599b196dd98a2ac281b4138ecd2ffe6bbdf"/>
    <w:p>
      <w:pPr>
        <w:pStyle w:val="Heading4"/>
        <w:spacing w:before="160" w:after="40"/>
      </w:pPr>
      <w:r>
        <w:rPr>
          <w:smallCaps/>
          <w:color w:val="2E75B6"/>
        </w:rPr>
        <w:t xml:space="preserve">Capítulo V: da responsabilidade patrimonial (arts. 789 a 796)</w:t>
      </w:r>
    </w:p>
    <w:bookmarkStart w:id="587" w:name="art.-789"/>
    <w:p>
      <w:pPr>
        <w:pStyle w:val="Heading6"/>
        <w:pBdr>
          <w:left w:val="single" w:sz="36" w:space="4" w:color="2E75B6"/>
        </w:pBdr>
        <w:shd w:val="clear" w:color="auto" w:fill="E3EEF9"/>
        <w:spacing w:before="200" w:after="80"/>
        <w:ind w:left="85"/>
      </w:pPr>
      <w:r>
        <w:rPr>
          <w:i w:val="0"/>
          <w:color w:val="1F3A5F"/>
          <w:sz w:val="23"/>
        </w:rPr>
        <w:t xml:space="preserve">Art. 789</w:t>
      </w:r>
    </w:p>
    <w:p>
      <w:pPr>
        <w:pStyle w:val="FirstParagraph"/>
        <w:keepNext/>
        <w:spacing w:after="80"/>
        <w:jc w:val="both"/>
      </w:pPr>
      <w:r>
        <w:rPr>
          <w:b/>
          <w:bCs/>
        </w:rPr>
        <w:t xml:space="preserve">Art. 789.</w:t>
      </w:r>
      <w:r>
        <w:t xml:space="preserve"> </w:t>
      </w:r>
      <w:r>
        <w:t xml:space="preserve">O devedor responde com todos os seus bens presentes e futuros para o cumprimento de suas obrigações, salvo as restrições estabelecidas em lei.</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79"/>
        <w:gridCol w:w="2791"/>
        <w:gridCol w:w="4284"/>
      </w:tblGrid>
      <w:tr>
        <w:trPr>
          <w:tblHeader w:val="on"/>
          <w:cantSplit/>
          <w:tblHeader/>
        </w:trPr>
        <w:tc>
          <w:tcPr>
            <w:tcW w:type="dxa" w:w="2279"/>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9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28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79"/>
          </w:tcPr>
          <w:p>
            <w:pPr>
              <w:pStyle w:val="Compact"/>
              <w:spacing w:line="276" w:lineRule="auto" w:before="40" w:after="40"/>
            </w:pPr>
            <w:r>
              <w:rPr>
                <w:rFonts w:ascii="Liberation Sans Narrow" w:hAnsi="Liberation Sans Narrow"/>
                <w:sz w:val="18"/>
              </w:rPr>
              <w:t xml:space="preserve">Caput — extensão da responsabilidade patrimonial</w:t>
            </w:r>
          </w:p>
        </w:tc>
        <w:tc>
          <w:tcPr>
            <w:tcW w:type="dxa" w:w="2791"/>
          </w:tcPr>
          <w:p>
            <w:pPr>
              <w:pStyle w:val="Compact"/>
              <w:spacing w:line="276" w:lineRule="auto" w:before="40" w:after="40"/>
            </w:pPr>
            <w:r>
              <w:rPr>
                <w:rFonts w:ascii="Liberation Sans Narrow" w:hAnsi="Liberation Sans Narrow"/>
                <w:sz w:val="18"/>
              </w:rPr>
              <w:t xml:space="preserve">STJ, REsp 2.190.438, Segunda Turma, relatora Min. Maria Thereza de Assis Moura, julgado em 13/05/2026</w:t>
            </w:r>
          </w:p>
        </w:tc>
        <w:tc>
          <w:tcPr>
            <w:tcW w:type="dxa" w:w="4284"/>
          </w:tcPr>
          <w:p>
            <w:pPr>
              <w:pStyle w:val="Compact"/>
              <w:spacing w:line="276" w:lineRule="auto" w:before="40" w:after="40"/>
            </w:pPr>
            <w:r>
              <w:rPr>
                <w:rFonts w:ascii="Liberation Sans Narrow" w:hAnsi="Liberation Sans Narrow"/>
                <w:sz w:val="18"/>
              </w:rPr>
              <w:t xml:space="preserve">A responsabilidade patrimonial limita-se aos bens que integram o patrimônio do devedor: ausente titularidade, ainda que parcial, do executado sobre o bem, inexiste fração penhorável e é indevida a constrição sobre patrimônio de terceiro estranho à execução.</w:t>
            </w:r>
          </w:p>
        </w:tc>
      </w:tr>
      <w:tr>
        <w:trPr>
          <w:cantSplit/>
        </w:trPr>
        <w:tc>
          <w:tcPr>
            <w:tcW w:type="dxa" w:w="2279"/>
          </w:tcPr>
          <w:p>
            <w:pPr>
              <w:pStyle w:val="Compact"/>
              <w:spacing w:line="276" w:lineRule="auto" w:before="40" w:after="40"/>
            </w:pPr>
            <w:r>
              <w:rPr>
                <w:rFonts w:ascii="Liberation Sans Narrow" w:hAnsi="Liberation Sans Narrow"/>
                <w:sz w:val="18"/>
              </w:rPr>
              <w:t xml:space="preserve">Caput — responsabilidade patrimonial</w:t>
            </w:r>
          </w:p>
        </w:tc>
        <w:tc>
          <w:tcPr>
            <w:tcW w:type="dxa" w:w="2791"/>
          </w:tcPr>
          <w:p>
            <w:pPr>
              <w:pStyle w:val="Compact"/>
              <w:spacing w:line="276" w:lineRule="auto" w:before="40" w:after="40"/>
            </w:pPr>
            <w:r>
              <w:rPr>
                <w:rFonts w:ascii="Liberation Sans Narrow" w:hAnsi="Liberation Sans Narrow"/>
                <w:sz w:val="18"/>
              </w:rPr>
              <w:t xml:space="preserve">STJ, REsp 2.197.058, Quarta Turma, relator Min. João Otávio de Noronha, julgado em 22/04/2026, DJEN de 27/04/2026</w:t>
            </w:r>
          </w:p>
        </w:tc>
        <w:tc>
          <w:tcPr>
            <w:tcW w:type="dxa" w:w="4284"/>
          </w:tcPr>
          <w:p>
            <w:pPr>
              <w:pStyle w:val="Compact"/>
              <w:spacing w:line="276" w:lineRule="auto" w:before="40" w:after="40"/>
            </w:pPr>
            <w:r>
              <w:rPr>
                <w:rFonts w:ascii="Liberation Sans Narrow" w:hAnsi="Liberation Sans Narrow"/>
                <w:sz w:val="18"/>
              </w:rPr>
              <w:t xml:space="preserve">É cabível a consulta ao Cadastro de Clientes do Sistema Financeiro Nacional (CCS-Bacen) para localizar relacionamentos financeiros do executado, quando frustradas as diligências patrimoniais, por ser medida adequada ao interesse do credor na execução.</w:t>
            </w:r>
          </w:p>
        </w:tc>
      </w:tr>
    </w:tbl>
    <w:bookmarkEnd w:id="587"/>
    <w:bookmarkStart w:id="588" w:name="art.-790"/>
    <w:p>
      <w:pPr>
        <w:pStyle w:val="Heading6"/>
        <w:pBdr>
          <w:left w:val="single" w:sz="36" w:space="4" w:color="2E75B6"/>
        </w:pBdr>
        <w:shd w:val="clear" w:color="auto" w:fill="E3EEF9"/>
        <w:spacing w:before="200" w:after="80"/>
        <w:ind w:left="85"/>
      </w:pPr>
      <w:r>
        <w:rPr>
          <w:i w:val="0"/>
          <w:color w:val="1F3A5F"/>
          <w:sz w:val="23"/>
        </w:rPr>
        <w:t xml:space="preserve">Art. 790</w:t>
      </w:r>
    </w:p>
    <w:p>
      <w:pPr>
        <w:pStyle w:val="FirstParagraph"/>
        <w:spacing w:after="80"/>
        <w:jc w:val="both"/>
      </w:pPr>
      <w:r>
        <w:rPr>
          <w:b/>
          <w:bCs/>
        </w:rPr>
        <w:t xml:space="preserve">Art. 790.</w:t>
      </w:r>
      <w:r>
        <w:t xml:space="preserve"> </w:t>
      </w:r>
      <w:r>
        <w:t xml:space="preserve">São sujeitos à execução os bens:</w:t>
      </w:r>
    </w:p>
    <w:p>
      <w:pPr>
        <w:pStyle w:val="BodyText"/>
        <w:spacing w:after="80"/>
        <w:jc w:val="both"/>
      </w:pPr>
      <w:r>
        <w:t xml:space="preserve">I - do sucessor a título singular, tratando-se de execução fundada em direito real ou obrigação reipersecutória;</w:t>
      </w:r>
    </w:p>
    <w:p>
      <w:pPr>
        <w:pStyle w:val="BodyText"/>
        <w:spacing w:after="80"/>
        <w:jc w:val="both"/>
      </w:pPr>
      <w:r>
        <w:t xml:space="preserve">II - do sócio, nos termos da lei;</w:t>
      </w:r>
    </w:p>
    <w:p>
      <w:pPr>
        <w:pStyle w:val="BodyText"/>
        <w:spacing w:after="80"/>
        <w:jc w:val="both"/>
      </w:pPr>
      <w:r>
        <w:t xml:space="preserve">III - do devedor, ainda que em poder de terceiros;</w:t>
      </w:r>
    </w:p>
    <w:p>
      <w:pPr>
        <w:pStyle w:val="BodyText"/>
        <w:spacing w:after="80"/>
        <w:jc w:val="both"/>
      </w:pPr>
      <w:r>
        <w:t xml:space="preserve">IV - do cônjuge ou companheiro, nos casos em que seus bens próprios ou de sua meação respondem pela dívida;</w:t>
      </w:r>
    </w:p>
    <w:p>
      <w:pPr>
        <w:pStyle w:val="BodyText"/>
        <w:spacing w:after="80"/>
        <w:jc w:val="both"/>
      </w:pPr>
      <w:r>
        <w:t xml:space="preserve">V - alienados ou gravados com ônus real em fraude à execução;</w:t>
      </w:r>
    </w:p>
    <w:p>
      <w:pPr>
        <w:pStyle w:val="BodyText"/>
        <w:spacing w:after="80"/>
        <w:jc w:val="both"/>
      </w:pPr>
      <w:r>
        <w:t xml:space="preserve">VI - cuja alienação ou gravação com ônus real tenha sido anulada em razão do reconhecimento, em ação autônoma, de fraude contra credores;</w:t>
      </w:r>
    </w:p>
    <w:p>
      <w:pPr>
        <w:pStyle w:val="BodyText"/>
        <w:keepNext/>
        <w:spacing w:after="80"/>
        <w:jc w:val="both"/>
      </w:pPr>
      <w:r>
        <w:t xml:space="preserve">VII - do responsável, nos casos de desconsideração da personalidade jurídica.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54"/>
        <w:gridCol w:w="2482"/>
        <w:gridCol w:w="4718"/>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48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18"/>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54"/>
          </w:tcPr>
          <w:p>
            <w:pPr>
              <w:pStyle w:val="Compact"/>
              <w:spacing w:line="276" w:lineRule="auto" w:before="40" w:after="40"/>
            </w:pPr>
            <w:r>
              <w:rPr>
                <w:rFonts w:ascii="Liberation Sans Narrow" w:hAnsi="Liberation Sans Narrow"/>
                <w:sz w:val="18"/>
              </w:rPr>
              <w:t xml:space="preserve">VII — bens do responsável por desconsideração</w:t>
            </w:r>
          </w:p>
        </w:tc>
        <w:tc>
          <w:tcPr>
            <w:tcW w:type="dxa" w:w="2482"/>
          </w:tcPr>
          <w:p>
            <w:pPr>
              <w:pStyle w:val="Compact"/>
              <w:spacing w:line="276" w:lineRule="auto" w:before="40" w:after="40"/>
            </w:pPr>
            <w:r>
              <w:rPr>
                <w:rFonts w:ascii="Liberation Sans Narrow" w:hAnsi="Liberation Sans Narrow"/>
                <w:sz w:val="18"/>
              </w:rPr>
              <w:t xml:space="preserve">STJ, AgInt no REsp 2.189.293, Terceira Turma, relator Min. Ricardo Villas Bôas Cueva, julgado em 30/06/2026</w:t>
            </w:r>
          </w:p>
        </w:tc>
        <w:tc>
          <w:tcPr>
            <w:tcW w:type="dxa" w:w="4718"/>
          </w:tcPr>
          <w:p>
            <w:pPr>
              <w:pStyle w:val="Compact"/>
              <w:spacing w:line="276" w:lineRule="auto" w:before="40" w:after="40"/>
            </w:pPr>
            <w:r>
              <w:rPr>
                <w:rFonts w:ascii="Liberation Sans Narrow" w:hAnsi="Liberation Sans Narrow"/>
                <w:sz w:val="18"/>
              </w:rPr>
              <w:t xml:space="preserve">A extinção das execuções contra a empresa recuperanda, resultante da aprovação do plano de recuperação judicial, não impede o prosseguimento daquelas que, no momento da aprovação do plano, voltavam-se contra o patrimônio pessoal dos sócios, chamados a responder pela dívida da sociedade por força da desconsideração da personalidade jurídica.</w:t>
            </w:r>
          </w:p>
        </w:tc>
      </w:tr>
    </w:tbl>
    <w:bookmarkEnd w:id="588"/>
    <w:bookmarkStart w:id="589" w:name="art.-791"/>
    <w:p>
      <w:pPr>
        <w:pStyle w:val="Heading6"/>
        <w:pBdr>
          <w:left w:val="single" w:sz="36" w:space="4" w:color="2E75B6"/>
        </w:pBdr>
        <w:shd w:val="clear" w:color="auto" w:fill="E3EEF9"/>
        <w:spacing w:before="200" w:after="80"/>
        <w:ind w:left="85"/>
      </w:pPr>
      <w:r>
        <w:rPr>
          <w:i w:val="0"/>
          <w:color w:val="1F3A5F"/>
          <w:sz w:val="23"/>
        </w:rPr>
        <w:t xml:space="preserve">Art. 791</w:t>
      </w:r>
    </w:p>
    <w:p>
      <w:pPr>
        <w:pStyle w:val="FirstParagraph"/>
        <w:spacing w:after="80"/>
        <w:jc w:val="both"/>
      </w:pPr>
      <w:r>
        <w:rPr>
          <w:b/>
          <w:bCs/>
        </w:rPr>
        <w:t xml:space="preserve">Art. 791.</w:t>
      </w:r>
      <w:r>
        <w:t xml:space="preserve"> </w:t>
      </w:r>
      <w:r>
        <w:t xml:space="preserve">Se a execução tiver por objeto obrigação de que seja sujeito passivo o proprietário de terreno submetido ao regime do direito de superfície, ou o superficiário, responderá pela dívida, exclusivamente, o direito real do qual é titular o executado, recaindo a penhora ou outros atos de constrição exclusivamente sobre o terreno, no primeiro caso, ou sobre a construção ou a plantação, no segundo caso.</w:t>
      </w:r>
    </w:p>
    <w:p>
      <w:pPr>
        <w:pStyle w:val="BodyText"/>
        <w:spacing w:after="80"/>
        <w:jc w:val="both"/>
      </w:pPr>
      <w:r>
        <w:t xml:space="preserve">§ 1º Os atos de constrição a que se refere o caput serão averbados separadamente na matrícula do imóvel, com a identificação do executado, do valor do crédito e do objeto sobre o qual recai o gravame, devendo o oficial destacar o bem que responde pela dívida, se o terreno, a construção ou a plantação, de modo a assegurar a publicidade da responsabilidade patrimonial de cada um deles pelas dívidas e pelas obrigações que a eles estão vinculadas.</w:t>
      </w:r>
    </w:p>
    <w:p>
      <w:pPr>
        <w:pStyle w:val="BodyText"/>
        <w:spacing w:after="80"/>
        <w:jc w:val="both"/>
      </w:pPr>
      <w:r>
        <w:t xml:space="preserve">§ 2º Aplica-se, no que couber, o disposto neste artigo à enfiteuse, à concessão de uso especial para fins de moradia e à concessão de direito real de uso.</w:t>
      </w:r>
    </w:p>
    <w:bookmarkEnd w:id="589"/>
    <w:bookmarkStart w:id="590" w:name="art.-792"/>
    <w:p>
      <w:pPr>
        <w:pStyle w:val="Heading6"/>
        <w:pBdr>
          <w:left w:val="single" w:sz="36" w:space="4" w:color="2E75B6"/>
        </w:pBdr>
        <w:shd w:val="clear" w:color="auto" w:fill="E3EEF9"/>
        <w:spacing w:before="200" w:after="80"/>
        <w:ind w:left="85"/>
      </w:pPr>
      <w:r>
        <w:rPr>
          <w:i w:val="0"/>
          <w:color w:val="1F3A5F"/>
          <w:sz w:val="23"/>
        </w:rPr>
        <w:t xml:space="preserve">Art. 792</w:t>
      </w:r>
    </w:p>
    <w:p>
      <w:pPr>
        <w:pStyle w:val="FirstParagraph"/>
        <w:keepNext/>
        <w:spacing w:after="80"/>
        <w:jc w:val="both"/>
      </w:pPr>
      <w:r>
        <w:rPr>
          <w:b/>
          <w:bCs/>
        </w:rPr>
        <w:t xml:space="preserve">Art. 792.</w:t>
      </w:r>
      <w:r>
        <w:t xml:space="preserve"> </w:t>
      </w:r>
      <w:r>
        <w:t xml:space="preserve">A alienação ou a oneração de bem é considerada fraude à execução: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31"/>
        <w:gridCol w:w="3545"/>
        <w:gridCol w:w="4078"/>
      </w:tblGrid>
      <w:tr>
        <w:trPr>
          <w:tblHeader w:val="on"/>
          <w:cantSplit/>
          <w:tblHeader/>
        </w:trPr>
        <w:tc>
          <w:tcPr>
            <w:tcW w:type="dxa" w:w="17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54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078"/>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731"/>
          </w:tcPr>
          <w:p>
            <w:pPr>
              <w:pStyle w:val="Compact"/>
              <w:spacing w:line="276" w:lineRule="auto" w:before="40" w:after="40"/>
            </w:pPr>
            <w:r>
              <w:rPr>
                <w:rFonts w:ascii="Liberation Sans Narrow" w:hAnsi="Liberation Sans Narrow"/>
                <w:sz w:val="18"/>
              </w:rPr>
              <w:t xml:space="preserve">Caput — fraude sem averbação da penhora</w:t>
            </w:r>
          </w:p>
        </w:tc>
        <w:tc>
          <w:tcPr>
            <w:tcW w:type="dxa" w:w="3545"/>
          </w:tcPr>
          <w:p>
            <w:pPr>
              <w:pStyle w:val="Compact"/>
              <w:spacing w:line="276" w:lineRule="auto" w:before="40" w:after="40"/>
            </w:pPr>
            <w:r>
              <w:rPr>
                <w:rFonts w:ascii="Liberation Sans Narrow" w:hAnsi="Liberation Sans Narrow"/>
                <w:sz w:val="18"/>
              </w:rPr>
              <w:t xml:space="preserve">STJ, REsp 2.199.430, Quarta Turma, relator Min. João Otávio de Noronha, julgado em 09/03/2026, DJEN de 12/03/2026</w:t>
            </w:r>
          </w:p>
        </w:tc>
        <w:tc>
          <w:tcPr>
            <w:tcW w:type="dxa" w:w="4078"/>
          </w:tcPr>
          <w:p>
            <w:pPr>
              <w:pStyle w:val="Compact"/>
              <w:spacing w:line="276" w:lineRule="auto" w:before="40" w:after="40"/>
            </w:pPr>
            <w:r>
              <w:rPr>
                <w:rFonts w:ascii="Liberation Sans Narrow" w:hAnsi="Liberation Sans Narrow"/>
                <w:sz w:val="18"/>
              </w:rPr>
              <w:t xml:space="preserve">Reconhece-se a fraude à execução, ainda que não averbada a penhora, quando demonstrada a má-fé do terceiro adquirente na aquisição do bem.</w:t>
            </w:r>
          </w:p>
        </w:tc>
      </w:tr>
    </w:tbl>
    <w:p>
      <w:pPr>
        <w:pStyle w:val="BodyText"/>
        <w:spacing w:after="80"/>
        <w:jc w:val="both"/>
      </w:pPr>
      <w:r>
        <w:t xml:space="preserve">I - quando sobre o bem pender ação fundada em direito real ou com pretensão reipersecutória, desde que a pendência do processo tenha sido averbada no respectivo registro público, se houver;</w:t>
      </w:r>
    </w:p>
    <w:p>
      <w:pPr>
        <w:pStyle w:val="BodyText"/>
        <w:spacing w:after="80"/>
        <w:jc w:val="both"/>
      </w:pPr>
      <w:r>
        <w:t xml:space="preserve">II - quando tiver sido averbada, no registro do bem, a pendência do processo de execução, na forma do art. 828;</w:t>
      </w:r>
    </w:p>
    <w:p>
      <w:pPr>
        <w:pStyle w:val="BodyText"/>
        <w:spacing w:after="80"/>
        <w:jc w:val="both"/>
      </w:pPr>
      <w:r>
        <w:t xml:space="preserve">III - quando tiver sido averbado, no registro do bem, hipoteca judiciária ou outro ato de constrição judicial originário do processo onde foi arguida a fraude;</w:t>
      </w:r>
    </w:p>
    <w:p>
      <w:pPr>
        <w:pStyle w:val="BodyText"/>
        <w:spacing w:after="80"/>
        <w:jc w:val="both"/>
      </w:pPr>
      <w:r>
        <w:t xml:space="preserve">IV - quando, ao tempo da alienação ou da oneração, tramitava contra o devedor ação capaz de reduzi-lo à insolvência;</w:t>
      </w:r>
    </w:p>
    <w:p>
      <w:pPr>
        <w:pStyle w:val="BodyText"/>
        <w:spacing w:after="80"/>
        <w:jc w:val="both"/>
      </w:pPr>
      <w:r>
        <w:t xml:space="preserve">V - nos demais casos expressos em lei.</w:t>
      </w:r>
    </w:p>
    <w:p>
      <w:pPr>
        <w:pStyle w:val="BodyText"/>
        <w:keepNext/>
        <w:spacing w:after="80"/>
        <w:jc w:val="both"/>
      </w:pPr>
      <w:r>
        <w:t xml:space="preserve">§ 1º A alienação em fraude à execução é ineficaz em relação ao exequente.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66"/>
        <w:gridCol w:w="3238"/>
        <w:gridCol w:w="4050"/>
      </w:tblGrid>
      <w:tr>
        <w:trPr>
          <w:tblHeader w:val="on"/>
          <w:cantSplit/>
          <w:tblHeader/>
        </w:trPr>
        <w:tc>
          <w:tcPr>
            <w:tcW w:type="dxa" w:w="2066"/>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23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05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66"/>
          </w:tcPr>
          <w:p>
            <w:pPr>
              <w:pStyle w:val="Compact"/>
              <w:spacing w:line="276" w:lineRule="auto" w:before="40" w:after="40"/>
            </w:pPr>
            <w:r>
              <w:rPr>
                <w:rFonts w:ascii="Liberation Sans Narrow" w:hAnsi="Liberation Sans Narrow"/>
                <w:sz w:val="18"/>
              </w:rPr>
              <w:t xml:space="preserve">Caput e § 1º — ineficácia da alienação em fraude à execução</w:t>
            </w:r>
          </w:p>
        </w:tc>
        <w:tc>
          <w:tcPr>
            <w:tcW w:type="dxa" w:w="3238"/>
          </w:tcPr>
          <w:p>
            <w:pPr>
              <w:pStyle w:val="Compact"/>
              <w:spacing w:line="276" w:lineRule="auto" w:before="40" w:after="40"/>
            </w:pPr>
            <w:r>
              <w:rPr>
                <w:rFonts w:ascii="Liberation Sans Narrow" w:hAnsi="Liberation Sans Narrow"/>
                <w:sz w:val="18"/>
              </w:rPr>
              <w:t xml:space="preserve">STJ, AREsp 2.621.183, Quarta Turma, relator Min. João Otávio de Noronha, julgado em 09/03/2026, DJEN de 12/03/2026</w:t>
            </w:r>
          </w:p>
        </w:tc>
        <w:tc>
          <w:tcPr>
            <w:tcW w:type="dxa" w:w="4050"/>
          </w:tcPr>
          <w:p>
            <w:pPr>
              <w:pStyle w:val="Compact"/>
              <w:spacing w:line="276" w:lineRule="auto" w:before="40" w:after="40"/>
            </w:pPr>
            <w:r>
              <w:rPr>
                <w:rFonts w:ascii="Liberation Sans Narrow" w:hAnsi="Liberation Sans Narrow"/>
                <w:sz w:val="18"/>
              </w:rPr>
              <w:t xml:space="preserve">A averbação premonitória faz presumir a fraude à execução; a dação em pagamento de imóvel realizada depois da averbação é ineficaz em relação ao exequente.</w:t>
            </w:r>
          </w:p>
        </w:tc>
      </w:tr>
    </w:tbl>
    <w:p>
      <w:pPr>
        <w:pStyle w:val="BodyText"/>
        <w:spacing w:after="80"/>
        <w:jc w:val="both"/>
      </w:pPr>
      <w:r>
        <w:t xml:space="preserve">§ 2º No caso de aquisição de bem não sujeito a registro, o terceiro adquirente tem o ônus de provar que adotou as cautelas necessárias para a aquisição, mediante a exibição das certidões pertinentes, obtidas no domicílio do vendedor e no local onde se encontra o bem.</w:t>
      </w:r>
    </w:p>
    <w:p>
      <w:pPr>
        <w:pStyle w:val="BodyText"/>
        <w:spacing w:after="80"/>
        <w:jc w:val="both"/>
      </w:pPr>
      <w:r>
        <w:t xml:space="preserve">§ 3º Nos casos de desconsideração da personalidade jurídica, a fraude à execução verifica-se a partir da citação da parte cuja personalidade se pretende desconsiderar.</w:t>
      </w:r>
    </w:p>
    <w:p>
      <w:pPr>
        <w:pStyle w:val="BodyText"/>
        <w:spacing w:after="80"/>
        <w:jc w:val="both"/>
      </w:pPr>
      <w:r>
        <w:t xml:space="preserve">§ 4º Antes de declarar a fraude à execução, o juiz deverá intimar o terceiro adquirente, que, se quiser, poderá opor embargos de terceiro, no prazo de 15 (quinze) dias.</w:t>
      </w:r>
    </w:p>
    <w:bookmarkEnd w:id="590"/>
    <w:bookmarkStart w:id="591" w:name="art.-793"/>
    <w:p>
      <w:pPr>
        <w:pStyle w:val="Heading6"/>
        <w:pBdr>
          <w:left w:val="single" w:sz="36" w:space="4" w:color="2E75B6"/>
        </w:pBdr>
        <w:shd w:val="clear" w:color="auto" w:fill="E3EEF9"/>
        <w:spacing w:before="200" w:after="80"/>
        <w:ind w:left="85"/>
      </w:pPr>
      <w:r>
        <w:rPr>
          <w:i w:val="0"/>
          <w:color w:val="1F3A5F"/>
          <w:sz w:val="23"/>
        </w:rPr>
        <w:t xml:space="preserve">Art. 793</w:t>
      </w:r>
    </w:p>
    <w:p>
      <w:pPr>
        <w:pStyle w:val="FirstParagraph"/>
        <w:spacing w:after="80"/>
        <w:jc w:val="both"/>
      </w:pPr>
      <w:r>
        <w:rPr>
          <w:b/>
          <w:bCs/>
        </w:rPr>
        <w:t xml:space="preserve">Art. 793.</w:t>
      </w:r>
      <w:r>
        <w:t xml:space="preserve"> </w:t>
      </w:r>
      <w:r>
        <w:t xml:space="preserve">O exequente que estiver, por direito de retenção, na posse de coisa pertencente ao devedor não poderá promover a execução sobre outros bens senão depois de excutida a coisa que se achar em seu poder.</w:t>
      </w:r>
    </w:p>
    <w:bookmarkEnd w:id="591"/>
    <w:bookmarkStart w:id="592" w:name="art.-794"/>
    <w:p>
      <w:pPr>
        <w:pStyle w:val="Heading6"/>
        <w:pBdr>
          <w:left w:val="single" w:sz="36" w:space="4" w:color="2E75B6"/>
        </w:pBdr>
        <w:shd w:val="clear" w:color="auto" w:fill="E3EEF9"/>
        <w:spacing w:before="200" w:after="80"/>
        <w:ind w:left="85"/>
      </w:pPr>
      <w:r>
        <w:rPr>
          <w:i w:val="0"/>
          <w:color w:val="1F3A5F"/>
          <w:sz w:val="23"/>
        </w:rPr>
        <w:t xml:space="preserve">Art. 794</w:t>
      </w:r>
    </w:p>
    <w:p>
      <w:pPr>
        <w:pStyle w:val="FirstParagraph"/>
        <w:keepNext/>
        <w:spacing w:after="80"/>
        <w:jc w:val="both"/>
      </w:pPr>
      <w:r>
        <w:rPr>
          <w:b/>
          <w:bCs/>
        </w:rPr>
        <w:t xml:space="preserve">Art. 794.</w:t>
      </w:r>
      <w:r>
        <w:t xml:space="preserve"> </w:t>
      </w:r>
      <w:r>
        <w:t xml:space="preserve">O fiador, quando executado, tem o direito de exigir que primeiro sejam executados os bens do devedor situados na mesma comarca, livres e desembargados, indicando-os pormenorizadamente à penhora.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2493"/>
        <w:gridCol w:w="533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49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33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Caput — benefício de ordem do fiador</w:t>
            </w:r>
          </w:p>
        </w:tc>
        <w:tc>
          <w:tcPr>
            <w:tcW w:type="dxa" w:w="2493"/>
          </w:tcPr>
          <w:p>
            <w:pPr>
              <w:pStyle w:val="Compact"/>
              <w:spacing w:line="276" w:lineRule="auto" w:before="40" w:after="40"/>
            </w:pPr>
            <w:r>
              <w:rPr>
                <w:rFonts w:ascii="Liberation Sans Narrow" w:hAnsi="Liberation Sans Narrow"/>
                <w:sz w:val="18"/>
              </w:rPr>
              <w:t xml:space="preserve">STJ, AREsp 3.160.978, Terceira Turma, relator Min. Moura Ribeiro, julgado em 22/06/2026</w:t>
            </w:r>
          </w:p>
        </w:tc>
        <w:tc>
          <w:tcPr>
            <w:tcW w:type="dxa" w:w="5331"/>
          </w:tcPr>
          <w:p>
            <w:pPr>
              <w:pStyle w:val="Compact"/>
              <w:spacing w:line="276" w:lineRule="auto" w:before="40" w:after="40"/>
            </w:pPr>
            <w:r>
              <w:rPr>
                <w:rFonts w:ascii="Liberation Sans Narrow" w:hAnsi="Liberation Sans Narrow"/>
                <w:sz w:val="18"/>
              </w:rPr>
              <w:t xml:space="preserve">O benefício de ordem depende da efetiva nomeação, pelo fiador, de bens livres e desembaraçados do devedor principal, situados na mesma comarca e suficientes ao débito; ausente essa nomeação pormenorizada, não há falar em eficácia do benefício e a execução prossegue contra o fiador.</w:t>
            </w:r>
          </w:p>
        </w:tc>
      </w:tr>
    </w:tbl>
    <w:p>
      <w:pPr>
        <w:pStyle w:val="BodyText"/>
        <w:spacing w:after="80"/>
        <w:jc w:val="both"/>
      </w:pPr>
      <w:r>
        <w:t xml:space="preserve">§ 1º Os bens do fiador ficarão sujeitos à execução se os do devedor, situados na mesma comarca que os seus, forem insuficientes à satisfação do direito do credor.</w:t>
      </w:r>
    </w:p>
    <w:p>
      <w:pPr>
        <w:pStyle w:val="BodyText"/>
        <w:keepNext/>
        <w:spacing w:after="80"/>
        <w:jc w:val="both"/>
      </w:pPr>
      <w:r>
        <w:t xml:space="preserve">§ 2º O fiador que pagar a dívida poderá executar o afiançado nos autos do mesmo processo.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11"/>
        <w:gridCol w:w="2582"/>
        <w:gridCol w:w="5161"/>
      </w:tblGrid>
      <w:tr>
        <w:trPr>
          <w:tblHeader w:val="on"/>
          <w:cantSplit/>
          <w:tblHeader/>
        </w:trPr>
        <w:tc>
          <w:tcPr>
            <w:tcW w:type="dxa" w:w="161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8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16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11"/>
          </w:tcPr>
          <w:p>
            <w:pPr>
              <w:pStyle w:val="Compact"/>
              <w:spacing w:line="276" w:lineRule="auto" w:before="40" w:after="40"/>
            </w:pPr>
            <w:r>
              <w:rPr>
                <w:rFonts w:ascii="Liberation Sans Narrow" w:hAnsi="Liberation Sans Narrow"/>
                <w:sz w:val="18"/>
              </w:rPr>
              <w:t xml:space="preserve">§ 2º — regresso do garantidor nos mesmos autos</w:t>
            </w:r>
          </w:p>
        </w:tc>
        <w:tc>
          <w:tcPr>
            <w:tcW w:type="dxa" w:w="2582"/>
          </w:tcPr>
          <w:p>
            <w:pPr>
              <w:pStyle w:val="Compact"/>
              <w:spacing w:line="276" w:lineRule="auto" w:before="40" w:after="40"/>
            </w:pPr>
            <w:r>
              <w:rPr>
                <w:rFonts w:ascii="Liberation Sans Narrow" w:hAnsi="Liberation Sans Narrow"/>
                <w:sz w:val="18"/>
              </w:rPr>
              <w:t xml:space="preserve">STJ, REsp 2.228.772, Quarta Turma, relator Min. Antonio Carlos Ferreira, julgado em 03/03/2026</w:t>
            </w:r>
          </w:p>
        </w:tc>
        <w:tc>
          <w:tcPr>
            <w:tcW w:type="dxa" w:w="5161"/>
          </w:tcPr>
          <w:p>
            <w:pPr>
              <w:pStyle w:val="Compact"/>
              <w:spacing w:line="276" w:lineRule="auto" w:before="40" w:after="40"/>
            </w:pPr>
            <w:r>
              <w:rPr>
                <w:rFonts w:ascii="Liberation Sans Narrow" w:hAnsi="Liberation Sans Narrow"/>
                <w:sz w:val="18"/>
              </w:rPr>
              <w:t xml:space="preserve">O direito de regresso do sub-rogado nos mesmos autos (art. 794, § 2º) só pode ser exercido após a satisfação integral do credor originário, preservada a preferência deste sobre o crédito remanescente (art. 351 do Código Civil); a sub-rogação parcial não autoriza a execução regressiva simultânea.</w:t>
            </w:r>
          </w:p>
        </w:tc>
      </w:tr>
    </w:tbl>
    <w:p>
      <w:pPr>
        <w:pStyle w:val="BodyText"/>
        <w:spacing w:after="80"/>
        <w:jc w:val="both"/>
      </w:pPr>
      <w:r>
        <w:t xml:space="preserve">§ 3º O disposto no caput não se aplica se o fiador houver renunciado ao benefício de ordem.</w:t>
      </w:r>
    </w:p>
    <w:bookmarkEnd w:id="592"/>
    <w:bookmarkStart w:id="593" w:name="art.-795"/>
    <w:p>
      <w:pPr>
        <w:pStyle w:val="Heading6"/>
        <w:pBdr>
          <w:left w:val="single" w:sz="36" w:space="4" w:color="2E75B6"/>
        </w:pBdr>
        <w:shd w:val="clear" w:color="auto" w:fill="E3EEF9"/>
        <w:spacing w:before="200" w:after="80"/>
        <w:ind w:left="85"/>
      </w:pPr>
      <w:r>
        <w:rPr>
          <w:i w:val="0"/>
          <w:color w:val="1F3A5F"/>
          <w:sz w:val="23"/>
        </w:rPr>
        <w:t xml:space="preserve">Art. 795</w:t>
      </w:r>
    </w:p>
    <w:p>
      <w:pPr>
        <w:pStyle w:val="FirstParagraph"/>
        <w:keepNext/>
        <w:spacing w:after="80"/>
        <w:jc w:val="both"/>
      </w:pPr>
      <w:r>
        <w:rPr>
          <w:b/>
          <w:bCs/>
        </w:rPr>
        <w:t xml:space="preserve">Art. 795.</w:t>
      </w:r>
      <w:r>
        <w:t xml:space="preserve"> </w:t>
      </w:r>
      <w:r>
        <w:t xml:space="preserve">Os bens particulares dos sócios não respondem pelas dívidas da sociedade, senão nos casos previstos em lei.</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79"/>
        <w:gridCol w:w="2114"/>
        <w:gridCol w:w="4961"/>
      </w:tblGrid>
      <w:tr>
        <w:trPr>
          <w:tblHeader w:val="on"/>
          <w:cantSplit/>
          <w:tblHeader/>
        </w:trPr>
        <w:tc>
          <w:tcPr>
            <w:tcW w:type="dxa" w:w="2279"/>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11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96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79"/>
          </w:tcPr>
          <w:p>
            <w:pPr>
              <w:pStyle w:val="Compact"/>
              <w:spacing w:line="276" w:lineRule="auto" w:before="40" w:after="40"/>
            </w:pPr>
            <w:r>
              <w:rPr>
                <w:rFonts w:ascii="Liberation Sans Narrow" w:hAnsi="Liberation Sans Narrow"/>
                <w:sz w:val="18"/>
              </w:rPr>
              <w:t xml:space="preserve">Caput — responsabilidade patrimonial dos sócios</w:t>
            </w:r>
          </w:p>
        </w:tc>
        <w:tc>
          <w:tcPr>
            <w:tcW w:type="dxa" w:w="2114"/>
          </w:tcPr>
          <w:p>
            <w:pPr>
              <w:pStyle w:val="Compact"/>
              <w:spacing w:line="276" w:lineRule="auto" w:before="40" w:after="40"/>
            </w:pPr>
            <w:r>
              <w:rPr>
                <w:rFonts w:ascii="Liberation Sans Narrow" w:hAnsi="Liberation Sans Narrow"/>
                <w:sz w:val="18"/>
              </w:rPr>
              <w:t xml:space="preserve">STJ, REsp 2.228.425, Quarta Turma, relator Min. Raul Araújo, julgado em 09/03/2026</w:t>
            </w:r>
          </w:p>
        </w:tc>
        <w:tc>
          <w:tcPr>
            <w:tcW w:type="dxa" w:w="4961"/>
          </w:tcPr>
          <w:p>
            <w:pPr>
              <w:pStyle w:val="Compact"/>
              <w:spacing w:line="276" w:lineRule="auto" w:before="40" w:after="40"/>
            </w:pPr>
            <w:r>
              <w:rPr>
                <w:rFonts w:ascii="Liberation Sans Narrow" w:hAnsi="Liberation Sans Narrow"/>
                <w:sz w:val="18"/>
              </w:rPr>
              <w:t xml:space="preserve">A desconsideração da personalidade jurídica estende os efeitos da obrigação aos bens particulares dos sócios, que passam a integrar a garantia da universalidade de credores; decretada a falência, é inviável o prosseguimento de execuções individuais contra os sócios fora do juízo universal.</w:t>
            </w:r>
          </w:p>
        </w:tc>
      </w:tr>
    </w:tbl>
    <w:p>
      <w:pPr>
        <w:pStyle w:val="BodyText"/>
        <w:spacing w:after="80"/>
        <w:jc w:val="both"/>
      </w:pPr>
      <w:r>
        <w:t xml:space="preserve">§ 1º O sócio réu, quando responsável pelo pagamento da dívida da sociedade, tem o direito de exigir que primeiro sejam excutidos os bens da sociedade.</w:t>
      </w:r>
    </w:p>
    <w:p>
      <w:pPr>
        <w:pStyle w:val="BodyText"/>
        <w:spacing w:after="80"/>
        <w:jc w:val="both"/>
      </w:pPr>
      <w:r>
        <w:t xml:space="preserve">§ 2º Incumbe ao sócio que alegar o benefício do § 1º nomear quantos bens da sociedade situados na mesma comarca, livres e desembargados, bastem para pagar o débito.</w:t>
      </w:r>
    </w:p>
    <w:p>
      <w:pPr>
        <w:pStyle w:val="BodyText"/>
        <w:spacing w:after="80"/>
        <w:jc w:val="both"/>
      </w:pPr>
      <w:r>
        <w:t xml:space="preserve">§ 3º O sócio que pagar a dívida poderá executar a sociedade nos autos do mesmo processo.</w:t>
      </w:r>
    </w:p>
    <w:p>
      <w:pPr>
        <w:pStyle w:val="BodyText"/>
        <w:spacing w:after="80"/>
        <w:jc w:val="both"/>
      </w:pPr>
      <w:r>
        <w:t xml:space="preserve">§ 4º Para a desconsideração da personalidade jurídica é obrigatória a observância do incidente previsto neste Código.</w:t>
      </w:r>
    </w:p>
    <w:bookmarkEnd w:id="593"/>
    <w:bookmarkStart w:id="594" w:name="art.-796"/>
    <w:p>
      <w:pPr>
        <w:pStyle w:val="Heading6"/>
        <w:pBdr>
          <w:left w:val="single" w:sz="36" w:space="4" w:color="2E75B6"/>
        </w:pBdr>
        <w:shd w:val="clear" w:color="auto" w:fill="E3EEF9"/>
        <w:spacing w:before="200" w:after="80"/>
        <w:ind w:left="85"/>
      </w:pPr>
      <w:r>
        <w:rPr>
          <w:i w:val="0"/>
          <w:color w:val="1F3A5F"/>
          <w:sz w:val="23"/>
        </w:rPr>
        <w:t xml:space="preserve">Art. 796</w:t>
      </w:r>
    </w:p>
    <w:p>
      <w:pPr>
        <w:pStyle w:val="FirstParagraph"/>
        <w:spacing w:after="80"/>
        <w:jc w:val="both"/>
      </w:pPr>
      <w:r>
        <w:rPr>
          <w:b/>
          <w:bCs/>
        </w:rPr>
        <w:t xml:space="preserve">Art. 796.</w:t>
      </w:r>
      <w:r>
        <w:t xml:space="preserve"> </w:t>
      </w:r>
      <w:r>
        <w:t xml:space="preserve">O espólio responde pelas dívidas do falecido, mas, feita a partilha, cada herdeiro responde por elas dentro das forças da herança e na proporção da parte que lhe coube.</w:t>
      </w:r>
    </w:p>
    <w:bookmarkEnd w:id="594"/>
    <w:bookmarkEnd w:id="595"/>
    <w:bookmarkEnd w:id="596"/>
    <w:bookmarkStart w:id="730" w:name="X98ef71eb622b7472cd097be6f51bf835aaceb08"/>
    <w:p>
      <w:pPr>
        <w:pStyle w:val="Heading3"/>
        <w:pBdr>
          <w:bottom w:val="single" w:sz="8" w:space="2" w:color="2E75B6"/>
        </w:pBdr>
        <w:spacing w:before="200" w:after="80"/>
      </w:pPr>
      <w:r>
        <w:rPr>
          <w:sz w:val="24"/>
        </w:rPr>
        <w:t xml:space="preserve">Título II: das diversas espécies de execução (arts. 797 a 913)</w:t>
      </w:r>
    </w:p>
    <w:bookmarkStart w:id="606" w:name="X6cffbddbc0654ab311b07eb629630836e603c00"/>
    <w:p>
      <w:pPr>
        <w:pStyle w:val="Heading4"/>
        <w:spacing w:before="160" w:after="40"/>
      </w:pPr>
      <w:r>
        <w:rPr>
          <w:smallCaps/>
          <w:color w:val="2E75B6"/>
        </w:rPr>
        <w:t xml:space="preserve">Capítulo I: disposições gerais (arts. 797 a 805)</w:t>
      </w:r>
    </w:p>
    <w:bookmarkStart w:id="597" w:name="art.-797"/>
    <w:p>
      <w:pPr>
        <w:pStyle w:val="Heading6"/>
        <w:pBdr>
          <w:left w:val="single" w:sz="36" w:space="4" w:color="2E75B6"/>
        </w:pBdr>
        <w:shd w:val="clear" w:color="auto" w:fill="E3EEF9"/>
        <w:spacing w:before="200" w:after="80"/>
        <w:ind w:left="85"/>
      </w:pPr>
      <w:r>
        <w:rPr>
          <w:i w:val="0"/>
          <w:color w:val="1F3A5F"/>
          <w:sz w:val="23"/>
        </w:rPr>
        <w:t xml:space="preserve">Art. 797</w:t>
      </w:r>
    </w:p>
    <w:p>
      <w:pPr>
        <w:pStyle w:val="FirstParagraph"/>
        <w:keepNext/>
        <w:spacing w:after="80"/>
        <w:jc w:val="both"/>
      </w:pPr>
      <w:r>
        <w:rPr>
          <w:b/>
          <w:bCs/>
        </w:rPr>
        <w:t xml:space="preserve">Art. 797.</w:t>
      </w:r>
      <w:r>
        <w:t xml:space="preserve"> </w:t>
      </w:r>
      <w:r>
        <w:t xml:space="preserve">Ressalvado o caso de insolvência do devedor, em que tem lugar o concurso universal, realiza-se a execução no interesse do exequente que adquire, pela penhora, o direito de preferência sobre os bens penhorados.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39"/>
        <w:gridCol w:w="2770"/>
        <w:gridCol w:w="4845"/>
      </w:tblGrid>
      <w:tr>
        <w:trPr>
          <w:tblHeader w:val="on"/>
          <w:cantSplit/>
          <w:tblHeader/>
        </w:trPr>
        <w:tc>
          <w:tcPr>
            <w:tcW w:type="dxa" w:w="1739"/>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7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4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739"/>
          </w:tcPr>
          <w:p>
            <w:pPr>
              <w:pStyle w:val="Compact"/>
              <w:spacing w:line="276" w:lineRule="auto" w:before="40" w:after="40"/>
            </w:pPr>
            <w:r>
              <w:rPr>
                <w:rFonts w:ascii="Liberation Sans Narrow" w:hAnsi="Liberation Sans Narrow"/>
                <w:sz w:val="18"/>
              </w:rPr>
              <w:t xml:space="preserve">Caput — concurso singular e concurso universal de credores</w:t>
            </w:r>
          </w:p>
        </w:tc>
        <w:tc>
          <w:tcPr>
            <w:tcW w:type="dxa" w:w="2770"/>
          </w:tcPr>
          <w:p>
            <w:pPr>
              <w:pStyle w:val="Compact"/>
              <w:spacing w:line="276" w:lineRule="auto" w:before="40" w:after="40"/>
            </w:pPr>
            <w:r>
              <w:rPr>
                <w:rFonts w:ascii="Liberation Sans Narrow" w:hAnsi="Liberation Sans Narrow"/>
                <w:sz w:val="18"/>
              </w:rPr>
              <w:t xml:space="preserve">STJ, AREsp 2.707.741, Terceira Turma, relator Min. Moura Ribeiro, julgado em 16/03/2026</w:t>
            </w:r>
          </w:p>
        </w:tc>
        <w:tc>
          <w:tcPr>
            <w:tcW w:type="dxa" w:w="4845"/>
          </w:tcPr>
          <w:p>
            <w:pPr>
              <w:pStyle w:val="Compact"/>
              <w:spacing w:line="276" w:lineRule="auto" w:before="40" w:after="40"/>
            </w:pPr>
            <w:r>
              <w:rPr>
                <w:rFonts w:ascii="Liberation Sans Narrow" w:hAnsi="Liberation Sans Narrow"/>
                <w:sz w:val="18"/>
              </w:rPr>
              <w:t xml:space="preserve">O limite de 150 salários mínimos do art. 83, I, da Lei 11.101/2005 está situado no capítulo dedicado à falência e é interpretado restritivamente: aplica-se apenas ao concurso universal de credores e é inaplicável ao concurso particular, em que a execução se realiza no interesse do exequente que, pela penhora, adquiriu a preferência sobre os bens constritos.</w:t>
            </w:r>
          </w:p>
        </w:tc>
      </w:tr>
      <w:tr>
        <w:trPr>
          <w:cantSplit/>
        </w:trPr>
        <w:tc>
          <w:tcPr>
            <w:tcW w:type="dxa" w:w="1739"/>
          </w:tcPr>
          <w:p>
            <w:pPr>
              <w:pStyle w:val="Compact"/>
              <w:spacing w:line="276" w:lineRule="auto" w:before="40" w:after="40"/>
            </w:pPr>
            <w:r>
              <w:rPr>
                <w:rFonts w:ascii="Liberation Sans Narrow" w:hAnsi="Liberation Sans Narrow"/>
                <w:sz w:val="18"/>
              </w:rPr>
              <w:t xml:space="preserve">Caput — preferência do exequente</w:t>
            </w:r>
          </w:p>
        </w:tc>
        <w:tc>
          <w:tcPr>
            <w:tcW w:type="dxa" w:w="2770"/>
          </w:tcPr>
          <w:p>
            <w:pPr>
              <w:pStyle w:val="Compact"/>
              <w:spacing w:line="276" w:lineRule="auto" w:before="40" w:after="40"/>
            </w:pPr>
            <w:r>
              <w:rPr>
                <w:rFonts w:ascii="Liberation Sans Narrow" w:hAnsi="Liberation Sans Narrow"/>
                <w:sz w:val="18"/>
              </w:rPr>
              <w:t xml:space="preserve">STJ, EREsp 1.890.615, Terceira Turma, relatora Min. Nancy Andrighi, DJe de 19/08/2021</w:t>
            </w:r>
          </w:p>
        </w:tc>
        <w:tc>
          <w:tcPr>
            <w:tcW w:type="dxa" w:w="4845"/>
          </w:tcPr>
          <w:p>
            <w:pPr>
              <w:pStyle w:val="Compact"/>
              <w:spacing w:line="276" w:lineRule="auto" w:before="40" w:after="40"/>
            </w:pPr>
            <w:r>
              <w:rPr>
                <w:rFonts w:ascii="Liberation Sans Narrow" w:hAnsi="Liberation Sans Narrow"/>
                <w:sz w:val="18"/>
              </w:rPr>
              <w:t xml:space="preserve">Os honorários advocatícios sucumbenciais seguem a natureza do crédito principal a que acessórios; no concurso singular de credores, não têm preferência sobre o crédito titularizado pelo cliente vencedor, cuja relação material com o advogado é distinta da dos credores concorrentes.</w:t>
            </w:r>
          </w:p>
        </w:tc>
      </w:tr>
    </w:tbl>
    <w:p>
      <w:pPr>
        <w:pStyle w:val="BodyText"/>
        <w:spacing w:after="80"/>
        <w:jc w:val="both"/>
      </w:pPr>
      <w:r>
        <w:t xml:space="preserve">Parágrafo único. Recaindo mais de uma penhora sobre o mesmo bem, cada exequente conservará o seu título de preferência.</w:t>
      </w:r>
    </w:p>
    <w:bookmarkEnd w:id="597"/>
    <w:bookmarkStart w:id="598" w:name="art.-798"/>
    <w:p>
      <w:pPr>
        <w:pStyle w:val="Heading6"/>
        <w:pBdr>
          <w:left w:val="single" w:sz="36" w:space="4" w:color="2E75B6"/>
        </w:pBdr>
        <w:shd w:val="clear" w:color="auto" w:fill="E3EEF9"/>
        <w:spacing w:before="200" w:after="80"/>
        <w:ind w:left="85"/>
      </w:pPr>
      <w:r>
        <w:rPr>
          <w:i w:val="0"/>
          <w:color w:val="1F3A5F"/>
          <w:sz w:val="23"/>
        </w:rPr>
        <w:t xml:space="preserve">Art. 798</w:t>
      </w:r>
    </w:p>
    <w:p>
      <w:pPr>
        <w:pStyle w:val="FirstParagraph"/>
        <w:spacing w:after="80"/>
        <w:jc w:val="both"/>
      </w:pPr>
      <w:r>
        <w:rPr>
          <w:b/>
          <w:bCs/>
        </w:rPr>
        <w:t xml:space="preserve">Art. 798.</w:t>
      </w:r>
      <w:r>
        <w:t xml:space="preserve"> </w:t>
      </w:r>
      <w:r>
        <w:t xml:space="preserve">Ao propor a execução, incumbe ao exequente:</w:t>
      </w:r>
    </w:p>
    <w:p>
      <w:pPr>
        <w:pStyle w:val="BodyText"/>
        <w:keepNext/>
        <w:spacing w:after="80"/>
        <w:jc w:val="both"/>
      </w:pPr>
      <w:r>
        <w:t xml:space="preserve">I - instruir a petição inicial com:</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3237"/>
        <w:gridCol w:w="4212"/>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23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21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I/b — demonstrativo do débito</w:t>
            </w:r>
          </w:p>
        </w:tc>
        <w:tc>
          <w:tcPr>
            <w:tcW w:type="dxa" w:w="3237"/>
          </w:tcPr>
          <w:p>
            <w:pPr>
              <w:pStyle w:val="Compact"/>
              <w:spacing w:line="276" w:lineRule="auto" w:before="40" w:after="40"/>
            </w:pPr>
            <w:r>
              <w:rPr>
                <w:rFonts w:ascii="Liberation Sans Narrow" w:hAnsi="Liberation Sans Narrow"/>
                <w:sz w:val="18"/>
              </w:rPr>
              <w:t xml:space="preserve">STJ, AREsp 2.234.904, Quarta Turma, relator Min. João Otávio de Noronha, julgado em 09/03/2026</w:t>
            </w:r>
          </w:p>
        </w:tc>
        <w:tc>
          <w:tcPr>
            <w:tcW w:type="dxa" w:w="4212"/>
          </w:tcPr>
          <w:p>
            <w:pPr>
              <w:pStyle w:val="Compact"/>
              <w:spacing w:line="276" w:lineRule="auto" w:before="40" w:after="40"/>
            </w:pPr>
            <w:r>
              <w:rPr>
                <w:rFonts w:ascii="Liberation Sans Narrow" w:hAnsi="Liberation Sans Narrow"/>
                <w:sz w:val="18"/>
              </w:rPr>
              <w:t xml:space="preserve">A insuficiência do demonstrativo do débito autoriza a emenda da petição inicial da execução, afastando a extinção imediata do processo.</w:t>
            </w:r>
          </w:p>
        </w:tc>
      </w:tr>
    </w:tbl>
    <w:p>
      <w:pPr>
        <w:pStyle w:val="BodyText"/>
        <w:spacing w:after="80"/>
        <w:jc w:val="both"/>
      </w:pPr>
      <w:r>
        <w:t xml:space="preserve">a) o título executivo extrajudicial;</w:t>
      </w:r>
    </w:p>
    <w:p>
      <w:pPr>
        <w:pStyle w:val="BodyText"/>
        <w:spacing w:after="80"/>
        <w:jc w:val="both"/>
      </w:pPr>
      <w:r>
        <w:t xml:space="preserve">b) o demonstrativo do débito atualizado até a data de propositura da ação, quando se tratar de execução por quantia certa;</w:t>
      </w:r>
    </w:p>
    <w:p>
      <w:pPr>
        <w:pStyle w:val="BodyText"/>
        <w:spacing w:after="80"/>
        <w:jc w:val="both"/>
      </w:pPr>
      <w:r>
        <w:t xml:space="preserve">c) a prova de que se verificou a condição ou ocorreu o termo, se for o caso;</w:t>
      </w:r>
    </w:p>
    <w:p>
      <w:pPr>
        <w:pStyle w:val="BodyText"/>
        <w:spacing w:after="80"/>
        <w:jc w:val="both"/>
      </w:pPr>
      <w:r>
        <w:t xml:space="preserve">d) a prova, se for o caso, de que adimpliu a contraprestação que lhe corresponde ou que lhe assegura o cumprimento, se o executado não for obrigado a satisfazer a sua prestação senão mediante a contraprestação do exequente;</w:t>
      </w:r>
    </w:p>
    <w:p>
      <w:pPr>
        <w:pStyle w:val="BodyText"/>
        <w:spacing w:after="80"/>
        <w:jc w:val="both"/>
      </w:pPr>
      <w:r>
        <w:t xml:space="preserve">II - indicar:</w:t>
      </w:r>
    </w:p>
    <w:p>
      <w:pPr>
        <w:pStyle w:val="BodyText"/>
        <w:spacing w:after="80"/>
        <w:jc w:val="both"/>
      </w:pPr>
      <w:r>
        <w:t xml:space="preserve">a) a espécie de execução de sua preferência, quando por mais de um modo puder ser realizada;</w:t>
      </w:r>
    </w:p>
    <w:p>
      <w:pPr>
        <w:pStyle w:val="BodyText"/>
        <w:spacing w:after="80"/>
        <w:jc w:val="both"/>
      </w:pPr>
      <w:r>
        <w:t xml:space="preserve">b) os nomes completos do exequente e do executado e seus números de inscrição no Cadastro de Pessoas Físicas ou no Cadastro Nacional da Pessoa Jurídica;</w:t>
      </w:r>
    </w:p>
    <w:p>
      <w:pPr>
        <w:pStyle w:val="BodyText"/>
        <w:spacing w:after="80"/>
        <w:jc w:val="both"/>
      </w:pPr>
      <w:r>
        <w:t xml:space="preserve">c) os bens suscetíveis de penhora, sempre que possível.</w:t>
      </w:r>
    </w:p>
    <w:p>
      <w:pPr>
        <w:pStyle w:val="BodyText"/>
        <w:spacing w:after="80"/>
        <w:jc w:val="both"/>
      </w:pPr>
      <w:r>
        <w:t xml:space="preserve">Parágrafo único. O demonstrativo do débito deverá conter:</w:t>
      </w:r>
    </w:p>
    <w:p>
      <w:pPr>
        <w:pStyle w:val="BodyText"/>
        <w:spacing w:after="80"/>
        <w:jc w:val="both"/>
      </w:pPr>
      <w:r>
        <w:t xml:space="preserve">I - o índice de correção monetária adotado;</w:t>
      </w:r>
    </w:p>
    <w:p>
      <w:pPr>
        <w:pStyle w:val="BodyText"/>
        <w:spacing w:after="80"/>
        <w:jc w:val="both"/>
      </w:pPr>
      <w:r>
        <w:t xml:space="preserve">II - a taxa de juros aplicada;</w:t>
      </w:r>
    </w:p>
    <w:p>
      <w:pPr>
        <w:pStyle w:val="BodyText"/>
        <w:spacing w:after="80"/>
        <w:jc w:val="both"/>
      </w:pPr>
      <w:r>
        <w:t xml:space="preserve">III - os termos inicial e final de incidência do índice de correção monetária e da taxa de juros utilizados;</w:t>
      </w:r>
    </w:p>
    <w:p>
      <w:pPr>
        <w:pStyle w:val="BodyText"/>
        <w:spacing w:after="80"/>
        <w:jc w:val="both"/>
      </w:pPr>
      <w:r>
        <w:t xml:space="preserve">IV - a periodicidade da capitalização dos juros, se for o caso;</w:t>
      </w:r>
    </w:p>
    <w:p>
      <w:pPr>
        <w:pStyle w:val="BodyText"/>
        <w:spacing w:after="80"/>
        <w:jc w:val="both"/>
      </w:pPr>
      <w:r>
        <w:t xml:space="preserve">V - a especificação de desconto obrigatório realizado.</w:t>
      </w:r>
    </w:p>
    <w:bookmarkEnd w:id="598"/>
    <w:bookmarkStart w:id="599" w:name="art.-799"/>
    <w:p>
      <w:pPr>
        <w:pStyle w:val="Heading6"/>
        <w:pBdr>
          <w:left w:val="single" w:sz="36" w:space="4" w:color="2E75B6"/>
        </w:pBdr>
        <w:shd w:val="clear" w:color="auto" w:fill="E3EEF9"/>
        <w:spacing w:before="200" w:after="80"/>
        <w:ind w:left="85"/>
      </w:pPr>
      <w:r>
        <w:rPr>
          <w:i w:val="0"/>
          <w:color w:val="1F3A5F"/>
          <w:sz w:val="23"/>
        </w:rPr>
        <w:t xml:space="preserve">Art. 799</w:t>
      </w:r>
    </w:p>
    <w:p>
      <w:pPr>
        <w:pStyle w:val="FirstParagraph"/>
        <w:spacing w:after="80"/>
        <w:jc w:val="both"/>
      </w:pPr>
      <w:r>
        <w:rPr>
          <w:b/>
          <w:bCs/>
        </w:rPr>
        <w:t xml:space="preserve">Art. 799.</w:t>
      </w:r>
      <w:r>
        <w:t xml:space="preserve"> </w:t>
      </w:r>
      <w:r>
        <w:t xml:space="preserve">Incumbe ainda ao exequente:</w:t>
      </w:r>
    </w:p>
    <w:p>
      <w:pPr>
        <w:pStyle w:val="BodyText"/>
        <w:spacing w:after="80"/>
        <w:jc w:val="both"/>
      </w:pPr>
      <w:r>
        <w:t xml:space="preserve">I - requerer a intimação do credor pignoratício, hipotecário, anticrético ou fiduciário, quando a penhora recair sobre bens gravados por penhor, hipoteca, anticrese ou alienação fiduciária;</w:t>
      </w:r>
    </w:p>
    <w:p>
      <w:pPr>
        <w:pStyle w:val="BodyText"/>
        <w:spacing w:after="80"/>
        <w:jc w:val="both"/>
      </w:pPr>
      <w:r>
        <w:t xml:space="preserve">II - requerer a intimação do titular de usufruto, uso ou habitação, quando a penhora recair sobre bem gravado por usufruto, uso ou habitação;</w:t>
      </w:r>
    </w:p>
    <w:p>
      <w:pPr>
        <w:pStyle w:val="BodyText"/>
        <w:spacing w:after="80"/>
        <w:jc w:val="both"/>
      </w:pPr>
      <w:r>
        <w:t xml:space="preserve">III - requerer a intimação do promitente comprador, quando a penhora recair sobre bem em relação ao qual haja promessa de compra e venda registrada;</w:t>
      </w:r>
    </w:p>
    <w:p>
      <w:pPr>
        <w:pStyle w:val="BodyText"/>
        <w:spacing w:after="80"/>
        <w:jc w:val="both"/>
      </w:pPr>
      <w:r>
        <w:t xml:space="preserve">IV - requerer a intimação do promitente vendedor, quando a penhora recair sobre direito aquisitivo derivado de promessa de compra e venda registrada;</w:t>
      </w:r>
    </w:p>
    <w:p>
      <w:pPr>
        <w:pStyle w:val="BodyText"/>
        <w:spacing w:after="80"/>
        <w:jc w:val="both"/>
      </w:pPr>
      <w:r>
        <w:t xml:space="preserve">V - requerer a intimação do superficiário, enfiteuta ou concessionário, em caso de direito de superfície, enfiteuse, concessão de uso especial para fins de moradia ou concessão de direito real de uso, quando a penhora recair sobre imóvel submetido ao regime do direito de superfície, enfiteuse ou concessão;</w:t>
      </w:r>
    </w:p>
    <w:p>
      <w:pPr>
        <w:pStyle w:val="BodyText"/>
        <w:spacing w:after="80"/>
        <w:jc w:val="both"/>
      </w:pPr>
      <w:r>
        <w:t xml:space="preserve">VI - requerer a intimação do proprietário de terreno com regime de direito de superfície, enfiteuse, concessão de uso especial para fins de moradia ou concessão de direito real de uso, quando a penhora recair sobre direitos do superficiário, do enfiteuta ou do concessionário;</w:t>
      </w:r>
    </w:p>
    <w:p>
      <w:pPr>
        <w:pStyle w:val="BodyText"/>
        <w:spacing w:after="80"/>
        <w:jc w:val="both"/>
      </w:pPr>
      <w:r>
        <w:t xml:space="preserve">VII - requerer a intimação da sociedade, no caso de penhora de quota social ou de ação de sociedade anônima fechada, para o fim previsto no art. 876, § 7º;</w:t>
      </w:r>
    </w:p>
    <w:p>
      <w:pPr>
        <w:pStyle w:val="BodyText"/>
        <w:spacing w:after="80"/>
        <w:jc w:val="both"/>
      </w:pPr>
      <w:r>
        <w:t xml:space="preserve">VIII - pleitear, se for o caso, medidas urgentes;</w:t>
      </w:r>
    </w:p>
    <w:p>
      <w:pPr>
        <w:pStyle w:val="BodyText"/>
        <w:spacing w:after="80"/>
        <w:jc w:val="both"/>
      </w:pPr>
      <w:r>
        <w:t xml:space="preserve">IX - proceder à averbação em registro público do ato de propositura da execução e dos atos de constrição realizados, para conhecimento de terceiros.</w:t>
      </w:r>
    </w:p>
    <w:p>
      <w:pPr>
        <w:pStyle w:val="BodyText"/>
        <w:spacing w:after="80"/>
        <w:jc w:val="both"/>
      </w:pPr>
      <w:r>
        <w:t xml:space="preserve">X - requerer a intimação do titular da construção-base, bem como, se for o caso, do titular de lajes anteriores, quando a penhora recair sobre o direito real de laje; (Incluído pela Lei nº 13.465, de 2017)</w:t>
      </w:r>
    </w:p>
    <w:p>
      <w:pPr>
        <w:pStyle w:val="BodyText"/>
        <w:spacing w:after="80"/>
        <w:jc w:val="both"/>
      </w:pPr>
      <w:r>
        <w:t xml:space="preserve">XI - requerer a intimação do titular das lajes, quando a penhora recair sobre a construção-base. (Incluído pela Lei nº 13.465, de 2017)</w:t>
      </w:r>
    </w:p>
    <w:bookmarkEnd w:id="599"/>
    <w:bookmarkStart w:id="600" w:name="art.-800"/>
    <w:p>
      <w:pPr>
        <w:pStyle w:val="Heading6"/>
        <w:pBdr>
          <w:left w:val="single" w:sz="36" w:space="4" w:color="2E75B6"/>
        </w:pBdr>
        <w:shd w:val="clear" w:color="auto" w:fill="E3EEF9"/>
        <w:spacing w:before="200" w:after="80"/>
        <w:ind w:left="85"/>
      </w:pPr>
      <w:r>
        <w:rPr>
          <w:i w:val="0"/>
          <w:color w:val="1F3A5F"/>
          <w:sz w:val="23"/>
        </w:rPr>
        <w:t xml:space="preserve">Art. 800</w:t>
      </w:r>
    </w:p>
    <w:p>
      <w:pPr>
        <w:pStyle w:val="FirstParagraph"/>
        <w:spacing w:after="80"/>
        <w:jc w:val="both"/>
      </w:pPr>
      <w:r>
        <w:rPr>
          <w:b/>
          <w:bCs/>
        </w:rPr>
        <w:t xml:space="preserve">Art. 800.</w:t>
      </w:r>
      <w:r>
        <w:t xml:space="preserve"> </w:t>
      </w:r>
      <w:r>
        <w:t xml:space="preserve">Nas obrigações alternativas, quando a escolha couber ao devedor, esse será citado para exercer a opção e realizar a prestação dentro de 10 (dez) dias, se outro prazo não lhe foi determinado em lei ou em contrato.</w:t>
      </w:r>
    </w:p>
    <w:p>
      <w:pPr>
        <w:pStyle w:val="BodyText"/>
        <w:spacing w:after="80"/>
        <w:jc w:val="both"/>
      </w:pPr>
      <w:r>
        <w:t xml:space="preserve">§ 1º Devolver-se-á ao credor a opção, se o devedor não a exercer no prazo determinado.</w:t>
      </w:r>
    </w:p>
    <w:p>
      <w:pPr>
        <w:pStyle w:val="BodyText"/>
        <w:spacing w:after="80"/>
        <w:jc w:val="both"/>
      </w:pPr>
      <w:r>
        <w:t xml:space="preserve">§ 2º A escolha será indicada na petição inicial da execução quando couber ao credor exercê-la.</w:t>
      </w:r>
    </w:p>
    <w:bookmarkEnd w:id="600"/>
    <w:bookmarkStart w:id="601" w:name="art.-801"/>
    <w:p>
      <w:pPr>
        <w:pStyle w:val="Heading6"/>
        <w:pBdr>
          <w:left w:val="single" w:sz="36" w:space="4" w:color="2E75B6"/>
        </w:pBdr>
        <w:shd w:val="clear" w:color="auto" w:fill="E3EEF9"/>
        <w:spacing w:before="200" w:after="80"/>
        <w:ind w:left="85"/>
      </w:pPr>
      <w:r>
        <w:rPr>
          <w:i w:val="0"/>
          <w:color w:val="1F3A5F"/>
          <w:sz w:val="23"/>
        </w:rPr>
        <w:t xml:space="preserve">Art. 801</w:t>
      </w:r>
    </w:p>
    <w:p>
      <w:pPr>
        <w:pStyle w:val="FirstParagraph"/>
        <w:keepNext/>
        <w:spacing w:after="80"/>
        <w:jc w:val="both"/>
      </w:pPr>
      <w:r>
        <w:rPr>
          <w:b/>
          <w:bCs/>
        </w:rPr>
        <w:t xml:space="preserve">Art. 801.</w:t>
      </w:r>
      <w:r>
        <w:t xml:space="preserve"> </w:t>
      </w:r>
      <w:r>
        <w:t xml:space="preserve">Verificando que a petição inicial está incompleta ou que não está acompanhada dos documentos indispensáveis à propositura da execução, o juiz determinará que o exequente a corrija, no prazo de 15 (quinze) dias, sob pena de indeferimento.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2911"/>
        <w:gridCol w:w="4912"/>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91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91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Caput — emenda da petição inicial da execução</w:t>
            </w:r>
          </w:p>
        </w:tc>
        <w:tc>
          <w:tcPr>
            <w:tcW w:type="dxa" w:w="2912"/>
          </w:tcPr>
          <w:p>
            <w:pPr>
              <w:pStyle w:val="Compact"/>
              <w:spacing w:line="276" w:lineRule="auto" w:before="40" w:after="40"/>
            </w:pPr>
            <w:r>
              <w:rPr>
                <w:rFonts w:ascii="Liberation Sans Narrow" w:hAnsi="Liberation Sans Narrow"/>
                <w:sz w:val="18"/>
              </w:rPr>
              <w:t xml:space="preserve">STJ, AgInt no REsp 2.233.888, Terceira Turma, relator Min. Humberto Martins, julgado em 24/08/2026, DJEN de 27/08/2026</w:t>
            </w:r>
          </w:p>
        </w:tc>
        <w:tc>
          <w:tcPr>
            <w:tcW w:type="dxa" w:w="4912"/>
          </w:tcPr>
          <w:p>
            <w:pPr>
              <w:pStyle w:val="Compact"/>
              <w:spacing w:line="276" w:lineRule="auto" w:before="40" w:after="40"/>
            </w:pPr>
            <w:r>
              <w:rPr>
                <w:rFonts w:ascii="Liberation Sans Narrow" w:hAnsi="Liberation Sans Narrow"/>
                <w:sz w:val="18"/>
              </w:rPr>
              <w:t xml:space="preserve">A insuficiência ou a incompletude do demonstrativo do débito não acarreta a extinção automática da execução: o juiz deve aplicar o art. 801 e conceder 15 dias para a emenda, faculdade que persiste mesmo após a citação dos executados e a oposição de embargos.</w:t>
            </w:r>
          </w:p>
        </w:tc>
      </w:tr>
    </w:tbl>
    <w:bookmarkEnd w:id="601"/>
    <w:bookmarkStart w:id="602" w:name="art.-802"/>
    <w:p>
      <w:pPr>
        <w:pStyle w:val="Heading6"/>
        <w:pBdr>
          <w:left w:val="single" w:sz="36" w:space="4" w:color="2E75B6"/>
        </w:pBdr>
        <w:shd w:val="clear" w:color="auto" w:fill="E3EEF9"/>
        <w:spacing w:before="200" w:after="80"/>
        <w:ind w:left="85"/>
      </w:pPr>
      <w:r>
        <w:rPr>
          <w:i w:val="0"/>
          <w:color w:val="1F3A5F"/>
          <w:sz w:val="23"/>
        </w:rPr>
        <w:t xml:space="preserve">Art. 802</w:t>
      </w:r>
    </w:p>
    <w:p>
      <w:pPr>
        <w:pStyle w:val="FirstParagraph"/>
        <w:spacing w:after="80"/>
        <w:jc w:val="both"/>
      </w:pPr>
      <w:r>
        <w:rPr>
          <w:b/>
          <w:bCs/>
        </w:rPr>
        <w:t xml:space="preserve">Art. 802.</w:t>
      </w:r>
      <w:r>
        <w:t xml:space="preserve"> </w:t>
      </w:r>
      <w:r>
        <w:t xml:space="preserve">Na execução, o despacho que ordena a citação, desde que realizada em observância ao disposto no § 2º do art. 240, interrompe a prescrição, ainda que proferido por juízo incompetente.</w:t>
      </w:r>
    </w:p>
    <w:p>
      <w:pPr>
        <w:pStyle w:val="BodyText"/>
        <w:spacing w:after="80"/>
        <w:jc w:val="both"/>
      </w:pPr>
      <w:r>
        <w:t xml:space="preserve">Parágrafo único. A interrupção da prescrição retroagirá à data de propositura da ação.</w:t>
      </w:r>
    </w:p>
    <w:bookmarkEnd w:id="602"/>
    <w:bookmarkStart w:id="603" w:name="art.-803"/>
    <w:p>
      <w:pPr>
        <w:pStyle w:val="Heading6"/>
        <w:pBdr>
          <w:left w:val="single" w:sz="36" w:space="4" w:color="2E75B6"/>
        </w:pBdr>
        <w:shd w:val="clear" w:color="auto" w:fill="E3EEF9"/>
        <w:spacing w:before="200" w:after="80"/>
        <w:ind w:left="85"/>
      </w:pPr>
      <w:r>
        <w:rPr>
          <w:i w:val="0"/>
          <w:color w:val="1F3A5F"/>
          <w:sz w:val="23"/>
        </w:rPr>
        <w:t xml:space="preserve">Art. 803</w:t>
      </w:r>
    </w:p>
    <w:p>
      <w:pPr>
        <w:pStyle w:val="FirstParagraph"/>
        <w:spacing w:after="80"/>
        <w:jc w:val="both"/>
      </w:pPr>
      <w:r>
        <w:rPr>
          <w:b/>
          <w:bCs/>
        </w:rPr>
        <w:t xml:space="preserve">Art. 803.</w:t>
      </w:r>
      <w:r>
        <w:t xml:space="preserve"> </w:t>
      </w:r>
      <w:r>
        <w:t xml:space="preserve">É nula a execução se:</w:t>
      </w:r>
    </w:p>
    <w:p>
      <w:pPr>
        <w:pStyle w:val="BodyText"/>
        <w:spacing w:after="80"/>
        <w:jc w:val="both"/>
      </w:pPr>
      <w:r>
        <w:t xml:space="preserve">I - o título executivo extrajudicial não corresponder a obrigação certa, líquida e exigível;</w:t>
      </w:r>
    </w:p>
    <w:p>
      <w:pPr>
        <w:pStyle w:val="BodyText"/>
        <w:spacing w:after="80"/>
        <w:jc w:val="both"/>
      </w:pPr>
      <w:r>
        <w:t xml:space="preserve">II - o executado não for regularmente citado;</w:t>
      </w:r>
    </w:p>
    <w:p>
      <w:pPr>
        <w:pStyle w:val="BodyText"/>
        <w:spacing w:after="80"/>
        <w:jc w:val="both"/>
      </w:pPr>
      <w:r>
        <w:t xml:space="preserve">III - for instaurada antes de se verificar a condição ou de ocorrer o termo.</w:t>
      </w:r>
    </w:p>
    <w:p>
      <w:pPr>
        <w:pStyle w:val="BodyText"/>
        <w:keepNext/>
        <w:spacing w:after="80"/>
        <w:jc w:val="both"/>
      </w:pPr>
      <w:r>
        <w:t xml:space="preserve">Parágrafo único. A nulidade de que cuida este artigo será pronunciada pelo juiz, de ofício ou a requerimento da parte, independentemente de embargos à execução.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03"/>
        <w:gridCol w:w="2849"/>
        <w:gridCol w:w="4402"/>
      </w:tblGrid>
      <w:tr>
        <w:trPr>
          <w:tblHeader w:val="on"/>
          <w:cantSplit/>
          <w:tblHeader/>
        </w:trPr>
        <w:tc>
          <w:tcPr>
            <w:tcW w:type="dxa" w:w="2103"/>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4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40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03"/>
          </w:tcPr>
          <w:p>
            <w:pPr>
              <w:pStyle w:val="Compact"/>
              <w:spacing w:line="276" w:lineRule="auto" w:before="40" w:after="40"/>
            </w:pPr>
            <w:r>
              <w:rPr>
                <w:rFonts w:ascii="Liberation Sans Narrow" w:hAnsi="Liberation Sans Narrow"/>
                <w:sz w:val="18"/>
              </w:rPr>
              <w:t xml:space="preserve">Inciso I e parágrafo único — nulidade por vício no título executivo (aplicação narrada)</w:t>
            </w:r>
          </w:p>
        </w:tc>
        <w:tc>
          <w:tcPr>
            <w:tcW w:type="dxa" w:w="2849"/>
          </w:tcPr>
          <w:p>
            <w:pPr>
              <w:pStyle w:val="Compact"/>
              <w:spacing w:line="276" w:lineRule="auto" w:before="40" w:after="40"/>
            </w:pPr>
            <w:r>
              <w:rPr>
                <w:rFonts w:ascii="Liberation Sans Narrow" w:hAnsi="Liberation Sans Narrow"/>
                <w:sz w:val="18"/>
              </w:rPr>
              <w:t xml:space="preserve">STJ, REsp 2.260.454, Terceira Turma, relator Min. Humberto Martins, julgado em 12/08/2026</w:t>
            </w:r>
          </w:p>
        </w:tc>
        <w:tc>
          <w:tcPr>
            <w:tcW w:type="dxa" w:w="4402"/>
          </w:tcPr>
          <w:p>
            <w:pPr>
              <w:pStyle w:val="Compact"/>
              <w:spacing w:line="276" w:lineRule="auto" w:before="40" w:after="40"/>
            </w:pPr>
            <w:r>
              <w:rPr>
                <w:rFonts w:ascii="Liberation Sans Narrow" w:hAnsi="Liberation Sans Narrow"/>
                <w:sz w:val="18"/>
              </w:rPr>
              <w:t xml:space="preserve">A nulidade da execução por vício no título executivo é matéria de ordem pública, cognoscível a qualquer tempo e grau de jurisdição, sem sujeição à preclusão temporal, e pode ser arguida por exceção de pré-executividade quando a irregularidade for demonstrável de plano pela simples análise do título e dos documentos que instruem a execução; cabe ao exequente o ônus de instruir a execução com os documentos indispensáveis à comprovação da certeza da obrigação, não se podendo exigir do executado prova de fato negativo. Trecho: “A nulidade da execução por vício no título executivo constitui matéria de ordem pública, cognoscível a qualquer tempo e grau de jurisdição, não se sujeitando à preclusão temporal.”</w:t>
            </w:r>
          </w:p>
        </w:tc>
      </w:tr>
      <w:tr>
        <w:trPr>
          <w:cantSplit/>
        </w:trPr>
        <w:tc>
          <w:tcPr>
            <w:tcW w:type="dxa" w:w="2103"/>
          </w:tcPr>
          <w:p>
            <w:pPr>
              <w:pStyle w:val="Compact"/>
              <w:spacing w:line="276" w:lineRule="auto" w:before="40" w:after="40"/>
            </w:pPr>
            <w:r>
              <w:rPr>
                <w:rFonts w:ascii="Liberation Sans Narrow" w:hAnsi="Liberation Sans Narrow"/>
                <w:sz w:val="18"/>
              </w:rPr>
              <w:t xml:space="preserve">Caput e parágrafo único — nulidade da execução</w:t>
            </w:r>
          </w:p>
        </w:tc>
        <w:tc>
          <w:tcPr>
            <w:tcW w:type="dxa" w:w="2849"/>
          </w:tcPr>
          <w:p>
            <w:pPr>
              <w:pStyle w:val="Compact"/>
              <w:spacing w:line="276" w:lineRule="auto" w:before="40" w:after="40"/>
            </w:pPr>
            <w:r>
              <w:rPr>
                <w:rFonts w:ascii="Liberation Sans Narrow" w:hAnsi="Liberation Sans Narrow"/>
                <w:sz w:val="18"/>
              </w:rPr>
              <w:t xml:space="preserve">STJ, REsp 2.238.613, Quarta Turma, relatora Min. Maria Isabel Gallotti, julgado em 25/05/2026, DJEN de 28/05/2026</w:t>
            </w:r>
          </w:p>
        </w:tc>
        <w:tc>
          <w:tcPr>
            <w:tcW w:type="dxa" w:w="4402"/>
          </w:tcPr>
          <w:p>
            <w:pPr>
              <w:pStyle w:val="Compact"/>
              <w:spacing w:line="276" w:lineRule="auto" w:before="40" w:after="40"/>
            </w:pPr>
            <w:r>
              <w:rPr>
                <w:rFonts w:ascii="Liberation Sans Narrow" w:hAnsi="Liberation Sans Narrow"/>
                <w:sz w:val="18"/>
              </w:rPr>
              <w:t xml:space="preserve">O art. 803, I e parágrafo único, impõe ao juiz pronunciar, de ofício, a nulidade da execução fundada em título sem certeza, liquidez e exigibilidade.</w:t>
            </w:r>
          </w:p>
        </w:tc>
      </w:tr>
    </w:tbl>
    <w:bookmarkEnd w:id="603"/>
    <w:bookmarkStart w:id="604" w:name="art.-804"/>
    <w:p>
      <w:pPr>
        <w:pStyle w:val="Heading6"/>
        <w:pBdr>
          <w:left w:val="single" w:sz="36" w:space="4" w:color="2E75B6"/>
        </w:pBdr>
        <w:shd w:val="clear" w:color="auto" w:fill="E3EEF9"/>
        <w:spacing w:before="200" w:after="80"/>
        <w:ind w:left="85"/>
      </w:pPr>
      <w:r>
        <w:rPr>
          <w:i w:val="0"/>
          <w:color w:val="1F3A5F"/>
          <w:sz w:val="23"/>
        </w:rPr>
        <w:t xml:space="preserve">Art. 804</w:t>
      </w:r>
    </w:p>
    <w:p>
      <w:pPr>
        <w:pStyle w:val="FirstParagraph"/>
        <w:spacing w:after="80"/>
        <w:jc w:val="both"/>
      </w:pPr>
      <w:r>
        <w:rPr>
          <w:b/>
          <w:bCs/>
        </w:rPr>
        <w:t xml:space="preserve">Art. 804.</w:t>
      </w:r>
      <w:r>
        <w:t xml:space="preserve"> </w:t>
      </w:r>
      <w:r>
        <w:t xml:space="preserve">A alienação de bem gravado por penhor, hipoteca ou anticrese será ineficaz em relação ao credor pignoratício, hipotecário ou anticrético não intimado.</w:t>
      </w:r>
    </w:p>
    <w:p>
      <w:pPr>
        <w:pStyle w:val="BodyText"/>
        <w:spacing w:after="80"/>
        <w:jc w:val="both"/>
      </w:pPr>
      <w:r>
        <w:t xml:space="preserve">§ 1º A alienação de bem objeto de promessa de compra e venda ou de cessão registrada será ineficaz em relação ao promitente comprador ou ao cessionário não intimado.</w:t>
      </w:r>
    </w:p>
    <w:p>
      <w:pPr>
        <w:pStyle w:val="BodyText"/>
        <w:spacing w:after="80"/>
        <w:jc w:val="both"/>
      </w:pPr>
      <w:r>
        <w:t xml:space="preserve">§ 2º A alienação de bem sobre o qual tenha sido instituído direito de superfície, seja do solo, da plantação ou da construção, será ineficaz em relação ao concedente ou ao concessionário não intimado.</w:t>
      </w:r>
    </w:p>
    <w:p>
      <w:pPr>
        <w:pStyle w:val="BodyText"/>
        <w:spacing w:after="80"/>
        <w:jc w:val="both"/>
      </w:pPr>
      <w:r>
        <w:t xml:space="preserve">§ 3º A alienação de direito aquisitivo de bem objeto de promessa de venda, de promessa de cessão ou de alienação fiduciária será ineficaz em relação ao promitente vendedor, ao promitente cedente ou ao proprietário fiduciário não intimado.</w:t>
      </w:r>
    </w:p>
    <w:p>
      <w:pPr>
        <w:pStyle w:val="BodyText"/>
        <w:spacing w:after="80"/>
        <w:jc w:val="both"/>
      </w:pPr>
      <w:r>
        <w:t xml:space="preserve">§ 4º A alienação de imóvel sobre o qual tenha sido instituída enfiteuse, concessão de uso especial para fins de moradia ou concessão de direito real de uso será ineficaz em relação ao enfiteuta ou ao concessionário não intimado.</w:t>
      </w:r>
    </w:p>
    <w:p>
      <w:pPr>
        <w:pStyle w:val="BodyText"/>
        <w:spacing w:after="80"/>
        <w:jc w:val="both"/>
      </w:pPr>
      <w:r>
        <w:t xml:space="preserve">§ 5º A alienação de direitos do enfiteuta, do concessionário de direito real de uso ou do concessionário de uso especial para fins de moradia será ineficaz em relação ao proprietário do respectivo imóvel não intimado.</w:t>
      </w:r>
    </w:p>
    <w:p>
      <w:pPr>
        <w:pStyle w:val="BodyText"/>
        <w:spacing w:after="80"/>
        <w:jc w:val="both"/>
      </w:pPr>
      <w:r>
        <w:t xml:space="preserve">§ 6º A alienação de bem sobre o qual tenha sido instituído usufruto, uso ou habitação será ineficaz em relação ao titular desses direitos reais não intimado.</w:t>
      </w:r>
    </w:p>
    <w:bookmarkEnd w:id="604"/>
    <w:bookmarkStart w:id="605" w:name="art.-805"/>
    <w:p>
      <w:pPr>
        <w:pStyle w:val="Heading6"/>
        <w:pBdr>
          <w:left w:val="single" w:sz="36" w:space="4" w:color="2E75B6"/>
        </w:pBdr>
        <w:shd w:val="clear" w:color="auto" w:fill="E3EEF9"/>
        <w:spacing w:before="200" w:after="80"/>
        <w:ind w:left="85"/>
      </w:pPr>
      <w:r>
        <w:rPr>
          <w:i w:val="0"/>
          <w:color w:val="1F3A5F"/>
          <w:sz w:val="23"/>
        </w:rPr>
        <w:t xml:space="preserve">Art. 805</w:t>
      </w:r>
    </w:p>
    <w:p>
      <w:pPr>
        <w:pStyle w:val="FirstParagraph"/>
        <w:keepNext/>
        <w:spacing w:after="80"/>
        <w:jc w:val="both"/>
      </w:pPr>
      <w:r>
        <w:rPr>
          <w:b/>
          <w:bCs/>
        </w:rPr>
        <w:t xml:space="preserve">Art. 805.</w:t>
      </w:r>
      <w:r>
        <w:t xml:space="preserve"> </w:t>
      </w:r>
      <w:r>
        <w:t xml:space="preserve">Quando por vários meios o exequente puder promover a execução, o juiz mandará que se faça pelo modo menos gravoso para o executado.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2522"/>
        <w:gridCol w:w="5302"/>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2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30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Caput — execução pelo modo menos gravoso</w:t>
            </w:r>
          </w:p>
        </w:tc>
        <w:tc>
          <w:tcPr>
            <w:tcW w:type="dxa" w:w="2522"/>
          </w:tcPr>
          <w:p>
            <w:pPr>
              <w:pStyle w:val="Compact"/>
              <w:spacing w:line="276" w:lineRule="auto" w:before="40" w:after="40"/>
            </w:pPr>
            <w:r>
              <w:rPr>
                <w:rFonts w:ascii="Liberation Sans Narrow" w:hAnsi="Liberation Sans Narrow"/>
                <w:sz w:val="18"/>
              </w:rPr>
              <w:t xml:space="preserve">STJ, AgInt no AREsp 1.540.073, Quarta Turma, relator Min. Raul Araújo, DJe de 25/08/2023</w:t>
            </w:r>
          </w:p>
        </w:tc>
        <w:tc>
          <w:tcPr>
            <w:tcW w:type="dxa" w:w="5302"/>
          </w:tcPr>
          <w:p>
            <w:pPr>
              <w:pStyle w:val="Compact"/>
              <w:spacing w:line="276" w:lineRule="auto" w:before="40" w:after="40"/>
            </w:pPr>
            <w:r>
              <w:rPr>
                <w:rFonts w:ascii="Liberation Sans Narrow" w:hAnsi="Liberation Sans Narrow"/>
                <w:sz w:val="18"/>
              </w:rPr>
              <w:t xml:space="preserve">A ordem de preferência do art. 835 não é absoluta e pode ser flexibilizada conforme as particularidades do caso; também não é absoluto o princípio da menor onerosidade, que se lê em conjunto com a efetividade da execução, e ao executado que alega onerosidade incumbe indicar os meios mais eficazes e menos onerosos.</w:t>
            </w:r>
          </w:p>
        </w:tc>
      </w:tr>
    </w:tbl>
    <w:p>
      <w:pPr>
        <w:pStyle w:val="BodyText"/>
        <w:spacing w:after="80"/>
        <w:jc w:val="both"/>
      </w:pPr>
      <w:r>
        <w:t xml:space="preserve">Parágrafo único. Ao executado que alegar ser a medida executiva mais gravosa incumbe indicar outros meios mais eficazes e menos onerosos, sob pena de manutenção dos atos executivos já determinados.</w:t>
      </w:r>
    </w:p>
    <w:bookmarkEnd w:id="605"/>
    <w:bookmarkEnd w:id="606"/>
    <w:bookmarkStart w:id="617" w:name="X9dbb29750619c763530eddc159f4b04c9e1f9c1"/>
    <w:p>
      <w:pPr>
        <w:pStyle w:val="Heading4"/>
        <w:spacing w:before="160" w:after="40"/>
      </w:pPr>
      <w:r>
        <w:rPr>
          <w:smallCaps/>
          <w:color w:val="2E75B6"/>
        </w:rPr>
        <w:t xml:space="preserve">Capítulo II: da execução para a entrega de coisa (arts. 806 a 813)</w:t>
      </w:r>
    </w:p>
    <w:bookmarkStart w:id="612" w:name="X03d5fff11fc05ec91a59be73a800858fbc7edbd"/>
    <w:p>
      <w:pPr>
        <w:pStyle w:val="Heading5"/>
        <w:spacing w:before="140" w:after="20"/>
      </w:pPr>
      <w:r>
        <w:rPr>
          <w:i/>
          <w:color w:val="595959"/>
        </w:rPr>
        <w:t xml:space="preserve">Seção I: da entrega de coisa certa (arts. 806 a 810)</w:t>
      </w:r>
    </w:p>
    <w:bookmarkStart w:id="607" w:name="art.-806"/>
    <w:p>
      <w:pPr>
        <w:pStyle w:val="Heading6"/>
        <w:pBdr>
          <w:left w:val="single" w:sz="36" w:space="4" w:color="2E75B6"/>
        </w:pBdr>
        <w:shd w:val="clear" w:color="auto" w:fill="E3EEF9"/>
        <w:spacing w:before="200" w:after="80"/>
        <w:ind w:left="85"/>
      </w:pPr>
      <w:r>
        <w:rPr>
          <w:i w:val="0"/>
          <w:color w:val="1F3A5F"/>
          <w:sz w:val="23"/>
        </w:rPr>
        <w:t xml:space="preserve">Art. 806</w:t>
      </w:r>
    </w:p>
    <w:p>
      <w:pPr>
        <w:pStyle w:val="FirstParagraph"/>
        <w:spacing w:after="80"/>
        <w:jc w:val="both"/>
      </w:pPr>
      <w:r>
        <w:rPr>
          <w:b/>
          <w:bCs/>
        </w:rPr>
        <w:t xml:space="preserve">Art. 806.</w:t>
      </w:r>
      <w:r>
        <w:t xml:space="preserve"> </w:t>
      </w:r>
      <w:r>
        <w:t xml:space="preserve">O devedor de obrigação de entrega de coisa certa, constante de título executivo extrajudicial, será citado para, em 15 (quinze) dias, satisfazer a obrigação.</w:t>
      </w:r>
    </w:p>
    <w:p>
      <w:pPr>
        <w:pStyle w:val="BodyText"/>
        <w:spacing w:after="80"/>
        <w:jc w:val="both"/>
      </w:pPr>
      <w:r>
        <w:t xml:space="preserve">§ 1º Ao despachar a inicial, o juiz poderá fixar multa por dia de atraso no cumprimento da obrigação, ficando o respectivo valor sujeito a alteração, caso se revele insuficiente ou excessivo.</w:t>
      </w:r>
    </w:p>
    <w:p>
      <w:pPr>
        <w:pStyle w:val="BodyText"/>
        <w:spacing w:after="80"/>
        <w:jc w:val="both"/>
      </w:pPr>
      <w:r>
        <w:t xml:space="preserve">§ 2º Do mandado de citação constará ordem para imissão na posse ou busca e apreensão, conforme se tratar de bem imóvel ou móvel, cujo cumprimento se dará de imediato, se o executado não satisfizer a obrigação no prazo que lhe foi designado.</w:t>
      </w:r>
    </w:p>
    <w:bookmarkEnd w:id="607"/>
    <w:bookmarkStart w:id="608" w:name="art.-807"/>
    <w:p>
      <w:pPr>
        <w:pStyle w:val="Heading6"/>
        <w:pBdr>
          <w:left w:val="single" w:sz="36" w:space="4" w:color="2E75B6"/>
        </w:pBdr>
        <w:shd w:val="clear" w:color="auto" w:fill="E3EEF9"/>
        <w:spacing w:before="200" w:after="80"/>
        <w:ind w:left="85"/>
      </w:pPr>
      <w:r>
        <w:rPr>
          <w:i w:val="0"/>
          <w:color w:val="1F3A5F"/>
          <w:sz w:val="23"/>
        </w:rPr>
        <w:t xml:space="preserve">Art. 807</w:t>
      </w:r>
    </w:p>
    <w:p>
      <w:pPr>
        <w:pStyle w:val="FirstParagraph"/>
        <w:spacing w:after="80"/>
        <w:jc w:val="both"/>
      </w:pPr>
      <w:r>
        <w:rPr>
          <w:b/>
          <w:bCs/>
        </w:rPr>
        <w:t xml:space="preserve">Art. 807.</w:t>
      </w:r>
      <w:r>
        <w:t xml:space="preserve"> </w:t>
      </w:r>
      <w:r>
        <w:t xml:space="preserve">Se o executado entregar a coisa, será lavrado o termo respectivo e considerada satisfeita a obrigação, prosseguindo-se a execução para o pagamento de frutos ou o ressarcimento de prejuízos, se houver.</w:t>
      </w:r>
    </w:p>
    <w:bookmarkEnd w:id="608"/>
    <w:bookmarkStart w:id="609" w:name="art.-808"/>
    <w:p>
      <w:pPr>
        <w:pStyle w:val="Heading6"/>
        <w:pBdr>
          <w:left w:val="single" w:sz="36" w:space="4" w:color="2E75B6"/>
        </w:pBdr>
        <w:shd w:val="clear" w:color="auto" w:fill="E3EEF9"/>
        <w:spacing w:before="200" w:after="80"/>
        <w:ind w:left="85"/>
      </w:pPr>
      <w:r>
        <w:rPr>
          <w:i w:val="0"/>
          <w:color w:val="1F3A5F"/>
          <w:sz w:val="23"/>
        </w:rPr>
        <w:t xml:space="preserve">Art. 808</w:t>
      </w:r>
    </w:p>
    <w:p>
      <w:pPr>
        <w:pStyle w:val="FirstParagraph"/>
        <w:spacing w:after="80"/>
        <w:jc w:val="both"/>
      </w:pPr>
      <w:r>
        <w:rPr>
          <w:b/>
          <w:bCs/>
        </w:rPr>
        <w:t xml:space="preserve">Art. 808.</w:t>
      </w:r>
      <w:r>
        <w:t xml:space="preserve"> </w:t>
      </w:r>
      <w:r>
        <w:t xml:space="preserve">Alienada a coisa quando já litigiosa, será expedido mandado contra o terceiro adquirente, que somente será ouvido após depositá-la.</w:t>
      </w:r>
    </w:p>
    <w:bookmarkEnd w:id="609"/>
    <w:bookmarkStart w:id="610" w:name="art.-809"/>
    <w:p>
      <w:pPr>
        <w:pStyle w:val="Heading6"/>
        <w:pBdr>
          <w:left w:val="single" w:sz="36" w:space="4" w:color="2E75B6"/>
        </w:pBdr>
        <w:shd w:val="clear" w:color="auto" w:fill="E3EEF9"/>
        <w:spacing w:before="200" w:after="80"/>
        <w:ind w:left="85"/>
      </w:pPr>
      <w:r>
        <w:rPr>
          <w:i w:val="0"/>
          <w:color w:val="1F3A5F"/>
          <w:sz w:val="23"/>
        </w:rPr>
        <w:t xml:space="preserve">Art. 809</w:t>
      </w:r>
    </w:p>
    <w:p>
      <w:pPr>
        <w:pStyle w:val="FirstParagraph"/>
        <w:spacing w:after="80"/>
        <w:jc w:val="both"/>
      </w:pPr>
      <w:r>
        <w:rPr>
          <w:b/>
          <w:bCs/>
        </w:rPr>
        <w:t xml:space="preserve">Art. 809.</w:t>
      </w:r>
      <w:r>
        <w:t xml:space="preserve"> </w:t>
      </w:r>
      <w:r>
        <w:t xml:space="preserve">O exequente tem direito a receber, além de perdas e danos, o valor da coisa, quando essa se deteriorar, não lhe for entregue, não for encontrada ou não for reclamada do poder de terceiro adquirente.</w:t>
      </w:r>
    </w:p>
    <w:p>
      <w:pPr>
        <w:pStyle w:val="BodyText"/>
        <w:spacing w:after="80"/>
        <w:jc w:val="both"/>
      </w:pPr>
      <w:r>
        <w:t xml:space="preserve">§ 1º Não constando do título o valor da coisa e sendo impossível sua avaliação, o exequente apresentará estimativa, sujeitando-a ao arbitramento judicial.</w:t>
      </w:r>
    </w:p>
    <w:p>
      <w:pPr>
        <w:pStyle w:val="BodyText"/>
        <w:spacing w:after="80"/>
        <w:jc w:val="both"/>
      </w:pPr>
      <w:r>
        <w:t xml:space="preserve">§ 2º Serão apurados em liquidação o valor da coisa e os prejuízos.</w:t>
      </w:r>
    </w:p>
    <w:bookmarkEnd w:id="610"/>
    <w:bookmarkStart w:id="611" w:name="art.-810"/>
    <w:p>
      <w:pPr>
        <w:pStyle w:val="Heading6"/>
        <w:pBdr>
          <w:left w:val="single" w:sz="36" w:space="4" w:color="2E75B6"/>
        </w:pBdr>
        <w:shd w:val="clear" w:color="auto" w:fill="E3EEF9"/>
        <w:spacing w:before="200" w:after="80"/>
        <w:ind w:left="85"/>
      </w:pPr>
      <w:r>
        <w:rPr>
          <w:i w:val="0"/>
          <w:color w:val="1F3A5F"/>
          <w:sz w:val="23"/>
        </w:rPr>
        <w:t xml:space="preserve">Art. 810</w:t>
      </w:r>
    </w:p>
    <w:p>
      <w:pPr>
        <w:pStyle w:val="FirstParagraph"/>
        <w:spacing w:after="80"/>
        <w:jc w:val="both"/>
      </w:pPr>
      <w:r>
        <w:rPr>
          <w:b/>
          <w:bCs/>
        </w:rPr>
        <w:t xml:space="preserve">Art. 810.</w:t>
      </w:r>
      <w:r>
        <w:t xml:space="preserve"> </w:t>
      </w:r>
      <w:r>
        <w:t xml:space="preserve">Havendo benfeitorias indenizáveis feitas na coisa pelo executado ou por terceiros de cujo poder ela houver sido tirada, a liquidação prévia é obrigatória.</w:t>
      </w:r>
    </w:p>
    <w:p>
      <w:pPr>
        <w:pStyle w:val="BodyText"/>
        <w:spacing w:after="80"/>
        <w:jc w:val="both"/>
      </w:pPr>
      <w:r>
        <w:t xml:space="preserve">Parágrafo único. Havendo saldo:</w:t>
      </w:r>
    </w:p>
    <w:p>
      <w:pPr>
        <w:pStyle w:val="BodyText"/>
        <w:spacing w:after="80"/>
        <w:jc w:val="both"/>
      </w:pPr>
      <w:r>
        <w:t xml:space="preserve">I - em favor do executado ou de terceiros, o exequente o depositará ao requerer a entrega da coisa;</w:t>
      </w:r>
    </w:p>
    <w:p>
      <w:pPr>
        <w:pStyle w:val="BodyText"/>
        <w:spacing w:after="80"/>
        <w:jc w:val="both"/>
      </w:pPr>
      <w:r>
        <w:t xml:space="preserve">II - em favor do exequente, esse poderá cobrá-lo nos autos do mesmo processo.</w:t>
      </w:r>
    </w:p>
    <w:bookmarkEnd w:id="611"/>
    <w:bookmarkEnd w:id="612"/>
    <w:bookmarkStart w:id="616" w:name="X8afe576556cc2de499650f863485f3718ce3558"/>
    <w:p>
      <w:pPr>
        <w:pStyle w:val="Heading5"/>
        <w:spacing w:before="140" w:after="20"/>
      </w:pPr>
      <w:r>
        <w:rPr>
          <w:i/>
          <w:color w:val="595959"/>
        </w:rPr>
        <w:t xml:space="preserve">Seção II: da entrega de coisa incerta (arts. 811 a 813)</w:t>
      </w:r>
    </w:p>
    <w:bookmarkStart w:id="613" w:name="art.-811"/>
    <w:p>
      <w:pPr>
        <w:pStyle w:val="Heading6"/>
        <w:pBdr>
          <w:left w:val="single" w:sz="36" w:space="4" w:color="2E75B6"/>
        </w:pBdr>
        <w:shd w:val="clear" w:color="auto" w:fill="E3EEF9"/>
        <w:spacing w:before="200" w:after="80"/>
        <w:ind w:left="85"/>
      </w:pPr>
      <w:r>
        <w:rPr>
          <w:i w:val="0"/>
          <w:color w:val="1F3A5F"/>
          <w:sz w:val="23"/>
        </w:rPr>
        <w:t xml:space="preserve">Art. 811</w:t>
      </w:r>
    </w:p>
    <w:p>
      <w:pPr>
        <w:pStyle w:val="FirstParagraph"/>
        <w:spacing w:after="80"/>
        <w:jc w:val="both"/>
      </w:pPr>
      <w:r>
        <w:rPr>
          <w:b/>
          <w:bCs/>
        </w:rPr>
        <w:t xml:space="preserve">Art. 811.</w:t>
      </w:r>
      <w:r>
        <w:t xml:space="preserve"> </w:t>
      </w:r>
      <w:r>
        <w:t xml:space="preserve">Quando a execução recair sobre coisa determinada pelo gênero e pela quantidade, o executado será citado para entregá-la individualizada, se lhe couber a escolha.</w:t>
      </w:r>
    </w:p>
    <w:p>
      <w:pPr>
        <w:pStyle w:val="BodyText"/>
        <w:spacing w:after="80"/>
        <w:jc w:val="both"/>
      </w:pPr>
      <w:r>
        <w:t xml:space="preserve">Parágrafo único. Se a escolha couber ao exequente, esse deverá indicá-la na petição inicial.</w:t>
      </w:r>
    </w:p>
    <w:bookmarkEnd w:id="613"/>
    <w:bookmarkStart w:id="614" w:name="art.-812"/>
    <w:p>
      <w:pPr>
        <w:pStyle w:val="Heading6"/>
        <w:pBdr>
          <w:left w:val="single" w:sz="36" w:space="4" w:color="2E75B6"/>
        </w:pBdr>
        <w:shd w:val="clear" w:color="auto" w:fill="E3EEF9"/>
        <w:spacing w:before="200" w:after="80"/>
        <w:ind w:left="85"/>
      </w:pPr>
      <w:r>
        <w:rPr>
          <w:i w:val="0"/>
          <w:color w:val="1F3A5F"/>
          <w:sz w:val="23"/>
        </w:rPr>
        <w:t xml:space="preserve">Art. 812</w:t>
      </w:r>
    </w:p>
    <w:p>
      <w:pPr>
        <w:pStyle w:val="FirstParagraph"/>
        <w:spacing w:after="80"/>
        <w:jc w:val="both"/>
      </w:pPr>
      <w:r>
        <w:rPr>
          <w:b/>
          <w:bCs/>
        </w:rPr>
        <w:t xml:space="preserve">Art. 812.</w:t>
      </w:r>
      <w:r>
        <w:t xml:space="preserve"> </w:t>
      </w:r>
      <w:r>
        <w:t xml:space="preserve">Qualquer das partes poderá, no prazo de 15 (quinze) dias, impugnar a escolha feita pela outra, e o juiz decidirá de plano ou, se necessário, ouvindo perito de sua nomeação.</w:t>
      </w:r>
    </w:p>
    <w:bookmarkEnd w:id="614"/>
    <w:bookmarkStart w:id="615" w:name="art.-813"/>
    <w:p>
      <w:pPr>
        <w:pStyle w:val="Heading6"/>
        <w:pBdr>
          <w:left w:val="single" w:sz="36" w:space="4" w:color="2E75B6"/>
        </w:pBdr>
        <w:shd w:val="clear" w:color="auto" w:fill="E3EEF9"/>
        <w:spacing w:before="200" w:after="80"/>
        <w:ind w:left="85"/>
      </w:pPr>
      <w:r>
        <w:rPr>
          <w:i w:val="0"/>
          <w:color w:val="1F3A5F"/>
          <w:sz w:val="23"/>
        </w:rPr>
        <w:t xml:space="preserve">Art. 813</w:t>
      </w:r>
    </w:p>
    <w:p>
      <w:pPr>
        <w:pStyle w:val="FirstParagraph"/>
        <w:spacing w:after="80"/>
        <w:jc w:val="both"/>
      </w:pPr>
      <w:r>
        <w:rPr>
          <w:b/>
          <w:bCs/>
        </w:rPr>
        <w:t xml:space="preserve">Art. 813.</w:t>
      </w:r>
      <w:r>
        <w:t xml:space="preserve"> </w:t>
      </w:r>
      <w:r>
        <w:t xml:space="preserve">Aplicar-se-ão à execução para entrega de coisa incerta, no que couber, as disposições da Seção I deste Capítulo.</w:t>
      </w:r>
    </w:p>
    <w:bookmarkEnd w:id="615"/>
    <w:bookmarkEnd w:id="616"/>
    <w:bookmarkEnd w:id="617"/>
    <w:bookmarkStart w:id="631" w:name="Xa01d5e8e6ab2f5d618f40e065362529d0020055"/>
    <w:p>
      <w:pPr>
        <w:pStyle w:val="Heading4"/>
        <w:spacing w:before="160" w:after="40"/>
      </w:pPr>
      <w:r>
        <w:rPr>
          <w:smallCaps/>
          <w:color w:val="2E75B6"/>
        </w:rPr>
        <w:t xml:space="preserve">Capítulo III: da execução das obrigações de fazer ou de não fazer (arts. 814 a 823)</w:t>
      </w:r>
    </w:p>
    <w:bookmarkStart w:id="619" w:name="seção-i-disposições-comuns-arts.-814"/>
    <w:p>
      <w:pPr>
        <w:pStyle w:val="Heading5"/>
        <w:spacing w:before="140" w:after="20"/>
      </w:pPr>
      <w:r>
        <w:rPr>
          <w:i/>
          <w:color w:val="595959"/>
        </w:rPr>
        <w:t xml:space="preserve">Seção I: disposições comuns (arts. 814)</w:t>
      </w:r>
    </w:p>
    <w:bookmarkStart w:id="618" w:name="art.-814"/>
    <w:p>
      <w:pPr>
        <w:pStyle w:val="Heading6"/>
        <w:pBdr>
          <w:left w:val="single" w:sz="36" w:space="4" w:color="2E75B6"/>
        </w:pBdr>
        <w:shd w:val="clear" w:color="auto" w:fill="E3EEF9"/>
        <w:spacing w:before="200" w:after="80"/>
        <w:ind w:left="85"/>
      </w:pPr>
      <w:r>
        <w:rPr>
          <w:i w:val="0"/>
          <w:color w:val="1F3A5F"/>
          <w:sz w:val="23"/>
        </w:rPr>
        <w:t xml:space="preserve">Art. 814</w:t>
      </w:r>
    </w:p>
    <w:p>
      <w:pPr>
        <w:pStyle w:val="FirstParagraph"/>
        <w:spacing w:after="80"/>
        <w:jc w:val="both"/>
      </w:pPr>
      <w:r>
        <w:rPr>
          <w:b/>
          <w:bCs/>
        </w:rPr>
        <w:t xml:space="preserve">Art. 814.</w:t>
      </w:r>
      <w:r>
        <w:t xml:space="preserve"> </w:t>
      </w:r>
      <w:r>
        <w:t xml:space="preserve">Na execução de obrigação de fazer ou de não fazer fundada em título extrajudicial, ao despachar a inicial, o juiz fixará multa por período de atraso no cumprimento da obrigação e a data a partir da qual será devida.</w:t>
      </w:r>
    </w:p>
    <w:p>
      <w:pPr>
        <w:pStyle w:val="BodyText"/>
        <w:spacing w:after="80"/>
        <w:jc w:val="both"/>
      </w:pPr>
      <w:r>
        <w:t xml:space="preserve">Parágrafo único. Se o valor da multa estiver previsto no título e for excessivo, o juiz poderá reduzi-lo.</w:t>
      </w:r>
    </w:p>
    <w:bookmarkEnd w:id="618"/>
    <w:bookmarkEnd w:id="619"/>
    <w:bookmarkStart w:id="627" w:name="X5471ac0a6bd7882faf33df2b8f81c95cc8a37cd"/>
    <w:p>
      <w:pPr>
        <w:pStyle w:val="Heading5"/>
        <w:spacing w:before="140" w:after="20"/>
      </w:pPr>
      <w:r>
        <w:rPr>
          <w:i/>
          <w:color w:val="595959"/>
        </w:rPr>
        <w:t xml:space="preserve">Seção II: da obrigação de fazer (arts. 815 a 821)</w:t>
      </w:r>
    </w:p>
    <w:bookmarkStart w:id="620" w:name="art.-815"/>
    <w:p>
      <w:pPr>
        <w:pStyle w:val="Heading6"/>
        <w:pBdr>
          <w:left w:val="single" w:sz="36" w:space="4" w:color="2E75B6"/>
        </w:pBdr>
        <w:shd w:val="clear" w:color="auto" w:fill="E3EEF9"/>
        <w:spacing w:before="200" w:after="80"/>
        <w:ind w:left="85"/>
      </w:pPr>
      <w:r>
        <w:rPr>
          <w:i w:val="0"/>
          <w:color w:val="1F3A5F"/>
          <w:sz w:val="23"/>
        </w:rPr>
        <w:t xml:space="preserve">Art. 815</w:t>
      </w:r>
    </w:p>
    <w:p>
      <w:pPr>
        <w:pStyle w:val="FirstParagraph"/>
        <w:keepNext/>
        <w:spacing w:after="80"/>
        <w:jc w:val="both"/>
      </w:pPr>
      <w:r>
        <w:rPr>
          <w:b/>
          <w:bCs/>
        </w:rPr>
        <w:t xml:space="preserve">Art. 815.</w:t>
      </w:r>
      <w:r>
        <w:t xml:space="preserve"> </w:t>
      </w:r>
      <w:r>
        <w:t xml:space="preserve">Quando o objeto da execução for obrigação de fazer, o executado será citado para satisfazê-la no prazo que o juiz lhe designar, se outro não estiver determinado no título executivo.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75"/>
        <w:gridCol w:w="3559"/>
        <w:gridCol w:w="3820"/>
      </w:tblGrid>
      <w:tr>
        <w:trPr>
          <w:tblHeader w:val="on"/>
          <w:cantSplit/>
          <w:tblHeader/>
        </w:trPr>
        <w:tc>
          <w:tcPr>
            <w:tcW w:type="dxa" w:w="197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55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382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75"/>
          </w:tcPr>
          <w:p>
            <w:pPr>
              <w:pStyle w:val="Compact"/>
              <w:spacing w:line="276" w:lineRule="auto" w:before="40" w:after="40"/>
            </w:pPr>
            <w:r>
              <w:rPr>
                <w:rFonts w:ascii="Liberation Sans Narrow" w:hAnsi="Liberation Sans Narrow"/>
                <w:sz w:val="18"/>
              </w:rPr>
              <w:t xml:space="preserve">Caput — prazo para cumprir a obrigação de fazer</w:t>
            </w:r>
          </w:p>
        </w:tc>
        <w:tc>
          <w:tcPr>
            <w:tcW w:type="dxa" w:w="3559"/>
          </w:tcPr>
          <w:p>
            <w:pPr>
              <w:pStyle w:val="Compact"/>
              <w:spacing w:line="276" w:lineRule="auto" w:before="40" w:after="40"/>
            </w:pPr>
            <w:r>
              <w:rPr>
                <w:rFonts w:ascii="Liberation Sans Narrow" w:hAnsi="Liberation Sans Narrow"/>
                <w:sz w:val="18"/>
              </w:rPr>
              <w:t xml:space="preserve">STJ, REsp 2.251.367, Segunda Turma, relator Min. Teodoro Silva Santos, julgado em 15/04/2026, DJEN de 24/04/2026</w:t>
            </w:r>
          </w:p>
        </w:tc>
        <w:tc>
          <w:tcPr>
            <w:tcW w:type="dxa" w:w="3820"/>
          </w:tcPr>
          <w:p>
            <w:pPr>
              <w:pStyle w:val="Compact"/>
              <w:spacing w:line="276" w:lineRule="auto" w:before="40" w:after="40"/>
            </w:pPr>
            <w:r>
              <w:rPr>
                <w:rFonts w:ascii="Liberation Sans Narrow" w:hAnsi="Liberation Sans Narrow"/>
                <w:sz w:val="18"/>
              </w:rPr>
              <w:t xml:space="preserve">O prazo fixado para o cumprimento da obrigação de fazer e para o início da incidência da multa diária conta-se em dias úteis.</w:t>
            </w:r>
          </w:p>
        </w:tc>
      </w:tr>
    </w:tbl>
    <w:bookmarkEnd w:id="620"/>
    <w:bookmarkStart w:id="621" w:name="art.-816"/>
    <w:p>
      <w:pPr>
        <w:pStyle w:val="Heading6"/>
        <w:pBdr>
          <w:left w:val="single" w:sz="36" w:space="4" w:color="2E75B6"/>
        </w:pBdr>
        <w:shd w:val="clear" w:color="auto" w:fill="E3EEF9"/>
        <w:spacing w:before="200" w:after="80"/>
        <w:ind w:left="85"/>
      </w:pPr>
      <w:r>
        <w:rPr>
          <w:i w:val="0"/>
          <w:color w:val="1F3A5F"/>
          <w:sz w:val="23"/>
        </w:rPr>
        <w:t xml:space="preserve">Art. 816</w:t>
      </w:r>
    </w:p>
    <w:p>
      <w:pPr>
        <w:pStyle w:val="FirstParagraph"/>
        <w:spacing w:after="80"/>
        <w:jc w:val="both"/>
      </w:pPr>
      <w:r>
        <w:rPr>
          <w:b/>
          <w:bCs/>
        </w:rPr>
        <w:t xml:space="preserve">Art. 816.</w:t>
      </w:r>
      <w:r>
        <w:t xml:space="preserve"> </w:t>
      </w:r>
      <w:r>
        <w:t xml:space="preserve">Se o executado não satisfizer a obrigação no prazo designado, é lícito ao exequente, nos próprios autos do processo, requerer a satisfação da obrigação à custa do executado ou perdas e danos, hipótese em que se converterá em indenização.</w:t>
      </w:r>
    </w:p>
    <w:p>
      <w:pPr>
        <w:pStyle w:val="BodyText"/>
        <w:keepNext/>
        <w:spacing w:after="80"/>
        <w:jc w:val="both"/>
      </w:pPr>
      <w:r>
        <w:t xml:space="preserve">Parágrafo único. O valor das perdas e danos será apurado em liquidação, seguindo-se a execução para cobrança de quantia certa.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65"/>
        <w:gridCol w:w="2855"/>
        <w:gridCol w:w="4934"/>
      </w:tblGrid>
      <w:tr>
        <w:trPr>
          <w:tblHeader w:val="on"/>
          <w:cantSplit/>
          <w:tblHeader/>
        </w:trPr>
        <w:tc>
          <w:tcPr>
            <w:tcW w:type="dxa" w:w="156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5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93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65"/>
          </w:tcPr>
          <w:p>
            <w:pPr>
              <w:pStyle w:val="Compact"/>
              <w:spacing w:line="276" w:lineRule="auto" w:before="40" w:after="40"/>
            </w:pPr>
            <w:r>
              <w:rPr>
                <w:rFonts w:ascii="Liberation Sans Narrow" w:hAnsi="Liberation Sans Narrow"/>
                <w:sz w:val="18"/>
              </w:rPr>
              <w:t xml:space="preserve">Parágrafo único — dispensa da liquidação</w:t>
            </w:r>
          </w:p>
        </w:tc>
        <w:tc>
          <w:tcPr>
            <w:tcW w:type="dxa" w:w="2855"/>
          </w:tcPr>
          <w:p>
            <w:pPr>
              <w:pStyle w:val="Compact"/>
              <w:spacing w:line="276" w:lineRule="auto" w:before="40" w:after="40"/>
            </w:pPr>
            <w:r>
              <w:rPr>
                <w:rFonts w:ascii="Liberation Sans Narrow" w:hAnsi="Liberation Sans Narrow"/>
                <w:sz w:val="18"/>
              </w:rPr>
              <w:t xml:space="preserve">STJ, AgInt no AREsp 3.174.968, Terceira Turma, relator Min. Humberto Martins, julgado em 30/06/2026</w:t>
            </w:r>
          </w:p>
        </w:tc>
        <w:tc>
          <w:tcPr>
            <w:tcW w:type="dxa" w:w="4934"/>
          </w:tcPr>
          <w:p>
            <w:pPr>
              <w:pStyle w:val="Compact"/>
              <w:spacing w:line="276" w:lineRule="auto" w:before="40" w:after="40"/>
            </w:pPr>
            <w:r>
              <w:rPr>
                <w:rFonts w:ascii="Liberation Sans Narrow" w:hAnsi="Liberation Sans Narrow"/>
                <w:sz w:val="18"/>
              </w:rPr>
              <w:t xml:space="preserve">A conversão da obrigação de entregar coisa em perdas e danos dispensa a fase de liquidação quando o valor da coisa está previamente definido no título e o quantum pode ser aferido por cálculos aritméticos.</w:t>
            </w:r>
          </w:p>
        </w:tc>
      </w:tr>
    </w:tbl>
    <w:bookmarkEnd w:id="621"/>
    <w:bookmarkStart w:id="622" w:name="art.-817"/>
    <w:p>
      <w:pPr>
        <w:pStyle w:val="Heading6"/>
        <w:pBdr>
          <w:left w:val="single" w:sz="36" w:space="4" w:color="2E75B6"/>
        </w:pBdr>
        <w:shd w:val="clear" w:color="auto" w:fill="E3EEF9"/>
        <w:spacing w:before="200" w:after="80"/>
        <w:ind w:left="85"/>
      </w:pPr>
      <w:r>
        <w:rPr>
          <w:i w:val="0"/>
          <w:color w:val="1F3A5F"/>
          <w:sz w:val="23"/>
        </w:rPr>
        <w:t xml:space="preserve">Art. 817</w:t>
      </w:r>
    </w:p>
    <w:p>
      <w:pPr>
        <w:pStyle w:val="FirstParagraph"/>
        <w:keepNext/>
        <w:spacing w:after="80"/>
        <w:jc w:val="both"/>
      </w:pPr>
      <w:r>
        <w:rPr>
          <w:b/>
          <w:bCs/>
        </w:rPr>
        <w:t xml:space="preserve">Art. 817.</w:t>
      </w:r>
      <w:r>
        <w:t xml:space="preserve"> </w:t>
      </w:r>
      <w:r>
        <w:t xml:space="preserve">Se a obrigação puder ser satisfeita por terceiro, é lícito ao juiz autorizar, a requerimento do exequente, que aquele a satisfaça à custa do executado.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812"/>
        <w:gridCol w:w="3586"/>
        <w:gridCol w:w="3956"/>
      </w:tblGrid>
      <w:tr>
        <w:trPr>
          <w:tblHeader w:val="on"/>
          <w:cantSplit/>
          <w:tblHeader/>
        </w:trPr>
        <w:tc>
          <w:tcPr>
            <w:tcW w:type="dxa" w:w="181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58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395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812"/>
          </w:tcPr>
          <w:p>
            <w:pPr>
              <w:pStyle w:val="Compact"/>
              <w:spacing w:line="276" w:lineRule="auto" w:before="40" w:after="40"/>
            </w:pPr>
            <w:r>
              <w:rPr>
                <w:rFonts w:ascii="Liberation Sans Narrow" w:hAnsi="Liberation Sans Narrow"/>
                <w:sz w:val="18"/>
              </w:rPr>
              <w:t xml:space="preserve">Caput — obrigação de fazer por terceiro</w:t>
            </w:r>
          </w:p>
        </w:tc>
        <w:tc>
          <w:tcPr>
            <w:tcW w:type="dxa" w:w="3586"/>
          </w:tcPr>
          <w:p>
            <w:pPr>
              <w:pStyle w:val="Compact"/>
              <w:spacing w:line="276" w:lineRule="auto" w:before="40" w:after="40"/>
            </w:pPr>
            <w:r>
              <w:rPr>
                <w:rFonts w:ascii="Liberation Sans Narrow" w:hAnsi="Liberation Sans Narrow"/>
                <w:sz w:val="18"/>
              </w:rPr>
              <w:t xml:space="preserve">STJ, AREsp 2.279.703, Primeira Turma, relator Min. Gurgel de Faria, julgado em 01/10/2024, DJe de 17/10/2024</w:t>
            </w:r>
          </w:p>
        </w:tc>
        <w:tc>
          <w:tcPr>
            <w:tcW w:type="dxa" w:w="3956"/>
          </w:tcPr>
          <w:p>
            <w:pPr>
              <w:pStyle w:val="Compact"/>
              <w:spacing w:line="276" w:lineRule="auto" w:before="40" w:after="40"/>
            </w:pPr>
            <w:r>
              <w:rPr>
                <w:rFonts w:ascii="Liberation Sans Narrow" w:hAnsi="Liberation Sans Narrow"/>
                <w:sz w:val="18"/>
              </w:rPr>
              <w:t xml:space="preserve">A satisfação da obrigação de fazer por terceiro, à custa do executado, depende da anuência do terceiro, na forma do art. 817.</w:t>
            </w:r>
          </w:p>
        </w:tc>
      </w:tr>
    </w:tbl>
    <w:p>
      <w:pPr>
        <w:pStyle w:val="BodyText"/>
        <w:spacing w:after="80"/>
        <w:jc w:val="both"/>
      </w:pPr>
      <w:r>
        <w:t xml:space="preserve">Parágrafo único. O exequente adiantará as quantias previstas na proposta que, ouvidas as partes, o juiz houver aprovado.</w:t>
      </w:r>
    </w:p>
    <w:bookmarkEnd w:id="622"/>
    <w:bookmarkStart w:id="623" w:name="art.-818"/>
    <w:p>
      <w:pPr>
        <w:pStyle w:val="Heading6"/>
        <w:pBdr>
          <w:left w:val="single" w:sz="36" w:space="4" w:color="2E75B6"/>
        </w:pBdr>
        <w:shd w:val="clear" w:color="auto" w:fill="E3EEF9"/>
        <w:spacing w:before="200" w:after="80"/>
        <w:ind w:left="85"/>
      </w:pPr>
      <w:r>
        <w:rPr>
          <w:i w:val="0"/>
          <w:color w:val="1F3A5F"/>
          <w:sz w:val="23"/>
        </w:rPr>
        <w:t xml:space="preserve">Art. 818</w:t>
      </w:r>
    </w:p>
    <w:p>
      <w:pPr>
        <w:pStyle w:val="FirstParagraph"/>
        <w:spacing w:after="80"/>
        <w:jc w:val="both"/>
      </w:pPr>
      <w:r>
        <w:rPr>
          <w:b/>
          <w:bCs/>
        </w:rPr>
        <w:t xml:space="preserve">Art. 818.</w:t>
      </w:r>
      <w:r>
        <w:t xml:space="preserve"> </w:t>
      </w:r>
      <w:r>
        <w:t xml:space="preserve">Realizada a prestação, o juiz ouvirá as partes no prazo de 10 (dez) dias e, não havendo impugnação, considerará satisfeita a obrigação.</w:t>
      </w:r>
    </w:p>
    <w:p>
      <w:pPr>
        <w:pStyle w:val="BodyText"/>
        <w:spacing w:after="80"/>
        <w:jc w:val="both"/>
      </w:pPr>
      <w:r>
        <w:t xml:space="preserve">Parágrafo único. Caso haja impugnação, o juiz a decidirá.</w:t>
      </w:r>
    </w:p>
    <w:bookmarkEnd w:id="623"/>
    <w:bookmarkStart w:id="624" w:name="art.-819"/>
    <w:p>
      <w:pPr>
        <w:pStyle w:val="Heading6"/>
        <w:pBdr>
          <w:left w:val="single" w:sz="36" w:space="4" w:color="2E75B6"/>
        </w:pBdr>
        <w:shd w:val="clear" w:color="auto" w:fill="E3EEF9"/>
        <w:spacing w:before="200" w:after="80"/>
        <w:ind w:left="85"/>
      </w:pPr>
      <w:r>
        <w:rPr>
          <w:i w:val="0"/>
          <w:color w:val="1F3A5F"/>
          <w:sz w:val="23"/>
        </w:rPr>
        <w:t xml:space="preserve">Art. 819</w:t>
      </w:r>
    </w:p>
    <w:p>
      <w:pPr>
        <w:pStyle w:val="FirstParagraph"/>
        <w:spacing w:after="80"/>
        <w:jc w:val="both"/>
      </w:pPr>
      <w:r>
        <w:rPr>
          <w:b/>
          <w:bCs/>
        </w:rPr>
        <w:t xml:space="preserve">Art. 819.</w:t>
      </w:r>
      <w:r>
        <w:t xml:space="preserve"> </w:t>
      </w:r>
      <w:r>
        <w:t xml:space="preserve">Se o terceiro contratado não realizar a prestação no prazo ou se o fizer de modo incompleto ou defeituoso, poderá o exequente requerer ao juiz, no prazo de 15 (quinze) dias, que o autorize a concluí-la ou a repará-la à custa do contratante.</w:t>
      </w:r>
    </w:p>
    <w:p>
      <w:pPr>
        <w:pStyle w:val="BodyText"/>
        <w:spacing w:after="80"/>
        <w:jc w:val="both"/>
      </w:pPr>
      <w:r>
        <w:t xml:space="preserve">Parágrafo único. Ouvido o contratante no prazo de 15 (quinze) dias, o juiz mandará avaliar o custo das despesas necessárias e o condenará a pagá-lo.</w:t>
      </w:r>
    </w:p>
    <w:bookmarkEnd w:id="624"/>
    <w:bookmarkStart w:id="625" w:name="art.-820"/>
    <w:p>
      <w:pPr>
        <w:pStyle w:val="Heading6"/>
        <w:pBdr>
          <w:left w:val="single" w:sz="36" w:space="4" w:color="2E75B6"/>
        </w:pBdr>
        <w:shd w:val="clear" w:color="auto" w:fill="E3EEF9"/>
        <w:spacing w:before="200" w:after="80"/>
        <w:ind w:left="85"/>
      </w:pPr>
      <w:r>
        <w:rPr>
          <w:i w:val="0"/>
          <w:color w:val="1F3A5F"/>
          <w:sz w:val="23"/>
        </w:rPr>
        <w:t xml:space="preserve">Art. 820</w:t>
      </w:r>
    </w:p>
    <w:p>
      <w:pPr>
        <w:pStyle w:val="FirstParagraph"/>
        <w:spacing w:after="80"/>
        <w:jc w:val="both"/>
      </w:pPr>
      <w:r>
        <w:rPr>
          <w:b/>
          <w:bCs/>
        </w:rPr>
        <w:t xml:space="preserve">Art. 820.</w:t>
      </w:r>
      <w:r>
        <w:t xml:space="preserve"> </w:t>
      </w:r>
      <w:r>
        <w:t xml:space="preserve">Se o exequente quiser executar ou mandar executar, sob sua direção e vigilância, as obras e os trabalhos necessários à realização da prestação, terá preferência, em igualdade de condições de oferta, em relação ao terceiro.</w:t>
      </w:r>
    </w:p>
    <w:p>
      <w:pPr>
        <w:pStyle w:val="BodyText"/>
        <w:spacing w:after="80"/>
        <w:jc w:val="both"/>
      </w:pPr>
      <w:r>
        <w:t xml:space="preserve">Parágrafo único. O direito de preferência deverá ser exercido no prazo de 5 (cinco) dias, após aprovada a proposta do terceiro.</w:t>
      </w:r>
    </w:p>
    <w:bookmarkEnd w:id="625"/>
    <w:bookmarkStart w:id="626" w:name="art.-821"/>
    <w:p>
      <w:pPr>
        <w:pStyle w:val="Heading6"/>
        <w:pBdr>
          <w:left w:val="single" w:sz="36" w:space="4" w:color="2E75B6"/>
        </w:pBdr>
        <w:shd w:val="clear" w:color="auto" w:fill="E3EEF9"/>
        <w:spacing w:before="200" w:after="80"/>
        <w:ind w:left="85"/>
      </w:pPr>
      <w:r>
        <w:rPr>
          <w:i w:val="0"/>
          <w:color w:val="1F3A5F"/>
          <w:sz w:val="23"/>
        </w:rPr>
        <w:t xml:space="preserve">Art. 821</w:t>
      </w:r>
    </w:p>
    <w:p>
      <w:pPr>
        <w:pStyle w:val="FirstParagraph"/>
        <w:spacing w:after="80"/>
        <w:jc w:val="both"/>
      </w:pPr>
      <w:r>
        <w:rPr>
          <w:b/>
          <w:bCs/>
        </w:rPr>
        <w:t xml:space="preserve">Art. 821.</w:t>
      </w:r>
      <w:r>
        <w:t xml:space="preserve"> </w:t>
      </w:r>
      <w:r>
        <w:t xml:space="preserve">Na obrigação de fazer, quando se convencionar que o executado a satisfaça pessoalmente, o exequente poderá requerer ao juiz que lhe assine prazo para cumpri-la.</w:t>
      </w:r>
    </w:p>
    <w:p>
      <w:pPr>
        <w:pStyle w:val="BodyText"/>
        <w:spacing w:after="80"/>
        <w:jc w:val="both"/>
      </w:pPr>
      <w:r>
        <w:t xml:space="preserve">Parágrafo único. Havendo recusa ou mora do executado, sua obrigação pessoal será convertida em perdas e danos, caso em que se observará o procedimento de execução por quantia certa.</w:t>
      </w:r>
    </w:p>
    <w:bookmarkEnd w:id="626"/>
    <w:bookmarkEnd w:id="627"/>
    <w:bookmarkStart w:id="630" w:name="X24fb0c5e2cc619e0b2c1dc8748e83840b4f3d89"/>
    <w:p>
      <w:pPr>
        <w:pStyle w:val="Heading5"/>
        <w:spacing w:before="140" w:after="20"/>
      </w:pPr>
      <w:r>
        <w:rPr>
          <w:i/>
          <w:color w:val="595959"/>
        </w:rPr>
        <w:t xml:space="preserve">Seção III: da obrigação de não fazer (arts. 822 a 823)</w:t>
      </w:r>
    </w:p>
    <w:bookmarkStart w:id="628" w:name="art.-822"/>
    <w:p>
      <w:pPr>
        <w:pStyle w:val="Heading6"/>
        <w:pBdr>
          <w:left w:val="single" w:sz="36" w:space="4" w:color="2E75B6"/>
        </w:pBdr>
        <w:shd w:val="clear" w:color="auto" w:fill="E3EEF9"/>
        <w:spacing w:before="200" w:after="80"/>
        <w:ind w:left="85"/>
      </w:pPr>
      <w:r>
        <w:rPr>
          <w:i w:val="0"/>
          <w:color w:val="1F3A5F"/>
          <w:sz w:val="23"/>
        </w:rPr>
        <w:t xml:space="preserve">Art. 822</w:t>
      </w:r>
    </w:p>
    <w:p>
      <w:pPr>
        <w:pStyle w:val="FirstParagraph"/>
        <w:spacing w:after="80"/>
        <w:jc w:val="both"/>
      </w:pPr>
      <w:r>
        <w:rPr>
          <w:b/>
          <w:bCs/>
        </w:rPr>
        <w:t xml:space="preserve">Art. 822.</w:t>
      </w:r>
      <w:r>
        <w:t xml:space="preserve"> </w:t>
      </w:r>
      <w:r>
        <w:t xml:space="preserve">Se o executado praticou ato a cuja abstenção estava obrigado por lei ou por contrato, o exequente requererá ao juiz que assine prazo ao executado para desfazê-lo.</w:t>
      </w:r>
    </w:p>
    <w:bookmarkEnd w:id="628"/>
    <w:bookmarkStart w:id="629" w:name="art.-823"/>
    <w:p>
      <w:pPr>
        <w:pStyle w:val="Heading6"/>
        <w:pBdr>
          <w:left w:val="single" w:sz="36" w:space="4" w:color="2E75B6"/>
        </w:pBdr>
        <w:shd w:val="clear" w:color="auto" w:fill="E3EEF9"/>
        <w:spacing w:before="200" w:after="80"/>
        <w:ind w:left="85"/>
      </w:pPr>
      <w:r>
        <w:rPr>
          <w:i w:val="0"/>
          <w:color w:val="1F3A5F"/>
          <w:sz w:val="23"/>
        </w:rPr>
        <w:t xml:space="preserve">Art. 823</w:t>
      </w:r>
    </w:p>
    <w:p>
      <w:pPr>
        <w:pStyle w:val="FirstParagraph"/>
        <w:spacing w:after="80"/>
        <w:jc w:val="both"/>
      </w:pPr>
      <w:r>
        <w:rPr>
          <w:b/>
          <w:bCs/>
        </w:rPr>
        <w:t xml:space="preserve">Art. 823.</w:t>
      </w:r>
      <w:r>
        <w:t xml:space="preserve"> </w:t>
      </w:r>
      <w:r>
        <w:t xml:space="preserve">Havendo recusa ou mora do executado, o exequente requererá ao juiz que mande desfazer o ato à custa daquele, que responderá por perdas e danos.</w:t>
      </w:r>
    </w:p>
    <w:p>
      <w:pPr>
        <w:pStyle w:val="BodyText"/>
        <w:spacing w:after="80"/>
        <w:jc w:val="both"/>
      </w:pPr>
      <w:r>
        <w:t xml:space="preserve">Parágrafo único. Não sendo possível desfazer-se o ato, a obrigação resolve-se em perdas e danos, caso em que, após a liquidação, se observará o procedimento de execução por quantia certa.</w:t>
      </w:r>
    </w:p>
    <w:bookmarkEnd w:id="629"/>
    <w:bookmarkEnd w:id="630"/>
    <w:bookmarkEnd w:id="631"/>
    <w:bookmarkStart w:id="723" w:name="Xfceaf66f53d94a5d0a4ae62541207f6c42df625"/>
    <w:p>
      <w:pPr>
        <w:pStyle w:val="Heading4"/>
        <w:spacing w:before="160" w:after="40"/>
      </w:pPr>
      <w:r>
        <w:rPr>
          <w:smallCaps/>
          <w:color w:val="2E75B6"/>
        </w:rPr>
        <w:t xml:space="preserve">Capítulo IV: da execução por quantia certa (arts. 824 a 909)</w:t>
      </w:r>
    </w:p>
    <w:bookmarkStart w:id="635" w:name="X286069f850bee27c4c7892f09c8830032e9610c"/>
    <w:p>
      <w:pPr>
        <w:pStyle w:val="Heading5"/>
        <w:spacing w:before="140" w:after="20"/>
      </w:pPr>
      <w:r>
        <w:rPr>
          <w:i/>
          <w:color w:val="595959"/>
        </w:rPr>
        <w:t xml:space="preserve">Seção I: disposições gerais (arts. 824 a 826)</w:t>
      </w:r>
    </w:p>
    <w:bookmarkStart w:id="632" w:name="art.-824"/>
    <w:p>
      <w:pPr>
        <w:pStyle w:val="Heading6"/>
        <w:pBdr>
          <w:left w:val="single" w:sz="36" w:space="4" w:color="2E75B6"/>
        </w:pBdr>
        <w:shd w:val="clear" w:color="auto" w:fill="E3EEF9"/>
        <w:spacing w:before="200" w:after="80"/>
        <w:ind w:left="85"/>
      </w:pPr>
      <w:r>
        <w:rPr>
          <w:i w:val="0"/>
          <w:color w:val="1F3A5F"/>
          <w:sz w:val="23"/>
        </w:rPr>
        <w:t xml:space="preserve">Art. 824</w:t>
      </w:r>
    </w:p>
    <w:p>
      <w:pPr>
        <w:pStyle w:val="FirstParagraph"/>
        <w:spacing w:after="80"/>
        <w:jc w:val="both"/>
      </w:pPr>
      <w:r>
        <w:rPr>
          <w:b/>
          <w:bCs/>
        </w:rPr>
        <w:t xml:space="preserve">Art. 824.</w:t>
      </w:r>
      <w:r>
        <w:t xml:space="preserve"> </w:t>
      </w:r>
      <w:r>
        <w:t xml:space="preserve">A execução por quantia certa realiza-se pela expropriação de bens do executado, ressalvadas as execuções especiais.</w:t>
      </w:r>
    </w:p>
    <w:bookmarkEnd w:id="632"/>
    <w:bookmarkStart w:id="633" w:name="art.-825"/>
    <w:p>
      <w:pPr>
        <w:pStyle w:val="Heading6"/>
        <w:pBdr>
          <w:left w:val="single" w:sz="36" w:space="4" w:color="2E75B6"/>
        </w:pBdr>
        <w:shd w:val="clear" w:color="auto" w:fill="E3EEF9"/>
        <w:spacing w:before="200" w:after="80"/>
        <w:ind w:left="85"/>
      </w:pPr>
      <w:r>
        <w:rPr>
          <w:i w:val="0"/>
          <w:color w:val="1F3A5F"/>
          <w:sz w:val="23"/>
        </w:rPr>
        <w:t xml:space="preserve">Art. 825</w:t>
      </w:r>
    </w:p>
    <w:p>
      <w:pPr>
        <w:pStyle w:val="FirstParagraph"/>
        <w:spacing w:after="80"/>
        <w:jc w:val="both"/>
      </w:pPr>
      <w:r>
        <w:rPr>
          <w:b/>
          <w:bCs/>
        </w:rPr>
        <w:t xml:space="preserve">Art. 825.</w:t>
      </w:r>
      <w:r>
        <w:t xml:space="preserve"> </w:t>
      </w:r>
      <w:r>
        <w:t xml:space="preserve">A expropriação consiste em:</w:t>
      </w:r>
    </w:p>
    <w:p>
      <w:pPr>
        <w:pStyle w:val="BodyText"/>
        <w:spacing w:after="80"/>
        <w:jc w:val="both"/>
      </w:pPr>
      <w:r>
        <w:t xml:space="preserve">I - adjudicação;</w:t>
      </w:r>
    </w:p>
    <w:p>
      <w:pPr>
        <w:pStyle w:val="BodyText"/>
        <w:spacing w:after="80"/>
        <w:jc w:val="both"/>
      </w:pPr>
      <w:r>
        <w:t xml:space="preserve">II - alienação;</w:t>
      </w:r>
    </w:p>
    <w:p>
      <w:pPr>
        <w:pStyle w:val="BodyText"/>
        <w:spacing w:after="80"/>
        <w:jc w:val="both"/>
      </w:pPr>
      <w:r>
        <w:t xml:space="preserve">III - apropriação de frutos e rendimentos de empresa ou de estabelecimentos e de outros bens.</w:t>
      </w:r>
    </w:p>
    <w:bookmarkEnd w:id="633"/>
    <w:bookmarkStart w:id="634" w:name="art.-826"/>
    <w:p>
      <w:pPr>
        <w:pStyle w:val="Heading6"/>
        <w:pBdr>
          <w:left w:val="single" w:sz="36" w:space="4" w:color="2E75B6"/>
        </w:pBdr>
        <w:shd w:val="clear" w:color="auto" w:fill="E3EEF9"/>
        <w:spacing w:before="200" w:after="80"/>
        <w:ind w:left="85"/>
      </w:pPr>
      <w:r>
        <w:rPr>
          <w:i w:val="0"/>
          <w:color w:val="1F3A5F"/>
          <w:sz w:val="23"/>
        </w:rPr>
        <w:t xml:space="preserve">Art. 826</w:t>
      </w:r>
    </w:p>
    <w:p>
      <w:pPr>
        <w:pStyle w:val="FirstParagraph"/>
        <w:keepNext/>
        <w:spacing w:after="80"/>
        <w:jc w:val="both"/>
      </w:pPr>
      <w:r>
        <w:rPr>
          <w:b/>
          <w:bCs/>
        </w:rPr>
        <w:t xml:space="preserve">Art. 826.</w:t>
      </w:r>
      <w:r>
        <w:t xml:space="preserve"> </w:t>
      </w:r>
      <w:r>
        <w:t xml:space="preserve">Antes de adjudicados ou alienados os bens, o executado pode, a todo tempo, remir a execução, pagando ou consignando a importância atualizada da dívida, acrescida de juros, custas e honorários advocatícios.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2921"/>
        <w:gridCol w:w="4903"/>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92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90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Caput — remição da execução</w:t>
            </w:r>
          </w:p>
        </w:tc>
        <w:tc>
          <w:tcPr>
            <w:tcW w:type="dxa" w:w="2921"/>
          </w:tcPr>
          <w:p>
            <w:pPr>
              <w:pStyle w:val="Compact"/>
              <w:spacing w:line="276" w:lineRule="auto" w:before="40" w:after="40"/>
            </w:pPr>
            <w:r>
              <w:rPr>
                <w:rFonts w:ascii="Liberation Sans Narrow" w:hAnsi="Liberation Sans Narrow"/>
                <w:sz w:val="18"/>
              </w:rPr>
              <w:t xml:space="preserve">STJ, AREsp 2.673.794, Quarta Turma, relator Min. João Otávio de Noronha, julgado em 16/03/2026</w:t>
            </w:r>
          </w:p>
        </w:tc>
        <w:tc>
          <w:tcPr>
            <w:tcW w:type="dxa" w:w="4903"/>
          </w:tcPr>
          <w:p>
            <w:pPr>
              <w:pStyle w:val="Compact"/>
              <w:spacing w:line="276" w:lineRule="auto" w:before="40" w:after="40"/>
            </w:pPr>
            <w:r>
              <w:rPr>
                <w:rFonts w:ascii="Liberation Sans Narrow" w:hAnsi="Liberation Sans Narrow"/>
                <w:sz w:val="18"/>
              </w:rPr>
              <w:t xml:space="preserve">A remição exige pagamento integral antes da adjudicação ou da alienação do bem; o depósito inicial insuficiente, complementado apenas após o auto de arrematação, não autoriza a remição.</w:t>
            </w:r>
          </w:p>
        </w:tc>
      </w:tr>
    </w:tbl>
    <w:bookmarkEnd w:id="634"/>
    <w:bookmarkEnd w:id="635"/>
    <w:bookmarkStart w:id="640" w:name="X23271c62eea53b967ad3a6c48eff7323703988f"/>
    <w:p>
      <w:pPr>
        <w:pStyle w:val="Heading5"/>
        <w:spacing w:before="140" w:after="20"/>
      </w:pPr>
      <w:r>
        <w:rPr>
          <w:i/>
          <w:color w:val="595959"/>
        </w:rPr>
        <w:t xml:space="preserve">Seção II: da citação do devedor e do arresto (arts. 827 a 830)</w:t>
      </w:r>
    </w:p>
    <w:bookmarkStart w:id="636" w:name="art.-827"/>
    <w:p>
      <w:pPr>
        <w:pStyle w:val="Heading6"/>
        <w:pBdr>
          <w:left w:val="single" w:sz="36" w:space="4" w:color="2E75B6"/>
        </w:pBdr>
        <w:shd w:val="clear" w:color="auto" w:fill="E3EEF9"/>
        <w:spacing w:before="200" w:after="80"/>
        <w:ind w:left="85"/>
      </w:pPr>
      <w:r>
        <w:rPr>
          <w:i w:val="0"/>
          <w:color w:val="1F3A5F"/>
          <w:sz w:val="23"/>
        </w:rPr>
        <w:t xml:space="preserve">Art. 827</w:t>
      </w:r>
    </w:p>
    <w:p>
      <w:pPr>
        <w:pStyle w:val="FirstParagraph"/>
        <w:keepNext/>
        <w:spacing w:after="80"/>
        <w:jc w:val="both"/>
      </w:pPr>
      <w:r>
        <w:rPr>
          <w:b/>
          <w:bCs/>
        </w:rPr>
        <w:t xml:space="preserve">Art. 827.</w:t>
      </w:r>
      <w:r>
        <w:t xml:space="preserve"> </w:t>
      </w:r>
      <w:r>
        <w:t xml:space="preserve">Ao despachar a inicial, o juiz fixará, de plano, os honorários advocatícios de dez por cento, a serem pagos pelo executado.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44"/>
        <w:gridCol w:w="2776"/>
        <w:gridCol w:w="4534"/>
      </w:tblGrid>
      <w:tr>
        <w:trPr>
          <w:tblHeader w:val="on"/>
          <w:cantSplit/>
          <w:tblHeader/>
        </w:trPr>
        <w:tc>
          <w:tcPr>
            <w:tcW w:type="dxa" w:w="2044"/>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7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53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44"/>
          </w:tcPr>
          <w:p>
            <w:pPr>
              <w:pStyle w:val="Compact"/>
              <w:spacing w:line="276" w:lineRule="auto" w:before="40" w:after="40"/>
            </w:pPr>
            <w:r>
              <w:rPr>
                <w:rFonts w:ascii="Liberation Sans Narrow" w:hAnsi="Liberation Sans Narrow"/>
                <w:sz w:val="18"/>
              </w:rPr>
              <w:t xml:space="preserve">Caput — honorários de dez por cento</w:t>
            </w:r>
          </w:p>
        </w:tc>
        <w:tc>
          <w:tcPr>
            <w:tcW w:type="dxa" w:w="2776"/>
          </w:tcPr>
          <w:p>
            <w:pPr>
              <w:pStyle w:val="Compact"/>
              <w:spacing w:line="276" w:lineRule="auto" w:before="40" w:after="40"/>
            </w:pPr>
            <w:r>
              <w:rPr>
                <w:rFonts w:ascii="Liberation Sans Narrow" w:hAnsi="Liberation Sans Narrow"/>
                <w:sz w:val="18"/>
              </w:rPr>
              <w:t xml:space="preserve">STJ, EDcl no AREsp 3.089.140, Terceira Turma, relator Min. Moura Ribeiro, julgado em 24/08/2026</w:t>
            </w:r>
          </w:p>
        </w:tc>
        <w:tc>
          <w:tcPr>
            <w:tcW w:type="dxa" w:w="4534"/>
          </w:tcPr>
          <w:p>
            <w:pPr>
              <w:pStyle w:val="Compact"/>
              <w:spacing w:line="276" w:lineRule="auto" w:before="40" w:after="40"/>
            </w:pPr>
            <w:r>
              <w:rPr>
                <w:rFonts w:ascii="Liberation Sans Narrow" w:hAnsi="Liberation Sans Narrow"/>
                <w:sz w:val="18"/>
              </w:rPr>
              <w:t xml:space="preserve">A fixação de honorários sucumbenciais no despacho inicial da execução por quantia certa segue o percentual legal de 10% (art. 827), norma cogente que não pode ser afastada por negócio jurídico processual nem pela autonomia privada; os honorários contratuais não se confundem com os de sucumbência e não autorizam a cumulação pretendida.</w:t>
            </w:r>
          </w:p>
        </w:tc>
      </w:tr>
      <w:tr>
        <w:trPr>
          <w:cantSplit/>
        </w:trPr>
        <w:tc>
          <w:tcPr>
            <w:tcW w:type="dxa" w:w="2044"/>
          </w:tcPr>
          <w:p>
            <w:pPr>
              <w:pStyle w:val="Compact"/>
              <w:spacing w:line="276" w:lineRule="auto" w:before="40" w:after="40"/>
            </w:pPr>
            <w:r>
              <w:rPr>
                <w:rFonts w:ascii="Liberation Sans Narrow" w:hAnsi="Liberation Sans Narrow"/>
                <w:sz w:val="18"/>
              </w:rPr>
              <w:t xml:space="preserve">Caput — honorários na execução extinta pelo acolhimento dos embargos (aplicação narrada)</w:t>
            </w:r>
          </w:p>
        </w:tc>
        <w:tc>
          <w:tcPr>
            <w:tcW w:type="dxa" w:w="2776"/>
          </w:tcPr>
          <w:p>
            <w:pPr>
              <w:pStyle w:val="Compact"/>
              <w:spacing w:line="276" w:lineRule="auto" w:before="40" w:after="40"/>
            </w:pPr>
            <w:r>
              <w:rPr>
                <w:rFonts w:ascii="Liberation Sans Narrow" w:hAnsi="Liberation Sans Narrow"/>
                <w:sz w:val="18"/>
              </w:rPr>
              <w:t xml:space="preserve">STJ, REsp 2.233.654, Quarta Turma, relator Min. João Otávio de Noronha, julgado em 22/04/2026</w:t>
            </w:r>
          </w:p>
        </w:tc>
        <w:tc>
          <w:tcPr>
            <w:tcW w:type="dxa" w:w="4534"/>
          </w:tcPr>
          <w:p>
            <w:pPr>
              <w:pStyle w:val="Compact"/>
              <w:spacing w:line="276" w:lineRule="auto" w:before="40" w:after="40"/>
            </w:pPr>
            <w:r>
              <w:rPr>
                <w:rFonts w:ascii="Liberation Sans Narrow" w:hAnsi="Liberation Sans Narrow"/>
                <w:sz w:val="18"/>
              </w:rPr>
              <w:t xml:space="preserve">Extinta a execução pelo acolhimento dos embargos que desconstituíram o título, é possível a fixação autônoma de honorários na execução, cumulados com os arbitrados nos embargos, respeitado o teto do art. 85 (Tema 587 do Superior Tribunal de Justiça), pois a sucumbência na execução e nos embargos decorre de relações processuais distintas. Trecho: “É possível a fixação de honorários na execução extinta pelo acolhimento dos embargos, cumulados com os honorários dos embargos, respeitado o limite do art.”</w:t>
            </w:r>
          </w:p>
        </w:tc>
      </w:tr>
    </w:tbl>
    <w:p>
      <w:pPr>
        <w:pStyle w:val="BodyText"/>
        <w:spacing w:after="80"/>
        <w:jc w:val="both"/>
      </w:pPr>
      <w:r>
        <w:t xml:space="preserve">§ 1º No caso de integral pagamento no prazo de 3 (três) dias, o valor dos honorários advocatícios será reduzido pela metade.</w:t>
      </w:r>
    </w:p>
    <w:p>
      <w:pPr>
        <w:pStyle w:val="BodyText"/>
        <w:spacing w:after="80"/>
        <w:jc w:val="both"/>
      </w:pPr>
      <w:r>
        <w:t xml:space="preserve">§ 2º O valor dos honorários poderá ser elevado até vinte por cento, quando rejeitados os embargos à execução, podendo a majoração, caso não opostos os embargos, ocorrer ao final do procedimento executivo, levando-se em conta o trabalho realizado pelo advogado do exequente.</w:t>
      </w:r>
    </w:p>
    <w:bookmarkEnd w:id="636"/>
    <w:bookmarkStart w:id="637" w:name="art.-828"/>
    <w:p>
      <w:pPr>
        <w:pStyle w:val="Heading6"/>
        <w:pBdr>
          <w:left w:val="single" w:sz="36" w:space="4" w:color="2E75B6"/>
        </w:pBdr>
        <w:shd w:val="clear" w:color="auto" w:fill="E3EEF9"/>
        <w:spacing w:before="200" w:after="80"/>
        <w:ind w:left="85"/>
      </w:pPr>
      <w:r>
        <w:rPr>
          <w:i w:val="0"/>
          <w:color w:val="1F3A5F"/>
          <w:sz w:val="23"/>
        </w:rPr>
        <w:t xml:space="preserve">Art. 828</w:t>
      </w:r>
    </w:p>
    <w:p>
      <w:pPr>
        <w:pStyle w:val="FirstParagraph"/>
        <w:spacing w:after="80"/>
        <w:jc w:val="both"/>
      </w:pPr>
      <w:r>
        <w:rPr>
          <w:b/>
          <w:bCs/>
        </w:rPr>
        <w:t xml:space="preserve">Art. 828.</w:t>
      </w:r>
      <w:r>
        <w:t xml:space="preserve"> </w:t>
      </w:r>
      <w:r>
        <w:t xml:space="preserve">O exequente poderá obter certidão de que a execução foi admitida pelo juiz, com identificação das partes e do valor da causa, para fins de averbação no registro de imóveis, de veículos ou de outros bens sujeitos a penhora, arresto ou indisponibilidade.</w:t>
      </w:r>
    </w:p>
    <w:p>
      <w:pPr>
        <w:pStyle w:val="BodyText"/>
        <w:spacing w:after="80"/>
        <w:jc w:val="both"/>
      </w:pPr>
      <w:r>
        <w:t xml:space="preserve">§ 1º No prazo de 10 (dez) dias de sua concretização, o exequente deverá comunicar ao juízo as averbações efetivadas.</w:t>
      </w:r>
    </w:p>
    <w:p>
      <w:pPr>
        <w:pStyle w:val="BodyText"/>
        <w:spacing w:after="80"/>
        <w:jc w:val="both"/>
      </w:pPr>
      <w:r>
        <w:t xml:space="preserve">§ 2º Formalizada penhora sobre bens suficientes para cobrir o valor da dívida, o exequente providenciará, no prazo de 10 (dez) dias, o cancelamento das averbações relativas àqueles não penhorados.</w:t>
      </w:r>
    </w:p>
    <w:p>
      <w:pPr>
        <w:pStyle w:val="BodyText"/>
        <w:spacing w:after="80"/>
        <w:jc w:val="both"/>
      </w:pPr>
      <w:r>
        <w:t xml:space="preserve">§ 3º O juiz determinará o cancelamento das averbações, de ofício ou a requerimento, caso o exequente não o faça no prazo.</w:t>
      </w:r>
    </w:p>
    <w:p>
      <w:pPr>
        <w:pStyle w:val="BodyText"/>
        <w:keepNext/>
        <w:spacing w:after="80"/>
        <w:jc w:val="both"/>
      </w:pPr>
      <w:r>
        <w:t xml:space="preserve">§ 4º Presume-se em fraude à execução a alienação ou a oneração de bens efetuada após a averbação.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32"/>
        <w:gridCol w:w="3338"/>
        <w:gridCol w:w="4085"/>
      </w:tblGrid>
      <w:tr>
        <w:trPr>
          <w:tblHeader w:val="on"/>
          <w:cantSplit/>
          <w:tblHeader/>
        </w:trPr>
        <w:tc>
          <w:tcPr>
            <w:tcW w:type="dxa" w:w="193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33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08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32"/>
          </w:tcPr>
          <w:p>
            <w:pPr>
              <w:pStyle w:val="Compact"/>
              <w:spacing w:line="276" w:lineRule="auto" w:before="40" w:after="40"/>
            </w:pPr>
            <w:r>
              <w:rPr>
                <w:rFonts w:ascii="Liberation Sans Narrow" w:hAnsi="Liberation Sans Narrow"/>
                <w:sz w:val="18"/>
              </w:rPr>
              <w:t xml:space="preserve">§ 4º — presunção de fraude após averbação</w:t>
            </w:r>
          </w:p>
        </w:tc>
        <w:tc>
          <w:tcPr>
            <w:tcW w:type="dxa" w:w="3338"/>
          </w:tcPr>
          <w:p>
            <w:pPr>
              <w:pStyle w:val="Compact"/>
              <w:spacing w:line="276" w:lineRule="auto" w:before="40" w:after="40"/>
            </w:pPr>
            <w:r>
              <w:rPr>
                <w:rFonts w:ascii="Liberation Sans Narrow" w:hAnsi="Liberation Sans Narrow"/>
                <w:sz w:val="18"/>
              </w:rPr>
              <w:t xml:space="preserve">STJ, AREsp 2.621.183, Quarta Turma, relator Min. João Otávio de Noronha, julgado em 09/03/2026</w:t>
            </w:r>
          </w:p>
        </w:tc>
        <w:tc>
          <w:tcPr>
            <w:tcW w:type="dxa" w:w="4085"/>
          </w:tcPr>
          <w:p>
            <w:pPr>
              <w:pStyle w:val="Compact"/>
              <w:spacing w:line="276" w:lineRule="auto" w:before="40" w:after="40"/>
            </w:pPr>
            <w:r>
              <w:rPr>
                <w:rFonts w:ascii="Liberation Sans Narrow" w:hAnsi="Liberation Sans Narrow"/>
                <w:sz w:val="18"/>
              </w:rPr>
              <w:t xml:space="preserve">A fraude à execução opera no plano da eficácia, tornando a alienação ineficaz em relação ao exequente que averbou a execução.</w:t>
            </w:r>
          </w:p>
        </w:tc>
      </w:tr>
    </w:tbl>
    <w:p>
      <w:pPr>
        <w:pStyle w:val="BodyText"/>
        <w:spacing w:after="80"/>
        <w:jc w:val="both"/>
      </w:pPr>
      <w:r>
        <w:t xml:space="preserve">§ 5º O exequente que promover averbação manifestamente indevida ou não cancelar as averbações nos termos do § 2º indenizará a parte contrária, processando-se o incidente em autos apartados.</w:t>
      </w:r>
    </w:p>
    <w:bookmarkEnd w:id="637"/>
    <w:bookmarkStart w:id="638" w:name="art.-829"/>
    <w:p>
      <w:pPr>
        <w:pStyle w:val="Heading6"/>
        <w:pBdr>
          <w:left w:val="single" w:sz="36" w:space="4" w:color="2E75B6"/>
        </w:pBdr>
        <w:shd w:val="clear" w:color="auto" w:fill="E3EEF9"/>
        <w:spacing w:before="200" w:after="80"/>
        <w:ind w:left="85"/>
      </w:pPr>
      <w:r>
        <w:rPr>
          <w:i w:val="0"/>
          <w:color w:val="1F3A5F"/>
          <w:sz w:val="23"/>
        </w:rPr>
        <w:t xml:space="preserve">Art. 829</w:t>
      </w:r>
    </w:p>
    <w:p>
      <w:pPr>
        <w:pStyle w:val="FirstParagraph"/>
        <w:spacing w:after="80"/>
        <w:jc w:val="both"/>
      </w:pPr>
      <w:r>
        <w:rPr>
          <w:b/>
          <w:bCs/>
        </w:rPr>
        <w:t xml:space="preserve">Art. 829.</w:t>
      </w:r>
      <w:r>
        <w:t xml:space="preserve"> </w:t>
      </w:r>
      <w:r>
        <w:t xml:space="preserve">O executado será citado para pagar a dívida no prazo de 3 (três) dias, contado da citação.</w:t>
      </w:r>
    </w:p>
    <w:p>
      <w:pPr>
        <w:pStyle w:val="BodyText"/>
        <w:spacing w:after="80"/>
        <w:jc w:val="both"/>
      </w:pPr>
      <w:r>
        <w:t xml:space="preserve">§ 1º Do mandado de citação constarão, também, a ordem de penhora e a avaliação a serem cumpridas pelo oficial de justiça tão logo verificado o não pagamento no prazo assinalado, de tudo lavrando-se auto, com intimação do executado.</w:t>
      </w:r>
    </w:p>
    <w:p>
      <w:pPr>
        <w:pStyle w:val="BodyText"/>
        <w:spacing w:after="80"/>
        <w:jc w:val="both"/>
      </w:pPr>
      <w:r>
        <w:t xml:space="preserve">§ 2º A penhora recairá sobre os bens indicados pelo exequente, salvo se outros forem indicados pelo executado e aceitos pelo juiz, mediante demonstração de que a constrição proposta lhe será menos onerosa e não trará prejuízo ao exequente.</w:t>
      </w:r>
    </w:p>
    <w:bookmarkEnd w:id="638"/>
    <w:bookmarkStart w:id="639" w:name="art.-830"/>
    <w:p>
      <w:pPr>
        <w:pStyle w:val="Heading6"/>
        <w:pBdr>
          <w:left w:val="single" w:sz="36" w:space="4" w:color="2E75B6"/>
        </w:pBdr>
        <w:shd w:val="clear" w:color="auto" w:fill="E3EEF9"/>
        <w:spacing w:before="200" w:after="80"/>
        <w:ind w:left="85"/>
      </w:pPr>
      <w:r>
        <w:rPr>
          <w:i w:val="0"/>
          <w:color w:val="1F3A5F"/>
          <w:sz w:val="23"/>
        </w:rPr>
        <w:t xml:space="preserve">Art. 830</w:t>
      </w:r>
    </w:p>
    <w:p>
      <w:pPr>
        <w:pStyle w:val="FirstParagraph"/>
        <w:keepNext/>
        <w:spacing w:after="80"/>
        <w:jc w:val="both"/>
      </w:pPr>
      <w:r>
        <w:rPr>
          <w:b/>
          <w:bCs/>
        </w:rPr>
        <w:t xml:space="preserve">Art. 830.</w:t>
      </w:r>
      <w:r>
        <w:t xml:space="preserve"> </w:t>
      </w:r>
      <w:r>
        <w:t xml:space="preserve">Se o oficial de justiça não encontrar o executado, arrestar-lhe-á tantos bens quantos bastem para garantir a execução.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3045"/>
        <w:gridCol w:w="477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04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78"/>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Caput — arresto</w:t>
            </w:r>
          </w:p>
        </w:tc>
        <w:tc>
          <w:tcPr>
            <w:tcW w:type="dxa" w:w="3045"/>
          </w:tcPr>
          <w:p>
            <w:pPr>
              <w:pStyle w:val="Compact"/>
              <w:spacing w:line="276" w:lineRule="auto" w:before="40" w:after="40"/>
            </w:pPr>
            <w:r>
              <w:rPr>
                <w:rFonts w:ascii="Liberation Sans Narrow" w:hAnsi="Liberation Sans Narrow"/>
                <w:sz w:val="18"/>
              </w:rPr>
              <w:t xml:space="preserve">STJ, REsp 2.162.965, Quarta Turma, relator Min. João Otávio de Noronha, julgado em 25/05/2026, DJEN de 28/05/2026</w:t>
            </w:r>
          </w:p>
        </w:tc>
        <w:tc>
          <w:tcPr>
            <w:tcW w:type="dxa" w:w="4778"/>
          </w:tcPr>
          <w:p>
            <w:pPr>
              <w:pStyle w:val="Compact"/>
              <w:spacing w:line="276" w:lineRule="auto" w:before="40" w:after="40"/>
            </w:pPr>
            <w:r>
              <w:rPr>
                <w:rFonts w:ascii="Liberation Sans Narrow" w:hAnsi="Liberation Sans Narrow"/>
                <w:sz w:val="18"/>
              </w:rPr>
              <w:t xml:space="preserve">É admissível o arresto de ativos financeiros na execução de título extrajudicial após tentativa de citação frustrada pelos Correios, sem necessidade de esgotamento da diligência por oficial de justiça.</w:t>
            </w:r>
          </w:p>
        </w:tc>
      </w:tr>
    </w:tbl>
    <w:p>
      <w:pPr>
        <w:pStyle w:val="BodyText"/>
        <w:spacing w:after="80"/>
        <w:jc w:val="both"/>
      </w:pPr>
      <w:r>
        <w:t xml:space="preserve">§ 1º Nos 10 (dez) dias seguintes à efetivação do arresto, o oficial de justiça procurará o executado 2 (duas) vezes em dias distintos e, havendo suspeita de ocultação, realizará a citação com hora certa, certificando pormenorizadamente o ocorrido.</w:t>
      </w:r>
    </w:p>
    <w:p>
      <w:pPr>
        <w:pStyle w:val="BodyText"/>
        <w:keepNext/>
        <w:spacing w:after="80"/>
        <w:jc w:val="both"/>
      </w:pPr>
      <w:r>
        <w:t xml:space="preserve">§ 2º Incumbe ao exequente requerer a citação por edital, uma vez frustradas a pessoal e a com hora certa.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70"/>
        <w:gridCol w:w="2442"/>
        <w:gridCol w:w="4842"/>
      </w:tblGrid>
      <w:tr>
        <w:trPr>
          <w:tblHeader w:val="on"/>
          <w:cantSplit/>
          <w:tblHeader/>
        </w:trPr>
        <w:tc>
          <w:tcPr>
            <w:tcW w:type="dxa" w:w="207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44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4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71"/>
          </w:tcPr>
          <w:p>
            <w:pPr>
              <w:pStyle w:val="Compact"/>
              <w:spacing w:line="276" w:lineRule="auto" w:before="40" w:after="40"/>
            </w:pPr>
            <w:r>
              <w:rPr>
                <w:rFonts w:ascii="Liberation Sans Narrow" w:hAnsi="Liberation Sans Narrow"/>
                <w:sz w:val="18"/>
              </w:rPr>
              <w:t xml:space="preserve">§ 2º — citação por edital e ordem dos atos executivos (aplicação narrada)</w:t>
            </w:r>
          </w:p>
        </w:tc>
        <w:tc>
          <w:tcPr>
            <w:tcW w:type="dxa" w:w="2442"/>
          </w:tcPr>
          <w:p>
            <w:pPr>
              <w:pStyle w:val="Compact"/>
              <w:spacing w:line="276" w:lineRule="auto" w:before="40" w:after="40"/>
            </w:pPr>
            <w:r>
              <w:rPr>
                <w:rFonts w:ascii="Liberation Sans Narrow" w:hAnsi="Liberation Sans Narrow"/>
                <w:sz w:val="18"/>
              </w:rPr>
              <w:t xml:space="preserve">STJ, REsp 2.189.427, Primeira Turma, relator Min. Paulo Sérgio Domingues, julgado em 04/08/2026</w:t>
            </w:r>
          </w:p>
        </w:tc>
        <w:tc>
          <w:tcPr>
            <w:tcW w:type="dxa" w:w="4842"/>
          </w:tcPr>
          <w:p>
            <w:pPr>
              <w:pStyle w:val="Compact"/>
              <w:spacing w:line="276" w:lineRule="auto" w:before="40" w:after="40"/>
            </w:pPr>
            <w:r>
              <w:rPr>
                <w:rFonts w:ascii="Liberation Sans Narrow" w:hAnsi="Liberation Sans Narrow"/>
                <w:sz w:val="18"/>
              </w:rPr>
              <w:t xml:space="preserve">Frustradas a citação postal e a realizada por oficial de justiça, o juiz pode postergar a citação por edital e determinar previamente o arresto de ativos por meio do SISBAJUD, pois o poder-dever de condução do processo (arts. 4º, 8º, 139 e 370) autoriza priorizar medidas executivas mais eficazes e evitar diligências inúteis; a postergação da citação ficta não implica sua supressão, e a interrupção da prescrição decorre do despacho que ordena a citação (art. 240). Trecho: “O magistrado exerce poder-dever de condução do processo, podendo alterar a ordem dos atos e priorizar medidas executivas mais eficazes, inclusive para evitar diligências inúteis, nos termos dos arts.”</w:t>
            </w:r>
          </w:p>
        </w:tc>
      </w:tr>
    </w:tbl>
    <w:p>
      <w:pPr>
        <w:pStyle w:val="BodyText"/>
        <w:spacing w:after="80"/>
        <w:jc w:val="both"/>
      </w:pPr>
      <w:r>
        <w:t xml:space="preserve">§ 3º Aperfeiçoada a citação e transcorrido o prazo de pagamento, o arresto converter-se-á em penhora, independentemente de termo.</w:t>
      </w:r>
    </w:p>
    <w:bookmarkEnd w:id="639"/>
    <w:bookmarkEnd w:id="640"/>
    <w:bookmarkStart w:id="686" w:name="X2e88e4fdacda64369bf84e7b1886483904fe897"/>
    <w:p>
      <w:pPr>
        <w:pStyle w:val="Heading5"/>
        <w:spacing w:before="140" w:after="20"/>
      </w:pPr>
      <w:r>
        <w:rPr>
          <w:i/>
          <w:color w:val="595959"/>
        </w:rPr>
        <w:t xml:space="preserve">Seção III: da penhora, do depósito e da avaliação (arts. 831 a 875)</w:t>
      </w:r>
    </w:p>
    <w:bookmarkStart w:id="641" w:name="art.-831"/>
    <w:p>
      <w:pPr>
        <w:pStyle w:val="Heading6"/>
        <w:pBdr>
          <w:left w:val="single" w:sz="36" w:space="4" w:color="2E75B6"/>
        </w:pBdr>
        <w:shd w:val="clear" w:color="auto" w:fill="E3EEF9"/>
        <w:spacing w:before="200" w:after="80"/>
        <w:ind w:left="85"/>
      </w:pPr>
      <w:r>
        <w:rPr>
          <w:i w:val="0"/>
          <w:color w:val="1F3A5F"/>
          <w:sz w:val="23"/>
        </w:rPr>
        <w:t xml:space="preserve">Art. 831</w:t>
      </w:r>
    </w:p>
    <w:p>
      <w:pPr>
        <w:pStyle w:val="FirstParagraph"/>
        <w:spacing w:after="80"/>
        <w:jc w:val="both"/>
      </w:pPr>
      <w:r>
        <w:rPr>
          <w:b/>
          <w:bCs/>
        </w:rPr>
        <w:t xml:space="preserve">Art. 831.</w:t>
      </w:r>
      <w:r>
        <w:t xml:space="preserve"> </w:t>
      </w:r>
      <w:r>
        <w:t xml:space="preserve">A penhora deverá recair sobre tantos bens quantos bastem para o pagamento do principal atualizado, dos juros, das custas e dos honorários advocatícios.</w:t>
      </w:r>
    </w:p>
    <w:bookmarkEnd w:id="641"/>
    <w:bookmarkStart w:id="642" w:name="art.-832"/>
    <w:p>
      <w:pPr>
        <w:pStyle w:val="Heading6"/>
        <w:pBdr>
          <w:left w:val="single" w:sz="36" w:space="4" w:color="2E75B6"/>
        </w:pBdr>
        <w:shd w:val="clear" w:color="auto" w:fill="E3EEF9"/>
        <w:spacing w:before="200" w:after="80"/>
        <w:ind w:left="85"/>
      </w:pPr>
      <w:r>
        <w:rPr>
          <w:i w:val="0"/>
          <w:color w:val="1F3A5F"/>
          <w:sz w:val="23"/>
        </w:rPr>
        <w:t xml:space="preserve">Art. 832</w:t>
      </w:r>
    </w:p>
    <w:p>
      <w:pPr>
        <w:pStyle w:val="FirstParagraph"/>
        <w:keepNext/>
        <w:spacing w:after="80"/>
        <w:jc w:val="both"/>
      </w:pPr>
      <w:r>
        <w:rPr>
          <w:b/>
          <w:bCs/>
        </w:rPr>
        <w:t xml:space="preserve">Art. 832.</w:t>
      </w:r>
      <w:r>
        <w:t xml:space="preserve"> </w:t>
      </w:r>
      <w:r>
        <w:t xml:space="preserve">Não estão sujeitos à execução os bens que a lei considera impenhoráveis ou inalienáveis.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2365"/>
        <w:gridCol w:w="508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36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08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Caput — bens inalienáveis e impenhoráveis</w:t>
            </w:r>
          </w:p>
        </w:tc>
        <w:tc>
          <w:tcPr>
            <w:tcW w:type="dxa" w:w="2366"/>
          </w:tcPr>
          <w:p>
            <w:pPr>
              <w:pStyle w:val="Compact"/>
              <w:spacing w:line="276" w:lineRule="auto" w:before="40" w:after="40"/>
            </w:pPr>
            <w:r>
              <w:rPr>
                <w:rFonts w:ascii="Liberation Sans Narrow" w:hAnsi="Liberation Sans Narrow"/>
                <w:sz w:val="18"/>
              </w:rPr>
              <w:t xml:space="preserve">STJ, AREsp 2.985.751, Terceira Turma, relator Min. Humberto Martins, julgado em 01/06/2026</w:t>
            </w:r>
          </w:p>
        </w:tc>
        <w:tc>
          <w:tcPr>
            <w:tcW w:type="dxa" w:w="5084"/>
          </w:tcPr>
          <w:p>
            <w:pPr>
              <w:pStyle w:val="Compact"/>
              <w:spacing w:line="276" w:lineRule="auto" w:before="40" w:after="40"/>
            </w:pPr>
            <w:r>
              <w:rPr>
                <w:rFonts w:ascii="Liberation Sans Narrow" w:hAnsi="Liberation Sans Narrow"/>
                <w:sz w:val="18"/>
              </w:rPr>
              <w:t xml:space="preserve">Não se sujeitam à execução os bens declarados por ato voluntário insuscetíveis de constrição e os inalienáveis, o que alcança o quinhão hereditário gravado por cláusula testamentária válida, de eficácia objetiva e oponível erga omnes, inclusive perante credores do herdeiro.</w:t>
            </w:r>
          </w:p>
        </w:tc>
      </w:tr>
    </w:tbl>
    <w:bookmarkEnd w:id="642"/>
    <w:bookmarkStart w:id="643" w:name="art.-833"/>
    <w:p>
      <w:pPr>
        <w:pStyle w:val="Heading6"/>
        <w:pBdr>
          <w:left w:val="single" w:sz="36" w:space="4" w:color="2E75B6"/>
        </w:pBdr>
        <w:shd w:val="clear" w:color="auto" w:fill="E3EEF9"/>
        <w:spacing w:before="200" w:after="80"/>
        <w:ind w:left="85"/>
      </w:pPr>
      <w:r>
        <w:rPr>
          <w:i w:val="0"/>
          <w:color w:val="1F3A5F"/>
          <w:sz w:val="23"/>
        </w:rPr>
        <w:t xml:space="preserve">Art. 833</w:t>
      </w:r>
    </w:p>
    <w:p>
      <w:pPr>
        <w:pStyle w:val="FirstParagraph"/>
        <w:spacing w:after="80"/>
        <w:jc w:val="both"/>
      </w:pPr>
      <w:r>
        <w:rPr>
          <w:b/>
          <w:bCs/>
        </w:rPr>
        <w:t xml:space="preserve">Art. 833.</w:t>
      </w:r>
      <w:r>
        <w:t xml:space="preserve"> </w:t>
      </w:r>
      <w:r>
        <w:t xml:space="preserve">São impenhoráveis:</w:t>
      </w:r>
    </w:p>
    <w:p>
      <w:pPr>
        <w:pStyle w:val="BodyText"/>
        <w:spacing w:after="80"/>
        <w:jc w:val="both"/>
      </w:pPr>
      <w:r>
        <w:t xml:space="preserve">I - os bens inalienáveis e os declarados, por ato voluntário, não sujeitos à execução;</w:t>
      </w:r>
    </w:p>
    <w:p>
      <w:pPr>
        <w:pStyle w:val="BodyText"/>
        <w:spacing w:after="80"/>
        <w:jc w:val="both"/>
      </w:pPr>
      <w:r>
        <w:t xml:space="preserve">II - os móveis, os pertences e as utilidades domésticas que guarnecem a residência do executado, salvo os de elevado valor ou os que ultrapassem as necessidades comuns correspondentes a um médio padrão de vida;</w:t>
      </w:r>
    </w:p>
    <w:p>
      <w:pPr>
        <w:pStyle w:val="BodyText"/>
        <w:spacing w:after="80"/>
        <w:jc w:val="both"/>
      </w:pPr>
      <w:r>
        <w:t xml:space="preserve">III - os vestuários, bem como os pertences de uso pessoal do executado, salvo se de elevado valor;</w:t>
      </w:r>
    </w:p>
    <w:p>
      <w:pPr>
        <w:pStyle w:val="BodyText"/>
        <w:spacing w:after="80"/>
        <w:jc w:val="both"/>
      </w:pPr>
      <w:r>
        <w:t xml:space="preserve">IV - os vencimentos, os subsídios, os soldos, os salários, as remunerações, os proventos de aposentadoria, as pensões, os pecúlios e os montepios, bem como as quantias recebidas por liberalidade de terceiro e destinadas ao sustento do devedor e de sua família, os ganhos de trabalhador autônomo e os honorários de profissional liberal, ressalvado o § 2º ;</w:t>
      </w:r>
    </w:p>
    <w:p>
      <w:pPr>
        <w:pStyle w:val="BodyText"/>
        <w:spacing w:after="80"/>
        <w:jc w:val="both"/>
      </w:pPr>
      <w:r>
        <w:t xml:space="preserve">V - os livros, as máquinas, as ferramentas, os utensílios, os instrumentos ou outros bens móveis necessários ou úteis ao exercício da profissão do executado;</w:t>
      </w:r>
    </w:p>
    <w:p>
      <w:pPr>
        <w:pStyle w:val="BodyText"/>
        <w:spacing w:after="80"/>
        <w:jc w:val="both"/>
      </w:pPr>
      <w:r>
        <w:t xml:space="preserve">VI - o seguro de vida;</w:t>
      </w:r>
    </w:p>
    <w:p>
      <w:pPr>
        <w:pStyle w:val="BodyText"/>
        <w:spacing w:after="80"/>
        <w:jc w:val="both"/>
      </w:pPr>
      <w:r>
        <w:t xml:space="preserve">VII - os materiais necessários para obras em andamento, salvo se essas forem penhoradas;</w:t>
      </w:r>
    </w:p>
    <w:p>
      <w:pPr>
        <w:pStyle w:val="BodyText"/>
        <w:spacing w:after="80"/>
        <w:jc w:val="both"/>
      </w:pPr>
      <w:r>
        <w:t xml:space="preserve">VIII - a pequena propriedade rural, assim definida em lei, desde que trabalhada pela família;</w:t>
      </w:r>
    </w:p>
    <w:p>
      <w:pPr>
        <w:pStyle w:val="BodyText"/>
        <w:spacing w:after="80"/>
        <w:jc w:val="both"/>
      </w:pPr>
      <w:r>
        <w:t xml:space="preserve">IX - os recursos públicos recebidos por instituições privadas para aplicação compulsória em educação, saúde ou assistência social;</w:t>
      </w:r>
    </w:p>
    <w:p>
      <w:pPr>
        <w:pStyle w:val="BodyText"/>
        <w:keepNext/>
        <w:spacing w:after="80"/>
        <w:jc w:val="both"/>
      </w:pPr>
      <w:r>
        <w:t xml:space="preserve">X - a quantia depositada em caderneta de poupança, até o limite de 40 (quarenta) salários-mínimos;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404"/>
        <w:gridCol w:w="2946"/>
        <w:gridCol w:w="4005"/>
      </w:tblGrid>
      <w:tr>
        <w:trPr>
          <w:tblHeader w:val="on"/>
          <w:cantSplit/>
          <w:tblHeader/>
        </w:trPr>
        <w:tc>
          <w:tcPr>
            <w:tcW w:type="dxa" w:w="2404"/>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94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00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404"/>
          </w:tcPr>
          <w:p>
            <w:pPr>
              <w:pStyle w:val="Compact"/>
              <w:spacing w:line="276" w:lineRule="auto" w:before="40" w:after="40"/>
            </w:pPr>
            <w:r>
              <w:rPr>
                <w:rFonts w:ascii="Liberation Sans Narrow" w:hAnsi="Liberation Sans Narrow"/>
                <w:sz w:val="18"/>
              </w:rPr>
              <w:t xml:space="preserve">Inciso X — impenhorabilidade de valores poupados e conta-corrente (aplicação narrada)</w:t>
            </w:r>
          </w:p>
        </w:tc>
        <w:tc>
          <w:tcPr>
            <w:tcW w:type="dxa" w:w="2946"/>
          </w:tcPr>
          <w:p>
            <w:pPr>
              <w:pStyle w:val="Compact"/>
              <w:spacing w:line="276" w:lineRule="auto" w:before="40" w:after="40"/>
            </w:pPr>
            <w:r>
              <w:rPr>
                <w:rFonts w:ascii="Liberation Sans Narrow" w:hAnsi="Liberation Sans Narrow"/>
                <w:sz w:val="18"/>
              </w:rPr>
              <w:t xml:space="preserve">STJ, AgInt no REsp 2.177.131, Terceira Turma, relator Min. Ricardo Villas Bôas Cueva, julgado em 22/06/2026, DJEN de 26/06/2026</w:t>
            </w:r>
          </w:p>
        </w:tc>
        <w:tc>
          <w:tcPr>
            <w:tcW w:type="dxa" w:w="4005"/>
          </w:tcPr>
          <w:p>
            <w:pPr>
              <w:pStyle w:val="Compact"/>
              <w:spacing w:line="276" w:lineRule="auto" w:before="40" w:after="40"/>
            </w:pPr>
            <w:r>
              <w:rPr>
                <w:rFonts w:ascii="Liberation Sans Narrow" w:hAnsi="Liberation Sans Narrow"/>
                <w:sz w:val="18"/>
              </w:rPr>
              <w:t xml:space="preserve">A garantia da impenhorabilidade de até 40 salários mínimos só incide automaticamente sobre o valor depositado exclusivamente em caderneta de poupança; quando a constrição atinge dinheiro mantido em conta-corrente ou em outras aplicações financeiras, a proteção pode ser estendida, respeitado aquele teto, desde que a parte atingida comprove que o montante constitui reserva de patrimônio destinada a assegurar o mínimo existencial, sendo penhorável o que não comprometa a subsistência do devedor e de sua família. Trecho: “(AgInt no REsp n. 2.177.131, relator(a) Ministro(a) Ricardo Villas Bôas Cueva, Terceira Turma, julgado em 22/6/2026, DJEN de 26/6/2026.)”</w:t>
            </w:r>
          </w:p>
        </w:tc>
      </w:tr>
      <w:tr>
        <w:trPr>
          <w:cantSplit/>
        </w:trPr>
        <w:tc>
          <w:tcPr>
            <w:tcW w:type="dxa" w:w="2404"/>
          </w:tcPr>
          <w:p>
            <w:pPr>
              <w:pStyle w:val="Compact"/>
              <w:spacing w:line="276" w:lineRule="auto" w:before="40" w:after="40"/>
            </w:pPr>
            <w:r>
              <w:rPr>
                <w:rFonts w:ascii="Liberation Sans Narrow" w:hAnsi="Liberation Sans Narrow"/>
                <w:sz w:val="18"/>
              </w:rPr>
              <w:t xml:space="preserve">Inciso X — quantia em caderneta de poupança</w:t>
            </w:r>
          </w:p>
        </w:tc>
        <w:tc>
          <w:tcPr>
            <w:tcW w:type="dxa" w:w="2946"/>
          </w:tcPr>
          <w:p>
            <w:pPr>
              <w:pStyle w:val="Compact"/>
              <w:spacing w:line="276" w:lineRule="auto" w:before="40" w:after="40"/>
            </w:pPr>
            <w:r>
              <w:rPr>
                <w:rFonts w:ascii="Liberation Sans Narrow" w:hAnsi="Liberation Sans Narrow"/>
                <w:sz w:val="18"/>
              </w:rPr>
              <w:t xml:space="preserve">STJ, AgInt no REsp 2.018.134, Terceira Turma, relator Min. Humberto Martins, julgado em 27/11/2023, DJe de 30/11/2023</w:t>
            </w:r>
          </w:p>
        </w:tc>
        <w:tc>
          <w:tcPr>
            <w:tcW w:type="dxa" w:w="4005"/>
          </w:tcPr>
          <w:p>
            <w:pPr>
              <w:pStyle w:val="Compact"/>
              <w:spacing w:line="276" w:lineRule="auto" w:before="40" w:after="40"/>
            </w:pPr>
            <w:r>
              <w:rPr>
                <w:rFonts w:ascii="Liberation Sans Narrow" w:hAnsi="Liberation Sans Narrow"/>
                <w:sz w:val="18"/>
              </w:rPr>
              <w:t xml:space="preserve">Os valores até 40 salários-mínimos são impenhoráveis independentemente do tipo de aplicação financeira em que mantidos, sem necessidade de prova de que se destinam ao sustento do devedor.</w:t>
            </w:r>
          </w:p>
        </w:tc>
      </w:tr>
    </w:tbl>
    <w:p>
      <w:pPr>
        <w:pStyle w:val="BodyText"/>
        <w:spacing w:after="80"/>
        <w:jc w:val="both"/>
      </w:pPr>
      <w:r>
        <w:t xml:space="preserve">XI - os recursos públicos do fundo partidário recebidos por partido político, nos termos da lei;</w:t>
      </w:r>
    </w:p>
    <w:p>
      <w:pPr>
        <w:pStyle w:val="BodyText"/>
        <w:spacing w:after="80"/>
        <w:jc w:val="both"/>
      </w:pPr>
      <w:r>
        <w:t xml:space="preserve">XII - os créditos oriundos de alienação de unidades imobiliárias, sob regime de incorporação imobiliária, vinculados à execução da obra.</w:t>
      </w:r>
    </w:p>
    <w:p>
      <w:pPr>
        <w:pStyle w:val="BodyText"/>
        <w:spacing w:after="80"/>
        <w:jc w:val="both"/>
      </w:pPr>
      <w:r>
        <w:t xml:space="preserve">§ 1º A impenhorabilidade não é oponível à execução de dívida relativa ao próprio bem, inclusive àquela contraída para sua aquisição.</w:t>
      </w:r>
    </w:p>
    <w:p>
      <w:pPr>
        <w:pStyle w:val="BodyText"/>
        <w:spacing w:after="80"/>
        <w:jc w:val="both"/>
      </w:pPr>
      <w:r>
        <w:t xml:space="preserve">§ 2º O disposto nos incisos IV e X do caput não se aplica à hipótese de penhora para pagamento de prestação alimentícia, independentemente de sua origem, bem como às importâncias excedentes a 50 (cinquenta) salários-mínimos mensais, devendo a constrição observar o disposto no art. 528, § 8º , e no art. 529, § 3º .</w:t>
      </w:r>
    </w:p>
    <w:p>
      <w:pPr>
        <w:pStyle w:val="BodyText"/>
        <w:spacing w:after="80"/>
        <w:jc w:val="both"/>
      </w:pPr>
      <w:r>
        <w:t xml:space="preserve">§ 3º Incluem-se na impenhorabilidade prevista no inciso V do caput os equipamentos, os implementos e as máquinas agrícolas pertencentes a pessoa física ou a empresa individual produtora rural, exceto quando tais bens tenham sido objeto de financiamento e estejam vinculados em garantia a negócio jurídico ou quando respondam por dívida de natureza alimentar, trabalhista ou previdenciária.</w:t>
      </w:r>
    </w:p>
    <w:bookmarkEnd w:id="643"/>
    <w:bookmarkStart w:id="644" w:name="art.-834"/>
    <w:p>
      <w:pPr>
        <w:pStyle w:val="Heading6"/>
        <w:pBdr>
          <w:left w:val="single" w:sz="36" w:space="4" w:color="2E75B6"/>
        </w:pBdr>
        <w:shd w:val="clear" w:color="auto" w:fill="E3EEF9"/>
        <w:spacing w:before="200" w:after="80"/>
        <w:ind w:left="85"/>
      </w:pPr>
      <w:r>
        <w:rPr>
          <w:i w:val="0"/>
          <w:color w:val="1F3A5F"/>
          <w:sz w:val="23"/>
        </w:rPr>
        <w:t xml:space="preserve">Art. 834</w:t>
      </w:r>
    </w:p>
    <w:p>
      <w:pPr>
        <w:pStyle w:val="FirstParagraph"/>
        <w:spacing w:after="80"/>
        <w:jc w:val="both"/>
      </w:pPr>
      <w:r>
        <w:rPr>
          <w:b/>
          <w:bCs/>
        </w:rPr>
        <w:t xml:space="preserve">Art. 834.</w:t>
      </w:r>
      <w:r>
        <w:t xml:space="preserve"> </w:t>
      </w:r>
      <w:r>
        <w:t xml:space="preserve">Podem ser penhorados, à falta de outros bens, os frutos e os rendimentos dos bens inalienáveis.</w:t>
      </w:r>
    </w:p>
    <w:bookmarkEnd w:id="644"/>
    <w:bookmarkStart w:id="645" w:name="art.-835"/>
    <w:p>
      <w:pPr>
        <w:pStyle w:val="Heading6"/>
        <w:pBdr>
          <w:left w:val="single" w:sz="36" w:space="4" w:color="2E75B6"/>
        </w:pBdr>
        <w:shd w:val="clear" w:color="auto" w:fill="E3EEF9"/>
        <w:spacing w:before="200" w:after="80"/>
        <w:ind w:left="85"/>
      </w:pPr>
      <w:r>
        <w:rPr>
          <w:i w:val="0"/>
          <w:color w:val="1F3A5F"/>
          <w:sz w:val="23"/>
        </w:rPr>
        <w:t xml:space="preserve">Art. 835</w:t>
      </w:r>
    </w:p>
    <w:p>
      <w:pPr>
        <w:pStyle w:val="FirstParagraph"/>
        <w:spacing w:after="80"/>
        <w:jc w:val="both"/>
      </w:pPr>
      <w:r>
        <w:rPr>
          <w:b/>
          <w:bCs/>
        </w:rPr>
        <w:t xml:space="preserve">Art. 835.</w:t>
      </w:r>
      <w:r>
        <w:t xml:space="preserve"> </w:t>
      </w:r>
      <w:r>
        <w:t xml:space="preserve">A penhora observará, preferencialmente, a seguinte ordem:</w:t>
      </w:r>
    </w:p>
    <w:p>
      <w:pPr>
        <w:pStyle w:val="BodyText"/>
        <w:spacing w:after="80"/>
        <w:jc w:val="both"/>
      </w:pPr>
      <w:r>
        <w:t xml:space="preserve">I - dinheiro, em espécie ou em depósito ou aplicação em instituição financeira;</w:t>
      </w:r>
    </w:p>
    <w:p>
      <w:pPr>
        <w:pStyle w:val="BodyText"/>
        <w:spacing w:after="80"/>
        <w:jc w:val="both"/>
      </w:pPr>
      <w:r>
        <w:t xml:space="preserve">II - títulos da dívida pública da União, dos Estados e do Distrito Federal com cotação em mercado;</w:t>
      </w:r>
    </w:p>
    <w:p>
      <w:pPr>
        <w:pStyle w:val="BodyText"/>
        <w:spacing w:after="80"/>
        <w:jc w:val="both"/>
      </w:pPr>
      <w:r>
        <w:t xml:space="preserve">III - títulos e valores mobiliários com cotação em mercado;</w:t>
      </w:r>
    </w:p>
    <w:p>
      <w:pPr>
        <w:pStyle w:val="BodyText"/>
        <w:spacing w:after="80"/>
        <w:jc w:val="both"/>
      </w:pPr>
      <w:r>
        <w:t xml:space="preserve">IV - veículos de via terrestre;</w:t>
      </w:r>
    </w:p>
    <w:p>
      <w:pPr>
        <w:pStyle w:val="BodyText"/>
        <w:spacing w:after="80"/>
        <w:jc w:val="both"/>
      </w:pPr>
      <w:r>
        <w:t xml:space="preserve">V - bens imóveis;</w:t>
      </w:r>
    </w:p>
    <w:p>
      <w:pPr>
        <w:pStyle w:val="BodyText"/>
        <w:spacing w:after="80"/>
        <w:jc w:val="both"/>
      </w:pPr>
      <w:r>
        <w:t xml:space="preserve">VI - bens móveis em geral;</w:t>
      </w:r>
    </w:p>
    <w:p>
      <w:pPr>
        <w:pStyle w:val="BodyText"/>
        <w:spacing w:after="80"/>
        <w:jc w:val="both"/>
      </w:pPr>
      <w:r>
        <w:t xml:space="preserve">VII - semoventes;</w:t>
      </w:r>
    </w:p>
    <w:p>
      <w:pPr>
        <w:pStyle w:val="BodyText"/>
        <w:spacing w:after="80"/>
        <w:jc w:val="both"/>
      </w:pPr>
      <w:r>
        <w:t xml:space="preserve">VIII - navios e aeronaves;</w:t>
      </w:r>
    </w:p>
    <w:p>
      <w:pPr>
        <w:pStyle w:val="BodyText"/>
        <w:spacing w:after="80"/>
        <w:jc w:val="both"/>
      </w:pPr>
      <w:r>
        <w:t xml:space="preserve">IX - ações e quotas de sociedades simples e empresárias;</w:t>
      </w:r>
    </w:p>
    <w:p>
      <w:pPr>
        <w:pStyle w:val="BodyText"/>
        <w:spacing w:after="80"/>
        <w:jc w:val="both"/>
      </w:pPr>
      <w:r>
        <w:t xml:space="preserve">X - percentual do faturamento de empresa devedora;</w:t>
      </w:r>
    </w:p>
    <w:p>
      <w:pPr>
        <w:pStyle w:val="BodyText"/>
        <w:spacing w:after="80"/>
        <w:jc w:val="both"/>
      </w:pPr>
      <w:r>
        <w:t xml:space="preserve">XI - pedras e metais preciosos;</w:t>
      </w:r>
    </w:p>
    <w:p>
      <w:pPr>
        <w:pStyle w:val="BodyText"/>
        <w:spacing w:after="80"/>
        <w:jc w:val="both"/>
      </w:pPr>
      <w:r>
        <w:t xml:space="preserve">XII - direitos aquisitivos derivados de promessa de compra e venda e de alienação fiduciária em garantia;</w:t>
      </w:r>
    </w:p>
    <w:p>
      <w:pPr>
        <w:pStyle w:val="BodyText"/>
        <w:spacing w:after="80"/>
        <w:jc w:val="both"/>
      </w:pPr>
      <w:r>
        <w:t xml:space="preserve">XIII - outros direitos.</w:t>
      </w:r>
    </w:p>
    <w:p>
      <w:pPr>
        <w:pStyle w:val="BodyText"/>
        <w:spacing w:after="80"/>
        <w:jc w:val="both"/>
      </w:pPr>
      <w:r>
        <w:t xml:space="preserve">§ 1º É prioritária a penhora em dinheiro, podendo o juiz, nas demais hipóteses, alterar a ordem prevista no caput de acordo com as circunstâncias do caso concreto.</w:t>
      </w:r>
    </w:p>
    <w:p>
      <w:pPr>
        <w:pStyle w:val="BodyText"/>
        <w:keepNext/>
        <w:spacing w:after="80"/>
        <w:jc w:val="both"/>
      </w:pPr>
      <w:r>
        <w:t xml:space="preserve">§ 2º Para fins de substituição da penhora, equiparam-se a dinheiro a fiança bancária e o seguro garantia judicial, desde que em valor não inferior ao do débito constante da inicial, acrescido de trinta por cento.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54"/>
        <w:gridCol w:w="3171"/>
        <w:gridCol w:w="4029"/>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17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02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54"/>
          </w:tcPr>
          <w:p>
            <w:pPr>
              <w:pStyle w:val="Compact"/>
              <w:spacing w:line="276" w:lineRule="auto" w:before="40" w:after="40"/>
            </w:pPr>
            <w:r>
              <w:rPr>
                <w:rFonts w:ascii="Liberation Sans Narrow" w:hAnsi="Liberation Sans Narrow"/>
                <w:sz w:val="18"/>
              </w:rPr>
              <w:t xml:space="preserve">§ 2º — recusa da fiança bancária ou do seguro-garantia na execução fiscal</w:t>
            </w:r>
          </w:p>
        </w:tc>
        <w:tc>
          <w:tcPr>
            <w:tcW w:type="dxa" w:w="3171"/>
          </w:tcPr>
          <w:p>
            <w:pPr>
              <w:pStyle w:val="Compact"/>
              <w:spacing w:line="276" w:lineRule="auto" w:before="40" w:after="40"/>
            </w:pPr>
            <w:r>
              <w:rPr>
                <w:rFonts w:ascii="Liberation Sans Narrow" w:hAnsi="Liberation Sans Narrow"/>
                <w:sz w:val="18"/>
              </w:rPr>
              <w:t xml:space="preserve">STJ, Tema Repetitivo 1385, REsp 2.193.673, Primeira Seção, relatora Min. Maria Thereza de Assis Moura, julgado em 11/02/2026, DJEN de 11/03/2026</w:t>
            </w:r>
          </w:p>
        </w:tc>
        <w:tc>
          <w:tcPr>
            <w:tcW w:type="dxa" w:w="4029"/>
          </w:tcPr>
          <w:p>
            <w:pPr>
              <w:pStyle w:val="Compact"/>
              <w:spacing w:line="276" w:lineRule="auto" w:before="40" w:after="40"/>
            </w:pPr>
            <w:r>
              <w:rPr>
                <w:rFonts w:ascii="Liberation Sans Narrow" w:hAnsi="Liberation Sans Narrow"/>
                <w:sz w:val="18"/>
              </w:rPr>
              <w:t xml:space="preserve">Na execução fiscal, a fiança bancária ou o seguro garantia oferecido em garantia de execução de crédito tributário não é recusável por inobservância à ordem legal da penhora.</w:t>
            </w:r>
          </w:p>
        </w:tc>
      </w:tr>
      <w:tr>
        <w:trPr>
          <w:cantSplit/>
        </w:trPr>
        <w:tc>
          <w:tcPr>
            <w:tcW w:type="dxa" w:w="2154"/>
          </w:tcPr>
          <w:p>
            <w:pPr>
              <w:pStyle w:val="Compact"/>
              <w:spacing w:line="276" w:lineRule="auto" w:before="40" w:after="40"/>
            </w:pPr>
            <w:r>
              <w:rPr>
                <w:rFonts w:ascii="Liberation Sans Narrow" w:hAnsi="Liberation Sans Narrow"/>
                <w:sz w:val="18"/>
              </w:rPr>
              <w:t xml:space="preserve">§ 2º — equiparação da fiança bancária e do seguro-garantia a dinheiro</w:t>
            </w:r>
          </w:p>
        </w:tc>
        <w:tc>
          <w:tcPr>
            <w:tcW w:type="dxa" w:w="3171"/>
          </w:tcPr>
          <w:p>
            <w:pPr>
              <w:pStyle w:val="Compact"/>
              <w:spacing w:line="276" w:lineRule="auto" w:before="40" w:after="40"/>
            </w:pPr>
            <w:r>
              <w:rPr>
                <w:rFonts w:ascii="Liberation Sans Narrow" w:hAnsi="Liberation Sans Narrow"/>
                <w:sz w:val="18"/>
              </w:rPr>
              <w:t xml:space="preserve">STJ, REsp 2.178.147, Quarta Turma, relatora Min. Maria Isabel Gallotti, julgado em 15/06/2026, DJEN de 22/06/2026</w:t>
            </w:r>
          </w:p>
        </w:tc>
        <w:tc>
          <w:tcPr>
            <w:tcW w:type="dxa" w:w="4029"/>
          </w:tcPr>
          <w:p>
            <w:pPr>
              <w:pStyle w:val="Compact"/>
              <w:spacing w:line="276" w:lineRule="auto" w:before="40" w:after="40"/>
            </w:pPr>
            <w:r>
              <w:rPr>
                <w:rFonts w:ascii="Liberation Sans Narrow" w:hAnsi="Liberation Sans Narrow"/>
                <w:sz w:val="18"/>
              </w:rPr>
              <w:t xml:space="preserve">Os arts. 835, § 2º, e 848, parágrafo único, equiparam a fiança bancária e o seguro-garantia judicial ao dinheiro; é inviável recusar o seguro com fundamento abstrato de que não integra a ordem do art. 835, cabendo ao juízo examinar concretamente a suficiência, a regularidade formal e a idoneidade da apólice.</w:t>
            </w:r>
          </w:p>
        </w:tc>
      </w:tr>
      <w:tr>
        <w:trPr>
          <w:cantSplit/>
        </w:trPr>
        <w:tc>
          <w:tcPr>
            <w:tcW w:type="dxa" w:w="2154"/>
          </w:tcPr>
          <w:p>
            <w:pPr>
              <w:pStyle w:val="Compact"/>
              <w:spacing w:line="276" w:lineRule="auto" w:before="40" w:after="40"/>
            </w:pPr>
            <w:r>
              <w:rPr>
                <w:rFonts w:ascii="Liberation Sans Narrow" w:hAnsi="Liberation Sans Narrow"/>
                <w:sz w:val="18"/>
              </w:rPr>
              <w:t xml:space="preserve">§ 2º — prazo de validade da apólice</w:t>
            </w:r>
          </w:p>
        </w:tc>
        <w:tc>
          <w:tcPr>
            <w:tcW w:type="dxa" w:w="3171"/>
          </w:tcPr>
          <w:p>
            <w:pPr>
              <w:pStyle w:val="Compact"/>
              <w:spacing w:line="276" w:lineRule="auto" w:before="40" w:after="40"/>
            </w:pPr>
            <w:r>
              <w:rPr>
                <w:rFonts w:ascii="Liberation Sans Narrow" w:hAnsi="Liberation Sans Narrow"/>
                <w:sz w:val="18"/>
              </w:rPr>
              <w:t xml:space="preserve">STJ, AgInt no AREsp 2.392.225, Terceira Turma, relator Min. Humberto Martins, DJe de 05/12/2024</w:t>
            </w:r>
          </w:p>
        </w:tc>
        <w:tc>
          <w:tcPr>
            <w:tcW w:type="dxa" w:w="4029"/>
          </w:tcPr>
          <w:p>
            <w:pPr>
              <w:pStyle w:val="Compact"/>
              <w:spacing w:line="276" w:lineRule="auto" w:before="40" w:after="40"/>
            </w:pPr>
            <w:r>
              <w:rPr>
                <w:rFonts w:ascii="Liberation Sans Narrow" w:hAnsi="Liberation Sans Narrow"/>
                <w:sz w:val="18"/>
              </w:rPr>
              <w:t xml:space="preserve">A fixação de prazo de validade na apólice não implica inidoneidade da garantia; a idoneidade afere-se pela conformidade das cláusulas com as normas da Superintendência de Seguros Privados, não podendo o exequente rejeitar a indicação salvo por insuficiência, defeito formal ou inidoneidade.</w:t>
            </w:r>
          </w:p>
        </w:tc>
      </w:tr>
    </w:tbl>
    <w:p>
      <w:pPr>
        <w:pStyle w:val="BodyText"/>
        <w:spacing w:after="80"/>
        <w:jc w:val="both"/>
      </w:pPr>
      <w:r>
        <w:t xml:space="preserve">§ 3º Na execução de crédito com garantia real, a penhora recairá sobre a coisa dada em garantia, e, se a coisa pertencer a terceiro garantidor, este também será intimado da penhora.</w:t>
      </w:r>
    </w:p>
    <w:bookmarkEnd w:id="645"/>
    <w:bookmarkStart w:id="646" w:name="art.-836"/>
    <w:p>
      <w:pPr>
        <w:pStyle w:val="Heading6"/>
        <w:pBdr>
          <w:left w:val="single" w:sz="36" w:space="4" w:color="2E75B6"/>
        </w:pBdr>
        <w:shd w:val="clear" w:color="auto" w:fill="E3EEF9"/>
        <w:spacing w:before="200" w:after="80"/>
        <w:ind w:left="85"/>
      </w:pPr>
      <w:r>
        <w:rPr>
          <w:i w:val="0"/>
          <w:color w:val="1F3A5F"/>
          <w:sz w:val="23"/>
        </w:rPr>
        <w:t xml:space="preserve">Art. 836</w:t>
      </w:r>
    </w:p>
    <w:p>
      <w:pPr>
        <w:pStyle w:val="FirstParagraph"/>
        <w:keepNext/>
        <w:spacing w:after="80"/>
        <w:jc w:val="both"/>
      </w:pPr>
      <w:r>
        <w:rPr>
          <w:b/>
          <w:bCs/>
        </w:rPr>
        <w:t xml:space="preserve">Art. 836.</w:t>
      </w:r>
      <w:r>
        <w:t xml:space="preserve"> </w:t>
      </w:r>
      <w:r>
        <w:t xml:space="preserve">Não se levará a efeito a penhora quando ficar evidente que o produto da execução dos bens encontrados será totalmente absorvido pelo pagamento das custas da execução.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2491"/>
        <w:gridCol w:w="5332"/>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49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33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Caput — penhora inútil</w:t>
            </w:r>
          </w:p>
        </w:tc>
        <w:tc>
          <w:tcPr>
            <w:tcW w:type="dxa" w:w="2492"/>
          </w:tcPr>
          <w:p>
            <w:pPr>
              <w:pStyle w:val="Compact"/>
              <w:spacing w:line="276" w:lineRule="auto" w:before="40" w:after="40"/>
            </w:pPr>
            <w:r>
              <w:rPr>
                <w:rFonts w:ascii="Liberation Sans Narrow" w:hAnsi="Liberation Sans Narrow"/>
                <w:sz w:val="18"/>
              </w:rPr>
              <w:t xml:space="preserve">STJ, REsp 2.210.081, Terceira Turma, relatora Min. Nancy Andrighi, julgado em 09/06/2026</w:t>
            </w:r>
          </w:p>
        </w:tc>
        <w:tc>
          <w:tcPr>
            <w:tcW w:type="dxa" w:w="5332"/>
          </w:tcPr>
          <w:p>
            <w:pPr>
              <w:pStyle w:val="Compact"/>
              <w:spacing w:line="276" w:lineRule="auto" w:before="40" w:after="40"/>
            </w:pPr>
            <w:r>
              <w:rPr>
                <w:rFonts w:ascii="Liberation Sans Narrow" w:hAnsi="Liberation Sans Narrow"/>
                <w:sz w:val="18"/>
              </w:rPr>
              <w:t xml:space="preserve">A penhora não se realiza quando evidente que o produto da execução dos bens encontrados será totalmente absorvido pelas custas; o valor irrisório do bem frente ao valor da dívida executada não é hipótese legal de impenhorabilidade.</w:t>
            </w:r>
          </w:p>
        </w:tc>
      </w:tr>
    </w:tbl>
    <w:p>
      <w:pPr>
        <w:pStyle w:val="BodyText"/>
        <w:spacing w:after="80"/>
        <w:jc w:val="both"/>
      </w:pPr>
      <w:r>
        <w:t xml:space="preserve">§ 1º Quando não encontrar bens penhoráveis, independentemente de determinação judicial expressa, o oficial de justiça descreverá na certidão os bens que guarnecem a residência ou o estabelecimento do executado, quando este for pessoa jurídica.</w:t>
      </w:r>
    </w:p>
    <w:p>
      <w:pPr>
        <w:pStyle w:val="BodyText"/>
        <w:spacing w:after="80"/>
        <w:jc w:val="both"/>
      </w:pPr>
      <w:r>
        <w:t xml:space="preserve">§ 2º Elaborada a lista, o executado ou seu representante legal será nomeado depositário provisório de tais bens até ulterior determinação do juiz.</w:t>
      </w:r>
    </w:p>
    <w:bookmarkEnd w:id="646"/>
    <w:bookmarkStart w:id="647" w:name="art.-837"/>
    <w:p>
      <w:pPr>
        <w:pStyle w:val="Heading6"/>
        <w:pBdr>
          <w:left w:val="single" w:sz="36" w:space="4" w:color="2E75B6"/>
        </w:pBdr>
        <w:shd w:val="clear" w:color="auto" w:fill="E3EEF9"/>
        <w:spacing w:before="200" w:after="80"/>
        <w:ind w:left="85"/>
      </w:pPr>
      <w:r>
        <w:rPr>
          <w:i w:val="0"/>
          <w:color w:val="1F3A5F"/>
          <w:sz w:val="23"/>
        </w:rPr>
        <w:t xml:space="preserve">Art. 837</w:t>
      </w:r>
    </w:p>
    <w:p>
      <w:pPr>
        <w:pStyle w:val="FirstParagraph"/>
        <w:spacing w:after="80"/>
        <w:jc w:val="both"/>
      </w:pPr>
      <w:r>
        <w:rPr>
          <w:b/>
          <w:bCs/>
        </w:rPr>
        <w:t xml:space="preserve">Art. 837.</w:t>
      </w:r>
      <w:r>
        <w:t xml:space="preserve"> </w:t>
      </w:r>
      <w:r>
        <w:t xml:space="preserve">Obedecidas as normas de segurança instituídas sob critérios uniformes pelo Conselho Nacional de Justiça, a penhora de dinheiro e as averbações de penhoras de bens imóveis e móveis podem ser realizadas por meio eletrônico.</w:t>
      </w:r>
    </w:p>
    <w:bookmarkEnd w:id="647"/>
    <w:bookmarkStart w:id="648" w:name="art.-838"/>
    <w:p>
      <w:pPr>
        <w:pStyle w:val="Heading6"/>
        <w:pBdr>
          <w:left w:val="single" w:sz="36" w:space="4" w:color="2E75B6"/>
        </w:pBdr>
        <w:shd w:val="clear" w:color="auto" w:fill="E3EEF9"/>
        <w:spacing w:before="200" w:after="80"/>
        <w:ind w:left="85"/>
      </w:pPr>
      <w:r>
        <w:rPr>
          <w:i w:val="0"/>
          <w:color w:val="1F3A5F"/>
          <w:sz w:val="23"/>
        </w:rPr>
        <w:t xml:space="preserve">Art. 838</w:t>
      </w:r>
    </w:p>
    <w:p>
      <w:pPr>
        <w:pStyle w:val="FirstParagraph"/>
        <w:spacing w:after="80"/>
        <w:jc w:val="both"/>
      </w:pPr>
      <w:r>
        <w:rPr>
          <w:b/>
          <w:bCs/>
        </w:rPr>
        <w:t xml:space="preserve">Art. 838.</w:t>
      </w:r>
      <w:r>
        <w:t xml:space="preserve"> </w:t>
      </w:r>
      <w:r>
        <w:t xml:space="preserve">A penhora será realizada mediante auto ou termo, que conterá:</w:t>
      </w:r>
    </w:p>
    <w:p>
      <w:pPr>
        <w:pStyle w:val="BodyText"/>
        <w:spacing w:after="80"/>
        <w:jc w:val="both"/>
      </w:pPr>
      <w:r>
        <w:t xml:space="preserve">I - a indicação do dia, do mês, do ano e do lugar em que foi feita;</w:t>
      </w:r>
    </w:p>
    <w:p>
      <w:pPr>
        <w:pStyle w:val="BodyText"/>
        <w:spacing w:after="80"/>
        <w:jc w:val="both"/>
      </w:pPr>
      <w:r>
        <w:t xml:space="preserve">II - os nomes do exequente e do executado;</w:t>
      </w:r>
    </w:p>
    <w:p>
      <w:pPr>
        <w:pStyle w:val="BodyText"/>
        <w:spacing w:after="80"/>
        <w:jc w:val="both"/>
      </w:pPr>
      <w:r>
        <w:t xml:space="preserve">III - a descrição dos bens penhorados, com as suas características;</w:t>
      </w:r>
    </w:p>
    <w:p>
      <w:pPr>
        <w:pStyle w:val="BodyText"/>
        <w:spacing w:after="80"/>
        <w:jc w:val="both"/>
      </w:pPr>
      <w:r>
        <w:t xml:space="preserve">IV - a nomeação do depositário dos bens.</w:t>
      </w:r>
    </w:p>
    <w:bookmarkEnd w:id="648"/>
    <w:bookmarkStart w:id="649" w:name="art.-839"/>
    <w:p>
      <w:pPr>
        <w:pStyle w:val="Heading6"/>
        <w:pBdr>
          <w:left w:val="single" w:sz="36" w:space="4" w:color="2E75B6"/>
        </w:pBdr>
        <w:shd w:val="clear" w:color="auto" w:fill="E3EEF9"/>
        <w:spacing w:before="200" w:after="80"/>
        <w:ind w:left="85"/>
      </w:pPr>
      <w:r>
        <w:rPr>
          <w:i w:val="0"/>
          <w:color w:val="1F3A5F"/>
          <w:sz w:val="23"/>
        </w:rPr>
        <w:t xml:space="preserve">Art. 839</w:t>
      </w:r>
    </w:p>
    <w:p>
      <w:pPr>
        <w:pStyle w:val="FirstParagraph"/>
        <w:keepNext/>
        <w:spacing w:after="80"/>
        <w:jc w:val="both"/>
      </w:pPr>
      <w:r>
        <w:rPr>
          <w:b/>
          <w:bCs/>
        </w:rPr>
        <w:t xml:space="preserve">Art. 839.</w:t>
      </w:r>
      <w:r>
        <w:t xml:space="preserve"> </w:t>
      </w:r>
      <w:r>
        <w:t xml:space="preserve">Considerar-se-á feita a penhora mediante a apreensão e o depósito dos bens, lavrando-se um só auto se as diligências forem concluídas no mesmo dia.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2760"/>
        <w:gridCol w:w="506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6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06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Caput — apreensão e depósito dos bens</w:t>
            </w:r>
          </w:p>
        </w:tc>
        <w:tc>
          <w:tcPr>
            <w:tcW w:type="dxa" w:w="2760"/>
          </w:tcPr>
          <w:p>
            <w:pPr>
              <w:pStyle w:val="Compact"/>
              <w:spacing w:line="276" w:lineRule="auto" w:before="40" w:after="40"/>
            </w:pPr>
            <w:r>
              <w:rPr>
                <w:rFonts w:ascii="Liberation Sans Narrow" w:hAnsi="Liberation Sans Narrow"/>
                <w:sz w:val="18"/>
              </w:rPr>
              <w:t xml:space="preserve">STJ, REsp 2.016.739, Terceira Turma, relatora Min. Nancy Andrighi, julgado em 29/11/2022, DJe de 01/12/2022</w:t>
            </w:r>
          </w:p>
        </w:tc>
        <w:tc>
          <w:tcPr>
            <w:tcW w:type="dxa" w:w="5063"/>
          </w:tcPr>
          <w:p>
            <w:pPr>
              <w:pStyle w:val="Compact"/>
              <w:spacing w:line="276" w:lineRule="auto" w:before="40" w:after="40"/>
            </w:pPr>
            <w:r>
              <w:rPr>
                <w:rFonts w:ascii="Liberation Sans Narrow" w:hAnsi="Liberation Sans Narrow"/>
                <w:sz w:val="18"/>
              </w:rPr>
              <w:t xml:space="preserve">A penhora se concretiza pela apreensão e pelo depósito do bem, mas o Código admite exceções à apreensão — dinheiro (art. 854) e imóvel e veículo automotor (art. 845, § 1º) —, de modo que o veículo automotor se penhora por termo nos autos, com a certidão que ateste a sua existência, sem necessidade de localização do bem.</w:t>
            </w:r>
          </w:p>
        </w:tc>
      </w:tr>
    </w:tbl>
    <w:p>
      <w:pPr>
        <w:pStyle w:val="BodyText"/>
        <w:spacing w:after="80"/>
        <w:jc w:val="both"/>
      </w:pPr>
      <w:r>
        <w:t xml:space="preserve">Parágrafo único. Havendo mais de uma penhora, serão lavrados autos individuais.</w:t>
      </w:r>
    </w:p>
    <w:bookmarkEnd w:id="649"/>
    <w:bookmarkStart w:id="650" w:name="art.-840"/>
    <w:p>
      <w:pPr>
        <w:pStyle w:val="Heading6"/>
        <w:pBdr>
          <w:left w:val="single" w:sz="36" w:space="4" w:color="2E75B6"/>
        </w:pBdr>
        <w:shd w:val="clear" w:color="auto" w:fill="E3EEF9"/>
        <w:spacing w:before="200" w:after="80"/>
        <w:ind w:left="85"/>
      </w:pPr>
      <w:r>
        <w:rPr>
          <w:i w:val="0"/>
          <w:color w:val="1F3A5F"/>
          <w:sz w:val="23"/>
        </w:rPr>
        <w:t xml:space="preserve">Art. 840</w:t>
      </w:r>
    </w:p>
    <w:p>
      <w:pPr>
        <w:pStyle w:val="FirstParagraph"/>
        <w:spacing w:after="80"/>
        <w:jc w:val="both"/>
      </w:pPr>
      <w:r>
        <w:rPr>
          <w:b/>
          <w:bCs/>
        </w:rPr>
        <w:t xml:space="preserve">Art. 840.</w:t>
      </w:r>
      <w:r>
        <w:t xml:space="preserve"> </w:t>
      </w:r>
      <w:r>
        <w:t xml:space="preserve">Serão preferencialmente depositados:</w:t>
      </w:r>
    </w:p>
    <w:p>
      <w:pPr>
        <w:pStyle w:val="BodyText"/>
        <w:spacing w:after="80"/>
        <w:jc w:val="both"/>
      </w:pPr>
      <w:r>
        <w:t xml:space="preserve">I - as quantias em dinheiro, os papéis de crédito e as pedras e os metais preciosos, no Banco do Brasil, na Caixa Econômica Federal ou em banco do qual o Estado ou o Distrito Federal possua mais da metade do capital social integralizado, ou, na falta desses estabelecimentos, em qualquer instituição de crédito designada pelo juiz; (Vide ADI nº 5492)</w:t>
      </w:r>
    </w:p>
    <w:p>
      <w:pPr>
        <w:pStyle w:val="BodyText"/>
        <w:spacing w:after="80"/>
        <w:jc w:val="both"/>
      </w:pPr>
      <w:r>
        <w:t xml:space="preserve">II - os móveis, os semoventes, os imóveis urbanos e os direitos aquisitivos sobre imóveis urbanos, em poder do depositário judicial;</w:t>
      </w:r>
    </w:p>
    <w:p>
      <w:pPr>
        <w:pStyle w:val="BodyText"/>
        <w:spacing w:after="80"/>
        <w:jc w:val="both"/>
      </w:pPr>
      <w:r>
        <w:t xml:space="preserve">III - os imóveis rurais, os direitos aquisitivos sobre imóveis rurais, as máquinas, os utensílios e os instrumentos necessários ou úteis à atividade agrícola, mediante caução idônea, em poder do executado.</w:t>
      </w:r>
    </w:p>
    <w:p>
      <w:pPr>
        <w:pStyle w:val="BodyText"/>
        <w:spacing w:after="80"/>
        <w:jc w:val="both"/>
      </w:pPr>
      <w:r>
        <w:t xml:space="preserve">§ 1º No caso do inciso II do caput , se não houver depositário judicial, os bens ficarão em poder do exequente.</w:t>
      </w:r>
    </w:p>
    <w:p>
      <w:pPr>
        <w:pStyle w:val="BodyText"/>
        <w:spacing w:after="80"/>
        <w:jc w:val="both"/>
      </w:pPr>
      <w:r>
        <w:t xml:space="preserve">§ 2º Os bens poderão ser depositados em poder do executado nos casos de difícil remoção ou quando anuir o exequente.</w:t>
      </w:r>
    </w:p>
    <w:p>
      <w:pPr>
        <w:pStyle w:val="BodyText"/>
        <w:spacing w:after="80"/>
        <w:jc w:val="both"/>
      </w:pPr>
      <w:r>
        <w:t xml:space="preserve">§ 3º As joias, as pedras e os objetos preciosos deverão ser depositados com registro do valor estimado de resgate.</w:t>
      </w:r>
    </w:p>
    <w:bookmarkEnd w:id="650"/>
    <w:bookmarkStart w:id="651" w:name="art.-841"/>
    <w:p>
      <w:pPr>
        <w:pStyle w:val="Heading6"/>
        <w:pBdr>
          <w:left w:val="single" w:sz="36" w:space="4" w:color="2E75B6"/>
        </w:pBdr>
        <w:shd w:val="clear" w:color="auto" w:fill="E3EEF9"/>
        <w:spacing w:before="200" w:after="80"/>
        <w:ind w:left="85"/>
      </w:pPr>
      <w:r>
        <w:rPr>
          <w:i w:val="0"/>
          <w:color w:val="1F3A5F"/>
          <w:sz w:val="23"/>
        </w:rPr>
        <w:t xml:space="preserve">Art. 841</w:t>
      </w:r>
    </w:p>
    <w:p>
      <w:pPr>
        <w:pStyle w:val="FirstParagraph"/>
        <w:spacing w:after="80"/>
        <w:jc w:val="both"/>
      </w:pPr>
      <w:r>
        <w:rPr>
          <w:b/>
          <w:bCs/>
        </w:rPr>
        <w:t xml:space="preserve">Art. 841.</w:t>
      </w:r>
      <w:r>
        <w:t xml:space="preserve"> </w:t>
      </w:r>
      <w:r>
        <w:t xml:space="preserve">Formalizada a penhora por qualquer dos meios legais, dela será imediatamente intimado o executado.</w:t>
      </w:r>
    </w:p>
    <w:p>
      <w:pPr>
        <w:pStyle w:val="BodyText"/>
        <w:keepNext/>
        <w:spacing w:after="80"/>
        <w:jc w:val="both"/>
      </w:pPr>
      <w:r>
        <w:t xml:space="preserve">§ 1º A intimação da penhora será feita ao advogado do executado ou à sociedade de advogados a que aquele pertença.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2599"/>
        <w:gridCol w:w="522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0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22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 1º — intimação da penhora ao advogado</w:t>
            </w:r>
          </w:p>
        </w:tc>
        <w:tc>
          <w:tcPr>
            <w:tcW w:type="dxa" w:w="2600"/>
          </w:tcPr>
          <w:p>
            <w:pPr>
              <w:pStyle w:val="Compact"/>
              <w:spacing w:line="276" w:lineRule="auto" w:before="40" w:after="40"/>
            </w:pPr>
            <w:r>
              <w:rPr>
                <w:rFonts w:ascii="Liberation Sans Narrow" w:hAnsi="Liberation Sans Narrow"/>
                <w:sz w:val="18"/>
              </w:rPr>
              <w:t xml:space="preserve">STJ, AREsp 3.100.128, Quarta Turma, relator Min. João Otávio de Noronha, julgado em 23/03/2026</w:t>
            </w:r>
          </w:p>
        </w:tc>
        <w:tc>
          <w:tcPr>
            <w:tcW w:type="dxa" w:w="5224"/>
          </w:tcPr>
          <w:p>
            <w:pPr>
              <w:pStyle w:val="Compact"/>
              <w:spacing w:line="276" w:lineRule="auto" w:before="40" w:after="40"/>
            </w:pPr>
            <w:r>
              <w:rPr>
                <w:rFonts w:ascii="Liberation Sans Narrow" w:hAnsi="Liberation Sans Narrow"/>
                <w:sz w:val="18"/>
              </w:rPr>
              <w:t xml:space="preserve">É regular a intimação da penhora na pessoa do advogado do executado, nos termos do art. 841, § 1º, do CPC; a alegação de nulidade por ausência de intimação pessoal não prospera quando registradas intimações regulares e não comprovada a impenhorabilidade do bem de família.</w:t>
            </w:r>
          </w:p>
        </w:tc>
      </w:tr>
    </w:tbl>
    <w:p>
      <w:pPr>
        <w:pStyle w:val="BodyText"/>
        <w:spacing w:after="80"/>
        <w:jc w:val="both"/>
      </w:pPr>
      <w:r>
        <w:t xml:space="preserve">§ 2º Se não houver constituído advogado nos autos, o executado será intimado pessoalmente, de preferência por via postal.</w:t>
      </w:r>
    </w:p>
    <w:p>
      <w:pPr>
        <w:pStyle w:val="BodyText"/>
        <w:spacing w:after="80"/>
        <w:jc w:val="both"/>
      </w:pPr>
      <w:r>
        <w:t xml:space="preserve">§ 3º O disposto no § 1º não se aplica aos casos de penhora realizada na presença do executado, que se reputa intimado.</w:t>
      </w:r>
    </w:p>
    <w:p>
      <w:pPr>
        <w:pStyle w:val="BodyText"/>
        <w:spacing w:after="80"/>
        <w:jc w:val="both"/>
      </w:pPr>
      <w:r>
        <w:t xml:space="preserve">§ 4º Considera-se realizada a intimação a que se refere o § 2º quando o executado houver mudado de endereço sem prévia comunicação ao juízo, observado o disposto no parágrafo único do art. 274.</w:t>
      </w:r>
    </w:p>
    <w:bookmarkEnd w:id="651"/>
    <w:bookmarkStart w:id="652" w:name="art.-842"/>
    <w:p>
      <w:pPr>
        <w:pStyle w:val="Heading6"/>
        <w:pBdr>
          <w:left w:val="single" w:sz="36" w:space="4" w:color="2E75B6"/>
        </w:pBdr>
        <w:shd w:val="clear" w:color="auto" w:fill="E3EEF9"/>
        <w:spacing w:before="200" w:after="80"/>
        <w:ind w:left="85"/>
      </w:pPr>
      <w:r>
        <w:rPr>
          <w:i w:val="0"/>
          <w:color w:val="1F3A5F"/>
          <w:sz w:val="23"/>
        </w:rPr>
        <w:t xml:space="preserve">Art. 842</w:t>
      </w:r>
    </w:p>
    <w:p>
      <w:pPr>
        <w:pStyle w:val="FirstParagraph"/>
        <w:spacing w:after="80"/>
        <w:jc w:val="both"/>
      </w:pPr>
      <w:r>
        <w:rPr>
          <w:b/>
          <w:bCs/>
        </w:rPr>
        <w:t xml:space="preserve">Art. 842.</w:t>
      </w:r>
      <w:r>
        <w:t xml:space="preserve"> </w:t>
      </w:r>
      <w:r>
        <w:t xml:space="preserve">Recaindo a penhora sobre bem imóvel ou direito real sobre imóvel, será intimado também o cônjuge do executado, salvo se forem casados em regime de separação absoluta de bens.</w:t>
      </w:r>
    </w:p>
    <w:bookmarkEnd w:id="652"/>
    <w:bookmarkStart w:id="653" w:name="art.-843"/>
    <w:p>
      <w:pPr>
        <w:pStyle w:val="Heading6"/>
        <w:pBdr>
          <w:left w:val="single" w:sz="36" w:space="4" w:color="2E75B6"/>
        </w:pBdr>
        <w:shd w:val="clear" w:color="auto" w:fill="E3EEF9"/>
        <w:spacing w:before="200" w:after="80"/>
        <w:ind w:left="85"/>
      </w:pPr>
      <w:r>
        <w:rPr>
          <w:i w:val="0"/>
          <w:color w:val="1F3A5F"/>
          <w:sz w:val="23"/>
        </w:rPr>
        <w:t xml:space="preserve">Art. 843</w:t>
      </w:r>
    </w:p>
    <w:p>
      <w:pPr>
        <w:pStyle w:val="FirstParagraph"/>
        <w:keepNext/>
        <w:spacing w:after="80"/>
        <w:jc w:val="both"/>
      </w:pPr>
      <w:r>
        <w:rPr>
          <w:b/>
          <w:bCs/>
        </w:rPr>
        <w:t xml:space="preserve">Art. 843.</w:t>
      </w:r>
      <w:r>
        <w:t xml:space="preserve"> </w:t>
      </w:r>
      <w:r>
        <w:t xml:space="preserve">Tratando-se de penhora de bem indivisível, o equivalente à quota-parte do coproprietário ou do cônjuge alheio à execução recairá sobre o produto da alienação do bem.</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2665"/>
        <w:gridCol w:w="478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6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8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Caput — penhora da integralidade e sub-rogação da quota</w:t>
            </w:r>
          </w:p>
        </w:tc>
        <w:tc>
          <w:tcPr>
            <w:tcW w:type="dxa" w:w="2665"/>
          </w:tcPr>
          <w:p>
            <w:pPr>
              <w:pStyle w:val="Compact"/>
              <w:spacing w:line="276" w:lineRule="auto" w:before="40" w:after="40"/>
            </w:pPr>
            <w:r>
              <w:rPr>
                <w:rFonts w:ascii="Liberation Sans Narrow" w:hAnsi="Liberation Sans Narrow"/>
                <w:sz w:val="18"/>
              </w:rPr>
              <w:t xml:space="preserve">STJ, AREsp 2.498.470, Quarta Turma, relator Min. Raul Araújo, julgado em 04/05/2026</w:t>
            </w:r>
          </w:p>
        </w:tc>
        <w:tc>
          <w:tcPr>
            <w:tcW w:type="dxa" w:w="4785"/>
          </w:tcPr>
          <w:p>
            <w:pPr>
              <w:pStyle w:val="Compact"/>
              <w:spacing w:line="276" w:lineRule="auto" w:before="40" w:after="40"/>
            </w:pPr>
            <w:r>
              <w:rPr>
                <w:rFonts w:ascii="Liberation Sans Narrow" w:hAnsi="Liberation Sans Narrow"/>
                <w:sz w:val="18"/>
              </w:rPr>
              <w:t xml:space="preserve">A penhora da integralidade de bem indivisível é expressamente admitida pelo art. 843, assegurando-se ao coproprietário não executado a sub-rogação de sua quota-parte no produto da alienação.</w:t>
            </w:r>
          </w:p>
        </w:tc>
      </w:tr>
      <w:tr>
        <w:trPr>
          <w:cantSplit/>
        </w:trPr>
        <w:tc>
          <w:tcPr>
            <w:tcW w:type="dxa" w:w="1905"/>
          </w:tcPr>
          <w:p>
            <w:pPr>
              <w:pStyle w:val="Compact"/>
              <w:spacing w:line="276" w:lineRule="auto" w:before="40" w:after="40"/>
            </w:pPr>
            <w:r>
              <w:rPr>
                <w:rFonts w:ascii="Liberation Sans Narrow" w:hAnsi="Liberation Sans Narrow"/>
                <w:sz w:val="18"/>
              </w:rPr>
              <w:t xml:space="preserve">Caput — bem indivisível</w:t>
            </w:r>
          </w:p>
        </w:tc>
        <w:tc>
          <w:tcPr>
            <w:tcW w:type="dxa" w:w="2665"/>
          </w:tcPr>
          <w:p>
            <w:pPr>
              <w:pStyle w:val="Compact"/>
              <w:spacing w:line="276" w:lineRule="auto" w:before="40" w:after="40"/>
            </w:pPr>
            <w:r>
              <w:rPr>
                <w:rFonts w:ascii="Liberation Sans Narrow" w:hAnsi="Liberation Sans Narrow"/>
                <w:sz w:val="18"/>
              </w:rPr>
              <w:t xml:space="preserve">STJ, AgInt no AREsp 2.796.399, Quarta Turma, relator Min. Raul Araújo, DJe de 03/11/2025</w:t>
            </w:r>
          </w:p>
        </w:tc>
        <w:tc>
          <w:tcPr>
            <w:tcW w:type="dxa" w:w="4785"/>
          </w:tcPr>
          <w:p>
            <w:pPr>
              <w:pStyle w:val="Compact"/>
              <w:spacing w:line="276" w:lineRule="auto" w:before="40" w:after="40"/>
            </w:pPr>
            <w:r>
              <w:rPr>
                <w:rFonts w:ascii="Liberation Sans Narrow" w:hAnsi="Liberation Sans Narrow"/>
                <w:sz w:val="18"/>
              </w:rPr>
              <w:t xml:space="preserve">É possível a penhora da integralidade do imóvel indivisível em copropriedade, resguardada a quota-parte do coproprietário alheio à execução no produto da alienação.</w:t>
            </w:r>
          </w:p>
        </w:tc>
      </w:tr>
    </w:tbl>
    <w:p>
      <w:pPr>
        <w:pStyle w:val="BodyText"/>
        <w:spacing w:after="80"/>
        <w:jc w:val="both"/>
      </w:pPr>
      <w:r>
        <w:t xml:space="preserve">§ 1º É reservada ao coproprietário ou ao cônjuge não executado a preferência na arrematação do bem em igualdade de condições.</w:t>
      </w:r>
    </w:p>
    <w:p>
      <w:pPr>
        <w:pStyle w:val="BodyText"/>
        <w:spacing w:after="80"/>
        <w:jc w:val="both"/>
      </w:pPr>
      <w:r>
        <w:t xml:space="preserve">§ 2º Não será levada a efeito expropriação por preço inferior ao da avaliação na qual o valor auferido seja incapaz de garantir, ao coproprietário ou ao cônjuge alheio à execução, o correspondente à sua quota-parte calculado sobre o valor da avaliação.</w:t>
      </w:r>
    </w:p>
    <w:bookmarkEnd w:id="653"/>
    <w:bookmarkStart w:id="654" w:name="art.-844"/>
    <w:p>
      <w:pPr>
        <w:pStyle w:val="Heading6"/>
        <w:pBdr>
          <w:left w:val="single" w:sz="36" w:space="4" w:color="2E75B6"/>
        </w:pBdr>
        <w:shd w:val="clear" w:color="auto" w:fill="E3EEF9"/>
        <w:spacing w:before="200" w:after="80"/>
        <w:ind w:left="85"/>
      </w:pPr>
      <w:r>
        <w:rPr>
          <w:i w:val="0"/>
          <w:color w:val="1F3A5F"/>
          <w:sz w:val="23"/>
        </w:rPr>
        <w:t xml:space="preserve">Art. 844</w:t>
      </w:r>
    </w:p>
    <w:p>
      <w:pPr>
        <w:pStyle w:val="FirstParagraph"/>
        <w:keepNext/>
        <w:spacing w:after="80"/>
        <w:jc w:val="both"/>
      </w:pPr>
      <w:r>
        <w:rPr>
          <w:b/>
          <w:bCs/>
        </w:rPr>
        <w:t xml:space="preserve">Art. 844.</w:t>
      </w:r>
      <w:r>
        <w:t xml:space="preserve"> </w:t>
      </w:r>
      <w:r>
        <w:t xml:space="preserve">Para presunção absoluta de conhecimento por terceiros, cabe ao exequente providenciar a averbação do arresto ou da penhora no registro competente, mediante apresentação de cópia do auto ou do termo, independentemente de mandado judicial.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817"/>
        <w:gridCol w:w="3009"/>
        <w:gridCol w:w="4528"/>
      </w:tblGrid>
      <w:tr>
        <w:trPr>
          <w:tblHeader w:val="on"/>
          <w:cantSplit/>
          <w:tblHeader/>
        </w:trPr>
        <w:tc>
          <w:tcPr>
            <w:tcW w:type="dxa" w:w="1817"/>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00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528"/>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817"/>
          </w:tcPr>
          <w:p>
            <w:pPr>
              <w:pStyle w:val="Compact"/>
              <w:spacing w:line="276" w:lineRule="auto" w:before="40" w:after="40"/>
            </w:pPr>
            <w:r>
              <w:rPr>
                <w:rFonts w:ascii="Liberation Sans Narrow" w:hAnsi="Liberation Sans Narrow"/>
                <w:sz w:val="18"/>
              </w:rPr>
              <w:t xml:space="preserve">Caput — averbação da penhora e bem de família (aplicação narrada)</w:t>
            </w:r>
          </w:p>
        </w:tc>
        <w:tc>
          <w:tcPr>
            <w:tcW w:type="dxa" w:w="3009"/>
          </w:tcPr>
          <w:p>
            <w:pPr>
              <w:pStyle w:val="Compact"/>
              <w:spacing w:line="276" w:lineRule="auto" w:before="40" w:after="40"/>
            </w:pPr>
            <w:r>
              <w:rPr>
                <w:rFonts w:ascii="Liberation Sans Narrow" w:hAnsi="Liberation Sans Narrow"/>
                <w:sz w:val="18"/>
              </w:rPr>
              <w:t xml:space="preserve">STJ, REsp 2.199.841, Terceira Turma, relatora Min. Nancy Andrighi, julgado em 25/08/2025, DJEN de 01/09/2025</w:t>
            </w:r>
          </w:p>
        </w:tc>
        <w:tc>
          <w:tcPr>
            <w:tcW w:type="dxa" w:w="4528"/>
          </w:tcPr>
          <w:p>
            <w:pPr>
              <w:pStyle w:val="Compact"/>
              <w:spacing w:line="276" w:lineRule="auto" w:before="40" w:after="40"/>
            </w:pPr>
            <w:r>
              <w:rPr>
                <w:rFonts w:ascii="Liberation Sans Narrow" w:hAnsi="Liberation Sans Narrow"/>
                <w:sz w:val="18"/>
              </w:rPr>
              <w:t xml:space="preserve">É inadmissível que o credor averbe a penhora no registro imobiliário de bem de família, ainda que vedada a sua expropriação: a penhora é inválida por desrespeitar norma de ordem pública da Lei 8.009/1990, e a averbação não pode dar publicidade a constrição inexistente. Trecho: “É entendimento da Terceira Turma ser inadmissível que o credor realize a averbação da penhora no registro imobiliário do bem de família, mesmo que seja vedada a sua expropriação, haja vista que a penhora é inválida por desrespeitar norma de ordem pública positivada na Lei 8.009/90.”</w:t>
            </w:r>
          </w:p>
        </w:tc>
      </w:tr>
      <w:tr>
        <w:trPr>
          <w:cantSplit/>
        </w:trPr>
        <w:tc>
          <w:tcPr>
            <w:tcW w:type="dxa" w:w="1817"/>
          </w:tcPr>
          <w:p>
            <w:pPr>
              <w:pStyle w:val="Compact"/>
              <w:spacing w:line="276" w:lineRule="auto" w:before="40" w:after="40"/>
            </w:pPr>
            <w:r>
              <w:rPr>
                <w:rFonts w:ascii="Liberation Sans Narrow" w:hAnsi="Liberation Sans Narrow"/>
                <w:sz w:val="18"/>
              </w:rPr>
              <w:t xml:space="preserve">Caput — averbação da penhora no registro</w:t>
            </w:r>
          </w:p>
        </w:tc>
        <w:tc>
          <w:tcPr>
            <w:tcW w:type="dxa" w:w="3009"/>
          </w:tcPr>
          <w:p>
            <w:pPr>
              <w:pStyle w:val="Compact"/>
              <w:spacing w:line="276" w:lineRule="auto" w:before="40" w:after="40"/>
            </w:pPr>
            <w:r>
              <w:rPr>
                <w:rFonts w:ascii="Liberation Sans Narrow" w:hAnsi="Liberation Sans Narrow"/>
                <w:sz w:val="18"/>
              </w:rPr>
              <w:t xml:space="preserve">STJ, AgInt no EREsp 1.896.456, Terceira Turma, relator Min. Marco Aurélio Bellizze, DJe de 03/03/2021</w:t>
            </w:r>
          </w:p>
        </w:tc>
        <w:tc>
          <w:tcPr>
            <w:tcW w:type="dxa" w:w="4528"/>
          </w:tcPr>
          <w:p>
            <w:pPr>
              <w:pStyle w:val="Compact"/>
              <w:spacing w:line="276" w:lineRule="auto" w:before="40" w:after="40"/>
            </w:pPr>
            <w:r>
              <w:rPr>
                <w:rFonts w:ascii="Liberation Sans Narrow" w:hAnsi="Liberation Sans Narrow"/>
                <w:sz w:val="18"/>
              </w:rPr>
              <w:t xml:space="preserve">A má-fé do terceiro adquirente não se presume: a averbação da penhora no registro autoriza a presunção de fraude, mas, sem ela, a ineficácia da alienação exige prova de má-fé (Súmula 375 do Superior Tribunal de Justiça).</w:t>
            </w:r>
          </w:p>
        </w:tc>
      </w:tr>
    </w:tbl>
    <w:bookmarkEnd w:id="654"/>
    <w:bookmarkStart w:id="655" w:name="art.-845"/>
    <w:p>
      <w:pPr>
        <w:pStyle w:val="Heading6"/>
        <w:pBdr>
          <w:left w:val="single" w:sz="36" w:space="4" w:color="2E75B6"/>
        </w:pBdr>
        <w:shd w:val="clear" w:color="auto" w:fill="E3EEF9"/>
        <w:spacing w:before="200" w:after="80"/>
        <w:ind w:left="85"/>
      </w:pPr>
      <w:r>
        <w:rPr>
          <w:i w:val="0"/>
          <w:color w:val="1F3A5F"/>
          <w:sz w:val="23"/>
        </w:rPr>
        <w:t xml:space="preserve">Art. 845</w:t>
      </w:r>
    </w:p>
    <w:p>
      <w:pPr>
        <w:pStyle w:val="FirstParagraph"/>
        <w:spacing w:after="80"/>
        <w:jc w:val="both"/>
      </w:pPr>
      <w:r>
        <w:rPr>
          <w:b/>
          <w:bCs/>
        </w:rPr>
        <w:t xml:space="preserve">Art. 845.</w:t>
      </w:r>
      <w:r>
        <w:t xml:space="preserve"> </w:t>
      </w:r>
      <w:r>
        <w:t xml:space="preserve">Efetuar-se-á a penhora onde se encontrem os bens, ainda que sob a posse, a detenção ou a guarda de terceiros.</w:t>
      </w:r>
    </w:p>
    <w:p>
      <w:pPr>
        <w:pStyle w:val="BodyText"/>
        <w:spacing w:after="80"/>
        <w:jc w:val="both"/>
      </w:pPr>
      <w:r>
        <w:t xml:space="preserve">§ 1º A penhora de imóveis, independentemente de onde se localizem, quando apresentada certidão da respectiva matrícula, e a penhora de veículos automotores, quando apresentada certidão que ateste a sua existência, serão realizadas por termo nos autos.</w:t>
      </w:r>
    </w:p>
    <w:p>
      <w:pPr>
        <w:pStyle w:val="BodyText"/>
        <w:spacing w:after="80"/>
        <w:jc w:val="both"/>
      </w:pPr>
      <w:r>
        <w:t xml:space="preserve">§ 2º Se o executado não tiver bens no foro do processo, não sendo possível a realização da penhora nos termos do § 1º, a execução será feita por carta, penhorando-se, avaliando-se e alienando-se os bens no foro da situação.</w:t>
      </w:r>
    </w:p>
    <w:bookmarkEnd w:id="655"/>
    <w:bookmarkStart w:id="656" w:name="art.-846"/>
    <w:p>
      <w:pPr>
        <w:pStyle w:val="Heading6"/>
        <w:pBdr>
          <w:left w:val="single" w:sz="36" w:space="4" w:color="2E75B6"/>
        </w:pBdr>
        <w:shd w:val="clear" w:color="auto" w:fill="E3EEF9"/>
        <w:spacing w:before="200" w:after="80"/>
        <w:ind w:left="85"/>
      </w:pPr>
      <w:r>
        <w:rPr>
          <w:i w:val="0"/>
          <w:color w:val="1F3A5F"/>
          <w:sz w:val="23"/>
        </w:rPr>
        <w:t xml:space="preserve">Art. 846</w:t>
      </w:r>
    </w:p>
    <w:p>
      <w:pPr>
        <w:pStyle w:val="FirstParagraph"/>
        <w:spacing w:after="80"/>
        <w:jc w:val="both"/>
      </w:pPr>
      <w:r>
        <w:rPr>
          <w:b/>
          <w:bCs/>
        </w:rPr>
        <w:t xml:space="preserve">Art. 846.</w:t>
      </w:r>
      <w:r>
        <w:t xml:space="preserve"> </w:t>
      </w:r>
      <w:r>
        <w:t xml:space="preserve">Se o executado fechar as portas da casa a fim de obstar a penhora dos bens, o oficial de justiça comunicará o fato ao juiz, solicitando-lhe ordem de arrombamento.</w:t>
      </w:r>
    </w:p>
    <w:p>
      <w:pPr>
        <w:pStyle w:val="BodyText"/>
        <w:spacing w:after="80"/>
        <w:jc w:val="both"/>
      </w:pPr>
      <w:r>
        <w:t xml:space="preserve">§ 1 o Deferido o pedido, 2 (dois) oficiais de justiça cumprirão o mandado, arrombando cômodos e móveis em que se presuma estarem os bens, e lavrarão de tudo auto circunstanciado, que será assinado por 2 (duas) testemunhas presentes à diligência.</w:t>
      </w:r>
    </w:p>
    <w:p>
      <w:pPr>
        <w:pStyle w:val="BodyText"/>
        <w:spacing w:after="80"/>
        <w:jc w:val="both"/>
      </w:pPr>
      <w:r>
        <w:t xml:space="preserve">§ 2º Sempre que necessário, o juiz requisitará força policial, a fim de auxiliar os oficiais de justiça na penhora dos bens.</w:t>
      </w:r>
    </w:p>
    <w:p>
      <w:pPr>
        <w:pStyle w:val="BodyText"/>
        <w:spacing w:after="80"/>
        <w:jc w:val="both"/>
      </w:pPr>
      <w:r>
        <w:t xml:space="preserve">§ 3º Os oficiais de justiça lavrarão em duplicata o auto da ocorrência, entregando uma via ao escrivão ou ao chefe de secretaria, para ser juntada aos autos, e a outra à autoridade policial a quem couber a apuração criminal dos eventuais delitos de desobediência ou de resistência.</w:t>
      </w:r>
    </w:p>
    <w:p>
      <w:pPr>
        <w:pStyle w:val="BodyText"/>
        <w:spacing w:after="80"/>
        <w:jc w:val="both"/>
      </w:pPr>
      <w:r>
        <w:t xml:space="preserve">§ 4º Do auto da ocorrência constará o rol de testemunhas, com a respectiva qualificação.</w:t>
      </w:r>
    </w:p>
    <w:bookmarkEnd w:id="656"/>
    <w:bookmarkStart w:id="657" w:name="art.-847"/>
    <w:p>
      <w:pPr>
        <w:pStyle w:val="Heading6"/>
        <w:pBdr>
          <w:left w:val="single" w:sz="36" w:space="4" w:color="2E75B6"/>
        </w:pBdr>
        <w:shd w:val="clear" w:color="auto" w:fill="E3EEF9"/>
        <w:spacing w:before="200" w:after="80"/>
        <w:ind w:left="85"/>
      </w:pPr>
      <w:r>
        <w:rPr>
          <w:i w:val="0"/>
          <w:color w:val="1F3A5F"/>
          <w:sz w:val="23"/>
        </w:rPr>
        <w:t xml:space="preserve">Art. 847</w:t>
      </w:r>
    </w:p>
    <w:p>
      <w:pPr>
        <w:pStyle w:val="FirstParagraph"/>
        <w:spacing w:after="80"/>
        <w:jc w:val="both"/>
      </w:pPr>
      <w:r>
        <w:rPr>
          <w:b/>
          <w:bCs/>
        </w:rPr>
        <w:t xml:space="preserve">Art. 847.</w:t>
      </w:r>
      <w:r>
        <w:t xml:space="preserve"> </w:t>
      </w:r>
      <w:r>
        <w:t xml:space="preserve">O executado pode, no prazo de 10 (dez) dias contado da intimação da penhora, requerer a substituição do bem penhorado, desde que comprove que lhe será menos onerosa e não trará prejuízo ao exequente.</w:t>
      </w:r>
    </w:p>
    <w:p>
      <w:pPr>
        <w:pStyle w:val="BodyText"/>
        <w:spacing w:after="80"/>
        <w:jc w:val="both"/>
      </w:pPr>
      <w:r>
        <w:t xml:space="preserve">§ 1º O juiz só autorizará a substituição se o executado:</w:t>
      </w:r>
    </w:p>
    <w:p>
      <w:pPr>
        <w:pStyle w:val="BodyText"/>
        <w:spacing w:after="80"/>
        <w:jc w:val="both"/>
      </w:pPr>
      <w:r>
        <w:t xml:space="preserve">I - comprovar as respectivas matrículas e os registros por certidão do correspondente ofício, quanto aos bens imóveis;</w:t>
      </w:r>
    </w:p>
    <w:p>
      <w:pPr>
        <w:pStyle w:val="BodyText"/>
        <w:spacing w:after="80"/>
        <w:jc w:val="both"/>
      </w:pPr>
      <w:r>
        <w:t xml:space="preserve">II - descrever os bens móveis, com todas as suas propriedades e características, bem como o estado deles e o lugar onde se encontram;</w:t>
      </w:r>
    </w:p>
    <w:p>
      <w:pPr>
        <w:pStyle w:val="BodyText"/>
        <w:spacing w:after="80"/>
        <w:jc w:val="both"/>
      </w:pPr>
      <w:r>
        <w:t xml:space="preserve">III - descrever os semoventes, com indicação de espécie, de número, de marca ou sinal e do local onde se encontram;</w:t>
      </w:r>
    </w:p>
    <w:p>
      <w:pPr>
        <w:pStyle w:val="BodyText"/>
        <w:spacing w:after="80"/>
        <w:jc w:val="both"/>
      </w:pPr>
      <w:r>
        <w:t xml:space="preserve">IV - identificar os créditos, indicando quem seja o devedor, qual a origem da dívida, o título que a representa e a data do vencimento; e</w:t>
      </w:r>
    </w:p>
    <w:p>
      <w:pPr>
        <w:pStyle w:val="BodyText"/>
        <w:spacing w:after="80"/>
        <w:jc w:val="both"/>
      </w:pPr>
      <w:r>
        <w:t xml:space="preserve">V - atribuir, em qualquer caso, valor aos bens indicados à penhora, além de especificar os ônus e os encargos a que estejam sujeitos.</w:t>
      </w:r>
    </w:p>
    <w:p>
      <w:pPr>
        <w:pStyle w:val="BodyText"/>
        <w:spacing w:after="80"/>
        <w:jc w:val="both"/>
      </w:pPr>
      <w:r>
        <w:t xml:space="preserve">§ 2º Requerida a substituição do bem penhorado, o executado deve indicar onde se encontram os bens sujeitos à execução, exibir a prova de sua propriedade e a certidão negativa ou positiva de ônus, bem como abster-se de qualquer atitude que dificulte ou embarace a realização da penhora.</w:t>
      </w:r>
    </w:p>
    <w:p>
      <w:pPr>
        <w:pStyle w:val="BodyText"/>
        <w:spacing w:after="80"/>
        <w:jc w:val="both"/>
      </w:pPr>
      <w:r>
        <w:t xml:space="preserve">§ 3º O executado somente poderá oferecer bem imóvel em substituição caso o requeira com a expressa anuência do cônjuge, salvo se o regime for o de separação absoluta de bens.</w:t>
      </w:r>
    </w:p>
    <w:p>
      <w:pPr>
        <w:pStyle w:val="BodyText"/>
        <w:spacing w:after="80"/>
        <w:jc w:val="both"/>
      </w:pPr>
      <w:r>
        <w:t xml:space="preserve">§ 4º O juiz intimará o exequente para manifestar-se sobre o requerimento de substituição do bem penhorado.</w:t>
      </w:r>
    </w:p>
    <w:bookmarkEnd w:id="657"/>
    <w:bookmarkStart w:id="658" w:name="art.-848"/>
    <w:p>
      <w:pPr>
        <w:pStyle w:val="Heading6"/>
        <w:pBdr>
          <w:left w:val="single" w:sz="36" w:space="4" w:color="2E75B6"/>
        </w:pBdr>
        <w:shd w:val="clear" w:color="auto" w:fill="E3EEF9"/>
        <w:spacing w:before="200" w:after="80"/>
        <w:ind w:left="85"/>
      </w:pPr>
      <w:r>
        <w:rPr>
          <w:i w:val="0"/>
          <w:color w:val="1F3A5F"/>
          <w:sz w:val="23"/>
        </w:rPr>
        <w:t xml:space="preserve">Art. 848</w:t>
      </w:r>
    </w:p>
    <w:p>
      <w:pPr>
        <w:pStyle w:val="FirstParagraph"/>
        <w:spacing w:after="80"/>
        <w:jc w:val="both"/>
      </w:pPr>
      <w:r>
        <w:rPr>
          <w:b/>
          <w:bCs/>
        </w:rPr>
        <w:t xml:space="preserve">Art. 848.</w:t>
      </w:r>
      <w:r>
        <w:t xml:space="preserve"> </w:t>
      </w:r>
      <w:r>
        <w:t xml:space="preserve">As partes poderão requerer a substituição da penhora se:</w:t>
      </w:r>
    </w:p>
    <w:p>
      <w:pPr>
        <w:pStyle w:val="BodyText"/>
        <w:spacing w:after="80"/>
        <w:jc w:val="both"/>
      </w:pPr>
      <w:r>
        <w:t xml:space="preserve">I - ela não obedecer à ordem legal;</w:t>
      </w:r>
    </w:p>
    <w:p>
      <w:pPr>
        <w:pStyle w:val="BodyText"/>
        <w:spacing w:after="80"/>
        <w:jc w:val="both"/>
      </w:pPr>
      <w:r>
        <w:t xml:space="preserve">II - ela não incidir sobre os bens designados em lei, contrato ou ato judicial para o pagamento;</w:t>
      </w:r>
    </w:p>
    <w:p>
      <w:pPr>
        <w:pStyle w:val="BodyText"/>
        <w:spacing w:after="80"/>
        <w:jc w:val="both"/>
      </w:pPr>
      <w:r>
        <w:t xml:space="preserve">III - havendo bens no foro da execução, outros tiverem sido penhorados;</w:t>
      </w:r>
    </w:p>
    <w:p>
      <w:pPr>
        <w:pStyle w:val="BodyText"/>
        <w:spacing w:after="80"/>
        <w:jc w:val="both"/>
      </w:pPr>
      <w:r>
        <w:t xml:space="preserve">IV - havendo bens livres, ela tiver recaído sobre bens já penhorados ou objeto de gravame;</w:t>
      </w:r>
    </w:p>
    <w:p>
      <w:pPr>
        <w:pStyle w:val="BodyText"/>
        <w:spacing w:after="80"/>
        <w:jc w:val="both"/>
      </w:pPr>
      <w:r>
        <w:t xml:space="preserve">V - ela incidir sobre bens de baixa liquidez;</w:t>
      </w:r>
    </w:p>
    <w:p>
      <w:pPr>
        <w:pStyle w:val="BodyText"/>
        <w:spacing w:after="80"/>
        <w:jc w:val="both"/>
      </w:pPr>
      <w:r>
        <w:t xml:space="preserve">VI - fracassar a tentativa de alienação judicial do bem; ou</w:t>
      </w:r>
    </w:p>
    <w:p>
      <w:pPr>
        <w:pStyle w:val="BodyText"/>
        <w:spacing w:after="80"/>
        <w:jc w:val="both"/>
      </w:pPr>
      <w:r>
        <w:t xml:space="preserve">VII - o executado não indicar o valor dos bens ou omitir qualquer das indicações previstas em lei.</w:t>
      </w:r>
    </w:p>
    <w:p>
      <w:pPr>
        <w:pStyle w:val="BodyText"/>
        <w:keepNext/>
        <w:spacing w:after="80"/>
        <w:jc w:val="both"/>
      </w:pPr>
      <w:r>
        <w:t xml:space="preserve">Parágrafo único. A penhora pode ser substituída por fiança bancária ou por seguro garantia judicial, em valor não inferior ao do débito constante da inicial, acrescido de trinta por cento.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08"/>
        <w:gridCol w:w="2536"/>
        <w:gridCol w:w="5110"/>
      </w:tblGrid>
      <w:tr>
        <w:trPr>
          <w:tblHeader w:val="on"/>
          <w:cantSplit/>
          <w:tblHeader/>
        </w:trPr>
        <w:tc>
          <w:tcPr>
            <w:tcW w:type="dxa" w:w="1708"/>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3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11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708"/>
          </w:tcPr>
          <w:p>
            <w:pPr>
              <w:pStyle w:val="Compact"/>
              <w:spacing w:line="276" w:lineRule="auto" w:before="40" w:after="40"/>
            </w:pPr>
            <w:r>
              <w:rPr>
                <w:rFonts w:ascii="Liberation Sans Narrow" w:hAnsi="Liberation Sans Narrow"/>
                <w:sz w:val="18"/>
              </w:rPr>
              <w:t xml:space="preserve">Parágrafo único — fiança bancária e seguro garantia</w:t>
            </w:r>
          </w:p>
        </w:tc>
        <w:tc>
          <w:tcPr>
            <w:tcW w:type="dxa" w:w="2536"/>
          </w:tcPr>
          <w:p>
            <w:pPr>
              <w:pStyle w:val="Compact"/>
              <w:spacing w:line="276" w:lineRule="auto" w:before="40" w:after="40"/>
            </w:pPr>
            <w:r>
              <w:rPr>
                <w:rFonts w:ascii="Liberation Sans Narrow" w:hAnsi="Liberation Sans Narrow"/>
                <w:sz w:val="18"/>
              </w:rPr>
              <w:t xml:space="preserve">STJ, REsp 2.178.147, Quarta Turma, relatora Min. Maria Isabel Gallotti, julgado em 15/06/2026</w:t>
            </w:r>
          </w:p>
        </w:tc>
        <w:tc>
          <w:tcPr>
            <w:tcW w:type="dxa" w:w="5110"/>
          </w:tcPr>
          <w:p>
            <w:pPr>
              <w:pStyle w:val="Compact"/>
              <w:spacing w:line="276" w:lineRule="auto" w:before="40" w:after="40"/>
            </w:pPr>
            <w:r>
              <w:rPr>
                <w:rFonts w:ascii="Liberation Sans Narrow" w:hAnsi="Liberation Sans Narrow"/>
                <w:sz w:val="18"/>
              </w:rPr>
              <w:t xml:space="preserve">A fiança bancária e o seguro-garantia judicial equiparam-se a dinheiro para fins de garantia do juízo e substituição da penhora, em valor não inferior ao débito acrescido de trinta por cento; é inviável recusar o seguro com fundamento abstrato de que não integra a ordem do art. 835, cabendo ao juízo examinar concretamente a apólice.</w:t>
            </w:r>
          </w:p>
        </w:tc>
      </w:tr>
    </w:tbl>
    <w:bookmarkEnd w:id="658"/>
    <w:bookmarkStart w:id="659" w:name="art.-849"/>
    <w:p>
      <w:pPr>
        <w:pStyle w:val="Heading6"/>
        <w:pBdr>
          <w:left w:val="single" w:sz="36" w:space="4" w:color="2E75B6"/>
        </w:pBdr>
        <w:shd w:val="clear" w:color="auto" w:fill="E3EEF9"/>
        <w:spacing w:before="200" w:after="80"/>
        <w:ind w:left="85"/>
      </w:pPr>
      <w:r>
        <w:rPr>
          <w:i w:val="0"/>
          <w:color w:val="1F3A5F"/>
          <w:sz w:val="23"/>
        </w:rPr>
        <w:t xml:space="preserve">Art. 849</w:t>
      </w:r>
    </w:p>
    <w:p>
      <w:pPr>
        <w:pStyle w:val="FirstParagraph"/>
        <w:keepNext/>
        <w:spacing w:after="80"/>
        <w:jc w:val="both"/>
      </w:pPr>
      <w:r>
        <w:rPr>
          <w:b/>
          <w:bCs/>
        </w:rPr>
        <w:t xml:space="preserve">Art. 849.</w:t>
      </w:r>
      <w:r>
        <w:t xml:space="preserve"> </w:t>
      </w:r>
      <w:r>
        <w:t xml:space="preserve">Sempre que ocorrer a substituição dos bens inicialmente penhorados, será lavrado novo termo.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3340"/>
        <w:gridCol w:w="448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34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48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Caput — novo termo de penhora</w:t>
            </w:r>
          </w:p>
        </w:tc>
        <w:tc>
          <w:tcPr>
            <w:tcW w:type="dxa" w:w="3340"/>
          </w:tcPr>
          <w:p>
            <w:pPr>
              <w:pStyle w:val="Compact"/>
              <w:spacing w:line="276" w:lineRule="auto" w:before="40" w:after="40"/>
            </w:pPr>
            <w:r>
              <w:rPr>
                <w:rFonts w:ascii="Liberation Sans Narrow" w:hAnsi="Liberation Sans Narrow"/>
                <w:sz w:val="18"/>
              </w:rPr>
              <w:t xml:space="preserve">STJ, AgInt no REsp 1.822.142, Segunda Turma, relator Min. Herman Benjamin, julgado em 19/11/2019, DJe de 19/12/2019</w:t>
            </w:r>
          </w:p>
        </w:tc>
        <w:tc>
          <w:tcPr>
            <w:tcW w:type="dxa" w:w="4484"/>
          </w:tcPr>
          <w:p>
            <w:pPr>
              <w:pStyle w:val="Compact"/>
              <w:spacing w:line="276" w:lineRule="auto" w:before="40" w:after="40"/>
            </w:pPr>
            <w:r>
              <w:rPr>
                <w:rFonts w:ascii="Liberation Sans Narrow" w:hAnsi="Liberation Sans Narrow"/>
                <w:sz w:val="18"/>
              </w:rPr>
              <w:t xml:space="preserve">Na penhora eletrônica de valores, dispensa-se a lavratura de termo; o prazo para os embargos conta-se da notificação do executado sobre o bloqueio realizado em sua conta.</w:t>
            </w:r>
          </w:p>
        </w:tc>
      </w:tr>
    </w:tbl>
    <w:bookmarkEnd w:id="659"/>
    <w:bookmarkStart w:id="660" w:name="art.-850"/>
    <w:p>
      <w:pPr>
        <w:pStyle w:val="Heading6"/>
        <w:pBdr>
          <w:left w:val="single" w:sz="36" w:space="4" w:color="2E75B6"/>
        </w:pBdr>
        <w:shd w:val="clear" w:color="auto" w:fill="E3EEF9"/>
        <w:spacing w:before="200" w:after="80"/>
        <w:ind w:left="85"/>
      </w:pPr>
      <w:r>
        <w:rPr>
          <w:i w:val="0"/>
          <w:color w:val="1F3A5F"/>
          <w:sz w:val="23"/>
        </w:rPr>
        <w:t xml:space="preserve">Art. 850</w:t>
      </w:r>
    </w:p>
    <w:p>
      <w:pPr>
        <w:pStyle w:val="FirstParagraph"/>
        <w:spacing w:after="80"/>
        <w:jc w:val="both"/>
      </w:pPr>
      <w:r>
        <w:rPr>
          <w:b/>
          <w:bCs/>
        </w:rPr>
        <w:t xml:space="preserve">Art. 850.</w:t>
      </w:r>
      <w:r>
        <w:t xml:space="preserve"> </w:t>
      </w:r>
      <w:r>
        <w:t xml:space="preserve">Será admitida a redução ou a ampliação da penhora, bem como sua transferência para outros bens, se, no curso do processo, o valor de mercado dos bens penhorados sofrer alteração significativa.</w:t>
      </w:r>
    </w:p>
    <w:bookmarkEnd w:id="660"/>
    <w:bookmarkStart w:id="661" w:name="art.-851"/>
    <w:p>
      <w:pPr>
        <w:pStyle w:val="Heading6"/>
        <w:pBdr>
          <w:left w:val="single" w:sz="36" w:space="4" w:color="2E75B6"/>
        </w:pBdr>
        <w:shd w:val="clear" w:color="auto" w:fill="E3EEF9"/>
        <w:spacing w:before="200" w:after="80"/>
        <w:ind w:left="85"/>
      </w:pPr>
      <w:r>
        <w:rPr>
          <w:i w:val="0"/>
          <w:color w:val="1F3A5F"/>
          <w:sz w:val="23"/>
        </w:rPr>
        <w:t xml:space="preserve">Art. 851</w:t>
      </w:r>
    </w:p>
    <w:p>
      <w:pPr>
        <w:pStyle w:val="FirstParagraph"/>
        <w:keepNext/>
        <w:spacing w:after="80"/>
        <w:jc w:val="both"/>
      </w:pPr>
      <w:r>
        <w:rPr>
          <w:b/>
          <w:bCs/>
        </w:rPr>
        <w:t xml:space="preserve">Art. 851.</w:t>
      </w:r>
      <w:r>
        <w:t xml:space="preserve"> </w:t>
      </w:r>
      <w:r>
        <w:t xml:space="preserve">Não se procede à segunda penhora, salvo se: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3159"/>
        <w:gridCol w:w="466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15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66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Caput — segunda penhora</w:t>
            </w:r>
          </w:p>
        </w:tc>
        <w:tc>
          <w:tcPr>
            <w:tcW w:type="dxa" w:w="3159"/>
          </w:tcPr>
          <w:p>
            <w:pPr>
              <w:pStyle w:val="Compact"/>
              <w:spacing w:line="276" w:lineRule="auto" w:before="40" w:after="40"/>
            </w:pPr>
            <w:r>
              <w:rPr>
                <w:rFonts w:ascii="Liberation Sans Narrow" w:hAnsi="Liberation Sans Narrow"/>
                <w:sz w:val="18"/>
              </w:rPr>
              <w:t xml:space="preserve">STJ, REsp 2.255.343, Quarta Turma, relator Min. João Otávio de Noronha, julgado em 22/04/2026, DJEN de 27/04/2026</w:t>
            </w:r>
          </w:p>
        </w:tc>
        <w:tc>
          <w:tcPr>
            <w:tcW w:type="dxa" w:w="4665"/>
          </w:tcPr>
          <w:p>
            <w:pPr>
              <w:pStyle w:val="Compact"/>
              <w:spacing w:line="276" w:lineRule="auto" w:before="40" w:after="40"/>
            </w:pPr>
            <w:r>
              <w:rPr>
                <w:rFonts w:ascii="Liberation Sans Narrow" w:hAnsi="Liberation Sans Narrow"/>
                <w:sz w:val="18"/>
              </w:rPr>
              <w:t xml:space="preserve">É possível a segunda penhora quando o bem anteriormente constrito está suspenso por embargos de terceiro, hipótese não prevista no rol legal, mas compatível com a efetividade da execução.</w:t>
            </w:r>
          </w:p>
        </w:tc>
      </w:tr>
    </w:tbl>
    <w:p>
      <w:pPr>
        <w:pStyle w:val="BodyText"/>
        <w:spacing w:after="80"/>
        <w:jc w:val="both"/>
      </w:pPr>
      <w:r>
        <w:t xml:space="preserve">I - a primeira for anulada;</w:t>
      </w:r>
    </w:p>
    <w:p>
      <w:pPr>
        <w:pStyle w:val="BodyText"/>
        <w:spacing w:after="80"/>
        <w:jc w:val="both"/>
      </w:pPr>
      <w:r>
        <w:t xml:space="preserve">II - executados os bens, o produto da alienação não bastar para o pagamento do exequente;</w:t>
      </w:r>
    </w:p>
    <w:p>
      <w:pPr>
        <w:pStyle w:val="BodyText"/>
        <w:spacing w:after="80"/>
        <w:jc w:val="both"/>
      </w:pPr>
      <w:r>
        <w:t xml:space="preserve">III - o exequente desistir da primeira penhora, por serem litigiosos os bens ou por estarem submetidos a constrição judicial.</w:t>
      </w:r>
    </w:p>
    <w:bookmarkEnd w:id="661"/>
    <w:bookmarkStart w:id="662" w:name="art.-852"/>
    <w:p>
      <w:pPr>
        <w:pStyle w:val="Heading6"/>
        <w:pBdr>
          <w:left w:val="single" w:sz="36" w:space="4" w:color="2E75B6"/>
        </w:pBdr>
        <w:shd w:val="clear" w:color="auto" w:fill="E3EEF9"/>
        <w:spacing w:before="200" w:after="80"/>
        <w:ind w:left="85"/>
      </w:pPr>
      <w:r>
        <w:rPr>
          <w:i w:val="0"/>
          <w:color w:val="1F3A5F"/>
          <w:sz w:val="23"/>
        </w:rPr>
        <w:t xml:space="preserve">Art. 852</w:t>
      </w:r>
    </w:p>
    <w:p>
      <w:pPr>
        <w:pStyle w:val="FirstParagraph"/>
        <w:spacing w:after="80"/>
        <w:jc w:val="both"/>
      </w:pPr>
      <w:r>
        <w:rPr>
          <w:b/>
          <w:bCs/>
        </w:rPr>
        <w:t xml:space="preserve">Art. 852.</w:t>
      </w:r>
      <w:r>
        <w:t xml:space="preserve"> </w:t>
      </w:r>
      <w:r>
        <w:t xml:space="preserve">O juiz determinará a alienação antecipada dos bens penhorados quando:</w:t>
      </w:r>
    </w:p>
    <w:p>
      <w:pPr>
        <w:pStyle w:val="BodyText"/>
        <w:spacing w:after="80"/>
        <w:jc w:val="both"/>
      </w:pPr>
      <w:r>
        <w:t xml:space="preserve">I - se tratar de veículos automotores, de pedras e metais preciosos e de outros bens móveis sujeitos à depreciação ou à deterioração;</w:t>
      </w:r>
    </w:p>
    <w:p>
      <w:pPr>
        <w:pStyle w:val="BodyText"/>
        <w:spacing w:after="80"/>
        <w:jc w:val="both"/>
      </w:pPr>
      <w:r>
        <w:t xml:space="preserve">II - houver manifesta vantagem.</w:t>
      </w:r>
    </w:p>
    <w:bookmarkEnd w:id="662"/>
    <w:bookmarkStart w:id="663" w:name="art.-853"/>
    <w:p>
      <w:pPr>
        <w:pStyle w:val="Heading6"/>
        <w:pBdr>
          <w:left w:val="single" w:sz="36" w:space="4" w:color="2E75B6"/>
        </w:pBdr>
        <w:shd w:val="clear" w:color="auto" w:fill="E3EEF9"/>
        <w:spacing w:before="200" w:after="80"/>
        <w:ind w:left="85"/>
      </w:pPr>
      <w:r>
        <w:rPr>
          <w:i w:val="0"/>
          <w:color w:val="1F3A5F"/>
          <w:sz w:val="23"/>
        </w:rPr>
        <w:t xml:space="preserve">Art. 853</w:t>
      </w:r>
    </w:p>
    <w:p>
      <w:pPr>
        <w:pStyle w:val="FirstParagraph"/>
        <w:spacing w:after="80"/>
        <w:jc w:val="both"/>
      </w:pPr>
      <w:r>
        <w:rPr>
          <w:b/>
          <w:bCs/>
        </w:rPr>
        <w:t xml:space="preserve">Art. 853.</w:t>
      </w:r>
      <w:r>
        <w:t xml:space="preserve"> </w:t>
      </w:r>
      <w:r>
        <w:t xml:space="preserve">Quando uma das partes requerer alguma das medidas previstas nesta Subseção, o juiz ouvirá sempre a outra, no prazo de 3 (três) dias, antes de decidir.</w:t>
      </w:r>
    </w:p>
    <w:p>
      <w:pPr>
        <w:pStyle w:val="BodyText"/>
        <w:spacing w:after="80"/>
        <w:jc w:val="both"/>
      </w:pPr>
      <w:r>
        <w:t xml:space="preserve">Parágrafo único. O juiz decidirá de plano qualquer questão suscitada.</w:t>
      </w:r>
    </w:p>
    <w:bookmarkEnd w:id="663"/>
    <w:bookmarkStart w:id="664" w:name="art.-854"/>
    <w:p>
      <w:pPr>
        <w:pStyle w:val="Heading6"/>
        <w:pBdr>
          <w:left w:val="single" w:sz="36" w:space="4" w:color="2E75B6"/>
        </w:pBdr>
        <w:shd w:val="clear" w:color="auto" w:fill="E3EEF9"/>
        <w:spacing w:before="200" w:after="80"/>
        <w:ind w:left="85"/>
      </w:pPr>
      <w:r>
        <w:rPr>
          <w:i w:val="0"/>
          <w:color w:val="1F3A5F"/>
          <w:sz w:val="23"/>
        </w:rPr>
        <w:t xml:space="preserve">Art. 854</w:t>
      </w:r>
    </w:p>
    <w:p>
      <w:pPr>
        <w:pStyle w:val="FirstParagraph"/>
        <w:keepNext/>
        <w:spacing w:after="80"/>
        <w:jc w:val="both"/>
      </w:pPr>
      <w:r>
        <w:rPr>
          <w:b/>
          <w:bCs/>
        </w:rPr>
        <w:t xml:space="preserve">Art. 854.</w:t>
      </w:r>
      <w:r>
        <w:t xml:space="preserve"> </w:t>
      </w:r>
      <w:r>
        <w:t xml:space="preserve">Para possibilitar a penhora de dinheiro em depósito ou em aplicação financeira, o juiz, a requerimento do exequente, sem dar ciência prévia do ato ao executado, determinará às instituições financeiras, por meio de sistema eletrônico gerido pela autoridade supervisora do sistema financeiro nacional, que torne indisponíveis ativos financeiros existentes em nome do executado, limitando-se a indisponibilidade ao valor indicado na execução.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2876"/>
        <w:gridCol w:w="457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7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57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Caput — contraditório diferido</w:t>
            </w:r>
          </w:p>
        </w:tc>
        <w:tc>
          <w:tcPr>
            <w:tcW w:type="dxa" w:w="2876"/>
          </w:tcPr>
          <w:p>
            <w:pPr>
              <w:pStyle w:val="Compact"/>
              <w:spacing w:line="276" w:lineRule="auto" w:before="40" w:after="40"/>
            </w:pPr>
            <w:r>
              <w:rPr>
                <w:rFonts w:ascii="Liberation Sans Narrow" w:hAnsi="Liberation Sans Narrow"/>
                <w:sz w:val="18"/>
              </w:rPr>
              <w:t xml:space="preserve">STJ, REsp 2.177.058, Quarta Turma, relator Min. João Otávio de Noronha, julgado em 30/06/2026</w:t>
            </w:r>
          </w:p>
        </w:tc>
        <w:tc>
          <w:tcPr>
            <w:tcW w:type="dxa" w:w="4574"/>
          </w:tcPr>
          <w:p>
            <w:pPr>
              <w:pStyle w:val="Compact"/>
              <w:spacing w:line="276" w:lineRule="auto" w:before="40" w:after="40"/>
            </w:pPr>
            <w:r>
              <w:rPr>
                <w:rFonts w:ascii="Liberation Sans Narrow" w:hAnsi="Liberation Sans Narrow"/>
                <w:sz w:val="18"/>
              </w:rPr>
              <w:t xml:space="preserve">A penhora de dinheiro admite contraditório diferido, autorizado pelo art. 854, sendo desnecessária a intimação prévia do executado para a constrição.</w:t>
            </w:r>
          </w:p>
        </w:tc>
      </w:tr>
      <w:tr>
        <w:trPr>
          <w:cantSplit/>
        </w:trPr>
        <w:tc>
          <w:tcPr>
            <w:tcW w:type="dxa" w:w="1905"/>
          </w:tcPr>
          <w:p>
            <w:pPr>
              <w:pStyle w:val="Compact"/>
              <w:spacing w:line="276" w:lineRule="auto" w:before="40" w:after="40"/>
            </w:pPr>
            <w:r>
              <w:rPr>
                <w:rFonts w:ascii="Liberation Sans Narrow" w:hAnsi="Liberation Sans Narrow"/>
                <w:sz w:val="18"/>
              </w:rPr>
              <w:t xml:space="preserve">Caput — penhora de dinheiro em depósito ou aplicação (aplicação narrada)</w:t>
            </w:r>
          </w:p>
        </w:tc>
        <w:tc>
          <w:tcPr>
            <w:tcW w:type="dxa" w:w="2876"/>
          </w:tcPr>
          <w:p>
            <w:pPr>
              <w:pStyle w:val="Compact"/>
              <w:spacing w:line="276" w:lineRule="auto" w:before="40" w:after="40"/>
            </w:pPr>
            <w:r>
              <w:rPr>
                <w:rFonts w:ascii="Liberation Sans Narrow" w:hAnsi="Liberation Sans Narrow"/>
                <w:sz w:val="18"/>
              </w:rPr>
              <w:t xml:space="preserve">STJ, AREsp 2.726.728, Quarta Turma, relator Min. Raul Araújo, julgado em 02/03/2026, DJEN de 11/03/2026</w:t>
            </w:r>
          </w:p>
        </w:tc>
        <w:tc>
          <w:tcPr>
            <w:tcW w:type="dxa" w:w="4574"/>
          </w:tcPr>
          <w:p>
            <w:pPr>
              <w:pStyle w:val="Compact"/>
              <w:spacing w:line="276" w:lineRule="auto" w:before="40" w:after="40"/>
            </w:pPr>
            <w:r>
              <w:rPr>
                <w:rFonts w:ascii="Liberation Sans Narrow" w:hAnsi="Liberation Sans Narrow"/>
                <w:sz w:val="18"/>
              </w:rPr>
              <w:t xml:space="preserve">A ausência de intimação prévia do executado para o bloqueio de valores via SISBAJUD não configura nulidade, pois o contraditório é diferido, exercido após a indisponibilidade (art. 854, §§ 2º e 3º). Trecho: “Não configura nulidade a ausência de intimação prévia do executado acerca da atualização do cálculo da dívida, pois o contraditório é diferido, sendo assegurado ao executado o direito de impugnar o cálculo e alegar excesso de execução após o bloqueio.”</w:t>
            </w:r>
          </w:p>
        </w:tc>
      </w:tr>
    </w:tbl>
    <w:p>
      <w:pPr>
        <w:pStyle w:val="BodyText"/>
        <w:spacing w:after="80"/>
        <w:jc w:val="both"/>
      </w:pPr>
      <w:r>
        <w:t xml:space="preserve">§ 1º No prazo de 24 (vinte e quatro) horas a contar da resposta, de ofício, o juiz determinará o cancelamento de eventual indisponibilidade excessiva, o que deverá ser cumprido pela instituição financeira em igual prazo.</w:t>
      </w:r>
    </w:p>
    <w:p>
      <w:pPr>
        <w:pStyle w:val="BodyText"/>
        <w:spacing w:after="80"/>
        <w:jc w:val="both"/>
      </w:pPr>
      <w:r>
        <w:t xml:space="preserve">§ 2º Tornados indisponíveis os ativos financeiros do executado, este será intimado na pessoa de seu advogado ou, não o tendo, pessoalmente.</w:t>
      </w:r>
    </w:p>
    <w:p>
      <w:pPr>
        <w:pStyle w:val="BodyText"/>
        <w:spacing w:after="80"/>
        <w:jc w:val="both"/>
      </w:pPr>
      <w:r>
        <w:t xml:space="preserve">§ 3º Incumbe ao executado, no prazo de 5 (cinco) dias, comprovar que:</w:t>
      </w:r>
    </w:p>
    <w:p>
      <w:pPr>
        <w:pStyle w:val="BodyText"/>
        <w:spacing w:after="80"/>
        <w:jc w:val="both"/>
      </w:pPr>
      <w:r>
        <w:t xml:space="preserve">I - as quantias tornadas indisponíveis são impenhoráveis;</w:t>
      </w:r>
    </w:p>
    <w:p>
      <w:pPr>
        <w:pStyle w:val="BodyText"/>
        <w:spacing w:after="80"/>
        <w:jc w:val="both"/>
      </w:pPr>
      <w:r>
        <w:t xml:space="preserve">II - ainda remanesce indisponibilidade excessiva de ativos financeiros.</w:t>
      </w:r>
    </w:p>
    <w:p>
      <w:pPr>
        <w:pStyle w:val="BodyText"/>
        <w:spacing w:after="80"/>
        <w:jc w:val="both"/>
      </w:pPr>
      <w:r>
        <w:t xml:space="preserve">§ 4º Acolhida qualquer das arguições dos incisos I e II do § 3º, o juiz determinará o cancelamento de eventual indisponibilidade irregular ou excessiva, a ser cumprido pela instituição financeira em 24 (vinte e quatro) horas.</w:t>
      </w:r>
    </w:p>
    <w:p>
      <w:pPr>
        <w:pStyle w:val="BodyText"/>
        <w:spacing w:after="80"/>
        <w:jc w:val="both"/>
      </w:pPr>
      <w:r>
        <w:t xml:space="preserve">§ 5º Rejeitada ou não apresentada a manifestação do executado, converter-se-á a indisponibilidade em penhora, sem necessidade de lavratura de termo, devendo o juiz da execução determinar à instituição financeira depositária que, no prazo de 24 (vinte e quatro) horas, transfira o montante indisponível para conta vinculada ao juízo da execução.</w:t>
      </w:r>
    </w:p>
    <w:p>
      <w:pPr>
        <w:pStyle w:val="BodyText"/>
        <w:spacing w:after="80"/>
        <w:jc w:val="both"/>
      </w:pPr>
      <w:r>
        <w:t xml:space="preserve">§ 6º Realizado o pagamento da dívida por outro meio, o juiz determinará, imediatamente, por sistema eletrônico gerido pela autoridade supervisora do sistema financeiro nacional, a notificação da instituição financeira para que, em até 24 (vinte e quatro) horas, cancele a indisponibilidade.</w:t>
      </w:r>
    </w:p>
    <w:p>
      <w:pPr>
        <w:pStyle w:val="BodyText"/>
        <w:spacing w:after="80"/>
        <w:jc w:val="both"/>
      </w:pPr>
      <w:r>
        <w:t xml:space="preserve">§ 7º As transmissões das ordens de indisponibilidade, de seu cancelamento e de determinação de penhora previstas neste artigo far-se-ão por meio de sistema eletrônico gerido pela autoridade supervisora do sistema financeiro nacional.</w:t>
      </w:r>
    </w:p>
    <w:p>
      <w:pPr>
        <w:pStyle w:val="BodyText"/>
        <w:spacing w:after="80"/>
        <w:jc w:val="both"/>
      </w:pPr>
      <w:r>
        <w:t xml:space="preserve">§ 8º A instituição financeira será responsável pelos prejuízos causados ao executado em decorrência da indisponibilidade de ativos financeiros em valor superior ao indicado na execução ou pelo juiz, bem como na hipótese de não cancelamento da indisponibilidade no prazo de 24 (vinte e quatro) horas, quando assim determinar o juiz.</w:t>
      </w:r>
    </w:p>
    <w:p>
      <w:pPr>
        <w:pStyle w:val="BodyText"/>
        <w:spacing w:after="80"/>
        <w:jc w:val="both"/>
      </w:pPr>
      <w:r>
        <w:t xml:space="preserve">§ 9º Quando se tratar de execução contra partido político, o juiz, a requerimento do exequente, determinará às instituições financeiras, por meio de sistema eletrônico gerido por autoridade supervisora do sistema bancário, que tornem indisponíveis ativos financeiros somente em nome do órgão partidário que tenha contraído a dívida executada ou que tenha dado causa à violação de direito ou ao dano, ao qual cabe exclusivamente a responsabilidade pelos atos praticados, na forma da lei.</w:t>
      </w:r>
    </w:p>
    <w:bookmarkEnd w:id="664"/>
    <w:bookmarkStart w:id="665" w:name="art.-855"/>
    <w:p>
      <w:pPr>
        <w:pStyle w:val="Heading6"/>
        <w:pBdr>
          <w:left w:val="single" w:sz="36" w:space="4" w:color="2E75B6"/>
        </w:pBdr>
        <w:shd w:val="clear" w:color="auto" w:fill="E3EEF9"/>
        <w:spacing w:before="200" w:after="80"/>
        <w:ind w:left="85"/>
      </w:pPr>
      <w:r>
        <w:rPr>
          <w:i w:val="0"/>
          <w:color w:val="1F3A5F"/>
          <w:sz w:val="23"/>
        </w:rPr>
        <w:t xml:space="preserve">Art. 855</w:t>
      </w:r>
    </w:p>
    <w:p>
      <w:pPr>
        <w:pStyle w:val="FirstParagraph"/>
        <w:keepNext/>
        <w:spacing w:after="80"/>
        <w:jc w:val="both"/>
      </w:pPr>
      <w:r>
        <w:rPr>
          <w:b/>
          <w:bCs/>
        </w:rPr>
        <w:t xml:space="preserve">Art. 855.</w:t>
      </w:r>
      <w:r>
        <w:t xml:space="preserve"> </w:t>
      </w:r>
      <w:r>
        <w:t xml:space="preserve">Quando recair em crédito do executado, enquanto não ocorrer a hipótese prevista no art. 856, considerar-se-á feita a penhora pela intimação: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3239"/>
        <w:gridCol w:w="458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23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58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Caput — penhora de crédito</w:t>
            </w:r>
          </w:p>
        </w:tc>
        <w:tc>
          <w:tcPr>
            <w:tcW w:type="dxa" w:w="3239"/>
          </w:tcPr>
          <w:p>
            <w:pPr>
              <w:pStyle w:val="Compact"/>
              <w:spacing w:line="276" w:lineRule="auto" w:before="40" w:after="40"/>
            </w:pPr>
            <w:r>
              <w:rPr>
                <w:rFonts w:ascii="Liberation Sans Narrow" w:hAnsi="Liberation Sans Narrow"/>
                <w:sz w:val="18"/>
              </w:rPr>
              <w:t xml:space="preserve">STJ, REsp 1.964.457, Terceira Turma, relator Min. Paulo de Tarso Sanseverino, julgado em 03/05/2022, DJe de 11/05/2022</w:t>
            </w:r>
          </w:p>
        </w:tc>
        <w:tc>
          <w:tcPr>
            <w:tcW w:type="dxa" w:w="4584"/>
          </w:tcPr>
          <w:p>
            <w:pPr>
              <w:pStyle w:val="Compact"/>
              <w:spacing w:line="276" w:lineRule="auto" w:before="40" w:after="40"/>
            </w:pPr>
            <w:r>
              <w:rPr>
                <w:rFonts w:ascii="Liberation Sans Narrow" w:hAnsi="Liberation Sans Narrow"/>
                <w:sz w:val="18"/>
              </w:rPr>
              <w:t xml:space="preserve">Intimado o terceiro devedor para não pagar ao executado, o pagamento posterior a este é ineficaz perante o exequente, ainda que o crédito não existisse à data do deferimento da penhora.</w:t>
            </w:r>
          </w:p>
        </w:tc>
      </w:tr>
    </w:tbl>
    <w:p>
      <w:pPr>
        <w:pStyle w:val="BodyText"/>
        <w:spacing w:after="80"/>
        <w:jc w:val="both"/>
      </w:pPr>
      <w:r>
        <w:t xml:space="preserve">I - ao terceiro devedor para que não pague ao executado, seu credor;</w:t>
      </w:r>
    </w:p>
    <w:p>
      <w:pPr>
        <w:pStyle w:val="BodyText"/>
        <w:spacing w:after="80"/>
        <w:jc w:val="both"/>
      </w:pPr>
      <w:r>
        <w:t xml:space="preserve">II - ao executado, credor do terceiro, para que não pratique ato de disposição do crédito.</w:t>
      </w:r>
    </w:p>
    <w:bookmarkEnd w:id="665"/>
    <w:bookmarkStart w:id="666" w:name="art.-856"/>
    <w:p>
      <w:pPr>
        <w:pStyle w:val="Heading6"/>
        <w:pBdr>
          <w:left w:val="single" w:sz="36" w:space="4" w:color="2E75B6"/>
        </w:pBdr>
        <w:shd w:val="clear" w:color="auto" w:fill="E3EEF9"/>
        <w:spacing w:before="200" w:after="80"/>
        <w:ind w:left="85"/>
      </w:pPr>
      <w:r>
        <w:rPr>
          <w:i w:val="0"/>
          <w:color w:val="1F3A5F"/>
          <w:sz w:val="23"/>
        </w:rPr>
        <w:t xml:space="preserve">Art. 856</w:t>
      </w:r>
    </w:p>
    <w:p>
      <w:pPr>
        <w:pStyle w:val="FirstParagraph"/>
        <w:spacing w:after="80"/>
        <w:jc w:val="both"/>
      </w:pPr>
      <w:r>
        <w:rPr>
          <w:b/>
          <w:bCs/>
        </w:rPr>
        <w:t xml:space="preserve">Art. 856.</w:t>
      </w:r>
      <w:r>
        <w:t xml:space="preserve"> </w:t>
      </w:r>
      <w:r>
        <w:t xml:space="preserve">A penhora de crédito representado por letra de câmbio, nota promissória, duplicata, cheque ou outros títulos far-se-á pela apreensão do documento, esteja ou não este em poder do executado.</w:t>
      </w:r>
    </w:p>
    <w:p>
      <w:pPr>
        <w:pStyle w:val="BodyText"/>
        <w:spacing w:after="80"/>
        <w:jc w:val="both"/>
      </w:pPr>
      <w:r>
        <w:t xml:space="preserve">§ 1º Se o título não for apreendido, mas o terceiro confessar a dívida, será este tido como depositário da importância.</w:t>
      </w:r>
    </w:p>
    <w:p>
      <w:pPr>
        <w:pStyle w:val="BodyText"/>
        <w:spacing w:after="80"/>
        <w:jc w:val="both"/>
      </w:pPr>
      <w:r>
        <w:t xml:space="preserve">§ 2º O terceiro só se exonerará da obrigação depositando em juízo a importância da dívida.</w:t>
      </w:r>
    </w:p>
    <w:p>
      <w:pPr>
        <w:pStyle w:val="BodyText"/>
        <w:spacing w:after="80"/>
        <w:jc w:val="both"/>
      </w:pPr>
      <w:r>
        <w:t xml:space="preserve">§ 3º Se o terceiro negar o débito em conluio com o executado, a quitação que este lhe der caracterizará fraude à execução.</w:t>
      </w:r>
    </w:p>
    <w:p>
      <w:pPr>
        <w:pStyle w:val="BodyText"/>
        <w:spacing w:after="80"/>
        <w:jc w:val="both"/>
      </w:pPr>
      <w:r>
        <w:t xml:space="preserve">§ 4º A requerimento do exequente, o juiz determinará o comparecimento, em audiência especialmente designada, do executado e do terceiro, a fim de lhes tomar os depoimentos.</w:t>
      </w:r>
    </w:p>
    <w:bookmarkEnd w:id="666"/>
    <w:bookmarkStart w:id="667" w:name="art.-857"/>
    <w:p>
      <w:pPr>
        <w:pStyle w:val="Heading6"/>
        <w:pBdr>
          <w:left w:val="single" w:sz="36" w:space="4" w:color="2E75B6"/>
        </w:pBdr>
        <w:shd w:val="clear" w:color="auto" w:fill="E3EEF9"/>
        <w:spacing w:before="200" w:after="80"/>
        <w:ind w:left="85"/>
      </w:pPr>
      <w:r>
        <w:rPr>
          <w:i w:val="0"/>
          <w:color w:val="1F3A5F"/>
          <w:sz w:val="23"/>
        </w:rPr>
        <w:t xml:space="preserve">Art. 857</w:t>
      </w:r>
    </w:p>
    <w:p>
      <w:pPr>
        <w:pStyle w:val="FirstParagraph"/>
        <w:keepNext/>
        <w:spacing w:after="80"/>
        <w:jc w:val="both"/>
      </w:pPr>
      <w:r>
        <w:rPr>
          <w:b/>
          <w:bCs/>
        </w:rPr>
        <w:t xml:space="preserve">Art. 857.</w:t>
      </w:r>
      <w:r>
        <w:t xml:space="preserve"> </w:t>
      </w:r>
      <w:r>
        <w:t xml:space="preserve">Feita a penhora em direito e ação do executado, e não tendo ele oferecido embargos ou sendo estes rejeitados, o exequente ficará sub-rogado nos direitos do executado até a concorrência de seu crédito.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3104"/>
        <w:gridCol w:w="471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10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1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Caput — penhora de direito e ação</w:t>
            </w:r>
          </w:p>
        </w:tc>
        <w:tc>
          <w:tcPr>
            <w:tcW w:type="dxa" w:w="3104"/>
          </w:tcPr>
          <w:p>
            <w:pPr>
              <w:pStyle w:val="Compact"/>
              <w:spacing w:line="276" w:lineRule="auto" w:before="40" w:after="40"/>
            </w:pPr>
            <w:r>
              <w:rPr>
                <w:rFonts w:ascii="Liberation Sans Narrow" w:hAnsi="Liberation Sans Narrow"/>
                <w:sz w:val="18"/>
              </w:rPr>
              <w:t xml:space="preserve">STJ, AREsp 3.226.831, Quarta Turma, relator Min. Raul Araújo, julgado em 22/06/2026, DJEN de 29/06/2026</w:t>
            </w:r>
          </w:p>
        </w:tc>
        <w:tc>
          <w:tcPr>
            <w:tcW w:type="dxa" w:w="4719"/>
          </w:tcPr>
          <w:p>
            <w:pPr>
              <w:pStyle w:val="Compact"/>
              <w:spacing w:line="276" w:lineRule="auto" w:before="40" w:after="40"/>
            </w:pPr>
            <w:r>
              <w:rPr>
                <w:rFonts w:ascii="Liberation Sans Narrow" w:hAnsi="Liberation Sans Narrow"/>
                <w:sz w:val="18"/>
              </w:rPr>
              <w:t xml:space="preserve">Na penhora no rosto dos autos, o credor sub-rogado atua com legitimidade extraordinária e autonomia, podendo prosseguir na execução penhorando outros bens se não receber o crédito.</w:t>
            </w:r>
          </w:p>
        </w:tc>
      </w:tr>
    </w:tbl>
    <w:p>
      <w:pPr>
        <w:pStyle w:val="BodyText"/>
        <w:spacing w:after="80"/>
        <w:jc w:val="both"/>
      </w:pPr>
      <w:r>
        <w:t xml:space="preserve">§ 1º O exequente pode preferir, em vez da sub-rogação, a alienação judicial do direito penhorado, caso em que declarará sua vontade no prazo de 10 (dez) dias contado da realização da penhora.</w:t>
      </w:r>
    </w:p>
    <w:p>
      <w:pPr>
        <w:pStyle w:val="BodyText"/>
        <w:spacing w:after="80"/>
        <w:jc w:val="both"/>
      </w:pPr>
      <w:r>
        <w:t xml:space="preserve">§ 2º A sub-rogação não impede o sub-rogado, se não receber o crédito do executado, de prosseguir na execução, nos mesmos autos, penhorando outros bens.</w:t>
      </w:r>
    </w:p>
    <w:bookmarkEnd w:id="667"/>
    <w:bookmarkStart w:id="668" w:name="art.-858"/>
    <w:p>
      <w:pPr>
        <w:pStyle w:val="Heading6"/>
        <w:pBdr>
          <w:left w:val="single" w:sz="36" w:space="4" w:color="2E75B6"/>
        </w:pBdr>
        <w:shd w:val="clear" w:color="auto" w:fill="E3EEF9"/>
        <w:spacing w:before="200" w:after="80"/>
        <w:ind w:left="85"/>
      </w:pPr>
      <w:r>
        <w:rPr>
          <w:i w:val="0"/>
          <w:color w:val="1F3A5F"/>
          <w:sz w:val="23"/>
        </w:rPr>
        <w:t xml:space="preserve">Art. 858</w:t>
      </w:r>
    </w:p>
    <w:p>
      <w:pPr>
        <w:pStyle w:val="FirstParagraph"/>
        <w:spacing w:after="80"/>
        <w:jc w:val="both"/>
      </w:pPr>
      <w:r>
        <w:rPr>
          <w:b/>
          <w:bCs/>
        </w:rPr>
        <w:t xml:space="preserve">Art. 858.</w:t>
      </w:r>
      <w:r>
        <w:t xml:space="preserve"> </w:t>
      </w:r>
      <w:r>
        <w:t xml:space="preserve">Quando a penhora recair sobre dívidas de dinheiro a juros, de direito a rendas ou de prestações periódicas, o exequente poderá levantar os juros, os rendimentos ou as prestações à medida que forem sendo depositados, abatendo-se do crédito as importâncias recebidas, conforme as regras de imputação do pagamento.</w:t>
      </w:r>
    </w:p>
    <w:bookmarkEnd w:id="668"/>
    <w:bookmarkStart w:id="669" w:name="art.-859"/>
    <w:p>
      <w:pPr>
        <w:pStyle w:val="Heading6"/>
        <w:pBdr>
          <w:left w:val="single" w:sz="36" w:space="4" w:color="2E75B6"/>
        </w:pBdr>
        <w:shd w:val="clear" w:color="auto" w:fill="E3EEF9"/>
        <w:spacing w:before="200" w:after="80"/>
        <w:ind w:left="85"/>
      </w:pPr>
      <w:r>
        <w:rPr>
          <w:i w:val="0"/>
          <w:color w:val="1F3A5F"/>
          <w:sz w:val="23"/>
        </w:rPr>
        <w:t xml:space="preserve">Art. 859</w:t>
      </w:r>
    </w:p>
    <w:p>
      <w:pPr>
        <w:pStyle w:val="FirstParagraph"/>
        <w:spacing w:after="80"/>
        <w:jc w:val="both"/>
      </w:pPr>
      <w:r>
        <w:rPr>
          <w:b/>
          <w:bCs/>
        </w:rPr>
        <w:t xml:space="preserve">Art. 859.</w:t>
      </w:r>
      <w:r>
        <w:t xml:space="preserve"> </w:t>
      </w:r>
      <w:r>
        <w:t xml:space="preserve">Recaindo a penhora sobre direito a prestação ou a restituição de coisa determinada, o executado será intimado para, no vencimento, depositá-la, correndo sobre ela a execução.</w:t>
      </w:r>
    </w:p>
    <w:bookmarkEnd w:id="669"/>
    <w:bookmarkStart w:id="670" w:name="art.-860"/>
    <w:p>
      <w:pPr>
        <w:pStyle w:val="Heading6"/>
        <w:pBdr>
          <w:left w:val="single" w:sz="36" w:space="4" w:color="2E75B6"/>
        </w:pBdr>
        <w:shd w:val="clear" w:color="auto" w:fill="E3EEF9"/>
        <w:spacing w:before="200" w:after="80"/>
        <w:ind w:left="85"/>
      </w:pPr>
      <w:r>
        <w:rPr>
          <w:i w:val="0"/>
          <w:color w:val="1F3A5F"/>
          <w:sz w:val="23"/>
        </w:rPr>
        <w:t xml:space="preserve">Art. 860</w:t>
      </w:r>
    </w:p>
    <w:p>
      <w:pPr>
        <w:pStyle w:val="FirstParagraph"/>
        <w:spacing w:after="80"/>
        <w:jc w:val="both"/>
      </w:pPr>
      <w:r>
        <w:rPr>
          <w:b/>
          <w:bCs/>
        </w:rPr>
        <w:t xml:space="preserve">Art. 860.</w:t>
      </w:r>
      <w:r>
        <w:t xml:space="preserve"> </w:t>
      </w:r>
      <w:r>
        <w:t xml:space="preserve">Quando o direito estiver sendo pleiteado em juízo, a penhora que recair sobre ele será averbada, com destaque, nos autos pertinentes ao direito e na ação correspondente à penhora, a fim de que esta seja efetivada nos bens que forem adjudicados ou que vierem a caber ao executado.</w:t>
      </w:r>
    </w:p>
    <w:bookmarkEnd w:id="670"/>
    <w:bookmarkStart w:id="671" w:name="art.-861"/>
    <w:p>
      <w:pPr>
        <w:pStyle w:val="Heading6"/>
        <w:pBdr>
          <w:left w:val="single" w:sz="36" w:space="4" w:color="2E75B6"/>
        </w:pBdr>
        <w:shd w:val="clear" w:color="auto" w:fill="E3EEF9"/>
        <w:spacing w:before="200" w:after="80"/>
        <w:ind w:left="85"/>
      </w:pPr>
      <w:r>
        <w:rPr>
          <w:i w:val="0"/>
          <w:color w:val="1F3A5F"/>
          <w:sz w:val="23"/>
        </w:rPr>
        <w:t xml:space="preserve">Art. 861</w:t>
      </w:r>
    </w:p>
    <w:p>
      <w:pPr>
        <w:pStyle w:val="FirstParagraph"/>
        <w:keepNext/>
        <w:spacing w:after="80"/>
        <w:jc w:val="both"/>
      </w:pPr>
      <w:r>
        <w:rPr>
          <w:b/>
          <w:bCs/>
        </w:rPr>
        <w:t xml:space="preserve">Art. 861.</w:t>
      </w:r>
      <w:r>
        <w:t xml:space="preserve"> </w:t>
      </w:r>
      <w:r>
        <w:t xml:space="preserve">Penhoradas as quotas ou as ações de sócio em sociedade simples ou empresária, o juiz assinará prazo razoável, não superior a 3 (três) meses, para que a sociedade: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50"/>
        <w:gridCol w:w="2700"/>
        <w:gridCol w:w="4304"/>
      </w:tblGrid>
      <w:tr>
        <w:trPr>
          <w:tblHeader w:val="on"/>
          <w:cantSplit/>
          <w:tblHeader/>
        </w:trPr>
        <w:tc>
          <w:tcPr>
            <w:tcW w:type="dxa" w:w="235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0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30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350"/>
          </w:tcPr>
          <w:p>
            <w:pPr>
              <w:pStyle w:val="Compact"/>
              <w:spacing w:line="276" w:lineRule="auto" w:before="40" w:after="40"/>
            </w:pPr>
            <w:r>
              <w:rPr>
                <w:rFonts w:ascii="Liberation Sans Narrow" w:hAnsi="Liberation Sans Narrow"/>
                <w:sz w:val="18"/>
              </w:rPr>
              <w:t xml:space="preserve">Caput — penhora de quotas sociais do sócio de sociedade em recuperação judicial (aplicação narrada)</w:t>
            </w:r>
          </w:p>
        </w:tc>
        <w:tc>
          <w:tcPr>
            <w:tcW w:type="dxa" w:w="2700"/>
          </w:tcPr>
          <w:p>
            <w:pPr>
              <w:pStyle w:val="Compact"/>
              <w:spacing w:line="276" w:lineRule="auto" w:before="40" w:after="40"/>
            </w:pPr>
            <w:r>
              <w:rPr>
                <w:rFonts w:ascii="Liberation Sans Narrow" w:hAnsi="Liberation Sans Narrow"/>
                <w:sz w:val="18"/>
              </w:rPr>
              <w:t xml:space="preserve">STJ, AREsp 2.669.057, Terceira Turma, relator Min. Moura Ribeiro, julgado em 22/06/2026</w:t>
            </w:r>
          </w:p>
        </w:tc>
        <w:tc>
          <w:tcPr>
            <w:tcW w:type="dxa" w:w="4304"/>
          </w:tcPr>
          <w:p>
            <w:pPr>
              <w:pStyle w:val="Compact"/>
              <w:spacing w:line="276" w:lineRule="auto" w:before="40" w:after="40"/>
            </w:pPr>
            <w:r>
              <w:rPr>
                <w:rFonts w:ascii="Liberation Sans Narrow" w:hAnsi="Liberation Sans Narrow"/>
                <w:sz w:val="18"/>
              </w:rPr>
              <w:t xml:space="preserve">As quotas sociais integram o patrimônio pessoal dos sócios e não se confundem com os ativos da pessoa jurídica; a recuperação judicial da empresa não impede a penhora das quotas para a satisfação de dívida particular do sócio, pois a proteção da Lei 11.101/2005 alcança apenas o patrimônio da sociedade em recuperação, sobretudo quando o crédito exequendo não se sujeita aos efeitos da recuperação. Trecho: “A proteção conferida pela Lei nº 11.101/2005 destina-se a preservar o patrimônio da sociedade em recuperação, não se estendendo ao patrimônio particular de seus sócios para obstar a satisfação de créditos pessoais destes, sobretudo quando o crédito exequendo não se sujeita aos efeitos da recuperação.”</w:t>
            </w:r>
          </w:p>
        </w:tc>
      </w:tr>
      <w:tr>
        <w:trPr>
          <w:cantSplit/>
        </w:trPr>
        <w:tc>
          <w:tcPr>
            <w:tcW w:type="dxa" w:w="2350"/>
          </w:tcPr>
          <w:p>
            <w:pPr>
              <w:pStyle w:val="Compact"/>
              <w:spacing w:line="276" w:lineRule="auto" w:before="40" w:after="40"/>
            </w:pPr>
            <w:r>
              <w:rPr>
                <w:rFonts w:ascii="Liberation Sans Narrow" w:hAnsi="Liberation Sans Narrow"/>
                <w:sz w:val="18"/>
              </w:rPr>
              <w:t xml:space="preserve">Caput — direito de preferência dos sócios e balanço especial</w:t>
            </w:r>
          </w:p>
        </w:tc>
        <w:tc>
          <w:tcPr>
            <w:tcW w:type="dxa" w:w="2700"/>
          </w:tcPr>
          <w:p>
            <w:pPr>
              <w:pStyle w:val="Compact"/>
              <w:spacing w:line="276" w:lineRule="auto" w:before="40" w:after="40"/>
            </w:pPr>
            <w:r>
              <w:rPr>
                <w:rFonts w:ascii="Liberation Sans Narrow" w:hAnsi="Liberation Sans Narrow"/>
                <w:sz w:val="18"/>
              </w:rPr>
              <w:t xml:space="preserve">STJ, REsp 2.101.226, Terceira Turma, relatora Min. Nancy Andrighi, julgado em 12/03/2024, DJe de 14/03/2024</w:t>
            </w:r>
          </w:p>
        </w:tc>
        <w:tc>
          <w:tcPr>
            <w:tcW w:type="dxa" w:w="4304"/>
          </w:tcPr>
          <w:p>
            <w:pPr>
              <w:pStyle w:val="Compact"/>
              <w:spacing w:line="276" w:lineRule="auto" w:before="40" w:after="40"/>
            </w:pPr>
            <w:r>
              <w:rPr>
                <w:rFonts w:ascii="Liberation Sans Narrow" w:hAnsi="Liberation Sans Narrow"/>
                <w:sz w:val="18"/>
              </w:rPr>
              <w:t xml:space="preserve">O direito de preferência do sócio na aquisição das quotas penhoradas só pode ser exercido depois da intimação da sociedade e da apresentação do balanço especial, na forma do art. 861.</w:t>
            </w:r>
          </w:p>
        </w:tc>
      </w:tr>
    </w:tbl>
    <w:p>
      <w:pPr>
        <w:pStyle w:val="BodyText"/>
        <w:spacing w:after="80"/>
        <w:jc w:val="both"/>
      </w:pPr>
      <w:r>
        <w:t xml:space="preserve">I - apresente balanço especial, na forma da lei;</w:t>
      </w:r>
    </w:p>
    <w:p>
      <w:pPr>
        <w:pStyle w:val="BodyText"/>
        <w:spacing w:after="80"/>
        <w:jc w:val="both"/>
      </w:pPr>
      <w:r>
        <w:t xml:space="preserve">II - ofereça as quotas ou as ações aos demais sócios, observado o direito de preferência legal ou contratual;</w:t>
      </w:r>
    </w:p>
    <w:p>
      <w:pPr>
        <w:pStyle w:val="BodyText"/>
        <w:spacing w:after="80"/>
        <w:jc w:val="both"/>
      </w:pPr>
      <w:r>
        <w:t xml:space="preserve">III - não havendo interesse dos sócios na aquisição das ações, proceda à liquidação das quotas ou das ações, depositando em juízo o valor apurado, em dinheiro.</w:t>
      </w:r>
    </w:p>
    <w:p>
      <w:pPr>
        <w:pStyle w:val="BodyText"/>
        <w:spacing w:after="80"/>
        <w:jc w:val="both"/>
      </w:pPr>
      <w:r>
        <w:t xml:space="preserve">§ 1º Para evitar a liquidação das quotas ou das ações, a sociedade poderá adquiri-las sem redução do capital social e com utilização de reservas, para manutenção em tesouraria.</w:t>
      </w:r>
    </w:p>
    <w:p>
      <w:pPr>
        <w:pStyle w:val="BodyText"/>
        <w:spacing w:after="80"/>
        <w:jc w:val="both"/>
      </w:pPr>
      <w:r>
        <w:t xml:space="preserve">§ 2º O disposto no caput e no § 1º não se aplica à sociedade anônima de capital aberto, cujas ações serão adjudicadas ao exequente ou alienadas em bolsa de valores, conforme o caso.</w:t>
      </w:r>
    </w:p>
    <w:p>
      <w:pPr>
        <w:pStyle w:val="BodyText"/>
        <w:spacing w:after="80"/>
        <w:jc w:val="both"/>
      </w:pPr>
      <w:r>
        <w:t xml:space="preserve">§ 3º Para os fins da liquidação de que trata o inciso III do caput , o juiz poderá, a requerimento do exequente ou da sociedade, nomear administrador, que deverá submeter à aprovação judicial a forma de liquidação.</w:t>
      </w:r>
    </w:p>
    <w:p>
      <w:pPr>
        <w:pStyle w:val="BodyText"/>
        <w:spacing w:after="80"/>
        <w:jc w:val="both"/>
      </w:pPr>
      <w:r>
        <w:t xml:space="preserve">§ 4º O prazo previsto no caput poderá ser ampliado pelo juiz, se o pagamento das quotas ou das ações liquidadas:</w:t>
      </w:r>
    </w:p>
    <w:p>
      <w:pPr>
        <w:pStyle w:val="BodyText"/>
        <w:spacing w:after="80"/>
        <w:jc w:val="both"/>
      </w:pPr>
      <w:r>
        <w:t xml:space="preserve">I - superar o valor do saldo de lucros ou reservas, exceto a legal, e sem diminuição do capital social, ou por doação; ou</w:t>
      </w:r>
    </w:p>
    <w:p>
      <w:pPr>
        <w:pStyle w:val="BodyText"/>
        <w:spacing w:after="80"/>
        <w:jc w:val="both"/>
      </w:pPr>
      <w:r>
        <w:t xml:space="preserve">II - colocar em risco a estabilidade financeira da sociedade simples ou empresária.</w:t>
      </w:r>
    </w:p>
    <w:p>
      <w:pPr>
        <w:pStyle w:val="BodyText"/>
        <w:spacing w:after="80"/>
        <w:jc w:val="both"/>
      </w:pPr>
      <w:r>
        <w:t xml:space="preserve">§ 5º Caso não haja interesse dos demais sócios no exercício de direito de preferência, não ocorra a aquisição das quotas ou das ações pela sociedade e a liquidação do inciso III do caput seja excessivamente onerosa para a sociedade, o juiz poderá determinar o leilão judicial das quotas ou das ações.</w:t>
      </w:r>
    </w:p>
    <w:bookmarkEnd w:id="671"/>
    <w:bookmarkStart w:id="672" w:name="art.-862"/>
    <w:p>
      <w:pPr>
        <w:pStyle w:val="Heading6"/>
        <w:pBdr>
          <w:left w:val="single" w:sz="36" w:space="4" w:color="2E75B6"/>
        </w:pBdr>
        <w:shd w:val="clear" w:color="auto" w:fill="E3EEF9"/>
        <w:spacing w:before="200" w:after="80"/>
        <w:ind w:left="85"/>
      </w:pPr>
      <w:r>
        <w:rPr>
          <w:i w:val="0"/>
          <w:color w:val="1F3A5F"/>
          <w:sz w:val="23"/>
        </w:rPr>
        <w:t xml:space="preserve">Art. 862</w:t>
      </w:r>
    </w:p>
    <w:p>
      <w:pPr>
        <w:pStyle w:val="FirstParagraph"/>
        <w:spacing w:after="80"/>
        <w:jc w:val="both"/>
      </w:pPr>
      <w:r>
        <w:rPr>
          <w:b/>
          <w:bCs/>
        </w:rPr>
        <w:t xml:space="preserve">Art. 862.</w:t>
      </w:r>
      <w:r>
        <w:t xml:space="preserve"> </w:t>
      </w:r>
      <w:r>
        <w:t xml:space="preserve">Quando a penhora recair em estabelecimento comercial, industrial ou agrícola, bem como em semoventes, plantações ou edifícios em construção, o juiz nomeará administrador-depositário, determinando-lhe que apresente em 10 (dez) dias o plano de administração.</w:t>
      </w:r>
    </w:p>
    <w:p>
      <w:pPr>
        <w:pStyle w:val="BodyText"/>
        <w:spacing w:after="80"/>
        <w:jc w:val="both"/>
      </w:pPr>
      <w:r>
        <w:t xml:space="preserve">§ 1º Ouvidas as partes, o juiz decidirá.</w:t>
      </w:r>
    </w:p>
    <w:p>
      <w:pPr>
        <w:pStyle w:val="BodyText"/>
        <w:spacing w:after="80"/>
        <w:jc w:val="both"/>
      </w:pPr>
      <w:r>
        <w:t xml:space="preserve">§ 2º É lícito às partes ajustar a forma de administração e escolher o depositário, hipótese em que o juiz homologará por despacho a indicação.</w:t>
      </w:r>
    </w:p>
    <w:p>
      <w:pPr>
        <w:pStyle w:val="BodyText"/>
        <w:spacing w:after="80"/>
        <w:jc w:val="both"/>
      </w:pPr>
      <w:r>
        <w:t xml:space="preserve">§ 3º Em relação aos edifícios em construção sob regime de incorporação imobiliária, a penhora somente poderá recair sobre as unidades imobiliárias ainda não comercializadas pelo incorporador.</w:t>
      </w:r>
    </w:p>
    <w:p>
      <w:pPr>
        <w:pStyle w:val="BodyText"/>
        <w:spacing w:after="80"/>
        <w:jc w:val="both"/>
      </w:pPr>
      <w:r>
        <w:t xml:space="preserve">§ 4º Sendo necessário afastar o incorporador da administração da incorporação, será ela exercida pela comissão de representantes dos adquirentes ou, se se tratar de construção financiada, por empresa ou profissional indicado pela instituição fornecedora dos recursos para a obra, devendo ser ouvida, neste último caso, a comissão de representantes dos adquirentes.</w:t>
      </w:r>
    </w:p>
    <w:bookmarkEnd w:id="672"/>
    <w:bookmarkStart w:id="673" w:name="art.-863"/>
    <w:p>
      <w:pPr>
        <w:pStyle w:val="Heading6"/>
        <w:pBdr>
          <w:left w:val="single" w:sz="36" w:space="4" w:color="2E75B6"/>
        </w:pBdr>
        <w:shd w:val="clear" w:color="auto" w:fill="E3EEF9"/>
        <w:spacing w:before="200" w:after="80"/>
        <w:ind w:left="85"/>
      </w:pPr>
      <w:r>
        <w:rPr>
          <w:i w:val="0"/>
          <w:color w:val="1F3A5F"/>
          <w:sz w:val="23"/>
        </w:rPr>
        <w:t xml:space="preserve">Art. 863</w:t>
      </w:r>
    </w:p>
    <w:p>
      <w:pPr>
        <w:pStyle w:val="FirstParagraph"/>
        <w:spacing w:after="80"/>
        <w:jc w:val="both"/>
      </w:pPr>
      <w:r>
        <w:rPr>
          <w:b/>
          <w:bCs/>
        </w:rPr>
        <w:t xml:space="preserve">Art. 863.</w:t>
      </w:r>
      <w:r>
        <w:t xml:space="preserve"> </w:t>
      </w:r>
      <w:r>
        <w:t xml:space="preserve">A penhora de empresa que funcione mediante concessão ou autorização far-se-á, conforme o valor do crédito, sobre a renda, sobre determinados bens ou sobre todo o patrimônio, e o juiz nomeará como depositário, de preferência, um de seus diretores.</w:t>
      </w:r>
    </w:p>
    <w:p>
      <w:pPr>
        <w:pStyle w:val="BodyText"/>
        <w:spacing w:after="80"/>
        <w:jc w:val="both"/>
      </w:pPr>
      <w:r>
        <w:t xml:space="preserve">§ 1º Quando a penhora recair sobre a renda ou sobre determinados bens, o administrador-depositário apresentará a forma de administração e o esquema de pagamento, observando-se, quanto ao mais, o disposto em relação ao regime de penhora de frutos e rendimentos de coisa móvel e imóvel.</w:t>
      </w:r>
    </w:p>
    <w:p>
      <w:pPr>
        <w:pStyle w:val="BodyText"/>
        <w:spacing w:after="80"/>
        <w:jc w:val="both"/>
      </w:pPr>
      <w:r>
        <w:t xml:space="preserve">§ 2º Recaindo a penhora sobre todo o patrimônio, prosseguirá a execução em seus ulteriores termos, ouvindo-se, antes da arrematação ou da adjudicação, o ente público que houver outorgado a concessão.</w:t>
      </w:r>
    </w:p>
    <w:bookmarkEnd w:id="673"/>
    <w:bookmarkStart w:id="674" w:name="art.-864"/>
    <w:p>
      <w:pPr>
        <w:pStyle w:val="Heading6"/>
        <w:pBdr>
          <w:left w:val="single" w:sz="36" w:space="4" w:color="2E75B6"/>
        </w:pBdr>
        <w:shd w:val="clear" w:color="auto" w:fill="E3EEF9"/>
        <w:spacing w:before="200" w:after="80"/>
        <w:ind w:left="85"/>
      </w:pPr>
      <w:r>
        <w:rPr>
          <w:i w:val="0"/>
          <w:color w:val="1F3A5F"/>
          <w:sz w:val="23"/>
        </w:rPr>
        <w:t xml:space="preserve">Art. 864</w:t>
      </w:r>
    </w:p>
    <w:p>
      <w:pPr>
        <w:pStyle w:val="FirstParagraph"/>
        <w:spacing w:after="80"/>
        <w:jc w:val="both"/>
      </w:pPr>
      <w:r>
        <w:rPr>
          <w:b/>
          <w:bCs/>
        </w:rPr>
        <w:t xml:space="preserve">Art. 864.</w:t>
      </w:r>
      <w:r>
        <w:t xml:space="preserve"> </w:t>
      </w:r>
      <w:r>
        <w:t xml:space="preserve">A penhora de navio ou de aeronave não obsta que continuem navegando ou operando até a alienação, mas o juiz, ao conceder a autorização para tanto, não permitirá que saiam do porto ou do aeroporto antes que o executado faça o seguro usual contra riscos.</w:t>
      </w:r>
    </w:p>
    <w:bookmarkEnd w:id="674"/>
    <w:bookmarkStart w:id="675" w:name="art.-865"/>
    <w:p>
      <w:pPr>
        <w:pStyle w:val="Heading6"/>
        <w:pBdr>
          <w:left w:val="single" w:sz="36" w:space="4" w:color="2E75B6"/>
        </w:pBdr>
        <w:shd w:val="clear" w:color="auto" w:fill="E3EEF9"/>
        <w:spacing w:before="200" w:after="80"/>
        <w:ind w:left="85"/>
      </w:pPr>
      <w:r>
        <w:rPr>
          <w:i w:val="0"/>
          <w:color w:val="1F3A5F"/>
          <w:sz w:val="23"/>
        </w:rPr>
        <w:t xml:space="preserve">Art. 865</w:t>
      </w:r>
    </w:p>
    <w:p>
      <w:pPr>
        <w:pStyle w:val="FirstParagraph"/>
        <w:spacing w:after="80"/>
        <w:jc w:val="both"/>
      </w:pPr>
      <w:r>
        <w:rPr>
          <w:b/>
          <w:bCs/>
        </w:rPr>
        <w:t xml:space="preserve">Art. 865.</w:t>
      </w:r>
      <w:r>
        <w:t xml:space="preserve"> </w:t>
      </w:r>
      <w:r>
        <w:t xml:space="preserve">A penhora de que trata esta Subseção somente será determinada se não houver outro meio eficaz para a efetivação do crédito.</w:t>
      </w:r>
    </w:p>
    <w:bookmarkEnd w:id="675"/>
    <w:bookmarkStart w:id="676" w:name="art.-866"/>
    <w:p>
      <w:pPr>
        <w:pStyle w:val="Heading6"/>
        <w:pBdr>
          <w:left w:val="single" w:sz="36" w:space="4" w:color="2E75B6"/>
        </w:pBdr>
        <w:shd w:val="clear" w:color="auto" w:fill="E3EEF9"/>
        <w:spacing w:before="200" w:after="80"/>
        <w:ind w:left="85"/>
      </w:pPr>
      <w:r>
        <w:rPr>
          <w:i w:val="0"/>
          <w:color w:val="1F3A5F"/>
          <w:sz w:val="23"/>
        </w:rPr>
        <w:t xml:space="preserve">Art. 866</w:t>
      </w:r>
    </w:p>
    <w:p>
      <w:pPr>
        <w:pStyle w:val="FirstParagraph"/>
        <w:keepNext/>
        <w:spacing w:after="80"/>
        <w:jc w:val="both"/>
      </w:pPr>
      <w:r>
        <w:rPr>
          <w:b/>
          <w:bCs/>
        </w:rPr>
        <w:t xml:space="preserve">Art. 866.</w:t>
      </w:r>
      <w:r>
        <w:t xml:space="preserve"> </w:t>
      </w:r>
      <w:r>
        <w:t xml:space="preserve">Se o executado não tiver outros bens penhoráveis ou se, tendo-os, esses forem de difícil alienação ou insuficientes para saldar o crédito executado, o juiz poderá ordenar a penhora de percentual de faturamento de empresa.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96"/>
        <w:gridCol w:w="2688"/>
        <w:gridCol w:w="4970"/>
      </w:tblGrid>
      <w:tr>
        <w:trPr>
          <w:tblHeader w:val="on"/>
          <w:cantSplit/>
          <w:tblHeader/>
        </w:trPr>
        <w:tc>
          <w:tcPr>
            <w:tcW w:type="dxa" w:w="1696"/>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8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97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96"/>
          </w:tcPr>
          <w:p>
            <w:pPr>
              <w:pStyle w:val="Compact"/>
              <w:spacing w:line="276" w:lineRule="auto" w:before="40" w:after="40"/>
            </w:pPr>
            <w:r>
              <w:rPr>
                <w:rFonts w:ascii="Liberation Sans Narrow" w:hAnsi="Liberation Sans Narrow"/>
                <w:sz w:val="18"/>
              </w:rPr>
              <w:t xml:space="preserve">Caput — penhora de percentual de faturamento</w:t>
            </w:r>
          </w:p>
        </w:tc>
        <w:tc>
          <w:tcPr>
            <w:tcW w:type="dxa" w:w="2688"/>
          </w:tcPr>
          <w:p>
            <w:pPr>
              <w:pStyle w:val="Compact"/>
              <w:spacing w:line="276" w:lineRule="auto" w:before="40" w:after="40"/>
            </w:pPr>
            <w:r>
              <w:rPr>
                <w:rFonts w:ascii="Liberation Sans Narrow" w:hAnsi="Liberation Sans Narrow"/>
                <w:sz w:val="18"/>
              </w:rPr>
              <w:t xml:space="preserve">STJ, REsp 2.207.127, Terceira Turma, relator Min. Humberto Martins, julgado em 09/03/2026</w:t>
            </w:r>
          </w:p>
        </w:tc>
        <w:tc>
          <w:tcPr>
            <w:tcW w:type="dxa" w:w="4970"/>
          </w:tcPr>
          <w:p>
            <w:pPr>
              <w:pStyle w:val="Compact"/>
              <w:spacing w:line="276" w:lineRule="auto" w:before="40" w:after="40"/>
            </w:pPr>
            <w:r>
              <w:rPr>
                <w:rFonts w:ascii="Liberation Sans Narrow" w:hAnsi="Liberation Sans Narrow"/>
                <w:sz w:val="18"/>
              </w:rPr>
              <w:t xml:space="preserve">A penhora de percentual de faturamento de empresa é cabível quando não há outros bens penhoráveis ou quando os bens disponíveis são de difícil alienação ou insuficientes para saldar o crédito executado.</w:t>
            </w:r>
          </w:p>
        </w:tc>
      </w:tr>
    </w:tbl>
    <w:p>
      <w:pPr>
        <w:pStyle w:val="BodyText"/>
        <w:spacing w:after="80"/>
        <w:jc w:val="both"/>
      </w:pPr>
      <w:r>
        <w:t xml:space="preserve">§ 1º O juiz fixará percentual que propicie a satisfação do crédito exequendo em tempo razoável, mas que não torne inviável o exercício da atividade empresarial.</w:t>
      </w:r>
    </w:p>
    <w:p>
      <w:pPr>
        <w:pStyle w:val="BodyText"/>
        <w:spacing w:after="80"/>
        <w:jc w:val="both"/>
      </w:pPr>
      <w:r>
        <w:t xml:space="preserve">§ 2º O juiz nomeará administrador-depositário, o qual submeterá à aprovação judicial a forma de sua atuação e prestará contas mensalmente, entregando em juízo as quantias recebidas, com os respectivos balancetes mensais, a fim de serem imputadas no pagamento da dívida.</w:t>
      </w:r>
    </w:p>
    <w:p>
      <w:pPr>
        <w:pStyle w:val="BodyText"/>
        <w:spacing w:after="80"/>
        <w:jc w:val="both"/>
      </w:pPr>
      <w:r>
        <w:t xml:space="preserve">§ 3º Na penhora de percentual de faturamento de empresa, observar-se-á, no que couber, o disposto quanto ao regime de penhora de frutos e rendimentos de coisa móvel e imóvel.</w:t>
      </w:r>
    </w:p>
    <w:bookmarkEnd w:id="676"/>
    <w:bookmarkStart w:id="677" w:name="art.-867"/>
    <w:p>
      <w:pPr>
        <w:pStyle w:val="Heading6"/>
        <w:pBdr>
          <w:left w:val="single" w:sz="36" w:space="4" w:color="2E75B6"/>
        </w:pBdr>
        <w:shd w:val="clear" w:color="auto" w:fill="E3EEF9"/>
        <w:spacing w:before="200" w:after="80"/>
        <w:ind w:left="85"/>
      </w:pPr>
      <w:r>
        <w:rPr>
          <w:i w:val="0"/>
          <w:color w:val="1F3A5F"/>
          <w:sz w:val="23"/>
        </w:rPr>
        <w:t xml:space="preserve">Art. 867</w:t>
      </w:r>
    </w:p>
    <w:p>
      <w:pPr>
        <w:pStyle w:val="FirstParagraph"/>
        <w:keepNext/>
        <w:spacing w:after="80"/>
        <w:jc w:val="both"/>
      </w:pPr>
      <w:r>
        <w:rPr>
          <w:b/>
          <w:bCs/>
        </w:rPr>
        <w:t xml:space="preserve">Art. 867.</w:t>
      </w:r>
      <w:r>
        <w:t xml:space="preserve"> </w:t>
      </w:r>
      <w:r>
        <w:t xml:space="preserve">O juiz pode ordenar a penhora de frutos e rendimentos de coisa móvel ou imóvel quando a considerar mais eficiente para o recebimento do crédito e menos gravosa ao executado.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63"/>
        <w:gridCol w:w="3427"/>
        <w:gridCol w:w="4264"/>
      </w:tblGrid>
      <w:tr>
        <w:trPr>
          <w:tblHeader w:val="on"/>
          <w:cantSplit/>
          <w:tblHeader/>
        </w:trPr>
        <w:tc>
          <w:tcPr>
            <w:tcW w:type="dxa" w:w="1663"/>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42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26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63"/>
          </w:tcPr>
          <w:p>
            <w:pPr>
              <w:pStyle w:val="Compact"/>
              <w:spacing w:line="276" w:lineRule="auto" w:before="40" w:after="40"/>
            </w:pPr>
            <w:r>
              <w:rPr>
                <w:rFonts w:ascii="Liberation Sans Narrow" w:hAnsi="Liberation Sans Narrow"/>
                <w:sz w:val="18"/>
              </w:rPr>
              <w:t xml:space="preserve">Caput — penhora de frutos e rendimentos</w:t>
            </w:r>
          </w:p>
        </w:tc>
        <w:tc>
          <w:tcPr>
            <w:tcW w:type="dxa" w:w="3427"/>
          </w:tcPr>
          <w:p>
            <w:pPr>
              <w:pStyle w:val="Compact"/>
              <w:spacing w:line="276" w:lineRule="auto" w:before="40" w:after="40"/>
            </w:pPr>
            <w:r>
              <w:rPr>
                <w:rFonts w:ascii="Liberation Sans Narrow" w:hAnsi="Liberation Sans Narrow"/>
                <w:sz w:val="18"/>
              </w:rPr>
              <w:t xml:space="preserve">STJ, AREsp 2.705.816, Quarta Turma, relator Min. João Otávio de Noronha, julgado em 30/03/2026, DJEN de 07/04/2026</w:t>
            </w:r>
          </w:p>
        </w:tc>
        <w:tc>
          <w:tcPr>
            <w:tcW w:type="dxa" w:w="4264"/>
          </w:tcPr>
          <w:p>
            <w:pPr>
              <w:pStyle w:val="Compact"/>
              <w:spacing w:line="276" w:lineRule="auto" w:before="40" w:after="40"/>
            </w:pPr>
            <w:r>
              <w:rPr>
                <w:rFonts w:ascii="Liberation Sans Narrow" w:hAnsi="Liberation Sans Narrow"/>
                <w:sz w:val="18"/>
              </w:rPr>
              <w:t xml:space="preserve">É viável a penhora dos frutos e rendimentos de imóvel alienado fiduciariamente, pois a constrição recai sobre os frutos, e não sobre o domínio fiduciário.</w:t>
            </w:r>
          </w:p>
        </w:tc>
      </w:tr>
    </w:tbl>
    <w:bookmarkEnd w:id="677"/>
    <w:bookmarkStart w:id="678" w:name="art.-868"/>
    <w:p>
      <w:pPr>
        <w:pStyle w:val="Heading6"/>
        <w:pBdr>
          <w:left w:val="single" w:sz="36" w:space="4" w:color="2E75B6"/>
        </w:pBdr>
        <w:shd w:val="clear" w:color="auto" w:fill="E3EEF9"/>
        <w:spacing w:before="200" w:after="80"/>
        <w:ind w:left="85"/>
      </w:pPr>
      <w:r>
        <w:rPr>
          <w:i w:val="0"/>
          <w:color w:val="1F3A5F"/>
          <w:sz w:val="23"/>
        </w:rPr>
        <w:t xml:space="preserve">Art. 868</w:t>
      </w:r>
    </w:p>
    <w:p>
      <w:pPr>
        <w:pStyle w:val="FirstParagraph"/>
        <w:spacing w:after="80"/>
        <w:jc w:val="both"/>
      </w:pPr>
      <w:r>
        <w:rPr>
          <w:b/>
          <w:bCs/>
        </w:rPr>
        <w:t xml:space="preserve">Art. 868.</w:t>
      </w:r>
      <w:r>
        <w:t xml:space="preserve"> </w:t>
      </w:r>
      <w:r>
        <w:t xml:space="preserve">Ordenada a penhora de frutos e rendimentos, o juiz nomeará administrador-depositário, que será investido de todos os poderes que concernem à administração do bem e à fruição de seus frutos e utilidades, perdendo o executado o direito de gozo do bem, até que o exequente seja pago do principal, dos juros, das custas e dos honorários advocatícios.</w:t>
      </w:r>
    </w:p>
    <w:p>
      <w:pPr>
        <w:pStyle w:val="BodyText"/>
        <w:spacing w:after="80"/>
        <w:jc w:val="both"/>
      </w:pPr>
      <w:r>
        <w:t xml:space="preserve">§ 1º A medida terá eficácia em relação a terceiros a partir da publicação da decisão que a conceda ou de sua averbação no ofício imobiliário, em caso de imóveis.</w:t>
      </w:r>
    </w:p>
    <w:p>
      <w:pPr>
        <w:pStyle w:val="BodyText"/>
        <w:spacing w:after="80"/>
        <w:jc w:val="both"/>
      </w:pPr>
      <w:r>
        <w:t xml:space="preserve">§ 2º O exequente providenciará a averbação no ofício imobiliário mediante a apresentação de certidão de inteiro teor do ato, independentemente de mandado judicial.</w:t>
      </w:r>
    </w:p>
    <w:bookmarkEnd w:id="678"/>
    <w:bookmarkStart w:id="679" w:name="art.-869"/>
    <w:p>
      <w:pPr>
        <w:pStyle w:val="Heading6"/>
        <w:pBdr>
          <w:left w:val="single" w:sz="36" w:space="4" w:color="2E75B6"/>
        </w:pBdr>
        <w:shd w:val="clear" w:color="auto" w:fill="E3EEF9"/>
        <w:spacing w:before="200" w:after="80"/>
        <w:ind w:left="85"/>
      </w:pPr>
      <w:r>
        <w:rPr>
          <w:i w:val="0"/>
          <w:color w:val="1F3A5F"/>
          <w:sz w:val="23"/>
        </w:rPr>
        <w:t xml:space="preserve">Art. 869</w:t>
      </w:r>
    </w:p>
    <w:p>
      <w:pPr>
        <w:pStyle w:val="FirstParagraph"/>
        <w:spacing w:after="80"/>
        <w:jc w:val="both"/>
      </w:pPr>
      <w:r>
        <w:rPr>
          <w:b/>
          <w:bCs/>
        </w:rPr>
        <w:t xml:space="preserve">Art. 869.</w:t>
      </w:r>
      <w:r>
        <w:t xml:space="preserve"> </w:t>
      </w:r>
      <w:r>
        <w:t xml:space="preserve">O juiz poderá nomear administrador-depositário o exequente ou o executado, ouvida a parte contrária, e, não havendo acordo, nomeará profissional qualificado para o desempenho da função.</w:t>
      </w:r>
    </w:p>
    <w:p>
      <w:pPr>
        <w:pStyle w:val="BodyText"/>
        <w:spacing w:after="80"/>
        <w:jc w:val="both"/>
      </w:pPr>
      <w:r>
        <w:t xml:space="preserve">§ 1º O administrador submeterá à aprovação judicial a forma de administração e a de prestar contas periodicamente.</w:t>
      </w:r>
    </w:p>
    <w:p>
      <w:pPr>
        <w:pStyle w:val="BodyText"/>
        <w:spacing w:after="80"/>
        <w:jc w:val="both"/>
      </w:pPr>
      <w:r>
        <w:t xml:space="preserve">§ 2º Havendo discordância entre as partes ou entre essas e o administrador, o juiz decidirá a melhor forma de administração do bem.</w:t>
      </w:r>
    </w:p>
    <w:p>
      <w:pPr>
        <w:pStyle w:val="BodyText"/>
        <w:spacing w:after="80"/>
        <w:jc w:val="both"/>
      </w:pPr>
      <w:r>
        <w:t xml:space="preserve">§ 3º Se o imóvel estiver arrendado, o inquilino pagará o aluguel diretamente ao exequente, salvo se houver administrador.</w:t>
      </w:r>
    </w:p>
    <w:p>
      <w:pPr>
        <w:pStyle w:val="BodyText"/>
        <w:spacing w:after="80"/>
        <w:jc w:val="both"/>
      </w:pPr>
      <w:r>
        <w:t xml:space="preserve">§ 4º O exequente ou o administrador poderá celebrar locação do móvel ou do imóvel, ouvido o executado.</w:t>
      </w:r>
    </w:p>
    <w:p>
      <w:pPr>
        <w:pStyle w:val="BodyText"/>
        <w:spacing w:after="80"/>
        <w:jc w:val="both"/>
      </w:pPr>
      <w:r>
        <w:t xml:space="preserve">§ 5º As quantias recebidas pelo administrador serão entregues ao exequente, a fim de serem imputadas ao pagamento da dívida.</w:t>
      </w:r>
    </w:p>
    <w:p>
      <w:pPr>
        <w:pStyle w:val="BodyText"/>
        <w:spacing w:after="80"/>
        <w:jc w:val="both"/>
      </w:pPr>
      <w:r>
        <w:t xml:space="preserve">§ 6º O exequente dará ao executado, por termo nos autos, quitação das quantias recebidas.</w:t>
      </w:r>
    </w:p>
    <w:bookmarkEnd w:id="679"/>
    <w:bookmarkStart w:id="680" w:name="art.-870"/>
    <w:p>
      <w:pPr>
        <w:pStyle w:val="Heading6"/>
        <w:pBdr>
          <w:left w:val="single" w:sz="36" w:space="4" w:color="2E75B6"/>
        </w:pBdr>
        <w:shd w:val="clear" w:color="auto" w:fill="E3EEF9"/>
        <w:spacing w:before="200" w:after="80"/>
        <w:ind w:left="85"/>
      </w:pPr>
      <w:r>
        <w:rPr>
          <w:i w:val="0"/>
          <w:color w:val="1F3A5F"/>
          <w:sz w:val="23"/>
        </w:rPr>
        <w:t xml:space="preserve">Art. 870</w:t>
      </w:r>
    </w:p>
    <w:p>
      <w:pPr>
        <w:pStyle w:val="FirstParagraph"/>
        <w:spacing w:after="80"/>
        <w:jc w:val="both"/>
      </w:pPr>
      <w:r>
        <w:rPr>
          <w:b/>
          <w:bCs/>
        </w:rPr>
        <w:t xml:space="preserve">Art. 870.</w:t>
      </w:r>
      <w:r>
        <w:t xml:space="preserve"> </w:t>
      </w:r>
      <w:r>
        <w:t xml:space="preserve">A avaliação será feita pelo oficial de justiça.</w:t>
      </w:r>
    </w:p>
    <w:p>
      <w:pPr>
        <w:pStyle w:val="BodyText"/>
        <w:spacing w:after="80"/>
        <w:jc w:val="both"/>
      </w:pPr>
      <w:r>
        <w:t xml:space="preserve">Parágrafo único. Se forem necessários conhecimentos especializados e o valor da execução o comportar, o juiz nomeará avaliador, fixando-lhe prazo não superior a 10 (dez) dias para entrega do laudo.</w:t>
      </w:r>
    </w:p>
    <w:bookmarkEnd w:id="680"/>
    <w:bookmarkStart w:id="681" w:name="art.-871"/>
    <w:p>
      <w:pPr>
        <w:pStyle w:val="Heading6"/>
        <w:pBdr>
          <w:left w:val="single" w:sz="36" w:space="4" w:color="2E75B6"/>
        </w:pBdr>
        <w:shd w:val="clear" w:color="auto" w:fill="E3EEF9"/>
        <w:spacing w:before="200" w:after="80"/>
        <w:ind w:left="85"/>
      </w:pPr>
      <w:r>
        <w:rPr>
          <w:i w:val="0"/>
          <w:color w:val="1F3A5F"/>
          <w:sz w:val="23"/>
        </w:rPr>
        <w:t xml:space="preserve">Art. 871</w:t>
      </w:r>
    </w:p>
    <w:p>
      <w:pPr>
        <w:pStyle w:val="FirstParagraph"/>
        <w:spacing w:after="80"/>
        <w:jc w:val="both"/>
      </w:pPr>
      <w:r>
        <w:rPr>
          <w:b/>
          <w:bCs/>
        </w:rPr>
        <w:t xml:space="preserve">Art. 871.</w:t>
      </w:r>
      <w:r>
        <w:t xml:space="preserve"> </w:t>
      </w:r>
      <w:r>
        <w:t xml:space="preserve">Não se procederá à avaliação quando:</w:t>
      </w:r>
    </w:p>
    <w:p>
      <w:pPr>
        <w:pStyle w:val="BodyText"/>
        <w:keepNext/>
        <w:spacing w:after="80"/>
        <w:jc w:val="both"/>
      </w:pPr>
      <w:r>
        <w:t xml:space="preserve">I - uma das partes aceitar a estimativa feita pela outra;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47"/>
        <w:gridCol w:w="3841"/>
        <w:gridCol w:w="3866"/>
      </w:tblGrid>
      <w:tr>
        <w:trPr>
          <w:tblHeader w:val="on"/>
          <w:cantSplit/>
          <w:tblHeader/>
        </w:trPr>
        <w:tc>
          <w:tcPr>
            <w:tcW w:type="dxa" w:w="1647"/>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84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386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47"/>
          </w:tcPr>
          <w:p>
            <w:pPr>
              <w:pStyle w:val="Compact"/>
              <w:spacing w:line="276" w:lineRule="auto" w:before="40" w:after="40"/>
            </w:pPr>
            <w:r>
              <w:rPr>
                <w:rFonts w:ascii="Liberation Sans Narrow" w:hAnsi="Liberation Sans Narrow"/>
                <w:sz w:val="18"/>
              </w:rPr>
              <w:t xml:space="preserve">Inciso I — dispensa de avaliação</w:t>
            </w:r>
          </w:p>
        </w:tc>
        <w:tc>
          <w:tcPr>
            <w:tcW w:type="dxa" w:w="3841"/>
          </w:tcPr>
          <w:p>
            <w:pPr>
              <w:pStyle w:val="Compact"/>
              <w:spacing w:line="276" w:lineRule="auto" w:before="40" w:after="40"/>
            </w:pPr>
            <w:r>
              <w:rPr>
                <w:rFonts w:ascii="Liberation Sans Narrow" w:hAnsi="Liberation Sans Narrow"/>
                <w:sz w:val="18"/>
              </w:rPr>
              <w:t xml:space="preserve">STJ, AREsp 3.077.841, Quarta Turma, relator Min. João Otávio de Noronha, julgado em 16/03/2026, DJEN de 19/03/2026</w:t>
            </w:r>
          </w:p>
        </w:tc>
        <w:tc>
          <w:tcPr>
            <w:tcW w:type="dxa" w:w="3866"/>
          </w:tcPr>
          <w:p>
            <w:pPr>
              <w:pStyle w:val="Compact"/>
              <w:spacing w:line="276" w:lineRule="auto" w:before="40" w:after="40"/>
            </w:pPr>
            <w:r>
              <w:rPr>
                <w:rFonts w:ascii="Liberation Sans Narrow" w:hAnsi="Liberation Sans Narrow"/>
                <w:sz w:val="18"/>
              </w:rPr>
              <w:t xml:space="preserve">A avaliação pode ser dispensada quando uma das partes aceitar a estimativa feita pela outra, na forma do art. 871, I.</w:t>
            </w:r>
          </w:p>
        </w:tc>
      </w:tr>
    </w:tbl>
    <w:p>
      <w:pPr>
        <w:pStyle w:val="BodyText"/>
        <w:spacing w:after="80"/>
        <w:jc w:val="both"/>
      </w:pPr>
      <w:r>
        <w:t xml:space="preserve">II - se tratar de títulos ou de mercadorias que tenham cotação em bolsa, comprovada por certidão ou publicação no órgão oficial;</w:t>
      </w:r>
    </w:p>
    <w:p>
      <w:pPr>
        <w:pStyle w:val="BodyText"/>
        <w:spacing w:after="80"/>
        <w:jc w:val="both"/>
      </w:pPr>
      <w:r>
        <w:t xml:space="preserve">III - se tratar de títulos da dívida pública, de ações de sociedades e de títulos de crédito negociáveis em bolsa, cujo valor será o da cotação oficial do dia, comprovada por certidão ou publicação no órgão oficial;</w:t>
      </w:r>
    </w:p>
    <w:p>
      <w:pPr>
        <w:pStyle w:val="BodyText"/>
        <w:spacing w:after="80"/>
        <w:jc w:val="both"/>
      </w:pPr>
      <w:r>
        <w:t xml:space="preserve">IV - se tratar de veículos automotores ou de outros bens cujo preço médio de mercado possa ser conhecido por meio de pesquisas realizadas por órgãos oficiais ou de anúncios de venda divulgados em meios de comunicação, caso em que caberá a quem fizer a nomeação o encargo de comprovar a cotação de mercado.</w:t>
      </w:r>
    </w:p>
    <w:p>
      <w:pPr>
        <w:pStyle w:val="BodyText"/>
        <w:spacing w:after="80"/>
        <w:jc w:val="both"/>
      </w:pPr>
      <w:r>
        <w:t xml:space="preserve">Parágrafo único. Ocorrendo a hipótese do inciso I deste artigo, a avaliação poderá ser realizada quando houver fundada dúvida do juiz quanto ao real valor do bem.</w:t>
      </w:r>
    </w:p>
    <w:bookmarkEnd w:id="681"/>
    <w:bookmarkStart w:id="682" w:name="art.-872"/>
    <w:p>
      <w:pPr>
        <w:pStyle w:val="Heading6"/>
        <w:pBdr>
          <w:left w:val="single" w:sz="36" w:space="4" w:color="2E75B6"/>
        </w:pBdr>
        <w:shd w:val="clear" w:color="auto" w:fill="E3EEF9"/>
        <w:spacing w:before="200" w:after="80"/>
        <w:ind w:left="85"/>
      </w:pPr>
      <w:r>
        <w:rPr>
          <w:i w:val="0"/>
          <w:color w:val="1F3A5F"/>
          <w:sz w:val="23"/>
        </w:rPr>
        <w:t xml:space="preserve">Art. 872</w:t>
      </w:r>
    </w:p>
    <w:p>
      <w:pPr>
        <w:pStyle w:val="FirstParagraph"/>
        <w:spacing w:after="80"/>
        <w:jc w:val="both"/>
      </w:pPr>
      <w:r>
        <w:rPr>
          <w:b/>
          <w:bCs/>
        </w:rPr>
        <w:t xml:space="preserve">Art. 872.</w:t>
      </w:r>
      <w:r>
        <w:t xml:space="preserve"> </w:t>
      </w:r>
      <w:r>
        <w:t xml:space="preserve">A avaliação realizada pelo oficial de justiça constará de vistoria e de laudo anexados ao auto de penhora ou, em caso de perícia realizada por avaliador, de laudo apresentado no prazo fixado pelo juiz, devendo-se, em qualquer hipótese, especificar:</w:t>
      </w:r>
    </w:p>
    <w:p>
      <w:pPr>
        <w:pStyle w:val="BodyText"/>
        <w:spacing w:after="80"/>
        <w:jc w:val="both"/>
      </w:pPr>
      <w:r>
        <w:t xml:space="preserve">I - os bens, com as suas características, e o estado em que se encontram;</w:t>
      </w:r>
    </w:p>
    <w:p>
      <w:pPr>
        <w:pStyle w:val="BodyText"/>
        <w:spacing w:after="80"/>
        <w:jc w:val="both"/>
      </w:pPr>
      <w:r>
        <w:t xml:space="preserve">II - o valor dos bens.</w:t>
      </w:r>
    </w:p>
    <w:p>
      <w:pPr>
        <w:pStyle w:val="BodyText"/>
        <w:spacing w:after="80"/>
        <w:jc w:val="both"/>
      </w:pPr>
      <w:r>
        <w:t xml:space="preserve">§ 1º Quando o imóvel for suscetível de cômoda divisão, a avaliação, tendo em conta o crédito reclamado, será realizada em partes, sugerindo-se, com a apresentação de memorial descritivo, os possíveis desmembramentos para alienação.</w:t>
      </w:r>
    </w:p>
    <w:p>
      <w:pPr>
        <w:pStyle w:val="BodyText"/>
        <w:spacing w:after="80"/>
        <w:jc w:val="both"/>
      </w:pPr>
      <w:r>
        <w:t xml:space="preserve">§ 2º Realizada a avaliação e, sendo o caso, apresentada a proposta de desmembramento, as partes serão ouvidas no prazo de 5 (cinco) dias.</w:t>
      </w:r>
    </w:p>
    <w:bookmarkEnd w:id="682"/>
    <w:bookmarkStart w:id="683" w:name="art.-873"/>
    <w:p>
      <w:pPr>
        <w:pStyle w:val="Heading6"/>
        <w:pBdr>
          <w:left w:val="single" w:sz="36" w:space="4" w:color="2E75B6"/>
        </w:pBdr>
        <w:shd w:val="clear" w:color="auto" w:fill="E3EEF9"/>
        <w:spacing w:before="200" w:after="80"/>
        <w:ind w:left="85"/>
      </w:pPr>
      <w:r>
        <w:rPr>
          <w:i w:val="0"/>
          <w:color w:val="1F3A5F"/>
          <w:sz w:val="23"/>
        </w:rPr>
        <w:t xml:space="preserve">Art. 873</w:t>
      </w:r>
    </w:p>
    <w:p>
      <w:pPr>
        <w:pStyle w:val="FirstParagraph"/>
        <w:keepNext/>
        <w:spacing w:after="80"/>
        <w:jc w:val="both"/>
      </w:pPr>
      <w:r>
        <w:rPr>
          <w:b/>
          <w:bCs/>
        </w:rPr>
        <w:t xml:space="preserve">Art. 873.</w:t>
      </w:r>
      <w:r>
        <w:t xml:space="preserve"> </w:t>
      </w:r>
      <w:r>
        <w:t xml:space="preserve">É admitida nova avaliação quando: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3032"/>
        <w:gridCol w:w="479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03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9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Caput — hipóteses de nova avaliação</w:t>
            </w:r>
          </w:p>
        </w:tc>
        <w:tc>
          <w:tcPr>
            <w:tcW w:type="dxa" w:w="3033"/>
          </w:tcPr>
          <w:p>
            <w:pPr>
              <w:pStyle w:val="Compact"/>
              <w:spacing w:line="276" w:lineRule="auto" w:before="40" w:after="40"/>
            </w:pPr>
            <w:r>
              <w:rPr>
                <w:rFonts w:ascii="Liberation Sans Narrow" w:hAnsi="Liberation Sans Narrow"/>
                <w:sz w:val="18"/>
              </w:rPr>
              <w:t xml:space="preserve">STJ, AgInt no AREsp 3.116.356, Terceira Turma, relator Min. Humberto Martins, julgado em 22/06/2026</w:t>
            </w:r>
          </w:p>
        </w:tc>
        <w:tc>
          <w:tcPr>
            <w:tcW w:type="dxa" w:w="4791"/>
          </w:tcPr>
          <w:p>
            <w:pPr>
              <w:pStyle w:val="Compact"/>
              <w:spacing w:line="276" w:lineRule="auto" w:before="40" w:after="40"/>
            </w:pPr>
            <w:r>
              <w:rPr>
                <w:rFonts w:ascii="Liberation Sans Narrow" w:hAnsi="Liberation Sans Narrow"/>
                <w:sz w:val="18"/>
              </w:rPr>
              <w:t xml:space="preserve">A avaliação por oficial de justiça é a regra (art. 870), e a nova avaliação somente se admite nas hipóteses do art. 873, mediante demonstração de erro, dolo, alteração significativa do valor ou fundada dúvida.</w:t>
            </w:r>
          </w:p>
        </w:tc>
      </w:tr>
      <w:tr>
        <w:trPr>
          <w:cantSplit/>
        </w:trPr>
        <w:tc>
          <w:tcPr>
            <w:tcW w:type="dxa" w:w="1531"/>
          </w:tcPr>
          <w:p>
            <w:pPr>
              <w:pStyle w:val="Compact"/>
              <w:spacing w:line="276" w:lineRule="auto" w:before="40" w:after="40"/>
            </w:pPr>
            <w:r>
              <w:rPr>
                <w:rFonts w:ascii="Liberation Sans Narrow" w:hAnsi="Liberation Sans Narrow"/>
                <w:sz w:val="18"/>
              </w:rPr>
              <w:t xml:space="preserve">Caput — nova avaliação</w:t>
            </w:r>
          </w:p>
        </w:tc>
        <w:tc>
          <w:tcPr>
            <w:tcW w:type="dxa" w:w="3033"/>
          </w:tcPr>
          <w:p>
            <w:pPr>
              <w:pStyle w:val="Compact"/>
              <w:spacing w:line="276" w:lineRule="auto" w:before="40" w:after="40"/>
            </w:pPr>
            <w:r>
              <w:rPr>
                <w:rFonts w:ascii="Liberation Sans Narrow" w:hAnsi="Liberation Sans Narrow"/>
                <w:sz w:val="18"/>
              </w:rPr>
              <w:t xml:space="preserve">STJ, AgInt no AREsp 1.740.029, Terceira Turma, relator Min. Marco Aurélio Bellizze, DJe de 17/03/2021</w:t>
            </w:r>
          </w:p>
        </w:tc>
        <w:tc>
          <w:tcPr>
            <w:tcW w:type="dxa" w:w="4791"/>
          </w:tcPr>
          <w:p>
            <w:pPr>
              <w:pStyle w:val="Compact"/>
              <w:spacing w:line="276" w:lineRule="auto" w:before="40" w:after="40"/>
            </w:pPr>
            <w:r>
              <w:rPr>
                <w:rFonts w:ascii="Liberation Sans Narrow" w:hAnsi="Liberation Sans Narrow"/>
                <w:sz w:val="18"/>
              </w:rPr>
              <w:t xml:space="preserve">A nova avaliação só é admitida nas hipóteses taxativas do art. 873 — erro na avaliação ou dolo do avaliador, alteração posterior do valor do bem ou fundada dúvida do juiz —, e a revisão do indeferimento exige reexame de provas.</w:t>
            </w:r>
          </w:p>
        </w:tc>
      </w:tr>
    </w:tbl>
    <w:p>
      <w:pPr>
        <w:pStyle w:val="BodyText"/>
        <w:spacing w:after="80"/>
        <w:jc w:val="both"/>
      </w:pPr>
      <w:r>
        <w:t xml:space="preserve">I - qualquer das partes arguir, fundamentadamente, a ocorrência de erro na avaliação ou dolo do avaliador;</w:t>
      </w:r>
    </w:p>
    <w:p>
      <w:pPr>
        <w:pStyle w:val="BodyText"/>
        <w:spacing w:after="80"/>
        <w:jc w:val="both"/>
      </w:pPr>
      <w:r>
        <w:t xml:space="preserve">II - se verificar, posteriormente à avaliação, que houve majoração ou diminuição no valor do bem;</w:t>
      </w:r>
    </w:p>
    <w:p>
      <w:pPr>
        <w:pStyle w:val="BodyText"/>
        <w:spacing w:after="80"/>
        <w:jc w:val="both"/>
      </w:pPr>
      <w:r>
        <w:t xml:space="preserve">III - o juiz tiver fundada dúvida sobre o valor atribuído ao bem na primeira avaliação.</w:t>
      </w:r>
    </w:p>
    <w:p>
      <w:pPr>
        <w:pStyle w:val="BodyText"/>
        <w:spacing w:after="80"/>
        <w:jc w:val="both"/>
      </w:pPr>
      <w:r>
        <w:t xml:space="preserve">Parágrafo único. Aplica-se o art. 480 à nova avaliação prevista no inciso III do caput deste artigo.</w:t>
      </w:r>
    </w:p>
    <w:bookmarkEnd w:id="683"/>
    <w:bookmarkStart w:id="684" w:name="art.-874"/>
    <w:p>
      <w:pPr>
        <w:pStyle w:val="Heading6"/>
        <w:pBdr>
          <w:left w:val="single" w:sz="36" w:space="4" w:color="2E75B6"/>
        </w:pBdr>
        <w:shd w:val="clear" w:color="auto" w:fill="E3EEF9"/>
        <w:spacing w:before="200" w:after="80"/>
        <w:ind w:left="85"/>
      </w:pPr>
      <w:r>
        <w:rPr>
          <w:i w:val="0"/>
          <w:color w:val="1F3A5F"/>
          <w:sz w:val="23"/>
        </w:rPr>
        <w:t xml:space="preserve">Art. 874</w:t>
      </w:r>
    </w:p>
    <w:p>
      <w:pPr>
        <w:pStyle w:val="FirstParagraph"/>
        <w:spacing w:after="80"/>
        <w:jc w:val="both"/>
      </w:pPr>
      <w:r>
        <w:rPr>
          <w:b/>
          <w:bCs/>
        </w:rPr>
        <w:t xml:space="preserve">Art. 874.</w:t>
      </w:r>
      <w:r>
        <w:t xml:space="preserve"> </w:t>
      </w:r>
      <w:r>
        <w:t xml:space="preserve">Após a avaliação, o juiz poderá, a requerimento do interessado e ouvida a parte contrária, mandar:</w:t>
      </w:r>
    </w:p>
    <w:p>
      <w:pPr>
        <w:pStyle w:val="BodyText"/>
        <w:spacing w:after="80"/>
        <w:jc w:val="both"/>
      </w:pPr>
      <w:r>
        <w:t xml:space="preserve">I - reduzir a penhora aos bens suficientes ou transferi-la para outros, se o valor dos bens penhorados for consideravelmente superior ao crédito do exequente e dos acessórios;</w:t>
      </w:r>
    </w:p>
    <w:p>
      <w:pPr>
        <w:pStyle w:val="BodyText"/>
        <w:spacing w:after="80"/>
        <w:jc w:val="both"/>
      </w:pPr>
      <w:r>
        <w:t xml:space="preserve">II - ampliar a penhora ou transferi-la para outros bens mais valiosos, se o valor dos bens penhorados for inferior ao crédito do exequente.</w:t>
      </w:r>
    </w:p>
    <w:bookmarkEnd w:id="684"/>
    <w:bookmarkStart w:id="685" w:name="art.-875"/>
    <w:p>
      <w:pPr>
        <w:pStyle w:val="Heading6"/>
        <w:pBdr>
          <w:left w:val="single" w:sz="36" w:space="4" w:color="2E75B6"/>
        </w:pBdr>
        <w:shd w:val="clear" w:color="auto" w:fill="E3EEF9"/>
        <w:spacing w:before="200" w:after="80"/>
        <w:ind w:left="85"/>
      </w:pPr>
      <w:r>
        <w:rPr>
          <w:i w:val="0"/>
          <w:color w:val="1F3A5F"/>
          <w:sz w:val="23"/>
        </w:rPr>
        <w:t xml:space="preserve">Art. 875</w:t>
      </w:r>
    </w:p>
    <w:p>
      <w:pPr>
        <w:pStyle w:val="FirstParagraph"/>
        <w:keepNext/>
        <w:spacing w:after="80"/>
        <w:jc w:val="both"/>
      </w:pPr>
      <w:r>
        <w:rPr>
          <w:b/>
          <w:bCs/>
        </w:rPr>
        <w:t xml:space="preserve">Art. 875.</w:t>
      </w:r>
      <w:r>
        <w:t xml:space="preserve"> </w:t>
      </w:r>
      <w:r>
        <w:t xml:space="preserve">Realizadas a penhora e a avaliação, o juiz dará início aos atos de expropriação do bem.</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80"/>
        <w:gridCol w:w="2515"/>
        <w:gridCol w:w="5060"/>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1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05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780"/>
          </w:tcPr>
          <w:p>
            <w:pPr>
              <w:pStyle w:val="Compact"/>
              <w:spacing w:line="276" w:lineRule="auto" w:before="40" w:after="40"/>
            </w:pPr>
            <w:r>
              <w:rPr>
                <w:rFonts w:ascii="Liberation Sans Narrow" w:hAnsi="Liberation Sans Narrow"/>
                <w:sz w:val="18"/>
              </w:rPr>
              <w:t xml:space="preserve">Caput — início dos atos de expropriação</w:t>
            </w:r>
          </w:p>
        </w:tc>
        <w:tc>
          <w:tcPr>
            <w:tcW w:type="dxa" w:w="2515"/>
          </w:tcPr>
          <w:p>
            <w:pPr>
              <w:pStyle w:val="Compact"/>
              <w:spacing w:line="276" w:lineRule="auto" w:before="40" w:after="40"/>
            </w:pPr>
            <w:r>
              <w:rPr>
                <w:rFonts w:ascii="Liberation Sans Narrow" w:hAnsi="Liberation Sans Narrow"/>
                <w:sz w:val="18"/>
              </w:rPr>
              <w:t xml:space="preserve">STJ, AREsp 3.141.140, Quarta Turma, relator Min. Raul Araújo, julgado em 22/06/2026</w:t>
            </w:r>
          </w:p>
        </w:tc>
        <w:tc>
          <w:tcPr>
            <w:tcW w:type="dxa" w:w="5059"/>
          </w:tcPr>
          <w:p>
            <w:pPr>
              <w:pStyle w:val="Compact"/>
              <w:spacing w:line="276" w:lineRule="auto" w:before="40" w:after="40"/>
            </w:pPr>
            <w:r>
              <w:rPr>
                <w:rFonts w:ascii="Liberation Sans Narrow" w:hAnsi="Liberation Sans Narrow"/>
                <w:sz w:val="18"/>
              </w:rPr>
              <w:t xml:space="preserve">Após a penhora e a avaliação, os atos de expropriação independem de pedido específico do credor; o art. 880 confere apenas a opção quanto à forma da alienação, sem condicionar sua realização a requerimento.</w:t>
            </w:r>
          </w:p>
        </w:tc>
      </w:tr>
    </w:tbl>
    <w:bookmarkEnd w:id="685"/>
    <w:bookmarkEnd w:id="686"/>
    <w:bookmarkStart w:id="715" w:name="X36a734f90baff77040c9be350e89d25a63a12e5"/>
    <w:p>
      <w:pPr>
        <w:pStyle w:val="Heading5"/>
        <w:spacing w:before="140" w:after="20"/>
      </w:pPr>
      <w:r>
        <w:rPr>
          <w:i/>
          <w:color w:val="595959"/>
        </w:rPr>
        <w:t xml:space="preserve">Seção IV: da expropriação de bens (arts. 876 a 903)</w:t>
      </w:r>
    </w:p>
    <w:bookmarkStart w:id="687" w:name="art.-876"/>
    <w:p>
      <w:pPr>
        <w:pStyle w:val="Heading6"/>
        <w:pBdr>
          <w:left w:val="single" w:sz="36" w:space="4" w:color="2E75B6"/>
        </w:pBdr>
        <w:shd w:val="clear" w:color="auto" w:fill="E3EEF9"/>
        <w:spacing w:before="200" w:after="80"/>
        <w:ind w:left="85"/>
      </w:pPr>
      <w:r>
        <w:rPr>
          <w:i w:val="0"/>
          <w:color w:val="1F3A5F"/>
          <w:sz w:val="23"/>
        </w:rPr>
        <w:t xml:space="preserve">Art. 876</w:t>
      </w:r>
    </w:p>
    <w:p>
      <w:pPr>
        <w:pStyle w:val="FirstParagraph"/>
        <w:keepNext/>
        <w:spacing w:after="80"/>
        <w:jc w:val="both"/>
      </w:pPr>
      <w:r>
        <w:rPr>
          <w:b/>
          <w:bCs/>
        </w:rPr>
        <w:t xml:space="preserve">Art. 876.</w:t>
      </w:r>
      <w:r>
        <w:t xml:space="preserve"> </w:t>
      </w:r>
      <w:r>
        <w:t xml:space="preserve">É lícito ao exequente, oferecendo preço não inferior ao da avaliação, requerer que lhe sejam adjudicados os bens penhorados.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2966"/>
        <w:gridCol w:w="4733"/>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96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3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55"/>
          </w:tcPr>
          <w:p>
            <w:pPr>
              <w:pStyle w:val="Compact"/>
              <w:spacing w:line="276" w:lineRule="auto" w:before="40" w:after="40"/>
            </w:pPr>
            <w:r>
              <w:rPr>
                <w:rFonts w:ascii="Liberation Sans Narrow" w:hAnsi="Liberation Sans Narrow"/>
                <w:sz w:val="18"/>
              </w:rPr>
              <w:t xml:space="preserve">Caput — adjudicação</w:t>
            </w:r>
          </w:p>
        </w:tc>
        <w:tc>
          <w:tcPr>
            <w:tcW w:type="dxa" w:w="2966"/>
          </w:tcPr>
          <w:p>
            <w:pPr>
              <w:pStyle w:val="Compact"/>
              <w:spacing w:line="276" w:lineRule="auto" w:before="40" w:after="40"/>
            </w:pPr>
            <w:r>
              <w:rPr>
                <w:rFonts w:ascii="Liberation Sans Narrow" w:hAnsi="Liberation Sans Narrow"/>
                <w:sz w:val="18"/>
              </w:rPr>
              <w:t xml:space="preserve">STJ, AgInt no AREsp 2.254.162, Terceira Turma, relator Min. Marco Aurélio Bellizze, DJe de 24/05/2023</w:t>
            </w:r>
          </w:p>
        </w:tc>
        <w:tc>
          <w:tcPr>
            <w:tcW w:type="dxa" w:w="4733"/>
          </w:tcPr>
          <w:p>
            <w:pPr>
              <w:pStyle w:val="Compact"/>
              <w:spacing w:line="276" w:lineRule="auto" w:before="40" w:after="40"/>
            </w:pPr>
            <w:r>
              <w:rPr>
                <w:rFonts w:ascii="Liberation Sans Narrow" w:hAnsi="Liberation Sans Narrow"/>
                <w:sz w:val="18"/>
              </w:rPr>
              <w:t xml:space="preserve">O art. 876 não se aplica à arrematação realizada em segunda hasta, em que a exequente arrematou o imóvel: a adjudicação é modalidade distinta de expropriação, com pressupostos próprios.</w:t>
            </w:r>
          </w:p>
        </w:tc>
      </w:tr>
    </w:tbl>
    <w:p>
      <w:pPr>
        <w:pStyle w:val="BodyText"/>
        <w:spacing w:after="80"/>
        <w:jc w:val="both"/>
      </w:pPr>
      <w:r>
        <w:t xml:space="preserve">§ 1º Requerida a adjudicação, o executado será intimado do pedido:</w:t>
      </w:r>
    </w:p>
    <w:p>
      <w:pPr>
        <w:pStyle w:val="BodyText"/>
        <w:spacing w:after="80"/>
        <w:jc w:val="both"/>
      </w:pPr>
      <w:r>
        <w:t xml:space="preserve">I - pelo Diário da Justiça, na pessoa de seu advogado constituído nos autos;</w:t>
      </w:r>
    </w:p>
    <w:p>
      <w:pPr>
        <w:pStyle w:val="BodyText"/>
        <w:spacing w:after="80"/>
        <w:jc w:val="both"/>
      </w:pPr>
      <w:r>
        <w:t xml:space="preserve">II - por carta com aviso de recebimento, quando representado pela Defensoria Pública ou quando não tiver procurador constituído nos autos;</w:t>
      </w:r>
    </w:p>
    <w:p>
      <w:pPr>
        <w:pStyle w:val="BodyText"/>
        <w:spacing w:after="80"/>
        <w:jc w:val="both"/>
      </w:pPr>
      <w:r>
        <w:t xml:space="preserve">III - por meio eletrônico, quando, sendo o caso do § 1º do art. 246, não tiver procurador constituído nos autos.</w:t>
      </w:r>
    </w:p>
    <w:p>
      <w:pPr>
        <w:pStyle w:val="BodyText"/>
        <w:spacing w:after="80"/>
        <w:jc w:val="both"/>
      </w:pPr>
      <w:r>
        <w:t xml:space="preserve">§ 2º Considera-se realizada a intimação quando o executado houver mudado de endereço sem prévia comunicação ao juízo, observado o disposto no art. 274, parágrafo único.</w:t>
      </w:r>
    </w:p>
    <w:p>
      <w:pPr>
        <w:pStyle w:val="BodyText"/>
        <w:spacing w:after="80"/>
        <w:jc w:val="both"/>
      </w:pPr>
      <w:r>
        <w:t xml:space="preserve">§ 3º Se o executado, citado por edital, não tiver procurador constituído nos autos, é dispensável a intimação prevista no § 1º.</w:t>
      </w:r>
    </w:p>
    <w:p>
      <w:pPr>
        <w:pStyle w:val="BodyText"/>
        <w:spacing w:after="80"/>
        <w:jc w:val="both"/>
      </w:pPr>
      <w:r>
        <w:t xml:space="preserve">§ 4º Se o valor do crédito for:</w:t>
      </w:r>
    </w:p>
    <w:p>
      <w:pPr>
        <w:pStyle w:val="BodyText"/>
        <w:spacing w:after="80"/>
        <w:jc w:val="both"/>
      </w:pPr>
      <w:r>
        <w:t xml:space="preserve">I - inferior ao dos bens, o requerente da adjudicação depositará de imediato a diferença, que ficará à disposição do executado;</w:t>
      </w:r>
    </w:p>
    <w:p>
      <w:pPr>
        <w:pStyle w:val="BodyText"/>
        <w:spacing w:after="80"/>
        <w:jc w:val="both"/>
      </w:pPr>
      <w:r>
        <w:t xml:space="preserve">II - superior ao dos bens, a execução prosseguirá pelo saldo remanescente.</w:t>
      </w:r>
    </w:p>
    <w:p>
      <w:pPr>
        <w:pStyle w:val="BodyText"/>
        <w:spacing w:after="80"/>
        <w:jc w:val="both"/>
      </w:pPr>
      <w:r>
        <w:t xml:space="preserve">§ 5º Idêntico direito pode ser exercido por aqueles indicados no art. 889, incisos II a VIII, pelos credores concorrentes que hajam penhorado o mesmo bem, pelo cônjuge, pelo companheiro, pelos descendentes ou pelos ascendentes do executado.</w:t>
      </w:r>
    </w:p>
    <w:p>
      <w:pPr>
        <w:pStyle w:val="BodyText"/>
        <w:spacing w:after="80"/>
        <w:jc w:val="both"/>
      </w:pPr>
      <w:r>
        <w:t xml:space="preserve">§ 6º Se houver mais de um pretendente, proceder-se-á a licitação entre eles, tendo preferência, em caso de igualdade de oferta, o cônjuge, o companheiro, o descendente ou o ascendente, nessa ordem.</w:t>
      </w:r>
    </w:p>
    <w:p>
      <w:pPr>
        <w:pStyle w:val="BodyText"/>
        <w:spacing w:after="80"/>
        <w:jc w:val="both"/>
      </w:pPr>
      <w:r>
        <w:t xml:space="preserve">§ 7º No caso de penhora de quota social ou de ação de sociedade anônima fechada realizada em favor de exequente alheio à sociedade, esta será intimada, ficando responsável por informar aos sócios a ocorrência da penhora, assegurando-se a estes a preferência.</w:t>
      </w:r>
    </w:p>
    <w:bookmarkEnd w:id="687"/>
    <w:bookmarkStart w:id="688" w:name="art.-877"/>
    <w:p>
      <w:pPr>
        <w:pStyle w:val="Heading6"/>
        <w:pBdr>
          <w:left w:val="single" w:sz="36" w:space="4" w:color="2E75B6"/>
        </w:pBdr>
        <w:shd w:val="clear" w:color="auto" w:fill="E3EEF9"/>
        <w:spacing w:before="200" w:after="80"/>
        <w:ind w:left="85"/>
      </w:pPr>
      <w:r>
        <w:rPr>
          <w:i w:val="0"/>
          <w:color w:val="1F3A5F"/>
          <w:sz w:val="23"/>
        </w:rPr>
        <w:t xml:space="preserve">Art. 877</w:t>
      </w:r>
    </w:p>
    <w:p>
      <w:pPr>
        <w:pStyle w:val="FirstParagraph"/>
        <w:spacing w:after="80"/>
        <w:jc w:val="both"/>
      </w:pPr>
      <w:r>
        <w:rPr>
          <w:b/>
          <w:bCs/>
        </w:rPr>
        <w:t xml:space="preserve">Art. 877.</w:t>
      </w:r>
      <w:r>
        <w:t xml:space="preserve"> </w:t>
      </w:r>
      <w:r>
        <w:t xml:space="preserve">Transcorrido o prazo de 5 (cinco) dias, contado da última intimação, e decididas eventuais questões, o juiz ordenará a lavratura do auto de adjudicação.</w:t>
      </w:r>
    </w:p>
    <w:p>
      <w:pPr>
        <w:pStyle w:val="BodyText"/>
        <w:keepNext/>
        <w:spacing w:after="80"/>
        <w:jc w:val="both"/>
      </w:pPr>
      <w:r>
        <w:t xml:space="preserve">§ 1º Considera-se perfeita e acabada a adjudicação com a lavratura e a assinatura do auto pelo juiz, pelo adjudicatário, pelo escrivão ou chefe de secretaria, e, se estiver presente, pelo executado, expedindo-se: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52"/>
        <w:gridCol w:w="2723"/>
        <w:gridCol w:w="4579"/>
      </w:tblGrid>
      <w:tr>
        <w:trPr>
          <w:tblHeader w:val="on"/>
          <w:cantSplit/>
          <w:tblHeader/>
        </w:trPr>
        <w:tc>
          <w:tcPr>
            <w:tcW w:type="dxa" w:w="205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2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57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52"/>
          </w:tcPr>
          <w:p>
            <w:pPr>
              <w:pStyle w:val="Compact"/>
              <w:spacing w:line="276" w:lineRule="auto" w:before="40" w:after="40"/>
            </w:pPr>
            <w:r>
              <w:rPr>
                <w:rFonts w:ascii="Liberation Sans Narrow" w:hAnsi="Liberation Sans Narrow"/>
                <w:sz w:val="18"/>
              </w:rPr>
              <w:t xml:space="preserve">§ 1º — nulidade da adjudicação e via adequada</w:t>
            </w:r>
          </w:p>
        </w:tc>
        <w:tc>
          <w:tcPr>
            <w:tcW w:type="dxa" w:w="2723"/>
          </w:tcPr>
          <w:p>
            <w:pPr>
              <w:pStyle w:val="Compact"/>
              <w:spacing w:line="276" w:lineRule="auto" w:before="40" w:after="40"/>
            </w:pPr>
            <w:r>
              <w:rPr>
                <w:rFonts w:ascii="Liberation Sans Narrow" w:hAnsi="Liberation Sans Narrow"/>
                <w:sz w:val="18"/>
              </w:rPr>
              <w:t xml:space="preserve">STJ, EDcl no AREsp 2.505.836, Quarta Turma, relator Min. Raul Araújo, julgado em 13/04/2026</w:t>
            </w:r>
          </w:p>
        </w:tc>
        <w:tc>
          <w:tcPr>
            <w:tcW w:type="dxa" w:w="4579"/>
          </w:tcPr>
          <w:p>
            <w:pPr>
              <w:pStyle w:val="Compact"/>
              <w:spacing w:line="276" w:lineRule="auto" w:before="40" w:after="40"/>
            </w:pPr>
            <w:r>
              <w:rPr>
                <w:rFonts w:ascii="Liberation Sans Narrow" w:hAnsi="Liberation Sans Narrow"/>
                <w:sz w:val="18"/>
              </w:rPr>
              <w:t xml:space="preserve">Inexistindo expedição da carta de adjudicação ou registro da transferência da propriedade, a alegação de nulidade da adjudicação pode ser apreciada nos próprios autos da execução, sendo desnecessária a propositura de ação anulatória autônoma.</w:t>
            </w:r>
          </w:p>
        </w:tc>
      </w:tr>
      <w:tr>
        <w:trPr>
          <w:cantSplit/>
        </w:trPr>
        <w:tc>
          <w:tcPr>
            <w:tcW w:type="dxa" w:w="2052"/>
          </w:tcPr>
          <w:p>
            <w:pPr>
              <w:pStyle w:val="Compact"/>
              <w:spacing w:line="276" w:lineRule="auto" w:before="40" w:after="40"/>
            </w:pPr>
            <w:r>
              <w:rPr>
                <w:rFonts w:ascii="Liberation Sans Narrow" w:hAnsi="Liberation Sans Narrow"/>
                <w:sz w:val="18"/>
              </w:rPr>
              <w:t xml:space="preserve">§§ 1º e 2º — carta de adjudicação, registro e emolumentos (aplicação narrada)</w:t>
            </w:r>
          </w:p>
        </w:tc>
        <w:tc>
          <w:tcPr>
            <w:tcW w:type="dxa" w:w="2723"/>
          </w:tcPr>
          <w:p>
            <w:pPr>
              <w:pStyle w:val="Compact"/>
              <w:spacing w:line="276" w:lineRule="auto" w:before="40" w:after="40"/>
            </w:pPr>
            <w:r>
              <w:rPr>
                <w:rFonts w:ascii="Liberation Sans Narrow" w:hAnsi="Liberation Sans Narrow"/>
                <w:sz w:val="18"/>
              </w:rPr>
              <w:t xml:space="preserve">STJ, AREsp 3.052.836, Terceira Turma, relator Min. Humberto Martins, julgado em 30/03/2026</w:t>
            </w:r>
          </w:p>
        </w:tc>
        <w:tc>
          <w:tcPr>
            <w:tcW w:type="dxa" w:w="4579"/>
          </w:tcPr>
          <w:p>
            <w:pPr>
              <w:pStyle w:val="Compact"/>
              <w:spacing w:line="276" w:lineRule="auto" w:before="40" w:after="40"/>
            </w:pPr>
            <w:r>
              <w:rPr>
                <w:rFonts w:ascii="Liberation Sans Narrow" w:hAnsi="Liberation Sans Narrow"/>
                <w:sz w:val="18"/>
              </w:rPr>
              <w:t xml:space="preserve">A adjudicação se concretiza com a expedição da carta de adjudicação, e a aquisição da propriedade perante terceiros depende do registro no cartório de registro de imóveis; os emolumentos cartorários despendidos pelo credor para viabilizar esse registro configuram dano emergente diretamente decorrente da mora do devedor e podem ser reconhecidos e cobrados no bojo da própria execução, sem necessidade de ação autônoma. Trecho: “Os emolumentos cartorários despendidos pelo credor para viabilizar o registro da carta de adjudicação configuram dano emergente diretamente decorrente da mora do devedor, enquadrando-se na responsabilidade civil abrangente prevista no art.”</w:t>
            </w:r>
          </w:p>
        </w:tc>
      </w:tr>
    </w:tbl>
    <w:p>
      <w:pPr>
        <w:pStyle w:val="BodyText"/>
        <w:spacing w:after="80"/>
        <w:jc w:val="both"/>
      </w:pPr>
      <w:r>
        <w:t xml:space="preserve">I - a carta de adjudicação e o mandado de imissão na posse, quando se tratar de bem imóvel;</w:t>
      </w:r>
    </w:p>
    <w:p>
      <w:pPr>
        <w:pStyle w:val="BodyText"/>
        <w:spacing w:after="80"/>
        <w:jc w:val="both"/>
      </w:pPr>
      <w:r>
        <w:t xml:space="preserve">II - a ordem de entrega ao adjudicatário, quando se tratar de bem móvel.</w:t>
      </w:r>
    </w:p>
    <w:p>
      <w:pPr>
        <w:pStyle w:val="BodyText"/>
        <w:spacing w:after="80"/>
        <w:jc w:val="both"/>
      </w:pPr>
      <w:r>
        <w:t xml:space="preserve">§ 2º A carta de adjudicação conterá a descrição do imóvel, com remissão à sua matrícula e aos seus registros, a cópia do auto de adjudicação e a prova de quitação do imposto de transmissão.</w:t>
      </w:r>
    </w:p>
    <w:p>
      <w:pPr>
        <w:pStyle w:val="BodyText"/>
        <w:spacing w:after="80"/>
        <w:jc w:val="both"/>
      </w:pPr>
      <w:r>
        <w:t xml:space="preserve">§ 3º No caso de penhora de bem hipotecado, o executado poderá remi-lo até a assinatura do auto de adjudicação, oferecendo preço igual ao da avaliação, se não tiver havido licitantes, ou ao do maior lance oferecido.</w:t>
      </w:r>
    </w:p>
    <w:p>
      <w:pPr>
        <w:pStyle w:val="BodyText"/>
        <w:spacing w:after="80"/>
        <w:jc w:val="both"/>
      </w:pPr>
      <w:r>
        <w:t xml:space="preserve">§ 4º Na hipótese de falência ou de insolvência do devedor hipotecário, o direito de remição previsto no § 3º será deferido à massa ou aos credores em concurso, não podendo o exequente recusar o preço da avaliação do imóvel.</w:t>
      </w:r>
    </w:p>
    <w:bookmarkEnd w:id="688"/>
    <w:bookmarkStart w:id="689" w:name="art.-878"/>
    <w:p>
      <w:pPr>
        <w:pStyle w:val="Heading6"/>
        <w:pBdr>
          <w:left w:val="single" w:sz="36" w:space="4" w:color="2E75B6"/>
        </w:pBdr>
        <w:shd w:val="clear" w:color="auto" w:fill="E3EEF9"/>
        <w:spacing w:before="200" w:after="80"/>
        <w:ind w:left="85"/>
      </w:pPr>
      <w:r>
        <w:rPr>
          <w:i w:val="0"/>
          <w:color w:val="1F3A5F"/>
          <w:sz w:val="23"/>
        </w:rPr>
        <w:t xml:space="preserve">Art. 878</w:t>
      </w:r>
    </w:p>
    <w:p>
      <w:pPr>
        <w:pStyle w:val="FirstParagraph"/>
        <w:spacing w:after="80"/>
        <w:jc w:val="both"/>
      </w:pPr>
      <w:r>
        <w:rPr>
          <w:b/>
          <w:bCs/>
        </w:rPr>
        <w:t xml:space="preserve">Art. 878.</w:t>
      </w:r>
      <w:r>
        <w:t xml:space="preserve"> </w:t>
      </w:r>
      <w:r>
        <w:t xml:space="preserve">Frustradas as tentativas de alienação do bem, será reaberta oportunidade para requerimento de adjudicação, caso em que também se poderá pleitear a realização de nova avaliação.</w:t>
      </w:r>
    </w:p>
    <w:bookmarkEnd w:id="689"/>
    <w:bookmarkStart w:id="690" w:name="art.-879"/>
    <w:p>
      <w:pPr>
        <w:pStyle w:val="Heading6"/>
        <w:pBdr>
          <w:left w:val="single" w:sz="36" w:space="4" w:color="2E75B6"/>
        </w:pBdr>
        <w:shd w:val="clear" w:color="auto" w:fill="E3EEF9"/>
        <w:spacing w:before="200" w:after="80"/>
        <w:ind w:left="85"/>
      </w:pPr>
      <w:r>
        <w:rPr>
          <w:i w:val="0"/>
          <w:color w:val="1F3A5F"/>
          <w:sz w:val="23"/>
        </w:rPr>
        <w:t xml:space="preserve">Art. 879</w:t>
      </w:r>
    </w:p>
    <w:p>
      <w:pPr>
        <w:pStyle w:val="FirstParagraph"/>
        <w:spacing w:after="80"/>
        <w:jc w:val="both"/>
      </w:pPr>
      <w:r>
        <w:rPr>
          <w:b/>
          <w:bCs/>
        </w:rPr>
        <w:t xml:space="preserve">Art. 879.</w:t>
      </w:r>
      <w:r>
        <w:t xml:space="preserve"> </w:t>
      </w:r>
      <w:r>
        <w:t xml:space="preserve">A alienação far-se-á:</w:t>
      </w:r>
    </w:p>
    <w:p>
      <w:pPr>
        <w:pStyle w:val="BodyText"/>
        <w:keepNext/>
        <w:spacing w:after="80"/>
        <w:jc w:val="both"/>
      </w:pPr>
      <w:r>
        <w:t xml:space="preserve">I - por iniciativa particular;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76"/>
        <w:gridCol w:w="2311"/>
        <w:gridCol w:w="5066"/>
      </w:tblGrid>
      <w:tr>
        <w:trPr>
          <w:tblHeader w:val="on"/>
          <w:cantSplit/>
          <w:tblHeader/>
        </w:trPr>
        <w:tc>
          <w:tcPr>
            <w:tcW w:type="dxa" w:w="1977"/>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31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06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77"/>
          </w:tcPr>
          <w:p>
            <w:pPr>
              <w:pStyle w:val="Compact"/>
              <w:spacing w:line="276" w:lineRule="auto" w:before="40" w:after="40"/>
            </w:pPr>
            <w:r>
              <w:rPr>
                <w:rFonts w:ascii="Liberation Sans Narrow" w:hAnsi="Liberation Sans Narrow"/>
                <w:sz w:val="18"/>
              </w:rPr>
              <w:t xml:space="preserve">Incisos I e II — alienação por iniciativa particular e em leilão</w:t>
            </w:r>
          </w:p>
        </w:tc>
        <w:tc>
          <w:tcPr>
            <w:tcW w:type="dxa" w:w="2312"/>
          </w:tcPr>
          <w:p>
            <w:pPr>
              <w:pStyle w:val="Compact"/>
              <w:spacing w:line="276" w:lineRule="auto" w:before="40" w:after="40"/>
            </w:pPr>
            <w:r>
              <w:rPr>
                <w:rFonts w:ascii="Liberation Sans Narrow" w:hAnsi="Liberation Sans Narrow"/>
                <w:sz w:val="18"/>
              </w:rPr>
              <w:t xml:space="preserve">STJ, AREsp 2.261.674, Quarta Turma, relator Min. Raul Araújo, julgado em 16/03/2026</w:t>
            </w:r>
          </w:p>
        </w:tc>
        <w:tc>
          <w:tcPr>
            <w:tcW w:type="dxa" w:w="5066"/>
          </w:tcPr>
          <w:p>
            <w:pPr>
              <w:pStyle w:val="Compact"/>
              <w:spacing w:line="276" w:lineRule="auto" w:before="40" w:after="40"/>
            </w:pPr>
            <w:r>
              <w:rPr>
                <w:rFonts w:ascii="Liberation Sans Narrow" w:hAnsi="Liberation Sans Narrow"/>
                <w:sz w:val="18"/>
              </w:rPr>
              <w:t xml:space="preserve">A alienação do bem penhorado pode dar-se por iniciativa particular ou por corretor ou leiloeiro público, cabendo ao exequente a opção entre uma e outra forma; a determinação judicial de alienação é fase procedimental da execução por quantia certa e independe de pedido expresso do credor.</w:t>
            </w:r>
          </w:p>
        </w:tc>
      </w:tr>
    </w:tbl>
    <w:p>
      <w:pPr>
        <w:pStyle w:val="BodyText"/>
        <w:spacing w:after="80"/>
        <w:jc w:val="both"/>
      </w:pPr>
      <w:r>
        <w:t xml:space="preserve">II - em leilão judicial eletrônico ou presencial.</w:t>
      </w:r>
    </w:p>
    <w:bookmarkEnd w:id="690"/>
    <w:bookmarkStart w:id="691" w:name="art.-880"/>
    <w:p>
      <w:pPr>
        <w:pStyle w:val="Heading6"/>
        <w:pBdr>
          <w:left w:val="single" w:sz="36" w:space="4" w:color="2E75B6"/>
        </w:pBdr>
        <w:shd w:val="clear" w:color="auto" w:fill="E3EEF9"/>
        <w:spacing w:before="200" w:after="80"/>
        <w:ind w:left="85"/>
      </w:pPr>
      <w:r>
        <w:rPr>
          <w:i w:val="0"/>
          <w:color w:val="1F3A5F"/>
          <w:sz w:val="23"/>
        </w:rPr>
        <w:t xml:space="preserve">Art. 880</w:t>
      </w:r>
    </w:p>
    <w:p>
      <w:pPr>
        <w:pStyle w:val="FirstParagraph"/>
        <w:keepNext/>
        <w:spacing w:after="80"/>
        <w:jc w:val="both"/>
      </w:pPr>
      <w:r>
        <w:rPr>
          <w:b/>
          <w:bCs/>
        </w:rPr>
        <w:t xml:space="preserve">Art. 880.</w:t>
      </w:r>
      <w:r>
        <w:t xml:space="preserve"> </w:t>
      </w:r>
      <w:r>
        <w:t xml:space="preserve">Não efetivada a adjudicação, o exequente poderá requerer a alienação por sua própria iniciativa ou por intermédio de corretor ou leiloeiro público credenciado perante o órgão judiciário.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49"/>
        <w:gridCol w:w="2616"/>
        <w:gridCol w:w="5188"/>
      </w:tblGrid>
      <w:tr>
        <w:trPr>
          <w:tblHeader w:val="on"/>
          <w:cantSplit/>
          <w:tblHeader/>
        </w:trPr>
        <w:tc>
          <w:tcPr>
            <w:tcW w:type="dxa" w:w="155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1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188"/>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50"/>
          </w:tcPr>
          <w:p>
            <w:pPr>
              <w:pStyle w:val="Compact"/>
              <w:spacing w:line="276" w:lineRule="auto" w:before="40" w:after="40"/>
            </w:pPr>
            <w:r>
              <w:rPr>
                <w:rFonts w:ascii="Liberation Sans Narrow" w:hAnsi="Liberation Sans Narrow"/>
                <w:sz w:val="18"/>
              </w:rPr>
              <w:t xml:space="preserve">Caput — alienação por iniciativa particular</w:t>
            </w:r>
          </w:p>
        </w:tc>
        <w:tc>
          <w:tcPr>
            <w:tcW w:type="dxa" w:w="2616"/>
          </w:tcPr>
          <w:p>
            <w:pPr>
              <w:pStyle w:val="Compact"/>
              <w:spacing w:line="276" w:lineRule="auto" w:before="40" w:after="40"/>
            </w:pPr>
            <w:r>
              <w:rPr>
                <w:rFonts w:ascii="Liberation Sans Narrow" w:hAnsi="Liberation Sans Narrow"/>
                <w:sz w:val="18"/>
              </w:rPr>
              <w:t xml:space="preserve">STJ, AREsp 2.996.240, Quarta Turma, relator Min. Antonio Carlos Ferreira, julgado em 30/06/2026</w:t>
            </w:r>
          </w:p>
        </w:tc>
        <w:tc>
          <w:tcPr>
            <w:tcW w:type="dxa" w:w="5188"/>
          </w:tcPr>
          <w:p>
            <w:pPr>
              <w:pStyle w:val="Compact"/>
              <w:spacing w:line="276" w:lineRule="auto" w:before="40" w:after="40"/>
            </w:pPr>
            <w:r>
              <w:rPr>
                <w:rFonts w:ascii="Liberation Sans Narrow" w:hAnsi="Liberation Sans Narrow"/>
                <w:sz w:val="18"/>
              </w:rPr>
              <w:t xml:space="preserve">O art. 897, que determina o retorno do bem a leilão por inadimplência do arrematante, refere-se ao rito do leilão judicial (art. 881); na alienação por iniciativa particular (art. 880), admite-se a homologação da melhor proposta remanescente que atenda às condições do juízo e não configure preço vil.</w:t>
            </w:r>
          </w:p>
        </w:tc>
      </w:tr>
    </w:tbl>
    <w:p>
      <w:pPr>
        <w:pStyle w:val="BodyText"/>
        <w:keepNext/>
        <w:spacing w:after="80"/>
        <w:jc w:val="both"/>
      </w:pPr>
      <w:r>
        <w:t xml:space="preserve">§ 1º O juiz fixará o prazo em que a alienação deve ser efetivada, a forma de publicidade, o preço mínimo, as condições de pagamento, as garantias e, se for o caso, a comissão de corretagem.</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2787"/>
        <w:gridCol w:w="5037"/>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8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037"/>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 1º — alienação por iniciativa particular</w:t>
            </w:r>
          </w:p>
        </w:tc>
        <w:tc>
          <w:tcPr>
            <w:tcW w:type="dxa" w:w="2787"/>
          </w:tcPr>
          <w:p>
            <w:pPr>
              <w:pStyle w:val="Compact"/>
              <w:spacing w:line="276" w:lineRule="auto" w:before="40" w:after="40"/>
            </w:pPr>
            <w:r>
              <w:rPr>
                <w:rFonts w:ascii="Liberation Sans Narrow" w:hAnsi="Liberation Sans Narrow"/>
                <w:sz w:val="18"/>
              </w:rPr>
              <w:t xml:space="preserve">STJ, REsp 2.202.208, Terceira Turma, relatora Min. Nancy Andrighi, julgado em 05/05/2026, DJEN de 13/05/2026</w:t>
            </w:r>
          </w:p>
        </w:tc>
        <w:tc>
          <w:tcPr>
            <w:tcW w:type="dxa" w:w="5037"/>
          </w:tcPr>
          <w:p>
            <w:pPr>
              <w:pStyle w:val="Compact"/>
              <w:spacing w:line="276" w:lineRule="auto" w:before="40" w:after="40"/>
            </w:pPr>
            <w:r>
              <w:rPr>
                <w:rFonts w:ascii="Liberation Sans Narrow" w:hAnsi="Liberation Sans Narrow"/>
                <w:sz w:val="18"/>
              </w:rPr>
              <w:t xml:space="preserve">As invalidades da alienação por iniciativa particular dependem da demonstração de prejuízo; o juiz tem flexibilidade para fixar as condições do art. 880, § 1º (prazo, publicidade, preço mínimo, pagamento e garantias), e a vedação ao preço vil comporta exceção diante das peculiaridades do caso.</w:t>
            </w:r>
          </w:p>
        </w:tc>
      </w:tr>
    </w:tbl>
    <w:p>
      <w:pPr>
        <w:pStyle w:val="BodyText"/>
        <w:spacing w:after="80"/>
        <w:jc w:val="both"/>
      </w:pPr>
      <w:r>
        <w:t xml:space="preserve">§ 2º A alienação será formalizada por termo nos autos, com a assinatura do juiz, do exequente, do adquirente e, se estiver presente, do executado, expedindo-se:</w:t>
      </w:r>
    </w:p>
    <w:p>
      <w:pPr>
        <w:pStyle w:val="BodyText"/>
        <w:spacing w:after="80"/>
        <w:jc w:val="both"/>
      </w:pPr>
      <w:r>
        <w:t xml:space="preserve">I - a carta de alienação e o mandado de imissão na posse, quando se tratar de bem imóvel;</w:t>
      </w:r>
    </w:p>
    <w:p>
      <w:pPr>
        <w:pStyle w:val="BodyText"/>
        <w:spacing w:after="80"/>
        <w:jc w:val="both"/>
      </w:pPr>
      <w:r>
        <w:t xml:space="preserve">II - a ordem de entrega ao adquirente, quando se tratar de bem móvel.</w:t>
      </w:r>
    </w:p>
    <w:p>
      <w:pPr>
        <w:pStyle w:val="BodyText"/>
        <w:spacing w:after="80"/>
        <w:jc w:val="both"/>
      </w:pPr>
      <w:r>
        <w:t xml:space="preserve">§ 3º Os tribunais poderão editar disposições complementares sobre o procedimento da alienação prevista neste artigo, admitindo, quando for o caso, o concurso de meios eletrônicos, e dispor sobre o credenciamento dos corretores e leiloeiros públicos, os quais deverão estar em exercício profissional por não menos que 3 (três) anos.</w:t>
      </w:r>
    </w:p>
    <w:p>
      <w:pPr>
        <w:pStyle w:val="BodyText"/>
        <w:spacing w:after="80"/>
        <w:jc w:val="both"/>
      </w:pPr>
      <w:r>
        <w:t xml:space="preserve">§ 4º Nas localidades em que não houver corretor ou leiloeiro público credenciado nos termos do § 3º, a indicação será de livre escolha do exequente.</w:t>
      </w:r>
    </w:p>
    <w:bookmarkEnd w:id="691"/>
    <w:bookmarkStart w:id="692" w:name="art.-881"/>
    <w:p>
      <w:pPr>
        <w:pStyle w:val="Heading6"/>
        <w:pBdr>
          <w:left w:val="single" w:sz="36" w:space="4" w:color="2E75B6"/>
        </w:pBdr>
        <w:shd w:val="clear" w:color="auto" w:fill="E3EEF9"/>
        <w:spacing w:before="200" w:after="80"/>
        <w:ind w:left="85"/>
      </w:pPr>
      <w:r>
        <w:rPr>
          <w:i w:val="0"/>
          <w:color w:val="1F3A5F"/>
          <w:sz w:val="23"/>
        </w:rPr>
        <w:t xml:space="preserve">Art. 881</w:t>
      </w:r>
    </w:p>
    <w:p>
      <w:pPr>
        <w:pStyle w:val="FirstParagraph"/>
        <w:spacing w:after="80"/>
        <w:jc w:val="both"/>
      </w:pPr>
      <w:r>
        <w:rPr>
          <w:b/>
          <w:bCs/>
        </w:rPr>
        <w:t xml:space="preserve">Art. 881.</w:t>
      </w:r>
      <w:r>
        <w:t xml:space="preserve"> </w:t>
      </w:r>
      <w:r>
        <w:t xml:space="preserve">A alienação far-se-á em leilão judicial se não efetivada a adjudicação ou a alienação por iniciativa particular.</w:t>
      </w:r>
    </w:p>
    <w:p>
      <w:pPr>
        <w:pStyle w:val="BodyText"/>
        <w:spacing w:after="80"/>
        <w:jc w:val="both"/>
      </w:pPr>
      <w:r>
        <w:t xml:space="preserve">§ 1º O leilão do bem penhorado será realizado por leiloeiro público.</w:t>
      </w:r>
    </w:p>
    <w:p>
      <w:pPr>
        <w:pStyle w:val="BodyText"/>
        <w:spacing w:after="80"/>
        <w:jc w:val="both"/>
      </w:pPr>
      <w:r>
        <w:t xml:space="preserve">§ 2º Ressalvados os casos de alienação a cargo de corretores de bolsa de valores, todos os demais bens serão alienados em leilão público.</w:t>
      </w:r>
    </w:p>
    <w:bookmarkEnd w:id="692"/>
    <w:bookmarkStart w:id="693" w:name="art.-882"/>
    <w:p>
      <w:pPr>
        <w:pStyle w:val="Heading6"/>
        <w:pBdr>
          <w:left w:val="single" w:sz="36" w:space="4" w:color="2E75B6"/>
        </w:pBdr>
        <w:shd w:val="clear" w:color="auto" w:fill="E3EEF9"/>
        <w:spacing w:before="200" w:after="80"/>
        <w:ind w:left="85"/>
      </w:pPr>
      <w:r>
        <w:rPr>
          <w:i w:val="0"/>
          <w:color w:val="1F3A5F"/>
          <w:sz w:val="23"/>
        </w:rPr>
        <w:t xml:space="preserve">Art. 882</w:t>
      </w:r>
    </w:p>
    <w:p>
      <w:pPr>
        <w:pStyle w:val="FirstParagraph"/>
        <w:keepNext/>
        <w:spacing w:after="80"/>
        <w:jc w:val="both"/>
      </w:pPr>
      <w:r>
        <w:rPr>
          <w:b/>
          <w:bCs/>
        </w:rPr>
        <w:t xml:space="preserve">Art. 882.</w:t>
      </w:r>
      <w:r>
        <w:t xml:space="preserve"> </w:t>
      </w:r>
      <w:r>
        <w:t xml:space="preserve">Não sendo possível a sua realização por meio eletrônico, o leilão será presencial.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2300"/>
        <w:gridCol w:w="552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30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52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Caput — leilão eletrônico</w:t>
            </w:r>
          </w:p>
        </w:tc>
        <w:tc>
          <w:tcPr>
            <w:tcW w:type="dxa" w:w="2300"/>
          </w:tcPr>
          <w:p>
            <w:pPr>
              <w:pStyle w:val="Compact"/>
              <w:spacing w:line="276" w:lineRule="auto" w:before="40" w:after="40"/>
            </w:pPr>
            <w:r>
              <w:rPr>
                <w:rFonts w:ascii="Liberation Sans Narrow" w:hAnsi="Liberation Sans Narrow"/>
                <w:sz w:val="18"/>
              </w:rPr>
              <w:t xml:space="preserve">STJ, CC 210.807, Segunda Seção, relator Min. Moura Ribeiro, DJe de 11/06/2025</w:t>
            </w:r>
          </w:p>
        </w:tc>
        <w:tc>
          <w:tcPr>
            <w:tcW w:type="dxa" w:w="5524"/>
          </w:tcPr>
          <w:p>
            <w:pPr>
              <w:pStyle w:val="Compact"/>
              <w:spacing w:line="276" w:lineRule="auto" w:before="40" w:after="40"/>
            </w:pPr>
            <w:r>
              <w:rPr>
                <w:rFonts w:ascii="Liberation Sans Narrow" w:hAnsi="Liberation Sans Narrow"/>
                <w:sz w:val="18"/>
              </w:rPr>
              <w:t xml:space="preserve">O art. 882 do CPC determina a prevalência do leilão eletrônico sobre o presencial, e o juízo da execução é o competente para os atos do leilão por meio eletrônico (Resolução 236/2016 do Conselho Nacional de Justiça); o juízo deprecado não pode recusar o cumprimento da carta que determina leilão presencial fora das hipóteses do art. 267.</w:t>
            </w:r>
          </w:p>
        </w:tc>
      </w:tr>
    </w:tbl>
    <w:p>
      <w:pPr>
        <w:pStyle w:val="BodyText"/>
        <w:spacing w:after="80"/>
        <w:jc w:val="both"/>
      </w:pPr>
      <w:r>
        <w:t xml:space="preserve">§ 1º A alienação judicial por meio eletrônico será realizada, observando-se as garantias processuais das partes, de acordo com regulamentação específica do Conselho Nacional de Justiça.</w:t>
      </w:r>
    </w:p>
    <w:p>
      <w:pPr>
        <w:pStyle w:val="BodyText"/>
        <w:spacing w:after="80"/>
        <w:jc w:val="both"/>
      </w:pPr>
      <w:r>
        <w:t xml:space="preserve">§ 2º A alienação judicial por meio eletrônico deverá atender aos requisitos de ampla publicidade, autenticidade e segurança, com observância das regras estabelecidas na legislação sobre certificação digital.</w:t>
      </w:r>
    </w:p>
    <w:p>
      <w:pPr>
        <w:pStyle w:val="BodyText"/>
        <w:spacing w:after="80"/>
        <w:jc w:val="both"/>
      </w:pPr>
      <w:r>
        <w:t xml:space="preserve">§ 3º O leilão presencial será realizado no local designado pelo juiz.</w:t>
      </w:r>
    </w:p>
    <w:bookmarkEnd w:id="693"/>
    <w:bookmarkStart w:id="694" w:name="art.-883"/>
    <w:p>
      <w:pPr>
        <w:pStyle w:val="Heading6"/>
        <w:pBdr>
          <w:left w:val="single" w:sz="36" w:space="4" w:color="2E75B6"/>
        </w:pBdr>
        <w:shd w:val="clear" w:color="auto" w:fill="E3EEF9"/>
        <w:spacing w:before="200" w:after="80"/>
        <w:ind w:left="85"/>
      </w:pPr>
      <w:r>
        <w:rPr>
          <w:i w:val="0"/>
          <w:color w:val="1F3A5F"/>
          <w:sz w:val="23"/>
        </w:rPr>
        <w:t xml:space="preserve">Art. 883</w:t>
      </w:r>
    </w:p>
    <w:p>
      <w:pPr>
        <w:pStyle w:val="FirstParagraph"/>
        <w:spacing w:after="80"/>
        <w:jc w:val="both"/>
      </w:pPr>
      <w:r>
        <w:rPr>
          <w:b/>
          <w:bCs/>
        </w:rPr>
        <w:t xml:space="preserve">Art. 883.</w:t>
      </w:r>
      <w:r>
        <w:t xml:space="preserve"> </w:t>
      </w:r>
      <w:r>
        <w:t xml:space="preserve">Caberá ao juiz a designação do leiloeiro público, que poderá ser indicado pelo exequente.</w:t>
      </w:r>
    </w:p>
    <w:bookmarkEnd w:id="694"/>
    <w:bookmarkStart w:id="695" w:name="art.-884"/>
    <w:p>
      <w:pPr>
        <w:pStyle w:val="Heading6"/>
        <w:pBdr>
          <w:left w:val="single" w:sz="36" w:space="4" w:color="2E75B6"/>
        </w:pBdr>
        <w:shd w:val="clear" w:color="auto" w:fill="E3EEF9"/>
        <w:spacing w:before="200" w:after="80"/>
        <w:ind w:left="85"/>
      </w:pPr>
      <w:r>
        <w:rPr>
          <w:i w:val="0"/>
          <w:color w:val="1F3A5F"/>
          <w:sz w:val="23"/>
        </w:rPr>
        <w:t xml:space="preserve">Art. 884</w:t>
      </w:r>
    </w:p>
    <w:p>
      <w:pPr>
        <w:pStyle w:val="FirstParagraph"/>
        <w:spacing w:after="80"/>
        <w:jc w:val="both"/>
      </w:pPr>
      <w:r>
        <w:rPr>
          <w:b/>
          <w:bCs/>
        </w:rPr>
        <w:t xml:space="preserve">Art. 884.</w:t>
      </w:r>
      <w:r>
        <w:t xml:space="preserve"> </w:t>
      </w:r>
      <w:r>
        <w:t xml:space="preserve">Incumbe ao leiloeiro público:</w:t>
      </w:r>
    </w:p>
    <w:p>
      <w:pPr>
        <w:pStyle w:val="BodyText"/>
        <w:spacing w:after="80"/>
        <w:jc w:val="both"/>
      </w:pPr>
      <w:r>
        <w:t xml:space="preserve">I - publicar o edital, anunciando a alienação;</w:t>
      </w:r>
    </w:p>
    <w:p>
      <w:pPr>
        <w:pStyle w:val="BodyText"/>
        <w:spacing w:after="80"/>
        <w:jc w:val="both"/>
      </w:pPr>
      <w:r>
        <w:t xml:space="preserve">II - realizar o leilão onde se encontrem os bens ou no lugar designado pelo juiz;</w:t>
      </w:r>
    </w:p>
    <w:p>
      <w:pPr>
        <w:pStyle w:val="BodyText"/>
        <w:spacing w:after="80"/>
        <w:jc w:val="both"/>
      </w:pPr>
      <w:r>
        <w:t xml:space="preserve">III - expor aos pretendentes os bens ou as amostras das mercadorias;</w:t>
      </w:r>
    </w:p>
    <w:p>
      <w:pPr>
        <w:pStyle w:val="BodyText"/>
        <w:spacing w:after="80"/>
        <w:jc w:val="both"/>
      </w:pPr>
      <w:r>
        <w:t xml:space="preserve">IV - receber e depositar, dentro de 1 (um) dia, à ordem do juiz, o produto da alienação;</w:t>
      </w:r>
    </w:p>
    <w:p>
      <w:pPr>
        <w:pStyle w:val="BodyText"/>
        <w:spacing w:after="80"/>
        <w:jc w:val="both"/>
      </w:pPr>
      <w:r>
        <w:t xml:space="preserve">V - prestar contas nos 2 (dois) dias subsequentes ao depósito.</w:t>
      </w:r>
    </w:p>
    <w:p>
      <w:pPr>
        <w:pStyle w:val="BodyText"/>
        <w:keepNext/>
        <w:spacing w:after="80"/>
        <w:jc w:val="both"/>
      </w:pPr>
      <w:r>
        <w:t xml:space="preserve">Parágrafo único. O leiloeiro tem o direito de receber do arrematante a comissão estabelecida em lei ou arbitrada pelo juiz.</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2930"/>
        <w:gridCol w:w="489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93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9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Parágrafo único — comissão do leiloeiro</w:t>
            </w:r>
          </w:p>
        </w:tc>
        <w:tc>
          <w:tcPr>
            <w:tcW w:type="dxa" w:w="2930"/>
          </w:tcPr>
          <w:p>
            <w:pPr>
              <w:pStyle w:val="Compact"/>
              <w:spacing w:line="276" w:lineRule="auto" w:before="40" w:after="40"/>
            </w:pPr>
            <w:r>
              <w:rPr>
                <w:rFonts w:ascii="Liberation Sans Narrow" w:hAnsi="Liberation Sans Narrow"/>
                <w:sz w:val="18"/>
              </w:rPr>
              <w:t xml:space="preserve">STJ, REsp 2.198.525, Terceira Turma, relator Min. Ricardo Villas Bôas Cueva, julgado em 19/05/2026, DJEN de 03/06/2026</w:t>
            </w:r>
          </w:p>
        </w:tc>
        <w:tc>
          <w:tcPr>
            <w:tcW w:type="dxa" w:w="4894"/>
          </w:tcPr>
          <w:p>
            <w:pPr>
              <w:pStyle w:val="Compact"/>
              <w:spacing w:line="276" w:lineRule="auto" w:before="40" w:after="40"/>
            </w:pPr>
            <w:r>
              <w:rPr>
                <w:rFonts w:ascii="Liberation Sans Narrow" w:hAnsi="Liberation Sans Narrow"/>
                <w:sz w:val="18"/>
              </w:rPr>
              <w:t xml:space="preserve">A remição realizada após a alienação judicial, mas antes da assinatura do auto de arrematação, não afasta o direito do leiloeiro à comissão prevista no art. 884, parágrafo único, quando concluído o seu trabalho com resultado útil.</w:t>
            </w:r>
          </w:p>
        </w:tc>
      </w:tr>
    </w:tbl>
    <w:bookmarkEnd w:id="695"/>
    <w:bookmarkStart w:id="696" w:name="art.-885"/>
    <w:p>
      <w:pPr>
        <w:pStyle w:val="Heading6"/>
        <w:pBdr>
          <w:left w:val="single" w:sz="36" w:space="4" w:color="2E75B6"/>
        </w:pBdr>
        <w:shd w:val="clear" w:color="auto" w:fill="E3EEF9"/>
        <w:spacing w:before="200" w:after="80"/>
        <w:ind w:left="85"/>
      </w:pPr>
      <w:r>
        <w:rPr>
          <w:i w:val="0"/>
          <w:color w:val="1F3A5F"/>
          <w:sz w:val="23"/>
        </w:rPr>
        <w:t xml:space="preserve">Art. 885</w:t>
      </w:r>
    </w:p>
    <w:p>
      <w:pPr>
        <w:pStyle w:val="FirstParagraph"/>
        <w:spacing w:after="80"/>
        <w:jc w:val="both"/>
      </w:pPr>
      <w:r>
        <w:rPr>
          <w:b/>
          <w:bCs/>
        </w:rPr>
        <w:t xml:space="preserve">Art. 885.</w:t>
      </w:r>
      <w:r>
        <w:t xml:space="preserve"> </w:t>
      </w:r>
      <w:r>
        <w:t xml:space="preserve">O juiz da execução estabelecerá o preço mínimo, as condições de pagamento e as garantias que poderão ser prestadas pelo arrematante.</w:t>
      </w:r>
    </w:p>
    <w:bookmarkEnd w:id="696"/>
    <w:bookmarkStart w:id="697" w:name="art.-886"/>
    <w:p>
      <w:pPr>
        <w:pStyle w:val="Heading6"/>
        <w:pBdr>
          <w:left w:val="single" w:sz="36" w:space="4" w:color="2E75B6"/>
        </w:pBdr>
        <w:shd w:val="clear" w:color="auto" w:fill="E3EEF9"/>
        <w:spacing w:before="200" w:after="80"/>
        <w:ind w:left="85"/>
      </w:pPr>
      <w:r>
        <w:rPr>
          <w:i w:val="0"/>
          <w:color w:val="1F3A5F"/>
          <w:sz w:val="23"/>
        </w:rPr>
        <w:t xml:space="preserve">Art. 886</w:t>
      </w:r>
    </w:p>
    <w:p>
      <w:pPr>
        <w:pStyle w:val="FirstParagraph"/>
        <w:spacing w:after="80"/>
        <w:jc w:val="both"/>
      </w:pPr>
      <w:r>
        <w:rPr>
          <w:b/>
          <w:bCs/>
        </w:rPr>
        <w:t xml:space="preserve">Art. 886.</w:t>
      </w:r>
      <w:r>
        <w:t xml:space="preserve"> </w:t>
      </w:r>
      <w:r>
        <w:t xml:space="preserve">O leilão será precedido de publicação de edital, que conterá:</w:t>
      </w:r>
    </w:p>
    <w:p>
      <w:pPr>
        <w:pStyle w:val="BodyText"/>
        <w:spacing w:after="80"/>
        <w:jc w:val="both"/>
      </w:pPr>
      <w:r>
        <w:t xml:space="preserve">I - a descrição do bem penhorado, com suas características, e, tratando-se de imóvel, sua situação e suas divisas, com remissão à matrícula e aos registros;</w:t>
      </w:r>
    </w:p>
    <w:p>
      <w:pPr>
        <w:pStyle w:val="BodyText"/>
        <w:spacing w:after="80"/>
        <w:jc w:val="both"/>
      </w:pPr>
      <w:r>
        <w:t xml:space="preserve">II - o valor pelo qual o bem foi avaliado, o preço mínimo pelo qual poderá ser alienado, as condições de pagamento e, se for o caso, a comissão do leiloeiro designado;</w:t>
      </w:r>
    </w:p>
    <w:p>
      <w:pPr>
        <w:pStyle w:val="BodyText"/>
        <w:spacing w:after="80"/>
        <w:jc w:val="both"/>
      </w:pPr>
      <w:r>
        <w:t xml:space="preserve">III - o lugar onde estiverem os móveis, os veículos e os semoventes e, tratando-se de créditos ou direitos, a identificação dos autos do processo em que foram penhorados;</w:t>
      </w:r>
    </w:p>
    <w:p>
      <w:pPr>
        <w:pStyle w:val="BodyText"/>
        <w:spacing w:after="80"/>
        <w:jc w:val="both"/>
      </w:pPr>
      <w:r>
        <w:t xml:space="preserve">IV - o sítio, na rede mundial de computadores, e o período em que se realizará o leilão, salvo se este se der de modo presencial, hipótese em que serão indicados o local, o dia e a hora de sua realização;</w:t>
      </w:r>
    </w:p>
    <w:p>
      <w:pPr>
        <w:pStyle w:val="BodyText"/>
        <w:spacing w:after="80"/>
        <w:jc w:val="both"/>
      </w:pPr>
      <w:r>
        <w:t xml:space="preserve">V - a indicação de local, dia e hora de segundo leilão presencial, para a hipótese de não haver interessado no primeiro;</w:t>
      </w:r>
    </w:p>
    <w:p>
      <w:pPr>
        <w:pStyle w:val="BodyText"/>
        <w:keepNext/>
        <w:spacing w:after="80"/>
        <w:jc w:val="both"/>
      </w:pPr>
      <w:r>
        <w:t xml:space="preserve">VI - menção da existência de ônus, recurso ou processo pendente sobre os bens a serem leiloados.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2709"/>
        <w:gridCol w:w="511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0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11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VI — menção a ônus no edital</w:t>
            </w:r>
          </w:p>
        </w:tc>
        <w:tc>
          <w:tcPr>
            <w:tcW w:type="dxa" w:w="2709"/>
          </w:tcPr>
          <w:p>
            <w:pPr>
              <w:pStyle w:val="Compact"/>
              <w:spacing w:line="276" w:lineRule="auto" w:before="40" w:after="40"/>
            </w:pPr>
            <w:r>
              <w:rPr>
                <w:rFonts w:ascii="Liberation Sans Narrow" w:hAnsi="Liberation Sans Narrow"/>
                <w:sz w:val="18"/>
              </w:rPr>
              <w:t xml:space="preserve">STJ, AREsp 2.664.065, Quarta Turma, relator Min. João Otávio de Noronha, julgado em 09/02/2026</w:t>
            </w:r>
          </w:p>
        </w:tc>
        <w:tc>
          <w:tcPr>
            <w:tcW w:type="dxa" w:w="5114"/>
          </w:tcPr>
          <w:p>
            <w:pPr>
              <w:pStyle w:val="Compact"/>
              <w:spacing w:line="276" w:lineRule="auto" w:before="40" w:after="40"/>
            </w:pPr>
            <w:r>
              <w:rPr>
                <w:rFonts w:ascii="Liberation Sans Narrow" w:hAnsi="Liberation Sans Narrow"/>
                <w:sz w:val="18"/>
              </w:rPr>
              <w:t xml:space="preserve">A responsabilidade do arrematante por débitos condominiais pretéritos somente se configura quando há previsão expressa no edital de leilão; ausente a advertência, mantém-se a execução contra o antigo proprietário.</w:t>
            </w:r>
          </w:p>
        </w:tc>
      </w:tr>
    </w:tbl>
    <w:p>
      <w:pPr>
        <w:pStyle w:val="BodyText"/>
        <w:spacing w:after="80"/>
        <w:jc w:val="both"/>
      </w:pPr>
      <w:r>
        <w:t xml:space="preserve">Parágrafo único. No caso de títulos da dívida pública e de títulos negociados em bolsa, constará do edital o valor da última cotação.</w:t>
      </w:r>
    </w:p>
    <w:bookmarkEnd w:id="697"/>
    <w:bookmarkStart w:id="698" w:name="art.-887"/>
    <w:p>
      <w:pPr>
        <w:pStyle w:val="Heading6"/>
        <w:pBdr>
          <w:left w:val="single" w:sz="36" w:space="4" w:color="2E75B6"/>
        </w:pBdr>
        <w:shd w:val="clear" w:color="auto" w:fill="E3EEF9"/>
        <w:spacing w:before="200" w:after="80"/>
        <w:ind w:left="85"/>
      </w:pPr>
      <w:r>
        <w:rPr>
          <w:i w:val="0"/>
          <w:color w:val="1F3A5F"/>
          <w:sz w:val="23"/>
        </w:rPr>
        <w:t xml:space="preserve">Art. 887</w:t>
      </w:r>
    </w:p>
    <w:p>
      <w:pPr>
        <w:pStyle w:val="FirstParagraph"/>
        <w:spacing w:after="80"/>
        <w:jc w:val="both"/>
      </w:pPr>
      <w:r>
        <w:rPr>
          <w:b/>
          <w:bCs/>
        </w:rPr>
        <w:t xml:space="preserve">Art. 887.</w:t>
      </w:r>
      <w:r>
        <w:t xml:space="preserve"> </w:t>
      </w:r>
      <w:r>
        <w:t xml:space="preserve">O leiloeiro público designado adotará providências para a ampla divulgação da alienação.</w:t>
      </w:r>
    </w:p>
    <w:p>
      <w:pPr>
        <w:pStyle w:val="BodyText"/>
        <w:spacing w:after="80"/>
        <w:jc w:val="both"/>
      </w:pPr>
      <w:r>
        <w:t xml:space="preserve">§ 1º A publicação do edital deverá ocorrer pelo menos 5 (cinco) dias antes da data marcada para o leilão.</w:t>
      </w:r>
    </w:p>
    <w:p>
      <w:pPr>
        <w:pStyle w:val="BodyText"/>
        <w:spacing w:after="80"/>
        <w:jc w:val="both"/>
      </w:pPr>
      <w:r>
        <w:t xml:space="preserve">§ 2º O edital será publicado na rede mundial de computadores, em sítio designado pelo juízo da execução, e conterá descrição detalhada e, sempre que possível, ilustrada dos bens, informando expressamente se o leilão se realizará de forma eletrônica ou presencial.</w:t>
      </w:r>
    </w:p>
    <w:p>
      <w:pPr>
        <w:pStyle w:val="BodyText"/>
        <w:spacing w:after="80"/>
        <w:jc w:val="both"/>
      </w:pPr>
      <w:r>
        <w:t xml:space="preserve">§ 3º Não sendo possível a publicação na rede mundial de computadores ou considerando o juiz, em atenção às condições da sede do juízo, que esse modo de divulgação é insuficiente ou inadequado, o edital será afixado em local de costume e publicado, em resumo, pelo menos uma vez em jornal de ampla circulação local.</w:t>
      </w:r>
    </w:p>
    <w:p>
      <w:pPr>
        <w:pStyle w:val="BodyText"/>
        <w:spacing w:after="80"/>
        <w:jc w:val="both"/>
      </w:pPr>
      <w:r>
        <w:t xml:space="preserve">§ 4º Atendendo ao valor dos bens e às condições da sede do juízo, o juiz poderá alterar a forma e a frequência da publicidade na imprensa, mandar publicar o edital em local de ampla circulação de pessoas e divulgar avisos em emissora de rádio ou televisão local, bem como em sítios distintos do indicado no § 2º.</w:t>
      </w:r>
    </w:p>
    <w:p>
      <w:pPr>
        <w:pStyle w:val="BodyText"/>
        <w:spacing w:after="80"/>
        <w:jc w:val="both"/>
      </w:pPr>
      <w:r>
        <w:t xml:space="preserve">§ 5º Os editais de leilão de imóveis e de veículos automotores serão publicados pela imprensa ou por outros meios de divulgação, preferencialmente na seção ou no local reservados à publicidade dos respectivos negócios.</w:t>
      </w:r>
    </w:p>
    <w:p>
      <w:pPr>
        <w:pStyle w:val="BodyText"/>
        <w:spacing w:after="80"/>
        <w:jc w:val="both"/>
      </w:pPr>
      <w:r>
        <w:t xml:space="preserve">§ 6º O juiz poderá determinar a reunião de publicações em listas referentes a mais de uma execução.</w:t>
      </w:r>
    </w:p>
    <w:bookmarkEnd w:id="698"/>
    <w:bookmarkStart w:id="699" w:name="art.-888"/>
    <w:p>
      <w:pPr>
        <w:pStyle w:val="Heading6"/>
        <w:pBdr>
          <w:left w:val="single" w:sz="36" w:space="4" w:color="2E75B6"/>
        </w:pBdr>
        <w:shd w:val="clear" w:color="auto" w:fill="E3EEF9"/>
        <w:spacing w:before="200" w:after="80"/>
        <w:ind w:left="85"/>
      </w:pPr>
      <w:r>
        <w:rPr>
          <w:i w:val="0"/>
          <w:color w:val="1F3A5F"/>
          <w:sz w:val="23"/>
        </w:rPr>
        <w:t xml:space="preserve">Art. 888</w:t>
      </w:r>
    </w:p>
    <w:p>
      <w:pPr>
        <w:pStyle w:val="FirstParagraph"/>
        <w:spacing w:after="80"/>
        <w:jc w:val="both"/>
      </w:pPr>
      <w:r>
        <w:rPr>
          <w:b/>
          <w:bCs/>
        </w:rPr>
        <w:t xml:space="preserve">Art. 888.</w:t>
      </w:r>
      <w:r>
        <w:t xml:space="preserve"> </w:t>
      </w:r>
      <w:r>
        <w:t xml:space="preserve">Não se realizando o leilão por qualquer motivo, o juiz mandará publicar a transferência, observando-se o disposto no art. 887.</w:t>
      </w:r>
    </w:p>
    <w:p>
      <w:pPr>
        <w:pStyle w:val="BodyText"/>
        <w:spacing w:after="80"/>
        <w:jc w:val="both"/>
      </w:pPr>
      <w:r>
        <w:t xml:space="preserve">Parágrafo único. O escrivão, o chefe de secretaria ou o leiloeiro que culposamente der causa à transferência responde pelas despesas da nova publicação, podendo o juiz aplicar-lhe a pena de suspensão por 5 (cinco) dias a 3 (três) meses, em procedimento administrativo regular.</w:t>
      </w:r>
    </w:p>
    <w:bookmarkEnd w:id="699"/>
    <w:bookmarkStart w:id="700" w:name="art.-889"/>
    <w:p>
      <w:pPr>
        <w:pStyle w:val="Heading6"/>
        <w:pBdr>
          <w:left w:val="single" w:sz="36" w:space="4" w:color="2E75B6"/>
        </w:pBdr>
        <w:shd w:val="clear" w:color="auto" w:fill="E3EEF9"/>
        <w:spacing w:before="200" w:after="80"/>
        <w:ind w:left="85"/>
      </w:pPr>
      <w:r>
        <w:rPr>
          <w:i w:val="0"/>
          <w:color w:val="1F3A5F"/>
          <w:sz w:val="23"/>
        </w:rPr>
        <w:t xml:space="preserve">Art. 889</w:t>
      </w:r>
    </w:p>
    <w:p>
      <w:pPr>
        <w:pStyle w:val="FirstParagraph"/>
        <w:spacing w:after="80"/>
        <w:jc w:val="both"/>
      </w:pPr>
      <w:r>
        <w:rPr>
          <w:b/>
          <w:bCs/>
        </w:rPr>
        <w:t xml:space="preserve">Art. 889.</w:t>
      </w:r>
      <w:r>
        <w:t xml:space="preserve"> </w:t>
      </w:r>
      <w:r>
        <w:t xml:space="preserve">Serão cientificados da alienação judicial, com pelo menos 5 (cinco) dias de antecedência:</w:t>
      </w:r>
    </w:p>
    <w:p>
      <w:pPr>
        <w:pStyle w:val="BodyText"/>
        <w:spacing w:after="80"/>
        <w:jc w:val="both"/>
      </w:pPr>
      <w:r>
        <w:t xml:space="preserve">I - o executado, por meio de seu advogado ou, se não tiver procurador constituído nos autos, por carta registrada, mandado, edital ou outro meio idôneo;</w:t>
      </w:r>
    </w:p>
    <w:p>
      <w:pPr>
        <w:pStyle w:val="BodyText"/>
        <w:spacing w:after="80"/>
        <w:jc w:val="both"/>
      </w:pPr>
      <w:r>
        <w:t xml:space="preserve">II - o coproprietário de bem indivisível do qual tenha sido penhorada fração ideal;</w:t>
      </w:r>
    </w:p>
    <w:p>
      <w:pPr>
        <w:pStyle w:val="BodyText"/>
        <w:spacing w:after="80"/>
        <w:jc w:val="both"/>
      </w:pPr>
      <w:r>
        <w:t xml:space="preserve">III - o titular de usufruto, uso, habitação, enfiteuse, direito de superfície, concessão de uso especial para fins de moradia ou concessão de direito real de uso, quando a penhora recair sobre bem gravado com tais direitos reais;</w:t>
      </w:r>
    </w:p>
    <w:p>
      <w:pPr>
        <w:pStyle w:val="BodyText"/>
        <w:spacing w:after="80"/>
        <w:jc w:val="both"/>
      </w:pPr>
      <w:r>
        <w:t xml:space="preserve">IV - o proprietário do terreno submetido ao regime de direito de superfície, enfiteuse, concessão de uso especial para fins de moradia ou concessão de direito real de uso, quando a penhora recair sobre tais direitos reais;</w:t>
      </w:r>
    </w:p>
    <w:p>
      <w:pPr>
        <w:pStyle w:val="BodyText"/>
        <w:spacing w:after="80"/>
        <w:jc w:val="both"/>
      </w:pPr>
      <w:r>
        <w:t xml:space="preserve">V - o credor pignoratício, hipotecário, anticrético, fiduciário ou com penhora anteriormente averbada, quando a penhora recair sobre bens com tais gravames, caso não seja o credor, de qualquer modo, parte na execução;</w:t>
      </w:r>
    </w:p>
    <w:p>
      <w:pPr>
        <w:pStyle w:val="BodyText"/>
        <w:spacing w:after="80"/>
        <w:jc w:val="both"/>
      </w:pPr>
      <w:r>
        <w:t xml:space="preserve">VI - o promitente comprador, quando a penhora recair sobre bem em relação ao qual haja promessa de compra e venda registrada;</w:t>
      </w:r>
    </w:p>
    <w:p>
      <w:pPr>
        <w:pStyle w:val="BodyText"/>
        <w:spacing w:after="80"/>
        <w:jc w:val="both"/>
      </w:pPr>
      <w:r>
        <w:t xml:space="preserve">VII - o promitente vendedor, quando a penhora recair sobre direito aquisitivo derivado de promessa de compra e venda registrada;</w:t>
      </w:r>
    </w:p>
    <w:p>
      <w:pPr>
        <w:pStyle w:val="BodyText"/>
        <w:spacing w:after="80"/>
        <w:jc w:val="both"/>
      </w:pPr>
      <w:r>
        <w:t xml:space="preserve">VIII - a União, o Estado e o Município, no caso de alienação de bem tombado.</w:t>
      </w:r>
    </w:p>
    <w:p>
      <w:pPr>
        <w:pStyle w:val="BodyText"/>
        <w:spacing w:after="80"/>
        <w:jc w:val="both"/>
      </w:pPr>
      <w:r>
        <w:t xml:space="preserve">Parágrafo único. Se o executado for revel e não tiver advogado constituído, não constando dos autos seu endereço atual ou, ainda, não sendo ele encontrado no endereço constante do processo, a intimação considerar-se-á feita por meio do próprio edital de leilão.</w:t>
      </w:r>
    </w:p>
    <w:bookmarkEnd w:id="700"/>
    <w:bookmarkStart w:id="701" w:name="art.-890"/>
    <w:p>
      <w:pPr>
        <w:pStyle w:val="Heading6"/>
        <w:pBdr>
          <w:left w:val="single" w:sz="36" w:space="4" w:color="2E75B6"/>
        </w:pBdr>
        <w:shd w:val="clear" w:color="auto" w:fill="E3EEF9"/>
        <w:spacing w:before="200" w:after="80"/>
        <w:ind w:left="85"/>
      </w:pPr>
      <w:r>
        <w:rPr>
          <w:i w:val="0"/>
          <w:color w:val="1F3A5F"/>
          <w:sz w:val="23"/>
        </w:rPr>
        <w:t xml:space="preserve">Art. 890</w:t>
      </w:r>
    </w:p>
    <w:p>
      <w:pPr>
        <w:pStyle w:val="FirstParagraph"/>
        <w:spacing w:after="80"/>
        <w:jc w:val="both"/>
      </w:pPr>
      <w:r>
        <w:rPr>
          <w:b/>
          <w:bCs/>
        </w:rPr>
        <w:t xml:space="preserve">Art. 890.</w:t>
      </w:r>
      <w:r>
        <w:t xml:space="preserve"> </w:t>
      </w:r>
      <w:r>
        <w:t xml:space="preserve">Pode oferecer lance quem estiver na livre administração de seus bens, com exceção:</w:t>
      </w:r>
    </w:p>
    <w:p>
      <w:pPr>
        <w:pStyle w:val="BodyText"/>
        <w:spacing w:after="80"/>
        <w:jc w:val="both"/>
      </w:pPr>
      <w:r>
        <w:t xml:space="preserve">I - dos tutores, dos curadores, dos testamenteiros, dos administradores ou dos liquidantes, quanto aos bens confiados à sua guarda e à sua responsabilidade;</w:t>
      </w:r>
    </w:p>
    <w:p>
      <w:pPr>
        <w:pStyle w:val="BodyText"/>
        <w:spacing w:after="80"/>
        <w:jc w:val="both"/>
      </w:pPr>
      <w:r>
        <w:t xml:space="preserve">II - dos mandatários, quanto aos bens de cuja administração ou alienação estejam encarregados;</w:t>
      </w:r>
    </w:p>
    <w:p>
      <w:pPr>
        <w:pStyle w:val="BodyText"/>
        <w:spacing w:after="80"/>
        <w:jc w:val="both"/>
      </w:pPr>
      <w:r>
        <w:t xml:space="preserve">III - do juiz, do membro do Ministério Público e da Defensoria Pública, do escrivão, do chefe de secretaria e dos demais servidores e auxiliares da justiça, em relação aos bens e direitos objeto de alienação na localidade onde servirem ou a que se estender a sua autoridade;</w:t>
      </w:r>
    </w:p>
    <w:p>
      <w:pPr>
        <w:pStyle w:val="BodyText"/>
        <w:spacing w:after="80"/>
        <w:jc w:val="both"/>
      </w:pPr>
      <w:r>
        <w:t xml:space="preserve">IV - dos servidores públicos em geral, quanto aos bens ou aos direitos da pessoa jurídica a que servirem ou que estejam sob sua administração direta ou indireta;</w:t>
      </w:r>
    </w:p>
    <w:p>
      <w:pPr>
        <w:pStyle w:val="BodyText"/>
        <w:spacing w:after="80"/>
        <w:jc w:val="both"/>
      </w:pPr>
      <w:r>
        <w:t xml:space="preserve">V - dos leiloeiros e seus prepostos, quanto aos bens de cuja venda estejam encarregados;</w:t>
      </w:r>
    </w:p>
    <w:p>
      <w:pPr>
        <w:pStyle w:val="BodyText"/>
        <w:spacing w:after="80"/>
        <w:jc w:val="both"/>
      </w:pPr>
      <w:r>
        <w:t xml:space="preserve">VI - dos advogados de qualquer das partes.</w:t>
      </w:r>
    </w:p>
    <w:bookmarkEnd w:id="701"/>
    <w:bookmarkStart w:id="702" w:name="art.-891"/>
    <w:p>
      <w:pPr>
        <w:pStyle w:val="Heading6"/>
        <w:pBdr>
          <w:left w:val="single" w:sz="36" w:space="4" w:color="2E75B6"/>
        </w:pBdr>
        <w:shd w:val="clear" w:color="auto" w:fill="E3EEF9"/>
        <w:spacing w:before="200" w:after="80"/>
        <w:ind w:left="85"/>
      </w:pPr>
      <w:r>
        <w:rPr>
          <w:i w:val="0"/>
          <w:color w:val="1F3A5F"/>
          <w:sz w:val="23"/>
        </w:rPr>
        <w:t xml:space="preserve">Art. 891</w:t>
      </w:r>
    </w:p>
    <w:p>
      <w:pPr>
        <w:pStyle w:val="FirstParagraph"/>
        <w:spacing w:after="80"/>
        <w:jc w:val="both"/>
      </w:pPr>
      <w:r>
        <w:rPr>
          <w:b/>
          <w:bCs/>
        </w:rPr>
        <w:t xml:space="preserve">Art. 891.</w:t>
      </w:r>
      <w:r>
        <w:t xml:space="preserve"> </w:t>
      </w:r>
      <w:r>
        <w:t xml:space="preserve">Não será aceito lance que ofereça preço vil.</w:t>
      </w:r>
    </w:p>
    <w:p>
      <w:pPr>
        <w:pStyle w:val="BodyText"/>
        <w:spacing w:after="80"/>
        <w:jc w:val="both"/>
      </w:pPr>
      <w:r>
        <w:t xml:space="preserve">Parágrafo único. Considera-se vil o preço inferior ao mínimo estipulado pelo juiz e constante do edital, e, não tendo sido fixado preço mínimo, considera-se vil o preço inferior a cinquenta por cento do valor da avaliação.</w:t>
      </w:r>
    </w:p>
    <w:bookmarkEnd w:id="702"/>
    <w:bookmarkStart w:id="703" w:name="art.-892"/>
    <w:p>
      <w:pPr>
        <w:pStyle w:val="Heading6"/>
        <w:pBdr>
          <w:left w:val="single" w:sz="36" w:space="4" w:color="2E75B6"/>
        </w:pBdr>
        <w:shd w:val="clear" w:color="auto" w:fill="E3EEF9"/>
        <w:spacing w:before="200" w:after="80"/>
        <w:ind w:left="85"/>
      </w:pPr>
      <w:r>
        <w:rPr>
          <w:i w:val="0"/>
          <w:color w:val="1F3A5F"/>
          <w:sz w:val="23"/>
        </w:rPr>
        <w:t xml:space="preserve">Art. 892</w:t>
      </w:r>
    </w:p>
    <w:p>
      <w:pPr>
        <w:pStyle w:val="FirstParagraph"/>
        <w:spacing w:after="80"/>
        <w:jc w:val="both"/>
      </w:pPr>
      <w:r>
        <w:rPr>
          <w:b/>
          <w:bCs/>
        </w:rPr>
        <w:t xml:space="preserve">Art. 892.</w:t>
      </w:r>
      <w:r>
        <w:t xml:space="preserve"> </w:t>
      </w:r>
      <w:r>
        <w:t xml:space="preserve">Salvo pronunciamento judicial em sentido diverso, o pagamento deverá ser realizado de imediato pelo arrematante, por depósito judicial ou por meio eletrônico.</w:t>
      </w:r>
    </w:p>
    <w:p>
      <w:pPr>
        <w:pStyle w:val="BodyText"/>
        <w:spacing w:after="80"/>
        <w:jc w:val="both"/>
      </w:pPr>
      <w:r>
        <w:t xml:space="preserve">§ 1º Se o exequente arrematar os bens e for o único credor, não estará obrigado a exibir o preço, mas, se o valor dos bens exceder ao seu crédito, depositará, dentro de 3 (três) dias, a diferença, sob pena de tornar-se sem efeito a arrematação, e, nesse caso, realizar-se-á novo leilão, à custa do exequente.</w:t>
      </w:r>
    </w:p>
    <w:p>
      <w:pPr>
        <w:pStyle w:val="BodyText"/>
        <w:spacing w:after="80"/>
        <w:jc w:val="both"/>
      </w:pPr>
      <w:r>
        <w:t xml:space="preserve">§ 2º Se houver mais de um pretendente, proceder-se-á entre eles à licitação, e, no caso de igualdade de oferta, terá preferência o cônjuge, o companheiro, o descendente ou o ascendente do executado, nessa ordem.</w:t>
      </w:r>
    </w:p>
    <w:p>
      <w:pPr>
        <w:pStyle w:val="BodyText"/>
        <w:spacing w:after="80"/>
        <w:jc w:val="both"/>
      </w:pPr>
      <w:r>
        <w:t xml:space="preserve">§ 3º No caso de leilão de bem tombado, a União, os Estados e os Municípios terão, nessa ordem, o direito de preferência na arrematação, em igualdade de oferta.</w:t>
      </w:r>
    </w:p>
    <w:bookmarkEnd w:id="703"/>
    <w:bookmarkStart w:id="704" w:name="art.-893"/>
    <w:p>
      <w:pPr>
        <w:pStyle w:val="Heading6"/>
        <w:pBdr>
          <w:left w:val="single" w:sz="36" w:space="4" w:color="2E75B6"/>
        </w:pBdr>
        <w:shd w:val="clear" w:color="auto" w:fill="E3EEF9"/>
        <w:spacing w:before="200" w:after="80"/>
        <w:ind w:left="85"/>
      </w:pPr>
      <w:r>
        <w:rPr>
          <w:i w:val="0"/>
          <w:color w:val="1F3A5F"/>
          <w:sz w:val="23"/>
        </w:rPr>
        <w:t xml:space="preserve">Art. 893</w:t>
      </w:r>
    </w:p>
    <w:p>
      <w:pPr>
        <w:pStyle w:val="FirstParagraph"/>
        <w:spacing w:after="80"/>
        <w:jc w:val="both"/>
      </w:pPr>
      <w:r>
        <w:rPr>
          <w:b/>
          <w:bCs/>
        </w:rPr>
        <w:t xml:space="preserve">Art. 893.</w:t>
      </w:r>
      <w:r>
        <w:t xml:space="preserve"> </w:t>
      </w:r>
      <w:r>
        <w:t xml:space="preserve">Se o leilão for de diversos bens e houver mais de um lançador, terá preferência aquele que se propuser a arrematá-los todos, em conjunto, oferecendo, para os bens que não tiverem lance, preço igual ao da avaliação e, para os demais, preço igual ao do maior lance que, na tentativa de arrematação individualizada, tenha sido oferecido para eles.</w:t>
      </w:r>
    </w:p>
    <w:bookmarkEnd w:id="704"/>
    <w:bookmarkStart w:id="705" w:name="art.-894"/>
    <w:p>
      <w:pPr>
        <w:pStyle w:val="Heading6"/>
        <w:pBdr>
          <w:left w:val="single" w:sz="36" w:space="4" w:color="2E75B6"/>
        </w:pBdr>
        <w:shd w:val="clear" w:color="auto" w:fill="E3EEF9"/>
        <w:spacing w:before="200" w:after="80"/>
        <w:ind w:left="85"/>
      </w:pPr>
      <w:r>
        <w:rPr>
          <w:i w:val="0"/>
          <w:color w:val="1F3A5F"/>
          <w:sz w:val="23"/>
        </w:rPr>
        <w:t xml:space="preserve">Art. 894</w:t>
      </w:r>
    </w:p>
    <w:p>
      <w:pPr>
        <w:pStyle w:val="FirstParagraph"/>
        <w:spacing w:after="80"/>
        <w:jc w:val="both"/>
      </w:pPr>
      <w:r>
        <w:rPr>
          <w:b/>
          <w:bCs/>
        </w:rPr>
        <w:t xml:space="preserve">Art. 894.</w:t>
      </w:r>
      <w:r>
        <w:t xml:space="preserve"> </w:t>
      </w:r>
      <w:r>
        <w:t xml:space="preserve">Quando o imóvel admitir cômoda divisão, o juiz, a requerimento do executado, ordenará a alienação judicial de parte dele, desde que suficiente para o pagamento do exequente e para a satisfação das despesas da execução.</w:t>
      </w:r>
    </w:p>
    <w:p>
      <w:pPr>
        <w:pStyle w:val="BodyText"/>
        <w:spacing w:after="80"/>
        <w:jc w:val="both"/>
      </w:pPr>
      <w:r>
        <w:t xml:space="preserve">§ 1º Não havendo lançador, far-se-á a alienação do imóvel em sua integridade.</w:t>
      </w:r>
    </w:p>
    <w:p>
      <w:pPr>
        <w:pStyle w:val="BodyText"/>
        <w:spacing w:after="80"/>
        <w:jc w:val="both"/>
      </w:pPr>
      <w:r>
        <w:t xml:space="preserve">§ 2º A alienação por partes deverá ser requerida a tempo de permitir a avaliação das glebas destacadas e sua inclusão no edital, e, nesse caso, caberá ao executado instruir o requerimento com planta e memorial descritivo subscritos por profissional habilitado.</w:t>
      </w:r>
    </w:p>
    <w:bookmarkEnd w:id="705"/>
    <w:bookmarkStart w:id="706" w:name="art.-895"/>
    <w:p>
      <w:pPr>
        <w:pStyle w:val="Heading6"/>
        <w:pBdr>
          <w:left w:val="single" w:sz="36" w:space="4" w:color="2E75B6"/>
        </w:pBdr>
        <w:shd w:val="clear" w:color="auto" w:fill="E3EEF9"/>
        <w:spacing w:before="200" w:after="80"/>
        <w:ind w:left="85"/>
      </w:pPr>
      <w:r>
        <w:rPr>
          <w:i w:val="0"/>
          <w:color w:val="1F3A5F"/>
          <w:sz w:val="23"/>
        </w:rPr>
        <w:t xml:space="preserve">Art. 895</w:t>
      </w:r>
    </w:p>
    <w:p>
      <w:pPr>
        <w:pStyle w:val="FirstParagraph"/>
        <w:spacing w:after="80"/>
        <w:jc w:val="both"/>
      </w:pPr>
      <w:r>
        <w:rPr>
          <w:b/>
          <w:bCs/>
        </w:rPr>
        <w:t xml:space="preserve">Art. 895.</w:t>
      </w:r>
      <w:r>
        <w:t xml:space="preserve"> </w:t>
      </w:r>
      <w:r>
        <w:t xml:space="preserve">O interessado em adquirir o bem penhorado em prestações poderá apresentar, por escrito:</w:t>
      </w:r>
    </w:p>
    <w:p>
      <w:pPr>
        <w:pStyle w:val="BodyText"/>
        <w:spacing w:after="80"/>
        <w:jc w:val="both"/>
      </w:pPr>
      <w:r>
        <w:t xml:space="preserve">I - até o início do primeiro leilão, proposta de aquisição do bem por valor não inferior ao da avaliação;</w:t>
      </w:r>
    </w:p>
    <w:p>
      <w:pPr>
        <w:pStyle w:val="BodyText"/>
        <w:keepNext/>
        <w:spacing w:after="80"/>
        <w:jc w:val="both"/>
      </w:pPr>
      <w:r>
        <w:t xml:space="preserve">II - até o início do segundo leilão, proposta de aquisição do bem por valor que não seja considerado vil.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12"/>
        <w:gridCol w:w="2426"/>
        <w:gridCol w:w="5317"/>
      </w:tblGrid>
      <w:tr>
        <w:trPr>
          <w:tblHeader w:val="on"/>
          <w:cantSplit/>
          <w:tblHeader/>
        </w:trPr>
        <w:tc>
          <w:tcPr>
            <w:tcW w:type="dxa" w:w="161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42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317"/>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12"/>
          </w:tcPr>
          <w:p>
            <w:pPr>
              <w:pStyle w:val="Compact"/>
              <w:spacing w:line="276" w:lineRule="auto" w:before="40" w:after="40"/>
            </w:pPr>
            <w:r>
              <w:rPr>
                <w:rFonts w:ascii="Liberation Sans Narrow" w:hAnsi="Liberation Sans Narrow"/>
                <w:sz w:val="18"/>
              </w:rPr>
              <w:t xml:space="preserve">II — proposta parcelada até o segundo leilão</w:t>
            </w:r>
          </w:p>
        </w:tc>
        <w:tc>
          <w:tcPr>
            <w:tcW w:type="dxa" w:w="2426"/>
          </w:tcPr>
          <w:p>
            <w:pPr>
              <w:pStyle w:val="Compact"/>
              <w:spacing w:line="276" w:lineRule="auto" w:before="40" w:after="40"/>
            </w:pPr>
            <w:r>
              <w:rPr>
                <w:rFonts w:ascii="Liberation Sans Narrow" w:hAnsi="Liberation Sans Narrow"/>
                <w:sz w:val="18"/>
              </w:rPr>
              <w:t xml:space="preserve">STJ, AREsp 2.498.470, Quarta Turma, relator Min. Raul Araújo, julgado em 04/05/2026</w:t>
            </w:r>
          </w:p>
        </w:tc>
        <w:tc>
          <w:tcPr>
            <w:tcW w:type="dxa" w:w="5317"/>
          </w:tcPr>
          <w:p>
            <w:pPr>
              <w:pStyle w:val="Compact"/>
              <w:spacing w:line="276" w:lineRule="auto" w:before="40" w:after="40"/>
            </w:pPr>
            <w:r>
              <w:rPr>
                <w:rFonts w:ascii="Liberation Sans Narrow" w:hAnsi="Liberation Sans Narrow"/>
                <w:sz w:val="18"/>
              </w:rPr>
              <w:t xml:space="preserve">É válida a proposta de arrematação parcelada apresentada durante o curso da segunda praça, antes do encerramento do leilão eletrônico, quando inexistentes lances à vista, admitindo-se a mitigação do limite temporal do art. 895, II, do CPC, à luz da efetividade da execução e da ausência de prejuízo.</w:t>
            </w:r>
          </w:p>
        </w:tc>
      </w:tr>
    </w:tbl>
    <w:p>
      <w:pPr>
        <w:pStyle w:val="BodyText"/>
        <w:spacing w:after="80"/>
        <w:jc w:val="both"/>
      </w:pPr>
      <w:r>
        <w:t xml:space="preserve">§ 1º A proposta conterá, em qualquer hipótese, oferta de pagamento de pelo menos vinte e cinco por cento do valor do lance à vista e o restante parcelado em até 30 (trinta) meses, garantido por caução idônea, quando se tratar de móveis, e por hipoteca do próprio bem, quando se tratar de imóveis.</w:t>
      </w:r>
    </w:p>
    <w:p>
      <w:pPr>
        <w:pStyle w:val="BodyText"/>
        <w:spacing w:after="80"/>
        <w:jc w:val="both"/>
      </w:pPr>
      <w:r>
        <w:t xml:space="preserve">§ 2º As propostas para aquisição em prestações indicarão o prazo, a modalidade, o indexador de correção monetária e as condições de pagamento do saldo.</w:t>
      </w:r>
    </w:p>
    <w:p>
      <w:pPr>
        <w:pStyle w:val="BodyText"/>
        <w:spacing w:after="80"/>
        <w:jc w:val="both"/>
      </w:pPr>
      <w:r>
        <w:t xml:space="preserve">§ 3º (VETADO).</w:t>
      </w:r>
    </w:p>
    <w:p>
      <w:pPr>
        <w:pStyle w:val="BodyText"/>
        <w:spacing w:after="80"/>
        <w:jc w:val="both"/>
      </w:pPr>
      <w:r>
        <w:t xml:space="preserve">§ 4º No caso de atraso no pagamento de qualquer das prestações, incidirá multa de dez por cento sobre a soma da parcela inadimplida com as parcelas vincendas.</w:t>
      </w:r>
    </w:p>
    <w:p>
      <w:pPr>
        <w:pStyle w:val="BodyText"/>
        <w:spacing w:after="80"/>
        <w:jc w:val="both"/>
      </w:pPr>
      <w:r>
        <w:t xml:space="preserve">§ 5º O inadimplemento autoriza o exequente a pedir a resolução da arrematação ou promover, em face do arrematante, a execução do valor devido, devendo ambos os pedidos ser formulados nos autos da execução em que se deu a arrematação.</w:t>
      </w:r>
    </w:p>
    <w:p>
      <w:pPr>
        <w:pStyle w:val="BodyText"/>
        <w:spacing w:after="80"/>
        <w:jc w:val="both"/>
      </w:pPr>
      <w:r>
        <w:t xml:space="preserve">§ 6º A apresentação da proposta prevista neste artigo não suspende o leilão.</w:t>
      </w:r>
    </w:p>
    <w:p>
      <w:pPr>
        <w:pStyle w:val="BodyText"/>
        <w:spacing w:after="80"/>
        <w:jc w:val="both"/>
      </w:pPr>
      <w:r>
        <w:t xml:space="preserve">§ 7º A proposta de pagamento do lance à vista sempre prevalecerá sobre as propostas de pagamento parcelado.</w:t>
      </w:r>
    </w:p>
    <w:p>
      <w:pPr>
        <w:pStyle w:val="BodyText"/>
        <w:spacing w:after="80"/>
        <w:jc w:val="both"/>
      </w:pPr>
      <w:r>
        <w:t xml:space="preserve">§ 8º Havendo mais de uma proposta de pagamento parcelado:</w:t>
      </w:r>
    </w:p>
    <w:p>
      <w:pPr>
        <w:pStyle w:val="BodyText"/>
        <w:spacing w:after="80"/>
        <w:jc w:val="both"/>
      </w:pPr>
      <w:r>
        <w:t xml:space="preserve">I - em diferentes condições, o juiz decidirá pela mais vantajosa, assim compreendida, sempre, a de maior valor;</w:t>
      </w:r>
    </w:p>
    <w:p>
      <w:pPr>
        <w:pStyle w:val="BodyText"/>
        <w:spacing w:after="80"/>
        <w:jc w:val="both"/>
      </w:pPr>
      <w:r>
        <w:t xml:space="preserve">II - em iguais condições, o juiz decidirá pela formulada em primeiro lugar.</w:t>
      </w:r>
    </w:p>
    <w:p>
      <w:pPr>
        <w:pStyle w:val="BodyText"/>
        <w:spacing w:after="80"/>
        <w:jc w:val="both"/>
      </w:pPr>
      <w:r>
        <w:t xml:space="preserve">§ 9º No caso de arrematação a prazo, os pagamentos feitos pelo arrematante pertencerão ao exequente até o limite de seu crédito, e os subsequentes, ao executado.</w:t>
      </w:r>
    </w:p>
    <w:bookmarkEnd w:id="706"/>
    <w:bookmarkStart w:id="707" w:name="art.-896"/>
    <w:p>
      <w:pPr>
        <w:pStyle w:val="Heading6"/>
        <w:pBdr>
          <w:left w:val="single" w:sz="36" w:space="4" w:color="2E75B6"/>
        </w:pBdr>
        <w:shd w:val="clear" w:color="auto" w:fill="E3EEF9"/>
        <w:spacing w:before="200" w:after="80"/>
        <w:ind w:left="85"/>
      </w:pPr>
      <w:r>
        <w:rPr>
          <w:i w:val="0"/>
          <w:color w:val="1F3A5F"/>
          <w:sz w:val="23"/>
        </w:rPr>
        <w:t xml:space="preserve">Art. 896</w:t>
      </w:r>
    </w:p>
    <w:p>
      <w:pPr>
        <w:pStyle w:val="FirstParagraph"/>
        <w:spacing w:after="80"/>
        <w:jc w:val="both"/>
      </w:pPr>
      <w:r>
        <w:rPr>
          <w:b/>
          <w:bCs/>
        </w:rPr>
        <w:t xml:space="preserve">Art. 896.</w:t>
      </w:r>
      <w:r>
        <w:t xml:space="preserve"> </w:t>
      </w:r>
      <w:r>
        <w:t xml:space="preserve">Quando o imóvel de incapaz não alcançar em leilão pelo menos oitenta por cento do valor da avaliação, o juiz o confiará à guarda e à administração de depositário idôneo, adiando a alienação por prazo não superior a 1 (um) ano.</w:t>
      </w:r>
    </w:p>
    <w:p>
      <w:pPr>
        <w:pStyle w:val="BodyText"/>
        <w:spacing w:after="80"/>
        <w:jc w:val="both"/>
      </w:pPr>
      <w:r>
        <w:t xml:space="preserve">§ 1º Se, durante o adiamento, algum pretendente assegurar, mediante caução idônea, o preço da avaliação, o juiz ordenará a alienação em leilão.</w:t>
      </w:r>
    </w:p>
    <w:p>
      <w:pPr>
        <w:pStyle w:val="BodyText"/>
        <w:spacing w:after="80"/>
        <w:jc w:val="both"/>
      </w:pPr>
      <w:r>
        <w:t xml:space="preserve">§ 2º Se o pretendente à arrematação se arrepender, o juiz impor-lhe-á multa de vinte por cento sobre o valor da avaliação, em benefício do incapaz, valendo a decisão como título executivo.</w:t>
      </w:r>
    </w:p>
    <w:p>
      <w:pPr>
        <w:pStyle w:val="BodyText"/>
        <w:spacing w:after="80"/>
        <w:jc w:val="both"/>
      </w:pPr>
      <w:r>
        <w:t xml:space="preserve">§ 3º Sem prejuízo do disposto nos §§ 1º e 2º, o juiz poderá autorizar a locação do imóvel no prazo do adiamento.</w:t>
      </w:r>
    </w:p>
    <w:p>
      <w:pPr>
        <w:pStyle w:val="BodyText"/>
        <w:spacing w:after="80"/>
        <w:jc w:val="both"/>
      </w:pPr>
      <w:r>
        <w:t xml:space="preserve">§ 4º Findo o prazo do adiamento, o imóvel será submetido a novo leilão.</w:t>
      </w:r>
    </w:p>
    <w:bookmarkEnd w:id="707"/>
    <w:bookmarkStart w:id="708" w:name="art.-897"/>
    <w:p>
      <w:pPr>
        <w:pStyle w:val="Heading6"/>
        <w:pBdr>
          <w:left w:val="single" w:sz="36" w:space="4" w:color="2E75B6"/>
        </w:pBdr>
        <w:shd w:val="clear" w:color="auto" w:fill="E3EEF9"/>
        <w:spacing w:before="200" w:after="80"/>
        <w:ind w:left="85"/>
      </w:pPr>
      <w:r>
        <w:rPr>
          <w:i w:val="0"/>
          <w:color w:val="1F3A5F"/>
          <w:sz w:val="23"/>
        </w:rPr>
        <w:t xml:space="preserve">Art. 897</w:t>
      </w:r>
    </w:p>
    <w:p>
      <w:pPr>
        <w:pStyle w:val="FirstParagraph"/>
        <w:spacing w:after="80"/>
        <w:jc w:val="both"/>
      </w:pPr>
      <w:r>
        <w:rPr>
          <w:b/>
          <w:bCs/>
        </w:rPr>
        <w:t xml:space="preserve">Art. 897.</w:t>
      </w:r>
      <w:r>
        <w:t xml:space="preserve"> </w:t>
      </w:r>
      <w:r>
        <w:t xml:space="preserve">Se o arrematante ou seu fiador não pagar o preço no prazo estabelecido, o juiz impor-lhe-á, em favor do exequente, a perda da caução, voltando os bens a novo leilão, do qual não serão admitidos a participar o arrematante e o fiador remissos.</w:t>
      </w:r>
    </w:p>
    <w:bookmarkEnd w:id="708"/>
    <w:bookmarkStart w:id="709" w:name="art.-898"/>
    <w:p>
      <w:pPr>
        <w:pStyle w:val="Heading6"/>
        <w:pBdr>
          <w:left w:val="single" w:sz="36" w:space="4" w:color="2E75B6"/>
        </w:pBdr>
        <w:shd w:val="clear" w:color="auto" w:fill="E3EEF9"/>
        <w:spacing w:before="200" w:after="80"/>
        <w:ind w:left="85"/>
      </w:pPr>
      <w:r>
        <w:rPr>
          <w:i w:val="0"/>
          <w:color w:val="1F3A5F"/>
          <w:sz w:val="23"/>
        </w:rPr>
        <w:t xml:space="preserve">Art. 898</w:t>
      </w:r>
    </w:p>
    <w:p>
      <w:pPr>
        <w:pStyle w:val="FirstParagraph"/>
        <w:spacing w:after="80"/>
        <w:jc w:val="both"/>
      </w:pPr>
      <w:r>
        <w:rPr>
          <w:b/>
          <w:bCs/>
        </w:rPr>
        <w:t xml:space="preserve">Art. 898.</w:t>
      </w:r>
      <w:r>
        <w:t xml:space="preserve"> </w:t>
      </w:r>
      <w:r>
        <w:t xml:space="preserve">O fiador do arrematante que pagar o valor do lance e a multa poderá requerer que a arrematação lhe seja transferida.</w:t>
      </w:r>
    </w:p>
    <w:bookmarkEnd w:id="709"/>
    <w:bookmarkStart w:id="710" w:name="art.-899"/>
    <w:p>
      <w:pPr>
        <w:pStyle w:val="Heading6"/>
        <w:pBdr>
          <w:left w:val="single" w:sz="36" w:space="4" w:color="2E75B6"/>
        </w:pBdr>
        <w:shd w:val="clear" w:color="auto" w:fill="E3EEF9"/>
        <w:spacing w:before="200" w:after="80"/>
        <w:ind w:left="85"/>
      </w:pPr>
      <w:r>
        <w:rPr>
          <w:i w:val="0"/>
          <w:color w:val="1F3A5F"/>
          <w:sz w:val="23"/>
        </w:rPr>
        <w:t xml:space="preserve">Art. 899</w:t>
      </w:r>
    </w:p>
    <w:p>
      <w:pPr>
        <w:pStyle w:val="FirstParagraph"/>
        <w:spacing w:after="80"/>
        <w:jc w:val="both"/>
      </w:pPr>
      <w:r>
        <w:rPr>
          <w:b/>
          <w:bCs/>
        </w:rPr>
        <w:t xml:space="preserve">Art. 899.</w:t>
      </w:r>
      <w:r>
        <w:t xml:space="preserve"> </w:t>
      </w:r>
      <w:r>
        <w:t xml:space="preserve">Será suspensa a arrematação logo que o produto da alienação dos bens for suficiente para o pagamento do credor e para a satisfação das despesas da execução.</w:t>
      </w:r>
    </w:p>
    <w:bookmarkEnd w:id="710"/>
    <w:bookmarkStart w:id="711" w:name="art.-900"/>
    <w:p>
      <w:pPr>
        <w:pStyle w:val="Heading6"/>
        <w:pBdr>
          <w:left w:val="single" w:sz="36" w:space="4" w:color="2E75B6"/>
        </w:pBdr>
        <w:shd w:val="clear" w:color="auto" w:fill="E3EEF9"/>
        <w:spacing w:before="200" w:after="80"/>
        <w:ind w:left="85"/>
      </w:pPr>
      <w:r>
        <w:rPr>
          <w:i w:val="0"/>
          <w:color w:val="1F3A5F"/>
          <w:sz w:val="23"/>
        </w:rPr>
        <w:t xml:space="preserve">Art. 900</w:t>
      </w:r>
    </w:p>
    <w:p>
      <w:pPr>
        <w:pStyle w:val="FirstParagraph"/>
        <w:spacing w:after="80"/>
        <w:jc w:val="both"/>
      </w:pPr>
      <w:r>
        <w:rPr>
          <w:b/>
          <w:bCs/>
        </w:rPr>
        <w:t xml:space="preserve">Art. 900.</w:t>
      </w:r>
      <w:r>
        <w:t xml:space="preserve"> </w:t>
      </w:r>
      <w:r>
        <w:t xml:space="preserve">O leilão prosseguirá no dia útil imediato, à mesma hora em que teve início, independentemente de novo edital, se for ultrapassado o horário de expediente forense.</w:t>
      </w:r>
    </w:p>
    <w:bookmarkEnd w:id="711"/>
    <w:bookmarkStart w:id="712" w:name="art.-901"/>
    <w:p>
      <w:pPr>
        <w:pStyle w:val="Heading6"/>
        <w:pBdr>
          <w:left w:val="single" w:sz="36" w:space="4" w:color="2E75B6"/>
        </w:pBdr>
        <w:shd w:val="clear" w:color="auto" w:fill="E3EEF9"/>
        <w:spacing w:before="200" w:after="80"/>
        <w:ind w:left="85"/>
      </w:pPr>
      <w:r>
        <w:rPr>
          <w:i w:val="0"/>
          <w:color w:val="1F3A5F"/>
          <w:sz w:val="23"/>
        </w:rPr>
        <w:t xml:space="preserve">Art. 901</w:t>
      </w:r>
    </w:p>
    <w:p>
      <w:pPr>
        <w:pStyle w:val="FirstParagraph"/>
        <w:spacing w:after="80"/>
        <w:jc w:val="both"/>
      </w:pPr>
      <w:r>
        <w:rPr>
          <w:b/>
          <w:bCs/>
        </w:rPr>
        <w:t xml:space="preserve">Art. 901.</w:t>
      </w:r>
      <w:r>
        <w:t xml:space="preserve"> </w:t>
      </w:r>
      <w:r>
        <w:t xml:space="preserve">A arrematação constará de auto que será lavrado de imediato e poderá abranger bens penhorados em mais de uma execução, nele mencionadas as condições nas quais foi alienado o bem.</w:t>
      </w:r>
    </w:p>
    <w:p>
      <w:pPr>
        <w:pStyle w:val="BodyText"/>
        <w:spacing w:after="80"/>
        <w:jc w:val="both"/>
      </w:pPr>
      <w:r>
        <w:t xml:space="preserve">§ 1º A ordem de entrega do bem móvel ou a carta de arrematação do bem imóvel, com o respectivo mandado de imissão na posse, será expedida depois de efetuado o depósito ou prestadas as garantias pelo arrematante, bem como realizado o pagamento da comissão do leiloeiro e das demais despesas da execução.</w:t>
      </w:r>
    </w:p>
    <w:p>
      <w:pPr>
        <w:pStyle w:val="BodyText"/>
        <w:spacing w:after="80"/>
        <w:jc w:val="both"/>
      </w:pPr>
      <w:r>
        <w:t xml:space="preserve">§ 2º A carta de arrematação conterá a descrição do imóvel, com remissão à sua matrícula ou individuação e aos seus registros, a cópia do auto de arrematação e a prova de pagamento do imposto de transmissão, além da indicação da existência de eventual ônus real ou gravame.</w:t>
      </w:r>
    </w:p>
    <w:bookmarkEnd w:id="712"/>
    <w:bookmarkStart w:id="713" w:name="art.-902"/>
    <w:p>
      <w:pPr>
        <w:pStyle w:val="Heading6"/>
        <w:pBdr>
          <w:left w:val="single" w:sz="36" w:space="4" w:color="2E75B6"/>
        </w:pBdr>
        <w:shd w:val="clear" w:color="auto" w:fill="E3EEF9"/>
        <w:spacing w:before="200" w:after="80"/>
        <w:ind w:left="85"/>
      </w:pPr>
      <w:r>
        <w:rPr>
          <w:i w:val="0"/>
          <w:color w:val="1F3A5F"/>
          <w:sz w:val="23"/>
        </w:rPr>
        <w:t xml:space="preserve">Art. 902</w:t>
      </w:r>
    </w:p>
    <w:p>
      <w:pPr>
        <w:pStyle w:val="FirstParagraph"/>
        <w:spacing w:after="80"/>
        <w:jc w:val="both"/>
      </w:pPr>
      <w:r>
        <w:rPr>
          <w:b/>
          <w:bCs/>
        </w:rPr>
        <w:t xml:space="preserve">Art. 902.</w:t>
      </w:r>
      <w:r>
        <w:t xml:space="preserve"> </w:t>
      </w:r>
      <w:r>
        <w:t xml:space="preserve">No caso de leilão de bem hipotecado, o executado poderá remi-lo até a assinatura do auto de arrematação, oferecendo preço igual ao do maior lance oferecido.</w:t>
      </w:r>
    </w:p>
    <w:p>
      <w:pPr>
        <w:pStyle w:val="BodyText"/>
        <w:spacing w:after="80"/>
        <w:jc w:val="both"/>
      </w:pPr>
      <w:r>
        <w:t xml:space="preserve">Parágrafo único. No caso de falência ou insolvência do devedor hipotecário, o direito de remição previsto no caput defere-se à massa ou aos credores em concurso, não podendo o exequente recusar o preço da avaliação do imóvel.</w:t>
      </w:r>
    </w:p>
    <w:bookmarkEnd w:id="713"/>
    <w:bookmarkStart w:id="714" w:name="art.-903"/>
    <w:p>
      <w:pPr>
        <w:pStyle w:val="Heading6"/>
        <w:pBdr>
          <w:left w:val="single" w:sz="36" w:space="4" w:color="2E75B6"/>
        </w:pBdr>
        <w:shd w:val="clear" w:color="auto" w:fill="E3EEF9"/>
        <w:spacing w:before="200" w:after="80"/>
        <w:ind w:left="85"/>
      </w:pPr>
      <w:r>
        <w:rPr>
          <w:i w:val="0"/>
          <w:color w:val="1F3A5F"/>
          <w:sz w:val="23"/>
        </w:rPr>
        <w:t xml:space="preserve">Art. 903</w:t>
      </w:r>
    </w:p>
    <w:p>
      <w:pPr>
        <w:pStyle w:val="FirstParagraph"/>
        <w:spacing w:after="80"/>
        <w:jc w:val="both"/>
      </w:pPr>
      <w:r>
        <w:rPr>
          <w:b/>
          <w:bCs/>
        </w:rPr>
        <w:t xml:space="preserve">Art. 903.</w:t>
      </w:r>
      <w:r>
        <w:t xml:space="preserve"> </w:t>
      </w:r>
      <w:r>
        <w:t xml:space="preserve">Qualquer que seja a modalidade de leilão, assinado o auto pelo juiz, pelo arrematante e pelo leiloeiro, a arrematação será considerada perfeita, acabada e irretratável, ainda que venham a ser julgados procedentes os embargos do executado ou a ação autônoma de que trata o § 4º deste artigo, assegurada a possibilidade de reparação pelos prejuízos sofridos.</w:t>
      </w:r>
    </w:p>
    <w:p>
      <w:pPr>
        <w:pStyle w:val="BodyText"/>
        <w:spacing w:after="80"/>
        <w:jc w:val="both"/>
      </w:pPr>
      <w:r>
        <w:t xml:space="preserve">§ 1º Ressalvadas outras situações previstas neste Código, a arrematação poderá, no entanto, ser:</w:t>
      </w:r>
    </w:p>
    <w:p>
      <w:pPr>
        <w:pStyle w:val="BodyText"/>
        <w:spacing w:after="80"/>
        <w:jc w:val="both"/>
      </w:pPr>
      <w:r>
        <w:t xml:space="preserve">I - invalidada, quando realizada por preço vil ou com outro vício;</w:t>
      </w:r>
    </w:p>
    <w:p>
      <w:pPr>
        <w:pStyle w:val="BodyText"/>
        <w:spacing w:after="80"/>
        <w:jc w:val="both"/>
      </w:pPr>
      <w:r>
        <w:t xml:space="preserve">II - considerada ineficaz, se não observado o disposto no art. 804;</w:t>
      </w:r>
    </w:p>
    <w:p>
      <w:pPr>
        <w:pStyle w:val="BodyText"/>
        <w:spacing w:after="80"/>
        <w:jc w:val="both"/>
      </w:pPr>
      <w:r>
        <w:t xml:space="preserve">III - resolvida, se não for pago o preço ou se não for prestada a caução.</w:t>
      </w:r>
    </w:p>
    <w:p>
      <w:pPr>
        <w:pStyle w:val="BodyText"/>
        <w:spacing w:after="80"/>
        <w:jc w:val="both"/>
      </w:pPr>
      <w:r>
        <w:t xml:space="preserve">§ 2º O juiz decidirá acerca das situações referidas no § 1º, se for provocado em até 10 (dez) dias após o aperfeiçoamento da arrematação.</w:t>
      </w:r>
    </w:p>
    <w:p>
      <w:pPr>
        <w:pStyle w:val="BodyText"/>
        <w:spacing w:after="80"/>
        <w:jc w:val="both"/>
      </w:pPr>
      <w:r>
        <w:t xml:space="preserve">§ 3º Passado o prazo previsto no § 2º sem que tenha havido alegação de qualquer das situações previstas no § 1º, será expedida a carta de arrematação e, conforme o caso, a ordem de entrega ou mandado de imissão na posse.</w:t>
      </w:r>
    </w:p>
    <w:p>
      <w:pPr>
        <w:pStyle w:val="BodyText"/>
        <w:keepNext/>
        <w:spacing w:after="80"/>
        <w:jc w:val="both"/>
      </w:pPr>
      <w:r>
        <w:t xml:space="preserve">§ 4º Após a expedição da carta de arrematação ou da ordem de entrega, a invalidação da arrematação poderá ser pleiteada por ação autônoma, em cujo processo o arrematante figurará como litisconsorte necessário.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3088"/>
        <w:gridCol w:w="4611"/>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08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61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55"/>
          </w:tcPr>
          <w:p>
            <w:pPr>
              <w:pStyle w:val="Compact"/>
              <w:spacing w:line="276" w:lineRule="auto" w:before="40" w:after="40"/>
            </w:pPr>
            <w:r>
              <w:rPr>
                <w:rFonts w:ascii="Liberation Sans Narrow" w:hAnsi="Liberation Sans Narrow"/>
                <w:sz w:val="18"/>
              </w:rPr>
              <w:t xml:space="preserve">§ 4º — invalidação após a carta de arrematação</w:t>
            </w:r>
          </w:p>
        </w:tc>
        <w:tc>
          <w:tcPr>
            <w:tcW w:type="dxa" w:w="3088"/>
          </w:tcPr>
          <w:p>
            <w:pPr>
              <w:pStyle w:val="Compact"/>
              <w:spacing w:line="276" w:lineRule="auto" w:before="40" w:after="40"/>
            </w:pPr>
            <w:r>
              <w:rPr>
                <w:rFonts w:ascii="Liberation Sans Narrow" w:hAnsi="Liberation Sans Narrow"/>
                <w:sz w:val="18"/>
              </w:rPr>
              <w:t xml:space="preserve">STJ, AgInt nos EDcl no AREsp 2.980.872, Quarta Turma, relatora Min. Maria Isabel Gallotti, julgado em 12/08/2026</w:t>
            </w:r>
          </w:p>
        </w:tc>
        <w:tc>
          <w:tcPr>
            <w:tcW w:type="dxa" w:w="4610"/>
          </w:tcPr>
          <w:p>
            <w:pPr>
              <w:pStyle w:val="Compact"/>
              <w:spacing w:line="276" w:lineRule="auto" w:before="40" w:after="40"/>
            </w:pPr>
            <w:r>
              <w:rPr>
                <w:rFonts w:ascii="Liberation Sans Narrow" w:hAnsi="Liberation Sans Narrow"/>
                <w:sz w:val="18"/>
              </w:rPr>
              <w:t xml:space="preserve">Após a expedição da carta de arrematação, a desconstituição do ato somente pode ser pleiteada por meio de ação autônoma, nos termos do art. 903, § 4º, do CPC, sendo inviável a discussão nos próprios autos da execução.</w:t>
            </w:r>
          </w:p>
        </w:tc>
      </w:tr>
      <w:tr>
        <w:trPr>
          <w:cantSplit/>
        </w:trPr>
        <w:tc>
          <w:tcPr>
            <w:tcW w:type="dxa" w:w="1655"/>
          </w:tcPr>
          <w:p>
            <w:pPr>
              <w:pStyle w:val="Compact"/>
              <w:spacing w:line="276" w:lineRule="auto" w:before="40" w:after="40"/>
            </w:pPr>
            <w:r>
              <w:rPr>
                <w:rFonts w:ascii="Liberation Sans Narrow" w:hAnsi="Liberation Sans Narrow"/>
                <w:sz w:val="18"/>
              </w:rPr>
              <w:t xml:space="preserve">§ 4º — invalidação da arrematação</w:t>
            </w:r>
          </w:p>
        </w:tc>
        <w:tc>
          <w:tcPr>
            <w:tcW w:type="dxa" w:w="3088"/>
          </w:tcPr>
          <w:p>
            <w:pPr>
              <w:pStyle w:val="Compact"/>
              <w:spacing w:line="276" w:lineRule="auto" w:before="40" w:after="40"/>
            </w:pPr>
            <w:r>
              <w:rPr>
                <w:rFonts w:ascii="Liberation Sans Narrow" w:hAnsi="Liberation Sans Narrow"/>
                <w:sz w:val="18"/>
              </w:rPr>
              <w:t xml:space="preserve">STJ, AgInt no AREsp 2.331.515, Primeira Turma, relator Min. Paulo Sérgio Domingues, DJe de 27/02/2025</w:t>
            </w:r>
          </w:p>
        </w:tc>
        <w:tc>
          <w:tcPr>
            <w:tcW w:type="dxa" w:w="4610"/>
          </w:tcPr>
          <w:p>
            <w:pPr>
              <w:pStyle w:val="Compact"/>
              <w:spacing w:line="276" w:lineRule="auto" w:before="40" w:after="40"/>
            </w:pPr>
            <w:r>
              <w:rPr>
                <w:rFonts w:ascii="Liberation Sans Narrow" w:hAnsi="Liberation Sans Narrow"/>
                <w:sz w:val="18"/>
              </w:rPr>
              <w:t xml:space="preserve">Após a expedição da carta de arrematação, a invalidação do ato pode ser pleiteada por ação autônoma, com o arrematante como litisconsorte necessário, e a ação anulatória é admissível também na hipótese do § 1º, I (preço vil ou outro vício), não se limitando à apuração de indenização ao expropriado.</w:t>
            </w:r>
          </w:p>
        </w:tc>
      </w:tr>
    </w:tbl>
    <w:p>
      <w:pPr>
        <w:pStyle w:val="BodyText"/>
        <w:spacing w:after="80"/>
        <w:jc w:val="both"/>
      </w:pPr>
      <w:r>
        <w:t xml:space="preserve">§ 5º O arrematante poderá desistir da arrematação, sendo-lhe imediatamente devolvido o depósito que tiver feito:</w:t>
      </w:r>
    </w:p>
    <w:p>
      <w:pPr>
        <w:pStyle w:val="BodyText"/>
        <w:spacing w:after="80"/>
        <w:jc w:val="both"/>
      </w:pPr>
      <w:r>
        <w:t xml:space="preserve">I - se provar, nos 10 (dez) dias seguintes, a existência de ônus real ou gravame não mencionado no edital;</w:t>
      </w:r>
    </w:p>
    <w:p>
      <w:pPr>
        <w:pStyle w:val="BodyText"/>
        <w:spacing w:after="80"/>
        <w:jc w:val="both"/>
      </w:pPr>
      <w:r>
        <w:t xml:space="preserve">II - se, antes de expedida a carta de arrematação ou a ordem de entrega, o executado alegar alguma das situações previstas no § 1º ;</w:t>
      </w:r>
    </w:p>
    <w:p>
      <w:pPr>
        <w:pStyle w:val="BodyText"/>
        <w:spacing w:after="80"/>
        <w:jc w:val="both"/>
      </w:pPr>
      <w:r>
        <w:t xml:space="preserve">III - uma vez citado para responder a ação autônoma de que trata o § 4º deste artigo, desde que apresente a desistência no prazo de que dispõe para responder a essa ação.</w:t>
      </w:r>
    </w:p>
    <w:p>
      <w:pPr>
        <w:pStyle w:val="BodyText"/>
        <w:spacing w:after="80"/>
        <w:jc w:val="both"/>
      </w:pPr>
      <w:r>
        <w:t xml:space="preserve">§ 6º Considera-se ato atentatório à dignidade da justiça a suscitação infundada de vício com o objetivo de ensejar a desistência do arrematante, devendo o suscitante ser condenado, sem prejuízo da responsabilidade por perdas e danos, ao pagamento de multa, a ser fixada pelo juiz e devida ao exequente, em montante não superior a vinte por cento do valor atualizado do bem.</w:t>
      </w:r>
    </w:p>
    <w:bookmarkEnd w:id="714"/>
    <w:bookmarkEnd w:id="715"/>
    <w:bookmarkStart w:id="722" w:name="Xec800881025364dfefa1e79f68d8b19b5e4ee80"/>
    <w:p>
      <w:pPr>
        <w:pStyle w:val="Heading5"/>
        <w:spacing w:before="140" w:after="20"/>
      </w:pPr>
      <w:r>
        <w:rPr>
          <w:i/>
          <w:color w:val="595959"/>
        </w:rPr>
        <w:t xml:space="preserve">Seção V: da satisfação do crédito (arts. 904 a 909)</w:t>
      </w:r>
    </w:p>
    <w:bookmarkStart w:id="716" w:name="art.-904"/>
    <w:p>
      <w:pPr>
        <w:pStyle w:val="Heading6"/>
        <w:pBdr>
          <w:left w:val="single" w:sz="36" w:space="4" w:color="2E75B6"/>
        </w:pBdr>
        <w:shd w:val="clear" w:color="auto" w:fill="E3EEF9"/>
        <w:spacing w:before="200" w:after="80"/>
        <w:ind w:left="85"/>
      </w:pPr>
      <w:r>
        <w:rPr>
          <w:i w:val="0"/>
          <w:color w:val="1F3A5F"/>
          <w:sz w:val="23"/>
        </w:rPr>
        <w:t xml:space="preserve">Art. 904</w:t>
      </w:r>
    </w:p>
    <w:p>
      <w:pPr>
        <w:pStyle w:val="FirstParagraph"/>
        <w:spacing w:after="80"/>
        <w:jc w:val="both"/>
      </w:pPr>
      <w:r>
        <w:rPr>
          <w:b/>
          <w:bCs/>
        </w:rPr>
        <w:t xml:space="preserve">Art. 904.</w:t>
      </w:r>
      <w:r>
        <w:t xml:space="preserve"> </w:t>
      </w:r>
      <w:r>
        <w:t xml:space="preserve">A satisfação do crédito exequendo far-se-á:</w:t>
      </w:r>
    </w:p>
    <w:p>
      <w:pPr>
        <w:pStyle w:val="BodyText"/>
        <w:keepNext/>
        <w:spacing w:after="80"/>
        <w:jc w:val="both"/>
      </w:pPr>
      <w:r>
        <w:t xml:space="preserve">I - pela entrega do dinheiro;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2532"/>
        <w:gridCol w:w="5292"/>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3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29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I — satisfação pela entrega do dinheiro</w:t>
            </w:r>
          </w:p>
        </w:tc>
        <w:tc>
          <w:tcPr>
            <w:tcW w:type="dxa" w:w="2532"/>
          </w:tcPr>
          <w:p>
            <w:pPr>
              <w:pStyle w:val="Compact"/>
              <w:spacing w:line="276" w:lineRule="auto" w:before="40" w:after="40"/>
            </w:pPr>
            <w:r>
              <w:rPr>
                <w:rFonts w:ascii="Liberation Sans Narrow" w:hAnsi="Liberation Sans Narrow"/>
                <w:sz w:val="18"/>
              </w:rPr>
              <w:t xml:space="preserve">STJ, AREsp 3.001.994, Terceira Turma, relatora Min. Nancy Andrighi, julgado em 02/03/2026</w:t>
            </w:r>
          </w:p>
        </w:tc>
        <w:tc>
          <w:tcPr>
            <w:tcW w:type="dxa" w:w="5292"/>
          </w:tcPr>
          <w:p>
            <w:pPr>
              <w:pStyle w:val="Compact"/>
              <w:spacing w:line="276" w:lineRule="auto" w:before="40" w:after="40"/>
            </w:pPr>
            <w:r>
              <w:rPr>
                <w:rFonts w:ascii="Liberation Sans Narrow" w:hAnsi="Liberation Sans Narrow"/>
                <w:sz w:val="18"/>
              </w:rPr>
              <w:t xml:space="preserve">Na execução, o depósito efetuado a título de garantia do juízo ou decorrente da penhora de ativos financeiros não isenta o devedor do pagamento dos consectários de sua mora previstos no título executivo, devendo-se, quando da efetiva entrega do dinheiro ao credor, deduzir do montante final devido o saldo da conta judicial (Tema 677).</w:t>
            </w:r>
          </w:p>
        </w:tc>
      </w:tr>
    </w:tbl>
    <w:p>
      <w:pPr>
        <w:pStyle w:val="BodyText"/>
        <w:spacing w:after="80"/>
        <w:jc w:val="both"/>
      </w:pPr>
      <w:r>
        <w:t xml:space="preserve">II - pela adjudicação dos bens penhorados.</w:t>
      </w:r>
    </w:p>
    <w:bookmarkEnd w:id="716"/>
    <w:bookmarkStart w:id="717" w:name="art.-905"/>
    <w:p>
      <w:pPr>
        <w:pStyle w:val="Heading6"/>
        <w:pBdr>
          <w:left w:val="single" w:sz="36" w:space="4" w:color="2E75B6"/>
        </w:pBdr>
        <w:shd w:val="clear" w:color="auto" w:fill="E3EEF9"/>
        <w:spacing w:before="200" w:after="80"/>
        <w:ind w:left="85"/>
      </w:pPr>
      <w:r>
        <w:rPr>
          <w:i w:val="0"/>
          <w:color w:val="1F3A5F"/>
          <w:sz w:val="23"/>
        </w:rPr>
        <w:t xml:space="preserve">Art. 905</w:t>
      </w:r>
    </w:p>
    <w:p>
      <w:pPr>
        <w:pStyle w:val="FirstParagraph"/>
        <w:spacing w:after="80"/>
        <w:jc w:val="both"/>
      </w:pPr>
      <w:r>
        <w:rPr>
          <w:b/>
          <w:bCs/>
        </w:rPr>
        <w:t xml:space="preserve">Art. 905.</w:t>
      </w:r>
      <w:r>
        <w:t xml:space="preserve"> </w:t>
      </w:r>
      <w:r>
        <w:t xml:space="preserve">O juiz autorizará que o exequente levante, até a satisfação integral de seu crédito, o dinheiro depositado para segurar o juízo ou o produto dos bens alienados, bem como do faturamento de empresa ou de outros frutos e rendimentos de coisas ou empresas penhoradas, quando:</w:t>
      </w:r>
    </w:p>
    <w:p>
      <w:pPr>
        <w:pStyle w:val="BodyText"/>
        <w:spacing w:after="80"/>
        <w:jc w:val="both"/>
      </w:pPr>
      <w:r>
        <w:t xml:space="preserve">I - a execução for movida só a benefício do exequente singular, a quem, por força da penhora, cabe o direito de preferência sobre os bens penhorados e alienados;</w:t>
      </w:r>
    </w:p>
    <w:p>
      <w:pPr>
        <w:pStyle w:val="BodyText"/>
        <w:spacing w:after="80"/>
        <w:jc w:val="both"/>
      </w:pPr>
      <w:r>
        <w:t xml:space="preserve">II - não houver sobre os bens alienados outros privilégios ou preferências instituídos anteriormente à penhora.</w:t>
      </w:r>
    </w:p>
    <w:p>
      <w:pPr>
        <w:pStyle w:val="BodyText"/>
        <w:spacing w:after="80"/>
        <w:jc w:val="both"/>
      </w:pPr>
      <w:r>
        <w:t xml:space="preserve">Parágrafo único. Durante o plantão judiciário, veda-se a concessão de pedidos de levantamento de importância em dinheiro ou valores ou de liberação de bens apreendidos.</w:t>
      </w:r>
    </w:p>
    <w:bookmarkEnd w:id="717"/>
    <w:bookmarkStart w:id="718" w:name="art.-906"/>
    <w:p>
      <w:pPr>
        <w:pStyle w:val="Heading6"/>
        <w:pBdr>
          <w:left w:val="single" w:sz="36" w:space="4" w:color="2E75B6"/>
        </w:pBdr>
        <w:shd w:val="clear" w:color="auto" w:fill="E3EEF9"/>
        <w:spacing w:before="200" w:after="80"/>
        <w:ind w:left="85"/>
      </w:pPr>
      <w:r>
        <w:rPr>
          <w:i w:val="0"/>
          <w:color w:val="1F3A5F"/>
          <w:sz w:val="23"/>
        </w:rPr>
        <w:t xml:space="preserve">Art. 906</w:t>
      </w:r>
    </w:p>
    <w:p>
      <w:pPr>
        <w:pStyle w:val="FirstParagraph"/>
        <w:keepNext/>
        <w:spacing w:after="80"/>
        <w:jc w:val="both"/>
      </w:pPr>
      <w:r>
        <w:rPr>
          <w:b/>
          <w:bCs/>
        </w:rPr>
        <w:t xml:space="preserve">Art. 906.</w:t>
      </w:r>
      <w:r>
        <w:t xml:space="preserve"> </w:t>
      </w:r>
      <w:r>
        <w:t xml:space="preserve">Ao receber o mandado de levantamento, o exequente dará ao executado, por termo nos autos, quitação da quantia paga.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95"/>
        <w:gridCol w:w="2574"/>
        <w:gridCol w:w="5185"/>
      </w:tblGrid>
      <w:tr>
        <w:trPr>
          <w:tblHeader w:val="on"/>
          <w:cantSplit/>
          <w:tblHeader/>
        </w:trPr>
        <w:tc>
          <w:tcPr>
            <w:tcW w:type="dxa" w:w="159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7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18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95"/>
          </w:tcPr>
          <w:p>
            <w:pPr>
              <w:pStyle w:val="Compact"/>
              <w:spacing w:line="276" w:lineRule="auto" w:before="40" w:after="40"/>
            </w:pPr>
            <w:r>
              <w:rPr>
                <w:rFonts w:ascii="Liberation Sans Narrow" w:hAnsi="Liberation Sans Narrow"/>
                <w:sz w:val="18"/>
              </w:rPr>
              <w:t xml:space="preserve">Caput — quitação da quantia paga ao exequente</w:t>
            </w:r>
          </w:p>
        </w:tc>
        <w:tc>
          <w:tcPr>
            <w:tcW w:type="dxa" w:w="2574"/>
          </w:tcPr>
          <w:p>
            <w:pPr>
              <w:pStyle w:val="Compact"/>
              <w:spacing w:line="276" w:lineRule="auto" w:before="40" w:after="40"/>
            </w:pPr>
            <w:r>
              <w:rPr>
                <w:rFonts w:ascii="Liberation Sans Narrow" w:hAnsi="Liberation Sans Narrow"/>
                <w:sz w:val="18"/>
              </w:rPr>
              <w:t xml:space="preserve">STJ, REsp 2.167.656, Quarta Turma, relator Min. João Otávio de Noronha, julgado em 09/03/2026</w:t>
            </w:r>
          </w:p>
        </w:tc>
        <w:tc>
          <w:tcPr>
            <w:tcW w:type="dxa" w:w="5185"/>
          </w:tcPr>
          <w:p>
            <w:pPr>
              <w:pStyle w:val="Compact"/>
              <w:spacing w:line="276" w:lineRule="auto" w:before="40" w:after="40"/>
            </w:pPr>
            <w:r>
              <w:rPr>
                <w:rFonts w:ascii="Liberation Sans Narrow" w:hAnsi="Liberation Sans Narrow"/>
                <w:sz w:val="18"/>
              </w:rPr>
              <w:t xml:space="preserve">A satisfação do crédito e a quitação exigem a entrega do numerário ao credor ou o mandado de levantamento; o simples depósito judicial não quita a obrigação nem faz cessar os consectários da mora, que incidem até a efetiva disponibilização dos valores (Tema 677).</w:t>
            </w:r>
          </w:p>
        </w:tc>
      </w:tr>
    </w:tbl>
    <w:p>
      <w:pPr>
        <w:pStyle w:val="BodyText"/>
        <w:spacing w:after="80"/>
        <w:jc w:val="both"/>
      </w:pPr>
      <w:r>
        <w:t xml:space="preserve">Parágrafo único. A expedição de mandado de levantamento poderá ser substituída pela transferência eletrônica do valor depositado em conta vinculada ao juízo para outra indicada pelo exequente.</w:t>
      </w:r>
    </w:p>
    <w:bookmarkEnd w:id="718"/>
    <w:bookmarkStart w:id="719" w:name="art.-907"/>
    <w:p>
      <w:pPr>
        <w:pStyle w:val="Heading6"/>
        <w:pBdr>
          <w:left w:val="single" w:sz="36" w:space="4" w:color="2E75B6"/>
        </w:pBdr>
        <w:shd w:val="clear" w:color="auto" w:fill="E3EEF9"/>
        <w:spacing w:before="200" w:after="80"/>
        <w:ind w:left="85"/>
      </w:pPr>
      <w:r>
        <w:rPr>
          <w:i w:val="0"/>
          <w:color w:val="1F3A5F"/>
          <w:sz w:val="23"/>
        </w:rPr>
        <w:t xml:space="preserve">Art. 907</w:t>
      </w:r>
    </w:p>
    <w:p>
      <w:pPr>
        <w:pStyle w:val="FirstParagraph"/>
        <w:spacing w:after="80"/>
        <w:jc w:val="both"/>
      </w:pPr>
      <w:r>
        <w:rPr>
          <w:b/>
          <w:bCs/>
        </w:rPr>
        <w:t xml:space="preserve">Art. 907.</w:t>
      </w:r>
      <w:r>
        <w:t xml:space="preserve"> </w:t>
      </w:r>
      <w:r>
        <w:t xml:space="preserve">Pago ao exequente o principal, os juros, as custas e os honorários, a importância que sobrar será restituída ao executado.</w:t>
      </w:r>
    </w:p>
    <w:bookmarkEnd w:id="719"/>
    <w:bookmarkStart w:id="720" w:name="art.-908"/>
    <w:p>
      <w:pPr>
        <w:pStyle w:val="Heading6"/>
        <w:pBdr>
          <w:left w:val="single" w:sz="36" w:space="4" w:color="2E75B6"/>
        </w:pBdr>
        <w:shd w:val="clear" w:color="auto" w:fill="E3EEF9"/>
        <w:spacing w:before="200" w:after="80"/>
        <w:ind w:left="85"/>
      </w:pPr>
      <w:r>
        <w:rPr>
          <w:i w:val="0"/>
          <w:color w:val="1F3A5F"/>
          <w:sz w:val="23"/>
        </w:rPr>
        <w:t xml:space="preserve">Art. 908</w:t>
      </w:r>
    </w:p>
    <w:p>
      <w:pPr>
        <w:pStyle w:val="FirstParagraph"/>
        <w:spacing w:after="80"/>
        <w:jc w:val="both"/>
      </w:pPr>
      <w:r>
        <w:rPr>
          <w:b/>
          <w:bCs/>
        </w:rPr>
        <w:t xml:space="preserve">Art. 908.</w:t>
      </w:r>
      <w:r>
        <w:t xml:space="preserve"> </w:t>
      </w:r>
      <w:r>
        <w:t xml:space="preserve">Havendo pluralidade de credores ou exequentes, o dinheiro lhes será distribuído e entregue consoante a ordem das respectivas preferências.</w:t>
      </w:r>
    </w:p>
    <w:p>
      <w:pPr>
        <w:pStyle w:val="BodyText"/>
        <w:spacing w:after="80"/>
        <w:jc w:val="both"/>
      </w:pPr>
      <w:r>
        <w:t xml:space="preserve">§ 1º No caso de adjudicação ou alienação, os créditos que recaem sobre o bem, inclusive os de natureza propter rem , sub-rogam-se sobre o respectivo preço, observada a ordem de preferência.</w:t>
      </w:r>
    </w:p>
    <w:p>
      <w:pPr>
        <w:pStyle w:val="BodyText"/>
        <w:keepNext/>
        <w:spacing w:after="80"/>
        <w:jc w:val="both"/>
      </w:pPr>
      <w:r>
        <w:t xml:space="preserve">§ 2º Não havendo título legal à preferência, o dinheiro será distribuído entre os concorrentes, observando-se a anterioridade de cada penhora.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2910"/>
        <w:gridCol w:w="4540"/>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91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54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 2º — anterioridade da penhora</w:t>
            </w:r>
          </w:p>
        </w:tc>
        <w:tc>
          <w:tcPr>
            <w:tcW w:type="dxa" w:w="2910"/>
          </w:tcPr>
          <w:p>
            <w:pPr>
              <w:pStyle w:val="Compact"/>
              <w:spacing w:line="276" w:lineRule="auto" w:before="40" w:after="40"/>
            </w:pPr>
            <w:r>
              <w:rPr>
                <w:rFonts w:ascii="Liberation Sans Narrow" w:hAnsi="Liberation Sans Narrow"/>
                <w:sz w:val="18"/>
              </w:rPr>
              <w:t xml:space="preserve">STJ, AgInt no REsp 2.251.445, Terceira Turma, relator Min. Humberto Martins, julgado em 15/06/2026, DJEN de 18/06/2026</w:t>
            </w:r>
          </w:p>
        </w:tc>
        <w:tc>
          <w:tcPr>
            <w:tcW w:type="dxa" w:w="4540"/>
          </w:tcPr>
          <w:p>
            <w:pPr>
              <w:pStyle w:val="Compact"/>
              <w:spacing w:line="276" w:lineRule="auto" w:before="40" w:after="40"/>
            </w:pPr>
            <w:r>
              <w:rPr>
                <w:rFonts w:ascii="Liberation Sans Narrow" w:hAnsi="Liberation Sans Narrow"/>
                <w:sz w:val="18"/>
              </w:rPr>
              <w:t xml:space="preserve">Havendo pluralidade de penhoras sobre o mesmo bem, impõe-se o concurso de credores com observância da ordem de preferência definida pela anterioridade de cada constrição; a dação em pagamento ajustada entre o devedor e um credor não prevalece em prejuízo do credor concorrente.</w:t>
            </w:r>
          </w:p>
        </w:tc>
      </w:tr>
      <w:tr>
        <w:trPr>
          <w:cantSplit/>
        </w:trPr>
        <w:tc>
          <w:tcPr>
            <w:tcW w:type="dxa" w:w="1905"/>
          </w:tcPr>
          <w:p>
            <w:pPr>
              <w:pStyle w:val="Compact"/>
              <w:spacing w:line="276" w:lineRule="auto" w:before="40" w:after="40"/>
            </w:pPr>
            <w:r>
              <w:rPr>
                <w:rFonts w:ascii="Liberation Sans Narrow" w:hAnsi="Liberation Sans Narrow"/>
                <w:sz w:val="18"/>
              </w:rPr>
              <w:t xml:space="preserve">§ 2º — preferência pela anterioridade da penhora</w:t>
            </w:r>
          </w:p>
        </w:tc>
        <w:tc>
          <w:tcPr>
            <w:tcW w:type="dxa" w:w="2910"/>
          </w:tcPr>
          <w:p>
            <w:pPr>
              <w:pStyle w:val="Compact"/>
              <w:spacing w:line="276" w:lineRule="auto" w:before="40" w:after="40"/>
            </w:pPr>
            <w:r>
              <w:rPr>
                <w:rFonts w:ascii="Liberation Sans Narrow" w:hAnsi="Liberation Sans Narrow"/>
                <w:sz w:val="18"/>
              </w:rPr>
              <w:t xml:space="preserve">STJ, AREsp 3.107.679, Terceira Turma, relator Min. Moura Ribeiro, julgado em 25/05/2026</w:t>
            </w:r>
          </w:p>
        </w:tc>
        <w:tc>
          <w:tcPr>
            <w:tcW w:type="dxa" w:w="4540"/>
          </w:tcPr>
          <w:p>
            <w:pPr>
              <w:pStyle w:val="Compact"/>
              <w:spacing w:line="276" w:lineRule="auto" w:before="40" w:after="40"/>
            </w:pPr>
            <w:r>
              <w:rPr>
                <w:rFonts w:ascii="Liberation Sans Narrow" w:hAnsi="Liberation Sans Narrow"/>
                <w:sz w:val="18"/>
              </w:rPr>
              <w:t xml:space="preserve">A preferência no concurso particular de credores decorre da primeira lavratura do ato constritivo nos autos, e não da averbação no registro imobiliário; a publicidade conferida pelo registro protege terceiros de boa-fé, mas não constitui condição para o direito de preferência entre credores concorrentes.</w:t>
            </w:r>
          </w:p>
        </w:tc>
      </w:tr>
    </w:tbl>
    <w:bookmarkEnd w:id="720"/>
    <w:bookmarkStart w:id="721" w:name="art.-909"/>
    <w:p>
      <w:pPr>
        <w:pStyle w:val="Heading6"/>
        <w:pBdr>
          <w:left w:val="single" w:sz="36" w:space="4" w:color="2E75B6"/>
        </w:pBdr>
        <w:shd w:val="clear" w:color="auto" w:fill="E3EEF9"/>
        <w:spacing w:before="200" w:after="80"/>
        <w:ind w:left="85"/>
      </w:pPr>
      <w:r>
        <w:rPr>
          <w:i w:val="0"/>
          <w:color w:val="1F3A5F"/>
          <w:sz w:val="23"/>
        </w:rPr>
        <w:t xml:space="preserve">Art. 909</w:t>
      </w:r>
    </w:p>
    <w:p>
      <w:pPr>
        <w:pStyle w:val="FirstParagraph"/>
        <w:spacing w:after="80"/>
        <w:jc w:val="both"/>
      </w:pPr>
      <w:r>
        <w:rPr>
          <w:b/>
          <w:bCs/>
        </w:rPr>
        <w:t xml:space="preserve">Art. 909.</w:t>
      </w:r>
      <w:r>
        <w:t xml:space="preserve"> </w:t>
      </w:r>
      <w:r>
        <w:t xml:space="preserve">Os exequentes formularão as suas pretensões, que versarão unicamente sobre o direito de preferência e a anterioridade da penhora, e, apresentadas as razões, o juiz decidirá.</w:t>
      </w:r>
    </w:p>
    <w:bookmarkEnd w:id="721"/>
    <w:bookmarkEnd w:id="722"/>
    <w:bookmarkEnd w:id="723"/>
    <w:bookmarkStart w:id="725" w:name="Xf3918c542126c851d7eb8336ee5013b15d40120"/>
    <w:p>
      <w:pPr>
        <w:pStyle w:val="Heading4"/>
        <w:spacing w:before="160" w:after="40"/>
      </w:pPr>
      <w:r>
        <w:rPr>
          <w:smallCaps/>
          <w:color w:val="2E75B6"/>
        </w:rPr>
        <w:t xml:space="preserve">Capítulo V: da execução contra a fazenda pública (arts. 910)</w:t>
      </w:r>
    </w:p>
    <w:bookmarkStart w:id="724" w:name="art.-910"/>
    <w:p>
      <w:pPr>
        <w:pStyle w:val="Heading6"/>
        <w:pBdr>
          <w:left w:val="single" w:sz="36" w:space="4" w:color="2E75B6"/>
        </w:pBdr>
        <w:shd w:val="clear" w:color="auto" w:fill="E3EEF9"/>
        <w:spacing w:before="200" w:after="80"/>
        <w:ind w:left="85"/>
      </w:pPr>
      <w:r>
        <w:rPr>
          <w:i w:val="0"/>
          <w:color w:val="1F3A5F"/>
          <w:sz w:val="23"/>
        </w:rPr>
        <w:t xml:space="preserve">Art. 910</w:t>
      </w:r>
    </w:p>
    <w:p>
      <w:pPr>
        <w:pStyle w:val="FirstParagraph"/>
        <w:keepNext/>
        <w:spacing w:after="80"/>
        <w:jc w:val="both"/>
      </w:pPr>
      <w:r>
        <w:rPr>
          <w:b/>
          <w:bCs/>
        </w:rPr>
        <w:t xml:space="preserve">Art. 910.</w:t>
      </w:r>
      <w:r>
        <w:t xml:space="preserve"> </w:t>
      </w:r>
      <w:r>
        <w:t xml:space="preserve">Na execução fundada em título extrajudicial, a Fazenda Pública será citada para opor embargos em 30 (trinta) dias.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3057"/>
        <w:gridCol w:w="4766"/>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05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6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Caput — execução contra a Fazenda Pública</w:t>
            </w:r>
          </w:p>
        </w:tc>
        <w:tc>
          <w:tcPr>
            <w:tcW w:type="dxa" w:w="3058"/>
          </w:tcPr>
          <w:p>
            <w:pPr>
              <w:pStyle w:val="Compact"/>
              <w:spacing w:line="276" w:lineRule="auto" w:before="40" w:after="40"/>
            </w:pPr>
            <w:r>
              <w:rPr>
                <w:rFonts w:ascii="Liberation Sans Narrow" w:hAnsi="Liberation Sans Narrow"/>
                <w:sz w:val="18"/>
              </w:rPr>
              <w:t xml:space="preserve">STJ, AgInt no REsp 1.877.544, Segunda Turma, relator Min. Francisco Falcão, julgado em 21/11/2023, DJe de 24/11/2023</w:t>
            </w:r>
          </w:p>
        </w:tc>
        <w:tc>
          <w:tcPr>
            <w:tcW w:type="dxa" w:w="4766"/>
          </w:tcPr>
          <w:p>
            <w:pPr>
              <w:pStyle w:val="Compact"/>
              <w:spacing w:line="276" w:lineRule="auto" w:before="40" w:after="40"/>
            </w:pPr>
            <w:r>
              <w:rPr>
                <w:rFonts w:ascii="Liberation Sans Narrow" w:hAnsi="Liberation Sans Narrow"/>
                <w:sz w:val="18"/>
              </w:rPr>
              <w:t xml:space="preserve">Na execução de título extrajudicial contra a Fazenda Pública, a verba honorária inicial segue a regra própria do art. 827, e não a do art. 85, § 3º, afastada a disciplina geral dos honorários contra a Fazenda.</w:t>
            </w:r>
          </w:p>
        </w:tc>
      </w:tr>
    </w:tbl>
    <w:p>
      <w:pPr>
        <w:pStyle w:val="BodyText"/>
        <w:spacing w:after="80"/>
        <w:jc w:val="both"/>
      </w:pPr>
      <w:r>
        <w:t xml:space="preserve">§ 1º Não opostos embargos ou transitada em julgado a decisão que os rejeitar, expedir-se-á precatório ou requisição de pequeno valor em favor do exequente, observando-se o disposto no art. 100 da Constituição Federal.</w:t>
      </w:r>
    </w:p>
    <w:p>
      <w:pPr>
        <w:pStyle w:val="BodyText"/>
        <w:spacing w:after="80"/>
        <w:jc w:val="both"/>
      </w:pPr>
      <w:r>
        <w:t xml:space="preserve">§ 2º Nos embargos, a Fazenda Pública poderá alegar qualquer matéria que lhe seria lícito deduzir como defesa no processo de conhecimento.</w:t>
      </w:r>
    </w:p>
    <w:p>
      <w:pPr>
        <w:pStyle w:val="BodyText"/>
        <w:spacing w:after="80"/>
        <w:jc w:val="both"/>
      </w:pPr>
      <w:r>
        <w:t xml:space="preserve">§ 3º Aplica-se a este Capítulo, no que couber, o disposto nos artigos 534 e 535.</w:t>
      </w:r>
    </w:p>
    <w:bookmarkEnd w:id="724"/>
    <w:bookmarkEnd w:id="725"/>
    <w:bookmarkStart w:id="729" w:name="X473d3d4a1944b65a75f70c173b7405f3d54d076"/>
    <w:p>
      <w:pPr>
        <w:pStyle w:val="Heading4"/>
        <w:spacing w:before="160" w:after="40"/>
      </w:pPr>
      <w:r>
        <w:rPr>
          <w:smallCaps/>
          <w:color w:val="2E75B6"/>
        </w:rPr>
        <w:t xml:space="preserve">Capítulo VI: da execução de alimentos (arts. 911 a 913)</w:t>
      </w:r>
    </w:p>
    <w:bookmarkStart w:id="726" w:name="art.-911"/>
    <w:p>
      <w:pPr>
        <w:pStyle w:val="Heading6"/>
        <w:pBdr>
          <w:left w:val="single" w:sz="36" w:space="4" w:color="2E75B6"/>
        </w:pBdr>
        <w:shd w:val="clear" w:color="auto" w:fill="E3EEF9"/>
        <w:spacing w:before="200" w:after="80"/>
        <w:ind w:left="85"/>
      </w:pPr>
      <w:r>
        <w:rPr>
          <w:i w:val="0"/>
          <w:color w:val="1F3A5F"/>
          <w:sz w:val="23"/>
        </w:rPr>
        <w:t xml:space="preserve">Art. 911</w:t>
      </w:r>
    </w:p>
    <w:p>
      <w:pPr>
        <w:pStyle w:val="FirstParagraph"/>
        <w:keepNext/>
        <w:spacing w:after="80"/>
        <w:jc w:val="both"/>
      </w:pPr>
      <w:r>
        <w:rPr>
          <w:b/>
          <w:bCs/>
        </w:rPr>
        <w:t xml:space="preserve">Art. 911.</w:t>
      </w:r>
      <w:r>
        <w:t xml:space="preserve"> </w:t>
      </w:r>
      <w:r>
        <w:t xml:space="preserve">Na execução fundada em título executivo extrajudicial que contenha obrigação alimentar, o juiz mandará citar o executado para, em 3 (três) dias, efetuar o pagamento das parcelas anteriores ao início da execução e das que se vencerem no seu curso, provar que o fez ou justificar a impossibilidade de fazê-lo.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2896"/>
        <w:gridCol w:w="4928"/>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9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928"/>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Caput — execução de alimentos</w:t>
            </w:r>
          </w:p>
        </w:tc>
        <w:tc>
          <w:tcPr>
            <w:tcW w:type="dxa" w:w="2896"/>
          </w:tcPr>
          <w:p>
            <w:pPr>
              <w:pStyle w:val="Compact"/>
              <w:spacing w:line="276" w:lineRule="auto" w:before="40" w:after="40"/>
            </w:pPr>
            <w:r>
              <w:rPr>
                <w:rFonts w:ascii="Liberation Sans Narrow" w:hAnsi="Liberation Sans Narrow"/>
                <w:sz w:val="18"/>
              </w:rPr>
              <w:t xml:space="preserve">STJ, REsp 1.903.596, Quarta Turma, relator Min. Raul Araújo, julgado em 17/03/2026, DJEN de 02/06/2026</w:t>
            </w:r>
          </w:p>
        </w:tc>
        <w:tc>
          <w:tcPr>
            <w:tcW w:type="dxa" w:w="4928"/>
          </w:tcPr>
          <w:p>
            <w:pPr>
              <w:pStyle w:val="Compact"/>
              <w:spacing w:line="276" w:lineRule="auto" w:before="40" w:after="40"/>
            </w:pPr>
            <w:r>
              <w:rPr>
                <w:rFonts w:ascii="Liberation Sans Narrow" w:hAnsi="Liberation Sans Narrow"/>
                <w:sz w:val="18"/>
              </w:rPr>
              <w:t xml:space="preserve">As regras dos arts. 523 e 827 aplicam-se analogicamente à execução de alimentos por título extrajudicial, para a fixação dos honorários sucumbenciais, dada a omissão legal (art. 4º da Lei de Introdução).</w:t>
            </w:r>
          </w:p>
        </w:tc>
      </w:tr>
    </w:tbl>
    <w:p>
      <w:pPr>
        <w:pStyle w:val="BodyText"/>
        <w:spacing w:after="80"/>
        <w:jc w:val="both"/>
      </w:pPr>
      <w:r>
        <w:t xml:space="preserve">Parágrafo único. Aplicam-se, no que couber, os §§ 2º a 7º do art. 528.</w:t>
      </w:r>
    </w:p>
    <w:bookmarkEnd w:id="726"/>
    <w:bookmarkStart w:id="727" w:name="art.-912"/>
    <w:p>
      <w:pPr>
        <w:pStyle w:val="Heading6"/>
        <w:pBdr>
          <w:left w:val="single" w:sz="36" w:space="4" w:color="2E75B6"/>
        </w:pBdr>
        <w:shd w:val="clear" w:color="auto" w:fill="E3EEF9"/>
        <w:spacing w:before="200" w:after="80"/>
        <w:ind w:left="85"/>
      </w:pPr>
      <w:r>
        <w:rPr>
          <w:i w:val="0"/>
          <w:color w:val="1F3A5F"/>
          <w:sz w:val="23"/>
        </w:rPr>
        <w:t xml:space="preserve">Art. 912</w:t>
      </w:r>
    </w:p>
    <w:p>
      <w:pPr>
        <w:pStyle w:val="FirstParagraph"/>
        <w:spacing w:after="80"/>
        <w:jc w:val="both"/>
      </w:pPr>
      <w:r>
        <w:rPr>
          <w:b/>
          <w:bCs/>
        </w:rPr>
        <w:t xml:space="preserve">Art. 912.</w:t>
      </w:r>
      <w:r>
        <w:t xml:space="preserve"> </w:t>
      </w:r>
      <w:r>
        <w:t xml:space="preserve">Quando o executado for funcionário público, militar, diretor ou gerente de empresa, bem como empregado sujeito à legislação do trabalho, o exequente poderá requerer o desconto em folha de pagamento de pessoal da importância da prestação alimentícia.</w:t>
      </w:r>
    </w:p>
    <w:p>
      <w:pPr>
        <w:pStyle w:val="BodyText"/>
        <w:spacing w:after="80"/>
        <w:jc w:val="both"/>
      </w:pPr>
      <w:r>
        <w:t xml:space="preserve">§ 1º Ao despachar a inicial, o juiz oficiará à autoridade, à empresa ou ao empregador, determinando, sob pena de crime de desobediência, o desconto a partir da primeira remuneração posterior do executado, a contar do protocolo do ofício.</w:t>
      </w:r>
    </w:p>
    <w:p>
      <w:pPr>
        <w:pStyle w:val="BodyText"/>
        <w:spacing w:after="80"/>
        <w:jc w:val="both"/>
      </w:pPr>
      <w:r>
        <w:t xml:space="preserve">§ 2º O ofício conterá os nomes e o número de inscrição no Cadastro de Pessoas Físicas do exequente e do executado, a importância a ser descontada mensalmente, a conta na qual deve ser feito o depósito e, se for o caso, o tempo de sua duração.</w:t>
      </w:r>
    </w:p>
    <w:bookmarkEnd w:id="727"/>
    <w:bookmarkStart w:id="728" w:name="art.-913"/>
    <w:p>
      <w:pPr>
        <w:pStyle w:val="Heading6"/>
        <w:pBdr>
          <w:left w:val="single" w:sz="36" w:space="4" w:color="2E75B6"/>
        </w:pBdr>
        <w:shd w:val="clear" w:color="auto" w:fill="E3EEF9"/>
        <w:spacing w:before="200" w:after="80"/>
        <w:ind w:left="85"/>
      </w:pPr>
      <w:r>
        <w:rPr>
          <w:i w:val="0"/>
          <w:color w:val="1F3A5F"/>
          <w:sz w:val="23"/>
        </w:rPr>
        <w:t xml:space="preserve">Art. 913</w:t>
      </w:r>
    </w:p>
    <w:p>
      <w:pPr>
        <w:pStyle w:val="FirstParagraph"/>
        <w:keepNext/>
        <w:spacing w:after="80"/>
        <w:jc w:val="both"/>
      </w:pPr>
      <w:r>
        <w:rPr>
          <w:b/>
          <w:bCs/>
        </w:rPr>
        <w:t xml:space="preserve">Art. 913.</w:t>
      </w:r>
      <w:r>
        <w:t xml:space="preserve"> </w:t>
      </w:r>
      <w:r>
        <w:t xml:space="preserve">Não requerida a execução nos termos deste Capítulo, observar-se-á o disposto no art. 824 e seguintes, com a ressalva de que, recaindo a penhora em dinheiro, a concessão de efeito suspensivo aos embargos à execução não obsta a que o exequente levante mensalmente a importância da prestação.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22"/>
        <w:gridCol w:w="2796"/>
        <w:gridCol w:w="4836"/>
      </w:tblGrid>
      <w:tr>
        <w:trPr>
          <w:tblHeader w:val="on"/>
          <w:cantSplit/>
          <w:tblHeader/>
        </w:trPr>
        <w:tc>
          <w:tcPr>
            <w:tcW w:type="dxa" w:w="172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9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3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722"/>
          </w:tcPr>
          <w:p>
            <w:pPr>
              <w:pStyle w:val="Compact"/>
              <w:spacing w:line="276" w:lineRule="auto" w:before="40" w:after="40"/>
            </w:pPr>
            <w:r>
              <w:rPr>
                <w:rFonts w:ascii="Liberation Sans Narrow" w:hAnsi="Liberation Sans Narrow"/>
                <w:sz w:val="18"/>
              </w:rPr>
              <w:t xml:space="preserve">Caput — execução de alimentos pelo rito da quantia certa</w:t>
            </w:r>
          </w:p>
        </w:tc>
        <w:tc>
          <w:tcPr>
            <w:tcW w:type="dxa" w:w="2796"/>
          </w:tcPr>
          <w:p>
            <w:pPr>
              <w:pStyle w:val="Compact"/>
              <w:spacing w:line="276" w:lineRule="auto" w:before="40" w:after="40"/>
            </w:pPr>
            <w:r>
              <w:rPr>
                <w:rFonts w:ascii="Liberation Sans Narrow" w:hAnsi="Liberation Sans Narrow"/>
                <w:sz w:val="18"/>
              </w:rPr>
              <w:t xml:space="preserve">STJ, REsp 1.773.359, Terceira Turma, relator Min. Marco Aurélio Bellizze, julgado em 13/08/2019, DJe de 16/08/2019</w:t>
            </w:r>
          </w:p>
        </w:tc>
        <w:tc>
          <w:tcPr>
            <w:tcW w:type="dxa" w:w="4836"/>
          </w:tcPr>
          <w:p>
            <w:pPr>
              <w:pStyle w:val="Compact"/>
              <w:spacing w:line="276" w:lineRule="auto" w:before="40" w:after="40"/>
            </w:pPr>
            <w:r>
              <w:rPr>
                <w:rFonts w:ascii="Liberation Sans Narrow" w:hAnsi="Liberation Sans Narrow"/>
                <w:sz w:val="18"/>
              </w:rPr>
              <w:t xml:space="preserve">É vedado ao juiz converter de ofício o rito da prisão (art. 528, § 3º) para o da expropriação (§ 8º), pois a escolha é do credor; o pagamento parcial não afasta a prisão, e o transcurso de tempo razoável desde o ajuizamento não retira o caráter de urgência dos alimentos.</w:t>
            </w:r>
          </w:p>
        </w:tc>
      </w:tr>
    </w:tbl>
    <w:bookmarkEnd w:id="728"/>
    <w:bookmarkEnd w:id="729"/>
    <w:bookmarkEnd w:id="730"/>
    <w:bookmarkStart w:id="738" w:name="X4c31dbbeb40a98d478c05639cd91c4740b65068"/>
    <w:p>
      <w:pPr>
        <w:pStyle w:val="Heading3"/>
        <w:pBdr>
          <w:bottom w:val="single" w:sz="8" w:space="2" w:color="2E75B6"/>
        </w:pBdr>
        <w:spacing w:before="200" w:after="80"/>
      </w:pPr>
      <w:r>
        <w:rPr>
          <w:sz w:val="24"/>
        </w:rPr>
        <w:t xml:space="preserve">Título III: dos embargos à execução (arts. 914 a 920)</w:t>
      </w:r>
    </w:p>
    <w:bookmarkStart w:id="731" w:name="art.-914"/>
    <w:p>
      <w:pPr>
        <w:pStyle w:val="Heading6"/>
        <w:pBdr>
          <w:left w:val="single" w:sz="36" w:space="4" w:color="2E75B6"/>
        </w:pBdr>
        <w:shd w:val="clear" w:color="auto" w:fill="E3EEF9"/>
        <w:spacing w:before="200" w:after="80"/>
        <w:ind w:left="85"/>
      </w:pPr>
      <w:r>
        <w:rPr>
          <w:i w:val="0"/>
          <w:color w:val="1F3A5F"/>
          <w:sz w:val="23"/>
        </w:rPr>
        <w:t xml:space="preserve">Art. 914</w:t>
      </w:r>
    </w:p>
    <w:p>
      <w:pPr>
        <w:pStyle w:val="FirstParagraph"/>
        <w:spacing w:after="80"/>
        <w:jc w:val="both"/>
      </w:pPr>
      <w:r>
        <w:rPr>
          <w:b/>
          <w:bCs/>
        </w:rPr>
        <w:t xml:space="preserve">Art. 914.</w:t>
      </w:r>
      <w:r>
        <w:t xml:space="preserve"> </w:t>
      </w:r>
      <w:r>
        <w:t xml:space="preserve">O executado, independentemente de penhora, depósito ou caução, poderá se opor à execução por meio de embargos.</w:t>
      </w:r>
    </w:p>
    <w:p>
      <w:pPr>
        <w:pStyle w:val="BodyText"/>
        <w:spacing w:after="80"/>
        <w:jc w:val="both"/>
      </w:pPr>
      <w:r>
        <w:t xml:space="preserve">§ 1º Os embargos à execução serão distribuídos por dependência, autuados em apartado e instruídos com cópias das peças processuais relevantes, que poderão ser declaradas autênticas pelo próprio advogado, sob sua responsabilidade pessoal.</w:t>
      </w:r>
    </w:p>
    <w:p>
      <w:pPr>
        <w:pStyle w:val="BodyText"/>
        <w:spacing w:after="80"/>
        <w:jc w:val="both"/>
      </w:pPr>
      <w:r>
        <w:t xml:space="preserve">§ 2º Na execução por carta, os embargos serão oferecidos no juízo deprecante ou no juízo deprecado, mas a competência para julgá-los é do juízo deprecante, salvo se versarem unicamente sobre vícios ou defeitos da penhora, da avaliação ou da alienação dos bens efetuadas no juízo deprecado.</w:t>
      </w:r>
    </w:p>
    <w:bookmarkEnd w:id="731"/>
    <w:bookmarkStart w:id="732" w:name="art.-915"/>
    <w:p>
      <w:pPr>
        <w:pStyle w:val="Heading6"/>
        <w:pBdr>
          <w:left w:val="single" w:sz="36" w:space="4" w:color="2E75B6"/>
        </w:pBdr>
        <w:shd w:val="clear" w:color="auto" w:fill="E3EEF9"/>
        <w:spacing w:before="200" w:after="80"/>
        <w:ind w:left="85"/>
      </w:pPr>
      <w:r>
        <w:rPr>
          <w:i w:val="0"/>
          <w:color w:val="1F3A5F"/>
          <w:sz w:val="23"/>
        </w:rPr>
        <w:t xml:space="preserve">Art. 915</w:t>
      </w:r>
    </w:p>
    <w:p>
      <w:pPr>
        <w:pStyle w:val="FirstParagraph"/>
        <w:spacing w:after="80"/>
        <w:jc w:val="both"/>
      </w:pPr>
      <w:r>
        <w:rPr>
          <w:b/>
          <w:bCs/>
        </w:rPr>
        <w:t xml:space="preserve">Art. 915.</w:t>
      </w:r>
      <w:r>
        <w:t xml:space="preserve"> </w:t>
      </w:r>
      <w:r>
        <w:t xml:space="preserve">Os embargos serão oferecidos no prazo de 15 (quinze) dias, contado, conforme o caso, na forma do art. 231.</w:t>
      </w:r>
    </w:p>
    <w:p>
      <w:pPr>
        <w:pStyle w:val="BodyText"/>
        <w:spacing w:after="80"/>
        <w:jc w:val="both"/>
      </w:pPr>
      <w:r>
        <w:t xml:space="preserve">§ 1º Quando houver mais de um executado, o prazo para cada um deles embargar conta-se a partir da juntada do respectivo comprovante da citação, salvo no caso de cônjuges ou de companheiros, quando será contado a partir da juntada do último.</w:t>
      </w:r>
    </w:p>
    <w:p>
      <w:pPr>
        <w:pStyle w:val="BodyText"/>
        <w:spacing w:after="80"/>
        <w:jc w:val="both"/>
      </w:pPr>
      <w:r>
        <w:t xml:space="preserve">§ 2º Nas execuções por carta, o prazo para embargos será contado:</w:t>
      </w:r>
    </w:p>
    <w:p>
      <w:pPr>
        <w:pStyle w:val="BodyText"/>
        <w:spacing w:after="80"/>
        <w:jc w:val="both"/>
      </w:pPr>
      <w:r>
        <w:t xml:space="preserve">I - da juntada, na carta, da certificação da citação, quando versarem unicamente sobre vícios ou defeitos da penhora, da avaliação ou da alienação dos bens;</w:t>
      </w:r>
    </w:p>
    <w:p>
      <w:pPr>
        <w:pStyle w:val="BodyText"/>
        <w:spacing w:after="80"/>
        <w:jc w:val="both"/>
      </w:pPr>
      <w:r>
        <w:t xml:space="preserve">II - da juntada, nos autos de origem, do comunicado de que trata o § 4º deste artigo ou, não havendo este, da juntada da carta devidamente cumprida, quando versarem sobre questões diversas da prevista no inciso I deste parágrafo.</w:t>
      </w:r>
    </w:p>
    <w:p>
      <w:pPr>
        <w:pStyle w:val="BodyText"/>
        <w:spacing w:after="80"/>
        <w:jc w:val="both"/>
      </w:pPr>
      <w:r>
        <w:t xml:space="preserve">§ 3º Em relação ao prazo para oferecimento dos embargos à execução, não se aplica o disposto no art. 229.</w:t>
      </w:r>
    </w:p>
    <w:p>
      <w:pPr>
        <w:pStyle w:val="BodyText"/>
        <w:spacing w:after="80"/>
        <w:jc w:val="both"/>
      </w:pPr>
      <w:r>
        <w:t xml:space="preserve">§ 4º Nos atos de comunicação por carta precatória, rogatória ou de ordem, a realização da citação será imediatamente informada, por meio eletrônico, pelo juiz deprecado ao juiz deprecante.</w:t>
      </w:r>
    </w:p>
    <w:bookmarkEnd w:id="732"/>
    <w:bookmarkStart w:id="733" w:name="art.-916"/>
    <w:p>
      <w:pPr>
        <w:pStyle w:val="Heading6"/>
        <w:pBdr>
          <w:left w:val="single" w:sz="36" w:space="4" w:color="2E75B6"/>
        </w:pBdr>
        <w:shd w:val="clear" w:color="auto" w:fill="E3EEF9"/>
        <w:spacing w:before="200" w:after="80"/>
        <w:ind w:left="85"/>
      </w:pPr>
      <w:r>
        <w:rPr>
          <w:i w:val="0"/>
          <w:color w:val="1F3A5F"/>
          <w:sz w:val="23"/>
        </w:rPr>
        <w:t xml:space="preserve">Art. 916</w:t>
      </w:r>
    </w:p>
    <w:p>
      <w:pPr>
        <w:pStyle w:val="FirstParagraph"/>
        <w:spacing w:after="80"/>
        <w:jc w:val="both"/>
      </w:pPr>
      <w:r>
        <w:rPr>
          <w:b/>
          <w:bCs/>
        </w:rPr>
        <w:t xml:space="preserve">Art. 916.</w:t>
      </w:r>
      <w:r>
        <w:t xml:space="preserve"> </w:t>
      </w:r>
      <w:r>
        <w:t xml:space="preserve">No prazo para embargos, reconhecendo o crédito do exequente e comprovando o depósito de trinta por cento do valor em execução, acrescido de custas e de honorários de advogado, o executado poderá requerer que lhe seja permitido pagar o restante em até 6 (seis) parcelas mensais, acrescidas de correção monetária e de juros de um por cento ao mês.</w:t>
      </w:r>
    </w:p>
    <w:p>
      <w:pPr>
        <w:pStyle w:val="BodyText"/>
        <w:spacing w:after="80"/>
        <w:jc w:val="both"/>
      </w:pPr>
      <w:r>
        <w:t xml:space="preserve">§ 1º O exequente será intimado para manifestar-se sobre o preenchimento dos pressupostos do caput , e o juiz decidirá o requerimento em 5 (cinco) dias.</w:t>
      </w:r>
    </w:p>
    <w:p>
      <w:pPr>
        <w:pStyle w:val="BodyText"/>
        <w:spacing w:after="80"/>
        <w:jc w:val="both"/>
      </w:pPr>
      <w:r>
        <w:t xml:space="preserve">§ 2º Enquanto não apreciado o requerimento, o executado terá de depositar as parcelas vincendas, facultado ao exequente seu levantamento.</w:t>
      </w:r>
    </w:p>
    <w:p>
      <w:pPr>
        <w:pStyle w:val="BodyText"/>
        <w:spacing w:after="80"/>
        <w:jc w:val="both"/>
      </w:pPr>
      <w:r>
        <w:t xml:space="preserve">§ 3º Deferida a proposta, o exequente levantará a quantia depositada, e serão suspensos os atos executivos.</w:t>
      </w:r>
    </w:p>
    <w:p>
      <w:pPr>
        <w:pStyle w:val="BodyText"/>
        <w:spacing w:after="80"/>
        <w:jc w:val="both"/>
      </w:pPr>
      <w:r>
        <w:t xml:space="preserve">§ 4º Indeferida a proposta, seguir-se-ão os atos executivos, mantido o depósito, que será convertido em penhora.</w:t>
      </w:r>
    </w:p>
    <w:p>
      <w:pPr>
        <w:pStyle w:val="BodyText"/>
        <w:spacing w:after="80"/>
        <w:jc w:val="both"/>
      </w:pPr>
      <w:r>
        <w:t xml:space="preserve">§ 5º O não pagamento de qualquer das prestações acarretará cumulativamente:</w:t>
      </w:r>
    </w:p>
    <w:p>
      <w:pPr>
        <w:pStyle w:val="BodyText"/>
        <w:spacing w:after="80"/>
        <w:jc w:val="both"/>
      </w:pPr>
      <w:r>
        <w:t xml:space="preserve">I - o vencimento das prestações subsequentes e o prosseguimento do processo, com o imediato reinício dos atos executivos;</w:t>
      </w:r>
    </w:p>
    <w:p>
      <w:pPr>
        <w:pStyle w:val="BodyText"/>
        <w:spacing w:after="80"/>
        <w:jc w:val="both"/>
      </w:pPr>
      <w:r>
        <w:t xml:space="preserve">II - a imposição ao executado de multa de dez por cento sobre o valor das prestações não pagas.</w:t>
      </w:r>
    </w:p>
    <w:p>
      <w:pPr>
        <w:pStyle w:val="BodyText"/>
        <w:spacing w:after="80"/>
        <w:jc w:val="both"/>
      </w:pPr>
      <w:r>
        <w:t xml:space="preserve">§ 6º A opção pelo parcelamento de que trata este artigo importa renúncia ao direito de opor embargos</w:t>
      </w:r>
    </w:p>
    <w:p>
      <w:pPr>
        <w:pStyle w:val="BodyText"/>
        <w:spacing w:after="80"/>
        <w:jc w:val="both"/>
      </w:pPr>
      <w:r>
        <w:t xml:space="preserve">§ 7º O disposto neste artigo não se aplica ao cumprimento da sentença.</w:t>
      </w:r>
    </w:p>
    <w:bookmarkEnd w:id="733"/>
    <w:bookmarkStart w:id="734" w:name="art.-917"/>
    <w:p>
      <w:pPr>
        <w:pStyle w:val="Heading6"/>
        <w:pBdr>
          <w:left w:val="single" w:sz="36" w:space="4" w:color="2E75B6"/>
        </w:pBdr>
        <w:shd w:val="clear" w:color="auto" w:fill="E3EEF9"/>
        <w:spacing w:before="200" w:after="80"/>
        <w:ind w:left="85"/>
      </w:pPr>
      <w:r>
        <w:rPr>
          <w:i w:val="0"/>
          <w:color w:val="1F3A5F"/>
          <w:sz w:val="23"/>
        </w:rPr>
        <w:t xml:space="preserve">Art. 917</w:t>
      </w:r>
    </w:p>
    <w:p>
      <w:pPr>
        <w:pStyle w:val="FirstParagraph"/>
        <w:spacing w:after="80"/>
        <w:jc w:val="both"/>
      </w:pPr>
      <w:r>
        <w:rPr>
          <w:b/>
          <w:bCs/>
        </w:rPr>
        <w:t xml:space="preserve">Art. 917.</w:t>
      </w:r>
      <w:r>
        <w:t xml:space="preserve"> </w:t>
      </w:r>
      <w:r>
        <w:t xml:space="preserve">Nos embargos à execução, o executado poderá alegar:</w:t>
      </w:r>
    </w:p>
    <w:p>
      <w:pPr>
        <w:pStyle w:val="BodyText"/>
        <w:spacing w:after="80"/>
        <w:jc w:val="both"/>
      </w:pPr>
      <w:r>
        <w:t xml:space="preserve">I - inexequibilidade do título ou inexigibilidade da obrigação;</w:t>
      </w:r>
    </w:p>
    <w:p>
      <w:pPr>
        <w:pStyle w:val="BodyText"/>
        <w:spacing w:after="80"/>
        <w:jc w:val="both"/>
      </w:pPr>
      <w:r>
        <w:t xml:space="preserve">II - penhora incorreta ou avaliação errônea;</w:t>
      </w:r>
    </w:p>
    <w:p>
      <w:pPr>
        <w:pStyle w:val="BodyText"/>
        <w:spacing w:after="80"/>
        <w:jc w:val="both"/>
      </w:pPr>
      <w:r>
        <w:t xml:space="preserve">III - excesso de execução ou cumulação indevida de execuções;</w:t>
      </w:r>
    </w:p>
    <w:p>
      <w:pPr>
        <w:pStyle w:val="BodyText"/>
        <w:spacing w:after="80"/>
        <w:jc w:val="both"/>
      </w:pPr>
      <w:r>
        <w:t xml:space="preserve">IV - retenção por benfeitorias necessárias ou úteis, nos casos de execução para entrega de coisa certa;</w:t>
      </w:r>
    </w:p>
    <w:p>
      <w:pPr>
        <w:pStyle w:val="BodyText"/>
        <w:spacing w:after="80"/>
        <w:jc w:val="both"/>
      </w:pPr>
      <w:r>
        <w:t xml:space="preserve">V - incompetência absoluta ou relativa do juízo da execução;</w:t>
      </w:r>
    </w:p>
    <w:p>
      <w:pPr>
        <w:pStyle w:val="BodyText"/>
        <w:spacing w:after="80"/>
        <w:jc w:val="both"/>
      </w:pPr>
      <w:r>
        <w:t xml:space="preserve">VI - qualquer matéria que lhe seria lícito deduzir como defesa em processo de conhecimento.</w:t>
      </w:r>
    </w:p>
    <w:p>
      <w:pPr>
        <w:pStyle w:val="BodyText"/>
        <w:spacing w:after="80"/>
        <w:jc w:val="both"/>
      </w:pPr>
      <w:r>
        <w:t xml:space="preserve">§ 1º A incorreção da penhora ou da avaliação poderá ser impugnada por simples petição, no prazo de 15 (quinze) dias, contado da ciência do ato.</w:t>
      </w:r>
    </w:p>
    <w:p>
      <w:pPr>
        <w:pStyle w:val="BodyText"/>
        <w:spacing w:after="80"/>
        <w:jc w:val="both"/>
      </w:pPr>
      <w:r>
        <w:t xml:space="preserve">§ 2º Há excesso de execução quando:</w:t>
      </w:r>
    </w:p>
    <w:p>
      <w:pPr>
        <w:pStyle w:val="BodyText"/>
        <w:spacing w:after="80"/>
        <w:jc w:val="both"/>
      </w:pPr>
      <w:r>
        <w:t xml:space="preserve">I - o exequente pleiteia quantia superior à do título;</w:t>
      </w:r>
    </w:p>
    <w:p>
      <w:pPr>
        <w:pStyle w:val="BodyText"/>
        <w:spacing w:after="80"/>
        <w:jc w:val="both"/>
      </w:pPr>
      <w:r>
        <w:t xml:space="preserve">II - ela recai sobre coisa diversa daquela declarada no título;</w:t>
      </w:r>
    </w:p>
    <w:p>
      <w:pPr>
        <w:pStyle w:val="BodyText"/>
        <w:spacing w:after="80"/>
        <w:jc w:val="both"/>
      </w:pPr>
      <w:r>
        <w:t xml:space="preserve">III - ela se processa de modo diferente do que foi determinado no título;</w:t>
      </w:r>
    </w:p>
    <w:p>
      <w:pPr>
        <w:pStyle w:val="BodyText"/>
        <w:spacing w:after="80"/>
        <w:jc w:val="both"/>
      </w:pPr>
      <w:r>
        <w:t xml:space="preserve">IV - o exequente, sem cumprir a prestação que lhe corresponde, exige o adimplemento da prestação do executado;</w:t>
      </w:r>
    </w:p>
    <w:p>
      <w:pPr>
        <w:pStyle w:val="BodyText"/>
        <w:spacing w:after="80"/>
        <w:jc w:val="both"/>
      </w:pPr>
      <w:r>
        <w:t xml:space="preserve">V - o exequente não prova que a condição se realizou.</w:t>
      </w:r>
    </w:p>
    <w:p>
      <w:pPr>
        <w:pStyle w:val="BodyText"/>
        <w:keepNext/>
        <w:spacing w:after="80"/>
        <w:jc w:val="both"/>
      </w:pPr>
      <w:r>
        <w:t xml:space="preserve">§ 3º Quando alegar que o exequente, em excesso de execução, pleiteia quantia superior à do título, o embargante declarará na petição inicial o valor que entende correto, apresentando demonstrativo discriminado e atualizado de seu cálculo.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95"/>
        <w:gridCol w:w="3916"/>
        <w:gridCol w:w="3843"/>
      </w:tblGrid>
      <w:tr>
        <w:trPr>
          <w:tblHeader w:val="on"/>
          <w:cantSplit/>
          <w:tblHeader/>
        </w:trPr>
        <w:tc>
          <w:tcPr>
            <w:tcW w:type="dxa" w:w="1596"/>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91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384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96"/>
          </w:tcPr>
          <w:p>
            <w:pPr>
              <w:pStyle w:val="Compact"/>
              <w:spacing w:line="276" w:lineRule="auto" w:before="40" w:after="40"/>
            </w:pPr>
            <w:r>
              <w:rPr>
                <w:rFonts w:ascii="Liberation Sans Narrow" w:hAnsi="Liberation Sans Narrow"/>
                <w:sz w:val="18"/>
              </w:rPr>
              <w:t xml:space="preserve">§§ 3º e 4º — excesso de execução</w:t>
            </w:r>
          </w:p>
        </w:tc>
        <w:tc>
          <w:tcPr>
            <w:tcW w:type="dxa" w:w="3916"/>
          </w:tcPr>
          <w:p>
            <w:pPr>
              <w:pStyle w:val="Compact"/>
              <w:spacing w:line="276" w:lineRule="auto" w:before="40" w:after="40"/>
            </w:pPr>
            <w:r>
              <w:rPr>
                <w:rFonts w:ascii="Liberation Sans Narrow" w:hAnsi="Liberation Sans Narrow"/>
                <w:sz w:val="18"/>
              </w:rPr>
              <w:t xml:space="preserve">STJ, AgInt no AREsp 2.287.007, Quarta Turma, relatora Min. Maria Isabel Gallotti, julgado em 13/11/2023, DJe de 17/11/2023</w:t>
            </w:r>
          </w:p>
        </w:tc>
        <w:tc>
          <w:tcPr>
            <w:tcW w:type="dxa" w:w="3843"/>
          </w:tcPr>
          <w:p>
            <w:pPr>
              <w:pStyle w:val="Compact"/>
              <w:spacing w:line="276" w:lineRule="auto" w:before="40" w:after="40"/>
            </w:pPr>
            <w:r>
              <w:rPr>
                <w:rFonts w:ascii="Liberation Sans Narrow" w:hAnsi="Liberation Sans Narrow"/>
                <w:sz w:val="18"/>
              </w:rPr>
              <w:t xml:space="preserve">Não se cogita de violação do art. 917, §§ 3º e 4º, II, quando os embargos à execução não trataram do excesso de execução.</w:t>
            </w:r>
          </w:p>
        </w:tc>
      </w:tr>
    </w:tbl>
    <w:p>
      <w:pPr>
        <w:pStyle w:val="BodyText"/>
        <w:keepNext/>
        <w:spacing w:after="80"/>
        <w:jc w:val="both"/>
      </w:pPr>
      <w:r>
        <w:t xml:space="preserve">§ 4º Não apontado o valor correto ou não apresentado o demonstrativo, os embargos à execução: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2428"/>
        <w:gridCol w:w="5021"/>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42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02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 4º/I — rejeição liminar por falta de demonstrativo</w:t>
            </w:r>
          </w:p>
        </w:tc>
        <w:tc>
          <w:tcPr>
            <w:tcW w:type="dxa" w:w="2428"/>
          </w:tcPr>
          <w:p>
            <w:pPr>
              <w:pStyle w:val="Compact"/>
              <w:spacing w:line="276" w:lineRule="auto" w:before="40" w:after="40"/>
            </w:pPr>
            <w:r>
              <w:rPr>
                <w:rFonts w:ascii="Liberation Sans Narrow" w:hAnsi="Liberation Sans Narrow"/>
                <w:sz w:val="18"/>
              </w:rPr>
              <w:t xml:space="preserve">STJ, AREsp 3.119.030, Quarta Turma, relator Min. Raul Araújo, julgado em 01/06/2026</w:t>
            </w:r>
          </w:p>
        </w:tc>
        <w:tc>
          <w:tcPr>
            <w:tcW w:type="dxa" w:w="5021"/>
          </w:tcPr>
          <w:p>
            <w:pPr>
              <w:pStyle w:val="Compact"/>
              <w:spacing w:line="276" w:lineRule="auto" w:before="40" w:after="40"/>
            </w:pPr>
            <w:r>
              <w:rPr>
                <w:rFonts w:ascii="Liberation Sans Narrow" w:hAnsi="Liberation Sans Narrow"/>
                <w:sz w:val="18"/>
              </w:rPr>
              <w:t xml:space="preserve">Ao apresentar embargos à execução com pedido de revisão de encargos, compete ao embargante declarar o valor que entende correto e apresentar a respectiva memória de cálculo, sob pena de rejeição liminar dos embargos.</w:t>
            </w:r>
          </w:p>
        </w:tc>
      </w:tr>
    </w:tbl>
    <w:p>
      <w:pPr>
        <w:pStyle w:val="BodyText"/>
        <w:spacing w:after="80"/>
        <w:jc w:val="both"/>
      </w:pPr>
      <w:r>
        <w:t xml:space="preserve">I - serão liminarmente rejeitados, sem resolução de mérito, se o excesso de execução for o seu único fundamento;</w:t>
      </w:r>
    </w:p>
    <w:p>
      <w:pPr>
        <w:pStyle w:val="BodyText"/>
        <w:spacing w:after="80"/>
        <w:jc w:val="both"/>
      </w:pPr>
      <w:r>
        <w:t xml:space="preserve">II - serão processados, se houver outro fundamento, mas o juiz não examinará a alegação de excesso de execução.</w:t>
      </w:r>
    </w:p>
    <w:p>
      <w:pPr>
        <w:pStyle w:val="BodyText"/>
        <w:spacing w:after="80"/>
        <w:jc w:val="both"/>
      </w:pPr>
      <w:r>
        <w:t xml:space="preserve">§ 5º Nos embargos de retenção por benfeitorias, o exequente poderá requerer a compensação de seu valor com o dos frutos ou dos danos considerados devidos pelo executado, cumprindo ao juiz, para a apuração dos respectivos valores, nomear perito, observando-se, então, o art. 464 .</w:t>
      </w:r>
    </w:p>
    <w:p>
      <w:pPr>
        <w:pStyle w:val="BodyText"/>
        <w:spacing w:after="80"/>
        <w:jc w:val="both"/>
      </w:pPr>
      <w:r>
        <w:t xml:space="preserve">§ 6º O exequente poderá a qualquer tempo ser imitido na posse da coisa, prestando caução ou depositando o valor devido pelas benfeitorias ou resultante da compensação.</w:t>
      </w:r>
    </w:p>
    <w:p>
      <w:pPr>
        <w:pStyle w:val="BodyText"/>
        <w:spacing w:after="80"/>
        <w:jc w:val="both"/>
      </w:pPr>
      <w:r>
        <w:t xml:space="preserve">§ 7º A arguição de impedimento e suspeição observará o disposto nos arts. 146 e 148.</w:t>
      </w:r>
    </w:p>
    <w:bookmarkEnd w:id="734"/>
    <w:bookmarkStart w:id="735" w:name="art.-918"/>
    <w:p>
      <w:pPr>
        <w:pStyle w:val="Heading6"/>
        <w:pBdr>
          <w:left w:val="single" w:sz="36" w:space="4" w:color="2E75B6"/>
        </w:pBdr>
        <w:shd w:val="clear" w:color="auto" w:fill="E3EEF9"/>
        <w:spacing w:before="200" w:after="80"/>
        <w:ind w:left="85"/>
      </w:pPr>
      <w:r>
        <w:rPr>
          <w:i w:val="0"/>
          <w:color w:val="1F3A5F"/>
          <w:sz w:val="23"/>
        </w:rPr>
        <w:t xml:space="preserve">Art. 918</w:t>
      </w:r>
    </w:p>
    <w:p>
      <w:pPr>
        <w:pStyle w:val="FirstParagraph"/>
        <w:keepNext/>
        <w:spacing w:after="80"/>
        <w:jc w:val="both"/>
      </w:pPr>
      <w:r>
        <w:rPr>
          <w:b/>
          <w:bCs/>
        </w:rPr>
        <w:t xml:space="preserve">Art. 918.</w:t>
      </w:r>
      <w:r>
        <w:t xml:space="preserve"> </w:t>
      </w:r>
      <w:r>
        <w:t xml:space="preserve">O juiz rejeitará liminarmente os embargos: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3085"/>
        <w:gridCol w:w="4738"/>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08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38"/>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Caput — rejeição liminar sem intimação prévia</w:t>
            </w:r>
          </w:p>
        </w:tc>
        <w:tc>
          <w:tcPr>
            <w:tcW w:type="dxa" w:w="3085"/>
          </w:tcPr>
          <w:p>
            <w:pPr>
              <w:pStyle w:val="Compact"/>
              <w:spacing w:line="276" w:lineRule="auto" w:before="40" w:after="40"/>
            </w:pPr>
            <w:r>
              <w:rPr>
                <w:rFonts w:ascii="Liberation Sans Narrow" w:hAnsi="Liberation Sans Narrow"/>
                <w:sz w:val="18"/>
              </w:rPr>
              <w:t xml:space="preserve">STJ, AgInt no AREsp 3.102.802, Quarta Turma, relator Min. Luís Carlos Gambogi (Desembargador Convocado do Tjmg), julgado em 22/04/2026</w:t>
            </w:r>
          </w:p>
        </w:tc>
        <w:tc>
          <w:tcPr>
            <w:tcW w:type="dxa" w:w="4738"/>
          </w:tcPr>
          <w:p>
            <w:pPr>
              <w:pStyle w:val="Compact"/>
              <w:spacing w:line="276" w:lineRule="auto" w:before="40" w:after="40"/>
            </w:pPr>
            <w:r>
              <w:rPr>
                <w:rFonts w:ascii="Liberation Sans Narrow" w:hAnsi="Liberation Sans Narrow"/>
                <w:sz w:val="18"/>
              </w:rPr>
              <w:t xml:space="preserve">A rejeição liminar dos embargos à execução por ausência do demonstrativo de cálculo do valor incontroverso não depende de prévia intimação da parte embargante para emenda da inicial, não havendo decisão surpresa nem ofensa aos arts. 9º, 10 e 370 do CPC.</w:t>
            </w:r>
          </w:p>
        </w:tc>
      </w:tr>
    </w:tbl>
    <w:p>
      <w:pPr>
        <w:pStyle w:val="BodyText"/>
        <w:spacing w:after="80"/>
        <w:jc w:val="both"/>
      </w:pPr>
      <w:r>
        <w:t xml:space="preserve">I - quando intempestivos;</w:t>
      </w:r>
    </w:p>
    <w:p>
      <w:pPr>
        <w:pStyle w:val="BodyText"/>
        <w:spacing w:after="80"/>
        <w:jc w:val="both"/>
      </w:pPr>
      <w:r>
        <w:t xml:space="preserve">II - nos casos de indeferimento da petição inicial e de improcedência liminar do pedido;</w:t>
      </w:r>
    </w:p>
    <w:p>
      <w:pPr>
        <w:pStyle w:val="BodyText"/>
        <w:spacing w:after="80"/>
        <w:jc w:val="both"/>
      </w:pPr>
      <w:r>
        <w:t xml:space="preserve">III - manifestamente protelatórios.</w:t>
      </w:r>
    </w:p>
    <w:p>
      <w:pPr>
        <w:pStyle w:val="BodyText"/>
        <w:spacing w:after="80"/>
        <w:jc w:val="both"/>
      </w:pPr>
      <w:r>
        <w:t xml:space="preserve">Parágrafo único. Considera-se conduta atentatória à dignidade da justiça o oferecimento de embargos manifestamente protelatórios.</w:t>
      </w:r>
    </w:p>
    <w:bookmarkEnd w:id="735"/>
    <w:bookmarkStart w:id="736" w:name="art.-919"/>
    <w:p>
      <w:pPr>
        <w:pStyle w:val="Heading6"/>
        <w:pBdr>
          <w:left w:val="single" w:sz="36" w:space="4" w:color="2E75B6"/>
        </w:pBdr>
        <w:shd w:val="clear" w:color="auto" w:fill="E3EEF9"/>
        <w:spacing w:before="200" w:after="80"/>
        <w:ind w:left="85"/>
      </w:pPr>
      <w:r>
        <w:rPr>
          <w:i w:val="0"/>
          <w:color w:val="1F3A5F"/>
          <w:sz w:val="23"/>
        </w:rPr>
        <w:t xml:space="preserve">Art. 919</w:t>
      </w:r>
    </w:p>
    <w:p>
      <w:pPr>
        <w:pStyle w:val="FirstParagraph"/>
        <w:spacing w:after="80"/>
        <w:jc w:val="both"/>
      </w:pPr>
      <w:r>
        <w:rPr>
          <w:b/>
          <w:bCs/>
        </w:rPr>
        <w:t xml:space="preserve">Art. 919.</w:t>
      </w:r>
      <w:r>
        <w:t xml:space="preserve"> </w:t>
      </w:r>
      <w:r>
        <w:t xml:space="preserve">Os embargos à execução não terão efeito suspensivo.</w:t>
      </w:r>
    </w:p>
    <w:p>
      <w:pPr>
        <w:pStyle w:val="BodyText"/>
        <w:keepNext/>
        <w:spacing w:after="80"/>
        <w:jc w:val="both"/>
      </w:pPr>
      <w:r>
        <w:t xml:space="preserve">§ 1º O juiz poderá, a requerimento do embargante, atribuir efeito suspensivo aos embargos quando verificados os requisitos para a concessão da tutela provisória e desde que a execução já esteja garantida por penhora, depósito ou caução suficientes.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2845"/>
        <w:gridCol w:w="497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4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97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 1º — efeito suspensivo dos embargos</w:t>
            </w:r>
          </w:p>
        </w:tc>
        <w:tc>
          <w:tcPr>
            <w:tcW w:type="dxa" w:w="2845"/>
          </w:tcPr>
          <w:p>
            <w:pPr>
              <w:pStyle w:val="Compact"/>
              <w:spacing w:line="276" w:lineRule="auto" w:before="40" w:after="40"/>
            </w:pPr>
            <w:r>
              <w:rPr>
                <w:rFonts w:ascii="Liberation Sans Narrow" w:hAnsi="Liberation Sans Narrow"/>
                <w:sz w:val="18"/>
              </w:rPr>
              <w:t xml:space="preserve">STJ, AREsp 3.133.045, Quarta Turma, relator Min. João Otávio de Noronha, julgado em 11/05/2026, DJEN de 14/05/2026</w:t>
            </w:r>
          </w:p>
        </w:tc>
        <w:tc>
          <w:tcPr>
            <w:tcW w:type="dxa" w:w="4979"/>
          </w:tcPr>
          <w:p>
            <w:pPr>
              <w:pStyle w:val="Compact"/>
              <w:spacing w:line="276" w:lineRule="auto" w:before="40" w:after="40"/>
            </w:pPr>
            <w:r>
              <w:rPr>
                <w:rFonts w:ascii="Liberation Sans Narrow" w:hAnsi="Liberation Sans Narrow"/>
                <w:sz w:val="18"/>
              </w:rPr>
              <w:t xml:space="preserve">A gratuidade da justiça não dispensa a garantia do juízo nem supre os requisitos do art. 919, § 1º: o efeito suspensivo aos embargos exige execução já garantida por penhora, depósito ou caução suficientes e a presença dos requisitos da tutela provisória.</w:t>
            </w:r>
          </w:p>
        </w:tc>
      </w:tr>
    </w:tbl>
    <w:p>
      <w:pPr>
        <w:pStyle w:val="BodyText"/>
        <w:spacing w:after="80"/>
        <w:jc w:val="both"/>
      </w:pPr>
      <w:r>
        <w:t xml:space="preserve">§ 2º Cessando as circunstâncias que a motivaram, a decisão relativa aos efeitos dos embargos poderá, a requerimento da parte, ser modificada ou revogada a qualquer tempo, em decisão fundamentada.</w:t>
      </w:r>
    </w:p>
    <w:p>
      <w:pPr>
        <w:pStyle w:val="BodyText"/>
        <w:spacing w:after="80"/>
        <w:jc w:val="both"/>
      </w:pPr>
      <w:r>
        <w:t xml:space="preserve">§ 3º Quando o efeito suspensivo atribuído aos embargos disser respeito apenas a parte do objeto da execução, esta prosseguirá quanto à parte restante.</w:t>
      </w:r>
    </w:p>
    <w:p>
      <w:pPr>
        <w:pStyle w:val="BodyText"/>
        <w:spacing w:after="80"/>
        <w:jc w:val="both"/>
      </w:pPr>
      <w:r>
        <w:t xml:space="preserve">§ 4º A concessão de efeito suspensivo aos embargos oferecidos por um dos executados não suspenderá a execução contra os que não embargaram quando o respectivo fundamento disser respeito exclusivamente ao embargante.</w:t>
      </w:r>
    </w:p>
    <w:p>
      <w:pPr>
        <w:pStyle w:val="BodyText"/>
        <w:keepNext/>
        <w:spacing w:after="80"/>
        <w:jc w:val="both"/>
      </w:pPr>
      <w:r>
        <w:t xml:space="preserve">§ 5º A concessão de efeito suspensivo não impedirá a efetivação dos atos de substituição, de reforço ou de redução da penhora e de avaliação dos bens.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42"/>
        <w:gridCol w:w="2756"/>
        <w:gridCol w:w="4557"/>
      </w:tblGrid>
      <w:tr>
        <w:trPr>
          <w:tblHeader w:val="on"/>
          <w:cantSplit/>
          <w:tblHeader/>
        </w:trPr>
        <w:tc>
          <w:tcPr>
            <w:tcW w:type="dxa" w:w="204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5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557"/>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42"/>
          </w:tcPr>
          <w:p>
            <w:pPr>
              <w:pStyle w:val="Compact"/>
              <w:spacing w:line="276" w:lineRule="auto" w:before="40" w:after="40"/>
            </w:pPr>
            <w:r>
              <w:rPr>
                <w:rFonts w:ascii="Liberation Sans Narrow" w:hAnsi="Liberation Sans Narrow"/>
                <w:sz w:val="18"/>
              </w:rPr>
              <w:t xml:space="preserve">§ 5º — atos de substituição, reforço ou redução da penhora (aplicação narrada)</w:t>
            </w:r>
          </w:p>
        </w:tc>
        <w:tc>
          <w:tcPr>
            <w:tcW w:type="dxa" w:w="2756"/>
          </w:tcPr>
          <w:p>
            <w:pPr>
              <w:pStyle w:val="Compact"/>
              <w:spacing w:line="276" w:lineRule="auto" w:before="40" w:after="40"/>
            </w:pPr>
            <w:r>
              <w:rPr>
                <w:rFonts w:ascii="Liberation Sans Narrow" w:hAnsi="Liberation Sans Narrow"/>
                <w:sz w:val="18"/>
              </w:rPr>
              <w:t xml:space="preserve">STJ, AgInt nos EDcl no AgInt no AREsp 2.540.075, Quarta Turma, relatora Min. Maria Isabel Gallotti, julgado em 16/03/2026</w:t>
            </w:r>
          </w:p>
        </w:tc>
        <w:tc>
          <w:tcPr>
            <w:tcW w:type="dxa" w:w="4557"/>
          </w:tcPr>
          <w:p>
            <w:pPr>
              <w:pStyle w:val="Compact"/>
              <w:spacing w:line="276" w:lineRule="auto" w:before="40" w:after="40"/>
            </w:pPr>
            <w:r>
              <w:rPr>
                <w:rFonts w:ascii="Liberation Sans Narrow" w:hAnsi="Liberation Sans Narrow"/>
                <w:sz w:val="18"/>
              </w:rPr>
              <w:t xml:space="preserve">O efeito suspensivo dos embargos não impede a efetivação dos atos de substituição, de reforço ou de redução da penhora nem a avaliação dos bens (art. 919, § 5º); a execução garantida por imóveis de valor muito superior ao débito configura excesso de penhora e recomenda a substituição por dinheiro, que ocupa prioridade legal e representa menor onerosidade ao devedor (art. 835). Trecho: “Execução garantida por imóveis de valor muito superior ao débito caracteriza excesso de penhora e recomenda substituição pela penhora de dinheiro, que ocupa prioridade legal e representa menor onerosidade ao devedor (art.”</w:t>
            </w:r>
          </w:p>
        </w:tc>
      </w:tr>
    </w:tbl>
    <w:bookmarkEnd w:id="736"/>
    <w:bookmarkStart w:id="737" w:name="art.-920"/>
    <w:p>
      <w:pPr>
        <w:pStyle w:val="Heading6"/>
        <w:pBdr>
          <w:left w:val="single" w:sz="36" w:space="4" w:color="2E75B6"/>
        </w:pBdr>
        <w:shd w:val="clear" w:color="auto" w:fill="E3EEF9"/>
        <w:spacing w:before="200" w:after="80"/>
        <w:ind w:left="85"/>
      </w:pPr>
      <w:r>
        <w:rPr>
          <w:i w:val="0"/>
          <w:color w:val="1F3A5F"/>
          <w:sz w:val="23"/>
        </w:rPr>
        <w:t xml:space="preserve">Art. 920</w:t>
      </w:r>
    </w:p>
    <w:p>
      <w:pPr>
        <w:pStyle w:val="FirstParagraph"/>
        <w:spacing w:after="80"/>
        <w:jc w:val="both"/>
      </w:pPr>
      <w:r>
        <w:rPr>
          <w:b/>
          <w:bCs/>
        </w:rPr>
        <w:t xml:space="preserve">Art. 920.</w:t>
      </w:r>
      <w:r>
        <w:t xml:space="preserve"> </w:t>
      </w:r>
      <w:r>
        <w:t xml:space="preserve">Recebidos os embargos:</w:t>
      </w:r>
    </w:p>
    <w:p>
      <w:pPr>
        <w:pStyle w:val="BodyText"/>
        <w:spacing w:after="80"/>
        <w:jc w:val="both"/>
      </w:pPr>
      <w:r>
        <w:t xml:space="preserve">I - o exequente será ouvido no prazo de 15 (quinze) dias;</w:t>
      </w:r>
    </w:p>
    <w:p>
      <w:pPr>
        <w:pStyle w:val="BodyText"/>
        <w:spacing w:after="80"/>
        <w:jc w:val="both"/>
      </w:pPr>
      <w:r>
        <w:t xml:space="preserve">II - a seguir, o juiz julgará imediatamente o pedido ou designará audiência;</w:t>
      </w:r>
    </w:p>
    <w:p>
      <w:pPr>
        <w:pStyle w:val="BodyText"/>
        <w:spacing w:after="80"/>
        <w:jc w:val="both"/>
      </w:pPr>
      <w:r>
        <w:t xml:space="preserve">III - encerrada a instrução, o juiz proferirá sentença.</w:t>
      </w:r>
    </w:p>
    <w:bookmarkEnd w:id="737"/>
    <w:bookmarkEnd w:id="738"/>
    <w:bookmarkStart w:id="746" w:name="X97d55665f6e8e22cf347a2277771e6bed315f51"/>
    <w:p>
      <w:pPr>
        <w:pStyle w:val="Heading3"/>
        <w:pBdr>
          <w:bottom w:val="single" w:sz="8" w:space="2" w:color="2E75B6"/>
        </w:pBdr>
        <w:spacing w:before="200" w:after="80"/>
      </w:pPr>
      <w:r>
        <w:rPr>
          <w:sz w:val="24"/>
        </w:rPr>
        <w:t xml:space="preserve">Título IV: da suspensão e da extinção do processo de execução (arts. 921 a 925)</w:t>
      </w:r>
    </w:p>
    <w:bookmarkStart w:id="742" w:name="X53bcd610abc8c4ccf0d120c2a97445d021ba1a3"/>
    <w:p>
      <w:pPr>
        <w:pStyle w:val="Heading4"/>
        <w:spacing w:before="160" w:after="40"/>
      </w:pPr>
      <w:r>
        <w:rPr>
          <w:smallCaps/>
          <w:color w:val="2E75B6"/>
        </w:rPr>
        <w:t xml:space="preserve">Capítulo I: da suspensão do processo de execução (arts. 921 a 923)</w:t>
      </w:r>
    </w:p>
    <w:bookmarkStart w:id="739" w:name="art.-921"/>
    <w:p>
      <w:pPr>
        <w:pStyle w:val="Heading6"/>
        <w:pBdr>
          <w:left w:val="single" w:sz="36" w:space="4" w:color="2E75B6"/>
        </w:pBdr>
        <w:shd w:val="clear" w:color="auto" w:fill="E3EEF9"/>
        <w:spacing w:before="200" w:after="80"/>
        <w:ind w:left="85"/>
      </w:pPr>
      <w:r>
        <w:rPr>
          <w:i w:val="0"/>
          <w:color w:val="1F3A5F"/>
          <w:sz w:val="23"/>
        </w:rPr>
        <w:t xml:space="preserve">Art. 921</w:t>
      </w:r>
    </w:p>
    <w:p>
      <w:pPr>
        <w:pStyle w:val="FirstParagraph"/>
        <w:spacing w:after="80"/>
        <w:jc w:val="both"/>
      </w:pPr>
      <w:r>
        <w:rPr>
          <w:b/>
          <w:bCs/>
        </w:rPr>
        <w:t xml:space="preserve">Art. 921.</w:t>
      </w:r>
      <w:r>
        <w:t xml:space="preserve"> </w:t>
      </w:r>
      <w:r>
        <w:t xml:space="preserve">Suspende-se a execução:</w:t>
      </w:r>
    </w:p>
    <w:p>
      <w:pPr>
        <w:pStyle w:val="BodyText"/>
        <w:spacing w:after="80"/>
        <w:jc w:val="both"/>
      </w:pPr>
      <w:r>
        <w:t xml:space="preserve">I - nas hipóteses dos arts. 313 e 315, no que couber;</w:t>
      </w:r>
    </w:p>
    <w:p>
      <w:pPr>
        <w:pStyle w:val="BodyText"/>
        <w:spacing w:after="80"/>
        <w:jc w:val="both"/>
      </w:pPr>
      <w:r>
        <w:t xml:space="preserve">II - no todo ou em parte, quando recebidos com efeito suspensivo os embargos à execução;</w:t>
      </w:r>
    </w:p>
    <w:p>
      <w:pPr>
        <w:pStyle w:val="BodyText"/>
        <w:spacing w:after="80"/>
        <w:jc w:val="both"/>
      </w:pPr>
      <w:r>
        <w:t xml:space="preserve">III - quando não for localizado o executado ou bens penhoráveis; (Redação dada pela Lei nº 14.195, de 2021)</w:t>
      </w:r>
    </w:p>
    <w:p>
      <w:pPr>
        <w:pStyle w:val="BodyText"/>
        <w:spacing w:after="80"/>
        <w:jc w:val="both"/>
      </w:pPr>
      <w:r>
        <w:t xml:space="preserve">IV - se a alienação dos bens penhorados não se realizar por falta de licitantes e o exequente, em 15 (quinze) dias, não requerer a adjudicação nem indicar outros bens penhoráveis;</w:t>
      </w:r>
    </w:p>
    <w:p>
      <w:pPr>
        <w:pStyle w:val="BodyText"/>
        <w:spacing w:after="80"/>
        <w:jc w:val="both"/>
      </w:pPr>
      <w:r>
        <w:t xml:space="preserve">V - quando concedido o parcelamento de que trata o art. 916.</w:t>
      </w:r>
    </w:p>
    <w:p>
      <w:pPr>
        <w:pStyle w:val="BodyText"/>
        <w:spacing w:after="80"/>
        <w:jc w:val="both"/>
      </w:pPr>
      <w:r>
        <w:t xml:space="preserve">§ 1º Na hipótese do inciso III, o juiz suspenderá a execução pelo prazo de 1 (um) ano, durante o qual se suspenderá a prescrição.</w:t>
      </w:r>
    </w:p>
    <w:p>
      <w:pPr>
        <w:pStyle w:val="BodyText"/>
        <w:spacing w:after="80"/>
        <w:jc w:val="both"/>
      </w:pPr>
      <w:r>
        <w:t xml:space="preserve">§ 2º Decorrido o prazo máximo de 1 (um) ano sem que seja localizado o executado ou que sejam encontrados bens penhoráveis, o juiz ordenará o arquivamento dos autos.</w:t>
      </w:r>
    </w:p>
    <w:p>
      <w:pPr>
        <w:pStyle w:val="BodyText"/>
        <w:spacing w:after="80"/>
        <w:jc w:val="both"/>
      </w:pPr>
      <w:r>
        <w:t xml:space="preserve">§ 3º Os autos serão desarquivados para prosseguimento da execução se a qualquer tempo forem encontrados bens penhoráveis.</w:t>
      </w:r>
    </w:p>
    <w:p>
      <w:pPr>
        <w:pStyle w:val="BodyText"/>
        <w:keepNext/>
        <w:spacing w:after="80"/>
        <w:jc w:val="both"/>
      </w:pPr>
      <w:r>
        <w:t xml:space="preserve">§ 4º O termo inicial da prescrição no curso do processo será a ciência da primeira tentativa infrutífera de localização do devedor ou de bens penhoráveis, e será suspensa, por uma única vez, pelo prazo máximo previsto no § 1º deste artigo. (Redação dada pela Lei nº 14.195, de 2021)</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2427"/>
        <w:gridCol w:w="5023"/>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42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02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 4º — prescrição intercorrente</w:t>
            </w:r>
          </w:p>
        </w:tc>
        <w:tc>
          <w:tcPr>
            <w:tcW w:type="dxa" w:w="2427"/>
          </w:tcPr>
          <w:p>
            <w:pPr>
              <w:pStyle w:val="Compact"/>
              <w:spacing w:line="276" w:lineRule="auto" w:before="40" w:after="40"/>
            </w:pPr>
            <w:r>
              <w:rPr>
                <w:rFonts w:ascii="Liberation Sans Narrow" w:hAnsi="Liberation Sans Narrow"/>
                <w:sz w:val="18"/>
              </w:rPr>
              <w:t xml:space="preserve">STJ, AREsp 2.983.239, Terceira Turma, relator Min. Ricardo Villas Bôas Cueva, DJe de 27/04/2026</w:t>
            </w:r>
          </w:p>
        </w:tc>
        <w:tc>
          <w:tcPr>
            <w:tcW w:type="dxa" w:w="5022"/>
          </w:tcPr>
          <w:p>
            <w:pPr>
              <w:pStyle w:val="Compact"/>
              <w:spacing w:line="276" w:lineRule="auto" w:before="40" w:after="40"/>
            </w:pPr>
            <w:r>
              <w:rPr>
                <w:rFonts w:ascii="Liberation Sans Narrow" w:hAnsi="Liberation Sans Narrow"/>
                <w:sz w:val="18"/>
              </w:rPr>
              <w:t xml:space="preserve">O regime da prescrição intercorrente introduzido pela Lei 14.195/2021 não retroage: aplica-se aos processos ajuizados após a vigência da lei ou quando a execução infrutífera ocorrer sob sua égide, e às execuções em curso em que ainda não determinada a suspensão, por força do art. 14 do CPC.</w:t>
            </w:r>
          </w:p>
        </w:tc>
      </w:tr>
    </w:tbl>
    <w:p>
      <w:pPr>
        <w:pStyle w:val="BodyText"/>
        <w:spacing w:after="80"/>
        <w:jc w:val="both"/>
      </w:pPr>
      <w:r>
        <w:t xml:space="preserve">§ 4º-A A efetiva citação, intimação do devedor ou constrição de bens penhoráveis interrompe o prazo de prescrição, que não corre pelo tempo necessário à citação e à intimação do devedor, bem como para as formalidades da constrição patrimonial, se necessária, desde que o credor cumpra os prazos previstos na lei processual ou fixados pelo juiz. (Incluído pela Lei nº 14.195, de 2021)</w:t>
      </w:r>
    </w:p>
    <w:p>
      <w:pPr>
        <w:pStyle w:val="BodyText"/>
        <w:keepNext/>
        <w:spacing w:after="80"/>
        <w:jc w:val="both"/>
      </w:pPr>
      <w:r>
        <w:t xml:space="preserve">§ 5º O juiz, depois de ouvidas as partes, no prazo de 15 (quinze) dias, poderá, de ofício, reconhecer a prescrição no curso do processo e extingui-lo, sem ônus para as partes. (Redação dada pela Lei nº 14.195, de 2021)</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57"/>
        <w:gridCol w:w="2533"/>
        <w:gridCol w:w="4764"/>
      </w:tblGrid>
      <w:tr>
        <w:trPr>
          <w:tblHeader w:val="on"/>
          <w:cantSplit/>
          <w:tblHeader/>
        </w:trPr>
        <w:tc>
          <w:tcPr>
            <w:tcW w:type="dxa" w:w="2057"/>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3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6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57"/>
          </w:tcPr>
          <w:p>
            <w:pPr>
              <w:pStyle w:val="Compact"/>
              <w:spacing w:line="276" w:lineRule="auto" w:before="40" w:after="40"/>
            </w:pPr>
            <w:r>
              <w:rPr>
                <w:rFonts w:ascii="Liberation Sans Narrow" w:hAnsi="Liberation Sans Narrow"/>
                <w:sz w:val="18"/>
              </w:rPr>
              <w:t xml:space="preserve">§ 5º — prescrição da pretensão executória e honorários (aplicação narrada)</w:t>
            </w:r>
          </w:p>
        </w:tc>
        <w:tc>
          <w:tcPr>
            <w:tcW w:type="dxa" w:w="2534"/>
          </w:tcPr>
          <w:p>
            <w:pPr>
              <w:pStyle w:val="Compact"/>
              <w:spacing w:line="276" w:lineRule="auto" w:before="40" w:after="40"/>
            </w:pPr>
            <w:r>
              <w:rPr>
                <w:rFonts w:ascii="Liberation Sans Narrow" w:hAnsi="Liberation Sans Narrow"/>
                <w:sz w:val="18"/>
              </w:rPr>
              <w:t xml:space="preserve">STJ, AgInt no REsp 2.146.304, Quarta Turma, relatora Min. Maria Isabel Gallotti, julgado em 12/08/2026</w:t>
            </w:r>
          </w:p>
        </w:tc>
        <w:tc>
          <w:tcPr>
            <w:tcW w:type="dxa" w:w="4764"/>
          </w:tcPr>
          <w:p>
            <w:pPr>
              <w:pStyle w:val="Compact"/>
              <w:spacing w:line="276" w:lineRule="auto" w:before="40" w:after="40"/>
            </w:pPr>
            <w:r>
              <w:rPr>
                <w:rFonts w:ascii="Liberation Sans Narrow" w:hAnsi="Liberation Sans Narrow"/>
                <w:sz w:val="18"/>
              </w:rPr>
              <w:t xml:space="preserve">A pretensão de promover o cumprimento de sentença nasce com o trânsito em julgado e prescreve no mesmo prazo da ação (Súmula 150 do Supremo Tribunal Federal; art. 206, § 5º, I, do Código Civil); quando o cumprimento é requerido após consumada essa prescrição, configura-se prescrição da pretensão executória, e não prescrição intercorrente, não incidindo o art. 921, § 5º, respondendo o exequente pelos honorários por força do princípio da causalidade. Trecho: “A pretensão de promover o cumprimento de sentença nasce com o trânsito em julgado e prescreve no mesmo prazo da ação, nos termos da Súmula 150/STF e do art.”</w:t>
            </w:r>
          </w:p>
        </w:tc>
      </w:tr>
    </w:tbl>
    <w:p>
      <w:pPr>
        <w:pStyle w:val="BodyText"/>
        <w:spacing w:after="80"/>
        <w:jc w:val="both"/>
      </w:pPr>
      <w:r>
        <w:t xml:space="preserve">§ 6º A alegação de nulidade quanto ao procedimento previsto neste artigo somente será conhecida caso demonstrada a ocorrência de efetivo prejuízo, que será presumido apenas em caso de inexistência da intimação de que trata o § 4º deste artigo. (Incluído pela Lei nº 14.195, de 2021)</w:t>
      </w:r>
    </w:p>
    <w:p>
      <w:pPr>
        <w:pStyle w:val="BodyText"/>
        <w:spacing w:after="80"/>
        <w:jc w:val="both"/>
      </w:pPr>
      <w:r>
        <w:t xml:space="preserve">§ 7º Aplica-se o disposto neste artigo ao cumprimento de sentença de que trata o art. 523 deste Código. (Incluído pela Lei nº 14.195, de 2021)</w:t>
      </w:r>
    </w:p>
    <w:bookmarkEnd w:id="739"/>
    <w:bookmarkStart w:id="740" w:name="art.-922"/>
    <w:p>
      <w:pPr>
        <w:pStyle w:val="Heading6"/>
        <w:pBdr>
          <w:left w:val="single" w:sz="36" w:space="4" w:color="2E75B6"/>
        </w:pBdr>
        <w:shd w:val="clear" w:color="auto" w:fill="E3EEF9"/>
        <w:spacing w:before="200" w:after="80"/>
        <w:ind w:left="85"/>
      </w:pPr>
      <w:r>
        <w:rPr>
          <w:i w:val="0"/>
          <w:color w:val="1F3A5F"/>
          <w:sz w:val="23"/>
        </w:rPr>
        <w:t xml:space="preserve">Art. 922</w:t>
      </w:r>
    </w:p>
    <w:p>
      <w:pPr>
        <w:pStyle w:val="FirstParagraph"/>
        <w:spacing w:after="80"/>
        <w:jc w:val="both"/>
      </w:pPr>
      <w:r>
        <w:rPr>
          <w:b/>
          <w:bCs/>
        </w:rPr>
        <w:t xml:space="preserve">Art. 922.</w:t>
      </w:r>
      <w:r>
        <w:t xml:space="preserve"> </w:t>
      </w:r>
      <w:r>
        <w:t xml:space="preserve">Convindo as partes, o juiz declarará suspensa a execução durante o prazo concedido pelo exequente para que o executado cumpra voluntariamente a obrigação.</w:t>
      </w:r>
    </w:p>
    <w:p>
      <w:pPr>
        <w:pStyle w:val="BodyText"/>
        <w:spacing w:after="80"/>
        <w:jc w:val="both"/>
      </w:pPr>
      <w:r>
        <w:t xml:space="preserve">Parágrafo único. Findo o prazo sem cumprimento da obrigação, o processo retomará o seu curso.</w:t>
      </w:r>
    </w:p>
    <w:bookmarkEnd w:id="740"/>
    <w:bookmarkStart w:id="741" w:name="art.-923"/>
    <w:p>
      <w:pPr>
        <w:pStyle w:val="Heading6"/>
        <w:pBdr>
          <w:left w:val="single" w:sz="36" w:space="4" w:color="2E75B6"/>
        </w:pBdr>
        <w:shd w:val="clear" w:color="auto" w:fill="E3EEF9"/>
        <w:spacing w:before="200" w:after="80"/>
        <w:ind w:left="85"/>
      </w:pPr>
      <w:r>
        <w:rPr>
          <w:i w:val="0"/>
          <w:color w:val="1F3A5F"/>
          <w:sz w:val="23"/>
        </w:rPr>
        <w:t xml:space="preserve">Art. 923</w:t>
      </w:r>
    </w:p>
    <w:p>
      <w:pPr>
        <w:pStyle w:val="FirstParagraph"/>
        <w:spacing w:after="80"/>
        <w:jc w:val="both"/>
      </w:pPr>
      <w:r>
        <w:rPr>
          <w:b/>
          <w:bCs/>
        </w:rPr>
        <w:t xml:space="preserve">Art. 923.</w:t>
      </w:r>
      <w:r>
        <w:t xml:space="preserve"> </w:t>
      </w:r>
      <w:r>
        <w:t xml:space="preserve">Suspensa a execução, não serão praticados atos processuais, podendo o juiz, entretanto, salvo no caso de arguição de impedimento ou de suspeição, ordenar providências urgentes.</w:t>
      </w:r>
    </w:p>
    <w:bookmarkEnd w:id="741"/>
    <w:bookmarkEnd w:id="742"/>
    <w:bookmarkStart w:id="745" w:name="X58405af46b1d9363791bc4f54ac9b0443b5c73c"/>
    <w:p>
      <w:pPr>
        <w:pStyle w:val="Heading4"/>
        <w:spacing w:before="160" w:after="40"/>
      </w:pPr>
      <w:r>
        <w:rPr>
          <w:smallCaps/>
          <w:color w:val="2E75B6"/>
        </w:rPr>
        <w:t xml:space="preserve">Capítulo II: da extinção do processo de execução (arts. 924 a 925)</w:t>
      </w:r>
    </w:p>
    <w:bookmarkStart w:id="743" w:name="art.-924"/>
    <w:p>
      <w:pPr>
        <w:pStyle w:val="Heading6"/>
        <w:pBdr>
          <w:left w:val="single" w:sz="36" w:space="4" w:color="2E75B6"/>
        </w:pBdr>
        <w:shd w:val="clear" w:color="auto" w:fill="E3EEF9"/>
        <w:spacing w:before="200" w:after="80"/>
        <w:ind w:left="85"/>
      </w:pPr>
      <w:r>
        <w:rPr>
          <w:i w:val="0"/>
          <w:color w:val="1F3A5F"/>
          <w:sz w:val="23"/>
        </w:rPr>
        <w:t xml:space="preserve">Art. 924</w:t>
      </w:r>
    </w:p>
    <w:p>
      <w:pPr>
        <w:pStyle w:val="FirstParagraph"/>
        <w:spacing w:after="80"/>
        <w:jc w:val="both"/>
      </w:pPr>
      <w:r>
        <w:rPr>
          <w:b/>
          <w:bCs/>
        </w:rPr>
        <w:t xml:space="preserve">Art. 924.</w:t>
      </w:r>
      <w:r>
        <w:t xml:space="preserve"> </w:t>
      </w:r>
      <w:r>
        <w:t xml:space="preserve">Extingue-se a execução quando:</w:t>
      </w:r>
    </w:p>
    <w:p>
      <w:pPr>
        <w:pStyle w:val="BodyText"/>
        <w:spacing w:after="80"/>
        <w:jc w:val="both"/>
      </w:pPr>
      <w:r>
        <w:t xml:space="preserve">I - a petição inicial for indeferida;</w:t>
      </w:r>
    </w:p>
    <w:p>
      <w:pPr>
        <w:pStyle w:val="BodyText"/>
        <w:keepNext/>
        <w:spacing w:after="80"/>
        <w:jc w:val="both"/>
      </w:pPr>
      <w:r>
        <w:t xml:space="preserve">II - a obrigação for satisfeita;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85"/>
        <w:gridCol w:w="4172"/>
        <w:gridCol w:w="3097"/>
      </w:tblGrid>
      <w:tr>
        <w:trPr>
          <w:tblHeader w:val="on"/>
          <w:cantSplit/>
          <w:tblHeader/>
        </w:trPr>
        <w:tc>
          <w:tcPr>
            <w:tcW w:type="dxa" w:w="208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417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3097"/>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85"/>
          </w:tcPr>
          <w:p>
            <w:pPr>
              <w:pStyle w:val="Compact"/>
              <w:spacing w:line="276" w:lineRule="auto" w:before="40" w:after="40"/>
            </w:pPr>
            <w:r>
              <w:rPr>
                <w:rFonts w:ascii="Liberation Sans Narrow" w:hAnsi="Liberation Sans Narrow"/>
                <w:sz w:val="18"/>
              </w:rPr>
              <w:t xml:space="preserve">Caput e inciso II — extinção da execução</w:t>
            </w:r>
          </w:p>
        </w:tc>
        <w:tc>
          <w:tcPr>
            <w:tcW w:type="dxa" w:w="4172"/>
          </w:tcPr>
          <w:p>
            <w:pPr>
              <w:pStyle w:val="Compact"/>
              <w:spacing w:line="276" w:lineRule="auto" w:before="40" w:after="40"/>
            </w:pPr>
            <w:r>
              <w:rPr>
                <w:rFonts w:ascii="Liberation Sans Narrow" w:hAnsi="Liberation Sans Narrow"/>
                <w:sz w:val="18"/>
              </w:rPr>
              <w:t xml:space="preserve">STJ, AgInt no AREsp 2.890.749, Quarta Turma, relator Min. Raul Araújo, julgado em 08/06/2026, DJEN de 12/06/2026</w:t>
            </w:r>
          </w:p>
        </w:tc>
        <w:tc>
          <w:tcPr>
            <w:tcW w:type="dxa" w:w="3097"/>
          </w:tcPr>
          <w:p>
            <w:pPr>
              <w:pStyle w:val="Compact"/>
              <w:spacing w:line="276" w:lineRule="auto" w:before="40" w:after="40"/>
            </w:pPr>
            <w:r>
              <w:rPr>
                <w:rFonts w:ascii="Liberation Sans Narrow" w:hAnsi="Liberation Sans Narrow"/>
                <w:sz w:val="18"/>
              </w:rPr>
              <w:t xml:space="preserve">A extinção da execução não se declara sem a satisfação integral da obrigação.</w:t>
            </w:r>
          </w:p>
        </w:tc>
      </w:tr>
    </w:tbl>
    <w:p>
      <w:pPr>
        <w:pStyle w:val="BodyText"/>
        <w:spacing w:after="80"/>
        <w:jc w:val="both"/>
      </w:pPr>
      <w:r>
        <w:t xml:space="preserve">III - o executado obtiver, por qualquer outro meio, a extinção total da dívida;</w:t>
      </w:r>
    </w:p>
    <w:p>
      <w:pPr>
        <w:pStyle w:val="BodyText"/>
        <w:spacing w:after="80"/>
        <w:jc w:val="both"/>
      </w:pPr>
      <w:r>
        <w:t xml:space="preserve">IV - o exequente renunciar ao crédito;</w:t>
      </w:r>
    </w:p>
    <w:p>
      <w:pPr>
        <w:pStyle w:val="BodyText"/>
        <w:spacing w:after="80"/>
        <w:jc w:val="both"/>
      </w:pPr>
      <w:r>
        <w:t xml:space="preserve">V - ocorrer a prescrição intercorrente.</w:t>
      </w:r>
    </w:p>
    <w:bookmarkEnd w:id="743"/>
    <w:bookmarkStart w:id="744" w:name="art.-925"/>
    <w:p>
      <w:pPr>
        <w:pStyle w:val="Heading6"/>
        <w:pBdr>
          <w:left w:val="single" w:sz="36" w:space="4" w:color="2E75B6"/>
        </w:pBdr>
        <w:shd w:val="clear" w:color="auto" w:fill="E3EEF9"/>
        <w:spacing w:before="200" w:after="80"/>
        <w:ind w:left="85"/>
      </w:pPr>
      <w:r>
        <w:rPr>
          <w:i w:val="0"/>
          <w:color w:val="1F3A5F"/>
          <w:sz w:val="23"/>
        </w:rPr>
        <w:t xml:space="preserve">Art. 925</w:t>
      </w:r>
    </w:p>
    <w:p>
      <w:pPr>
        <w:pStyle w:val="FirstParagraph"/>
        <w:spacing w:after="80"/>
        <w:jc w:val="both"/>
      </w:pPr>
      <w:r>
        <w:rPr>
          <w:b/>
          <w:bCs/>
        </w:rPr>
        <w:t xml:space="preserve">Art. 925.</w:t>
      </w:r>
      <w:r>
        <w:t xml:space="preserve"> </w:t>
      </w:r>
      <w:r>
        <w:t xml:space="preserve">A extinção só produz efeito quando declarada por sentença.</w:t>
      </w:r>
    </w:p>
    <w:bookmarkEnd w:id="744"/>
    <w:bookmarkEnd w:id="745"/>
    <w:bookmarkEnd w:id="746"/>
    <w:bookmarkEnd w:id="747"/>
    <w:bookmarkStart w:id="887" w:name="X364984d787c07ced8afa5b0b9373103e1f94162"/>
    <w:p>
      <w:pPr>
        <w:spacing w:before="0" w:after="0" w:line="20" w:lineRule="exact"/>
        <w:sectPr>
          <w:headerReference w:type="default" r:id="rId11"/>
          <w:footnotePr>
            <w:numRestart w:val="eachSect"/>
          </w:footnotePr>
          <w:pgSz w:w="11906" w:h="16838"/>
          <w:pgMar w:top="1417" w:left="1417" w:bottom="1134" w:right="1134"/>
          <w:cols w:num="1" w:space="340"/>
        </w:sectPr>
      </w:pPr>
    </w:p>
    <w:p>
      <w:pPr>
        <w:pStyle w:val="Heading2"/>
        <w:shd w:val="clear" w:color="auto" w:fill="1F3A5F"/>
        <w:spacing w:before="0" w:after="100"/>
        <w:ind w:left="113"/>
      </w:pPr>
      <w:r>
        <w:rPr>
          <w:color w:val="FFFFFF"/>
          <w:sz w:val="28"/>
        </w:rPr>
        <w:t xml:space="preserve">Livro III: dos processos nos tribunais e dos meios de impugnação das decisões judiciais (arts. 926 a 1.044)</w:t>
      </w:r>
    </w:p>
    <w:bookmarkStart w:id="825" w:name="X919bb712ddb871730978497dd8a2f8dd9171c92"/>
    <w:p>
      <w:pPr>
        <w:pStyle w:val="Heading3"/>
        <w:pBdr>
          <w:bottom w:val="single" w:sz="8" w:space="2" w:color="2E75B6"/>
        </w:pBdr>
        <w:spacing w:before="200" w:after="80"/>
      </w:pPr>
      <w:r>
        <w:rPr>
          <w:sz w:val="24"/>
        </w:rPr>
        <w:t xml:space="preserve">Título I: da ordem dos processos e dos processos de competência originária dos tribunais (arts. 926 a 993)</w:t>
      </w:r>
    </w:p>
    <w:bookmarkStart w:id="751" w:name="X397c4a574ee5cd08a82f3b498e55dd4f94a510c"/>
    <w:p>
      <w:pPr>
        <w:pStyle w:val="Heading4"/>
        <w:spacing w:before="160" w:after="40"/>
      </w:pPr>
      <w:r>
        <w:rPr>
          <w:smallCaps/>
          <w:color w:val="2E75B6"/>
        </w:rPr>
        <w:t xml:space="preserve">Capítulo I: disposições gerais (arts. 926 a 928)</w:t>
      </w:r>
    </w:p>
    <w:bookmarkStart w:id="748" w:name="art.-926"/>
    <w:p>
      <w:pPr>
        <w:pStyle w:val="Heading6"/>
        <w:pBdr>
          <w:left w:val="single" w:sz="36" w:space="4" w:color="2E75B6"/>
        </w:pBdr>
        <w:shd w:val="clear" w:color="auto" w:fill="E3EEF9"/>
        <w:spacing w:before="200" w:after="80"/>
        <w:ind w:left="85"/>
      </w:pPr>
      <w:r>
        <w:rPr>
          <w:i w:val="0"/>
          <w:color w:val="1F3A5F"/>
          <w:sz w:val="23"/>
        </w:rPr>
        <w:t xml:space="preserve">Art. 926</w:t>
      </w:r>
    </w:p>
    <w:p>
      <w:pPr>
        <w:pStyle w:val="FirstParagraph"/>
        <w:keepNext/>
        <w:spacing w:after="80"/>
        <w:jc w:val="both"/>
      </w:pPr>
      <w:r>
        <w:rPr>
          <w:b/>
          <w:bCs/>
        </w:rPr>
        <w:t xml:space="preserve">Art. 926.</w:t>
      </w:r>
      <w:r>
        <w:t xml:space="preserve"> </w:t>
      </w:r>
      <w:r>
        <w:t xml:space="preserve">Os tribunais devem uniformizar sua jurisprudência e mantê-la estável, íntegra e coerente.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84"/>
        <w:gridCol w:w="2565"/>
        <w:gridCol w:w="4506"/>
      </w:tblGrid>
      <w:tr>
        <w:trPr>
          <w:tblHeader w:val="on"/>
          <w:cantSplit/>
          <w:tblHeader/>
        </w:trPr>
        <w:tc>
          <w:tcPr>
            <w:tcW w:type="dxa" w:w="2284"/>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6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50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84"/>
          </w:tcPr>
          <w:p>
            <w:pPr>
              <w:pStyle w:val="Compact"/>
              <w:spacing w:line="276" w:lineRule="auto" w:before="40" w:after="40"/>
            </w:pPr>
            <w:r>
              <w:rPr>
                <w:rFonts w:ascii="Liberation Sans Narrow" w:hAnsi="Liberation Sans Narrow"/>
                <w:sz w:val="18"/>
              </w:rPr>
              <w:t xml:space="preserve">Caput — o dever de uniformização não autoriza a reforma do acórdão recorrido</w:t>
            </w:r>
          </w:p>
        </w:tc>
        <w:tc>
          <w:tcPr>
            <w:tcW w:type="dxa" w:w="2565"/>
          </w:tcPr>
          <w:p>
            <w:pPr>
              <w:pStyle w:val="Compact"/>
              <w:spacing w:line="276" w:lineRule="auto" w:before="40" w:after="40"/>
            </w:pPr>
            <w:r>
              <w:rPr>
                <w:rFonts w:ascii="Liberation Sans Narrow" w:hAnsi="Liberation Sans Narrow"/>
                <w:sz w:val="18"/>
              </w:rPr>
              <w:t xml:space="preserve">STJ, AgInt no AREsp 1.858.696, Quarta Turma, relator Min. João Otávio de Noronha</w:t>
            </w:r>
          </w:p>
        </w:tc>
        <w:tc>
          <w:tcPr>
            <w:tcW w:type="dxa" w:w="4506"/>
          </w:tcPr>
          <w:p>
            <w:pPr>
              <w:pStyle w:val="Compact"/>
              <w:spacing w:line="276" w:lineRule="auto" w:before="40" w:after="40"/>
            </w:pPr>
            <w:r>
              <w:rPr>
                <w:rFonts w:ascii="Liberation Sans Narrow" w:hAnsi="Liberation Sans Narrow"/>
                <w:sz w:val="18"/>
              </w:rPr>
              <w:t xml:space="preserve">O dever imposto aos tribunais de uniformizar a jurisprudência e mantê-la estável, íntegra e coerente não tem a finalidade de reformar o acórdão recorrido por se entender que a solução dada não foi a mais adequada à pretensão da parte.</w:t>
            </w:r>
          </w:p>
        </w:tc>
      </w:tr>
      <w:tr>
        <w:trPr>
          <w:cantSplit/>
        </w:trPr>
        <w:tc>
          <w:tcPr>
            <w:tcW w:type="dxa" w:w="2284"/>
          </w:tcPr>
          <w:p>
            <w:pPr>
              <w:pStyle w:val="Compact"/>
              <w:spacing w:line="276" w:lineRule="auto" w:before="40" w:after="40"/>
            </w:pPr>
            <w:r>
              <w:rPr>
                <w:rFonts w:ascii="Liberation Sans Narrow" w:hAnsi="Liberation Sans Narrow"/>
                <w:sz w:val="18"/>
              </w:rPr>
              <w:t xml:space="preserve">Caput — dever de uniformidade, integridade, estabilidade e coerência</w:t>
            </w:r>
          </w:p>
        </w:tc>
        <w:tc>
          <w:tcPr>
            <w:tcW w:type="dxa" w:w="2565"/>
          </w:tcPr>
          <w:p>
            <w:pPr>
              <w:pStyle w:val="Compact"/>
              <w:spacing w:line="276" w:lineRule="auto" w:before="40" w:after="40"/>
            </w:pPr>
            <w:r>
              <w:rPr>
                <w:rFonts w:ascii="Liberation Sans Narrow" w:hAnsi="Liberation Sans Narrow"/>
                <w:sz w:val="18"/>
              </w:rPr>
              <w:t xml:space="preserve">STJ, EDcl no AREsp 2.109.686, Quarta Turma, relator Min. Raul Araújo, julgado em 30/03/2026</w:t>
            </w:r>
          </w:p>
        </w:tc>
        <w:tc>
          <w:tcPr>
            <w:tcW w:type="dxa" w:w="4506"/>
          </w:tcPr>
          <w:p>
            <w:pPr>
              <w:pStyle w:val="Compact"/>
              <w:spacing w:line="276" w:lineRule="auto" w:before="40" w:after="40"/>
            </w:pPr>
            <w:r>
              <w:rPr>
                <w:rFonts w:ascii="Liberation Sans Narrow" w:hAnsi="Liberation Sans Narrow"/>
                <w:sz w:val="18"/>
              </w:rPr>
              <w:t xml:space="preserve">A alteração do julgado para adequá-lo a precedente obrigatório impõe-se também em razão do dever de uniformização, integridade, estabilidade e coerência da jurisprudência (art. 926), sobretudo quando casos idênticos relativos ao mesmo empreendimento já foram decididos no mesmo sentido. Cuidando-se de requalificação jurídica do critério de cálculo, não incide a Súmula 7.</w:t>
            </w:r>
          </w:p>
        </w:tc>
      </w:tr>
    </w:tbl>
    <w:p>
      <w:pPr>
        <w:pStyle w:val="BodyText"/>
        <w:spacing w:after="80"/>
        <w:jc w:val="both"/>
      </w:pPr>
      <w:r>
        <w:t xml:space="preserve">§ 1º Na forma estabelecida e segundo os pressupostos fixados no regimento interno, os tribunais editarão enunciados de súmula correspondentes a sua jurisprudência dominante.</w:t>
      </w:r>
    </w:p>
    <w:p>
      <w:pPr>
        <w:pStyle w:val="BodyText"/>
        <w:spacing w:after="80"/>
        <w:jc w:val="both"/>
      </w:pPr>
      <w:r>
        <w:t xml:space="preserve">§ 2º Ao editar enunciados de súmula, os tribunais devem ater-se às circunstâncias fáticas dos precedentes que motivaram sua criação.</w:t>
      </w:r>
    </w:p>
    <w:bookmarkEnd w:id="748"/>
    <w:bookmarkStart w:id="749" w:name="art.-927"/>
    <w:p>
      <w:pPr>
        <w:pStyle w:val="Heading6"/>
        <w:pBdr>
          <w:left w:val="single" w:sz="36" w:space="4" w:color="2E75B6"/>
        </w:pBdr>
        <w:shd w:val="clear" w:color="auto" w:fill="E3EEF9"/>
        <w:spacing w:before="200" w:after="80"/>
        <w:ind w:left="85"/>
      </w:pPr>
      <w:r>
        <w:rPr>
          <w:i w:val="0"/>
          <w:color w:val="1F3A5F"/>
          <w:sz w:val="23"/>
        </w:rPr>
        <w:t xml:space="preserve">Art. 927</w:t>
      </w:r>
    </w:p>
    <w:p>
      <w:pPr>
        <w:pStyle w:val="FirstParagraph"/>
        <w:keepNext/>
        <w:spacing w:after="80"/>
        <w:jc w:val="both"/>
      </w:pPr>
      <w:r>
        <w:rPr>
          <w:b/>
          <w:bCs/>
        </w:rPr>
        <w:t xml:space="preserve">Art. 927.</w:t>
      </w:r>
      <w:r>
        <w:t xml:space="preserve"> </w:t>
      </w:r>
      <w:r>
        <w:t xml:space="preserve">Os juízes e os tribunais observarão: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3205"/>
        <w:gridCol w:w="449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20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49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55"/>
          </w:tcPr>
          <w:p>
            <w:pPr>
              <w:pStyle w:val="Compact"/>
              <w:spacing w:line="276" w:lineRule="auto" w:before="40" w:after="40"/>
            </w:pPr>
            <w:r>
              <w:rPr>
                <w:rFonts w:ascii="Liberation Sans Narrow" w:hAnsi="Liberation Sans Narrow"/>
                <w:sz w:val="18"/>
              </w:rPr>
              <w:t xml:space="preserve">Caput — observância de precedentes</w:t>
            </w:r>
          </w:p>
        </w:tc>
        <w:tc>
          <w:tcPr>
            <w:tcW w:type="dxa" w:w="3205"/>
          </w:tcPr>
          <w:p>
            <w:pPr>
              <w:pStyle w:val="Compact"/>
              <w:spacing w:line="276" w:lineRule="auto" w:before="40" w:after="40"/>
            </w:pPr>
            <w:r>
              <w:rPr>
                <w:rFonts w:ascii="Liberation Sans Narrow" w:hAnsi="Liberation Sans Narrow"/>
                <w:sz w:val="18"/>
              </w:rPr>
              <w:t xml:space="preserve">STJ, AgInt no AREsp 1.834.252, Quarta Turma, relator Min. Luís Carlos Gambogi (Desembargador Convocado do Tjmg), julgado em 08/06/2026, DJEN de 12/06/2026</w:t>
            </w:r>
          </w:p>
        </w:tc>
        <w:tc>
          <w:tcPr>
            <w:tcW w:type="dxa" w:w="4494"/>
          </w:tcPr>
          <w:p>
            <w:pPr>
              <w:pStyle w:val="Compact"/>
              <w:spacing w:line="276" w:lineRule="auto" w:before="40" w:after="40"/>
            </w:pPr>
            <w:r>
              <w:rPr>
                <w:rFonts w:ascii="Liberation Sans Narrow" w:hAnsi="Liberation Sans Narrow"/>
                <w:sz w:val="18"/>
              </w:rPr>
              <w:t xml:space="preserve">Os arts. 926 e 927 consagram os deveres de estabilidade, coerência e integridade da jurisprudência, mas a sua invocação exige a indicação específica do precedente obrigatório desrespeitado e a demonstração da identidade fático-jurídica, não bastando alegação genérica.</w:t>
            </w:r>
          </w:p>
        </w:tc>
      </w:tr>
    </w:tbl>
    <w:p>
      <w:pPr>
        <w:pStyle w:val="BodyText"/>
        <w:spacing w:after="80"/>
        <w:jc w:val="both"/>
      </w:pPr>
      <w:r>
        <w:t xml:space="preserve">I - as decisões do Supremo Tribunal Federal em controle concentrado de constitucionalidade;</w:t>
      </w:r>
    </w:p>
    <w:p>
      <w:pPr>
        <w:pStyle w:val="BodyText"/>
        <w:spacing w:after="80"/>
        <w:jc w:val="both"/>
      </w:pPr>
      <w:r>
        <w:t xml:space="preserve">II - os enunciados de súmula vinculante;</w:t>
      </w:r>
    </w:p>
    <w:p>
      <w:pPr>
        <w:pStyle w:val="BodyText"/>
        <w:spacing w:after="80"/>
        <w:jc w:val="both"/>
      </w:pPr>
      <w:r>
        <w:t xml:space="preserve">III - os acórdãos em incidente de assunção de competência (IAC) ou de resolução de demandas repetitivas e em julgamento de recursos extraordinário e especial repetitivos;</w:t>
      </w:r>
    </w:p>
    <w:p>
      <w:pPr>
        <w:pStyle w:val="BodyText"/>
        <w:spacing w:after="80"/>
        <w:jc w:val="both"/>
      </w:pPr>
      <w:r>
        <w:t xml:space="preserve">III-A – os acórdãos proferidos em julgamento de recurso especial submetido ao regime da relevância da questão de direito federal infraconstitucional; (Incluído pela Lei nº 15.484, de 2026) Vigência</w:t>
      </w:r>
    </w:p>
    <w:p>
      <w:pPr>
        <w:pStyle w:val="BodyText"/>
        <w:spacing w:after="80"/>
        <w:jc w:val="both"/>
      </w:pPr>
      <w:r>
        <w:t xml:space="preserve">IV - os enunciados das súmulas do Supremo Tribunal Federal em matéria constitucional e do Superior Tribunal de Justiça em matéria infraconstitucional;</w:t>
      </w:r>
    </w:p>
    <w:p>
      <w:pPr>
        <w:pStyle w:val="BodyText"/>
        <w:spacing w:after="80"/>
        <w:jc w:val="both"/>
      </w:pPr>
      <w:r>
        <w:t xml:space="preserve">V - a orientação do plenário ou do órgão especial aos quais estiverem vinculados.</w:t>
      </w:r>
    </w:p>
    <w:p>
      <w:pPr>
        <w:pStyle w:val="BodyText"/>
        <w:spacing w:after="80"/>
        <w:jc w:val="both"/>
      </w:pPr>
      <w:r>
        <w:t xml:space="preserve">§ 1º Os juízes e os tribunais observarão o disposto no art. 10 e no art. 489, § 1º, quando decidirem com fundamento neste artigo.</w:t>
      </w:r>
    </w:p>
    <w:p>
      <w:pPr>
        <w:pStyle w:val="BodyText"/>
        <w:spacing w:after="80"/>
        <w:jc w:val="both"/>
      </w:pPr>
      <w:r>
        <w:t xml:space="preserve">§ 2º A alteração de tese jurídica adotada em enunciado de súmula ou em julgamento de casos repetitivos poderá ser precedida de audiências públicas e da participação de pessoas, órgãos ou entidades que possam contribuir para a rediscussão da tese.</w:t>
      </w:r>
    </w:p>
    <w:p>
      <w:pPr>
        <w:pStyle w:val="BodyText"/>
        <w:spacing w:after="80"/>
        <w:jc w:val="both"/>
      </w:pPr>
      <w:r>
        <w:t xml:space="preserve">§ 3º Na hipótese de alteração de jurisprudência dominante do Supremo Tribunal Federal e dos tribunais superiores ou daquela oriunda de julgamento de casos repetitivos, pode haver modulação dos efeitos da alteração no interesse social e no da segurança jurídica.</w:t>
      </w:r>
    </w:p>
    <w:p>
      <w:pPr>
        <w:pStyle w:val="BodyText"/>
        <w:spacing w:after="80"/>
        <w:jc w:val="both"/>
      </w:pPr>
      <w:r>
        <w:t xml:space="preserve">§ 4º A modificação de enunciado de súmula, de jurisprudência pacificada ou de tese adotada em julgamento de casos repetitivos observará a necessidade de fundamentação adequada e específica, considerando os princípios da segurança jurídica, da proteção da confiança e da isonomia.</w:t>
      </w:r>
    </w:p>
    <w:p>
      <w:pPr>
        <w:pStyle w:val="BodyText"/>
        <w:spacing w:after="80"/>
        <w:jc w:val="both"/>
      </w:pPr>
      <w:r>
        <w:t xml:space="preserve">§ 5º Os tribunais darão publicidade a seus precedentes, organizando-os por questão jurídica decidida e divulgando-os, preferencialmente, na rede mundial de computadores.</w:t>
      </w:r>
    </w:p>
    <w:bookmarkEnd w:id="749"/>
    <w:bookmarkStart w:id="750" w:name="art.-928"/>
    <w:p>
      <w:pPr>
        <w:pStyle w:val="Heading6"/>
        <w:pBdr>
          <w:left w:val="single" w:sz="36" w:space="4" w:color="2E75B6"/>
        </w:pBdr>
        <w:shd w:val="clear" w:color="auto" w:fill="E3EEF9"/>
        <w:spacing w:before="200" w:after="80"/>
        <w:ind w:left="85"/>
      </w:pPr>
      <w:r>
        <w:rPr>
          <w:i w:val="0"/>
          <w:color w:val="1F3A5F"/>
          <w:sz w:val="23"/>
        </w:rPr>
        <w:t xml:space="preserve">Art. 928</w:t>
      </w:r>
    </w:p>
    <w:p>
      <w:pPr>
        <w:pStyle w:val="FirstParagraph"/>
        <w:keepNext/>
        <w:spacing w:after="80"/>
        <w:jc w:val="both"/>
      </w:pPr>
      <w:r>
        <w:rPr>
          <w:b/>
          <w:bCs/>
        </w:rPr>
        <w:t xml:space="preserve">Art. 928.</w:t>
      </w:r>
      <w:r>
        <w:t xml:space="preserve"> </w:t>
      </w:r>
      <w:r>
        <w:t xml:space="preserve">Para os fins deste Código, considera-se julgamento de casos repetitivos a decisão proferida em:</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2654"/>
        <w:gridCol w:w="504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5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04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55"/>
          </w:tcPr>
          <w:p>
            <w:pPr>
              <w:pStyle w:val="Compact"/>
              <w:spacing w:line="276" w:lineRule="auto" w:before="40" w:after="40"/>
            </w:pPr>
            <w:r>
              <w:rPr>
                <w:rFonts w:ascii="Liberation Sans Narrow" w:hAnsi="Liberation Sans Narrow"/>
                <w:sz w:val="18"/>
              </w:rPr>
              <w:t xml:space="preserve">Caput — julgamento de casos repetitivos</w:t>
            </w:r>
          </w:p>
        </w:tc>
        <w:tc>
          <w:tcPr>
            <w:tcW w:type="dxa" w:w="2654"/>
          </w:tcPr>
          <w:p>
            <w:pPr>
              <w:pStyle w:val="Compact"/>
              <w:spacing w:line="276" w:lineRule="auto" w:before="40" w:after="40"/>
            </w:pPr>
            <w:r>
              <w:rPr>
                <w:rFonts w:ascii="Liberation Sans Narrow" w:hAnsi="Liberation Sans Narrow"/>
                <w:sz w:val="18"/>
              </w:rPr>
              <w:t xml:space="preserve">STJ, REsp 1.869.867, Segunda Turma, relator Min. Og Fernandes, julgado em 20/04/2021, DJe de 03/05/2021</w:t>
            </w:r>
          </w:p>
        </w:tc>
        <w:tc>
          <w:tcPr>
            <w:tcW w:type="dxa" w:w="5045"/>
          </w:tcPr>
          <w:p>
            <w:pPr>
              <w:pStyle w:val="Compact"/>
              <w:spacing w:line="276" w:lineRule="auto" w:before="40" w:after="40"/>
            </w:pPr>
            <w:r>
              <w:rPr>
                <w:rFonts w:ascii="Liberation Sans Narrow" w:hAnsi="Liberation Sans Narrow"/>
                <w:sz w:val="18"/>
              </w:rPr>
              <w:t xml:space="preserve">Interpostos recurso extraordinário e recurso especial contra o acórdão do incidente de resolução de demandas repetitivas, o efeito suspensivo é automático (arts. 982, § 5º, e 987, §§ 1º e 2º), devendo aguardar-se o julgamento pelos tribunais superiores.</w:t>
            </w:r>
          </w:p>
        </w:tc>
      </w:tr>
    </w:tbl>
    <w:p>
      <w:pPr>
        <w:pStyle w:val="BodyText"/>
        <w:spacing w:after="80"/>
        <w:jc w:val="both"/>
      </w:pPr>
      <w:r>
        <w:t xml:space="preserve">I - incidente de resolução de demandas repetitivas;</w:t>
      </w:r>
    </w:p>
    <w:p>
      <w:pPr>
        <w:pStyle w:val="BodyText"/>
        <w:spacing w:after="80"/>
        <w:jc w:val="both"/>
      </w:pPr>
      <w:r>
        <w:t xml:space="preserve">II - recursos especial e extraordinário repetitivos.</w:t>
      </w:r>
    </w:p>
    <w:p>
      <w:pPr>
        <w:pStyle w:val="BodyText"/>
        <w:spacing w:after="80"/>
        <w:jc w:val="both"/>
      </w:pPr>
      <w:r>
        <w:t xml:space="preserve">Parágrafo único. O julgamento de casos repetitivos tem por objeto questão de direito material ou processual.</w:t>
      </w:r>
    </w:p>
    <w:bookmarkEnd w:id="750"/>
    <w:bookmarkEnd w:id="751"/>
    <w:bookmarkStart w:id="770" w:name="Xaa4c2b6c7234ca9e0b1f1347970d3d1f9e2ba9c"/>
    <w:p>
      <w:pPr>
        <w:pStyle w:val="Heading4"/>
        <w:spacing w:before="160" w:after="40"/>
      </w:pPr>
      <w:r>
        <w:rPr>
          <w:smallCaps/>
          <w:color w:val="2E75B6"/>
        </w:rPr>
        <w:t xml:space="preserve">Capítulo II: da ordem dos processos no tribunal (arts. 929 a 946)</w:t>
      </w:r>
    </w:p>
    <w:bookmarkStart w:id="752" w:name="art.-929"/>
    <w:p>
      <w:pPr>
        <w:pStyle w:val="Heading6"/>
        <w:pBdr>
          <w:left w:val="single" w:sz="36" w:space="4" w:color="2E75B6"/>
        </w:pBdr>
        <w:shd w:val="clear" w:color="auto" w:fill="E3EEF9"/>
        <w:spacing w:before="200" w:after="80"/>
        <w:ind w:left="85"/>
      </w:pPr>
      <w:r>
        <w:rPr>
          <w:i w:val="0"/>
          <w:color w:val="1F3A5F"/>
          <w:sz w:val="23"/>
        </w:rPr>
        <w:t xml:space="preserve">Art. 929</w:t>
      </w:r>
    </w:p>
    <w:p>
      <w:pPr>
        <w:pStyle w:val="FirstParagraph"/>
        <w:spacing w:after="80"/>
        <w:jc w:val="both"/>
      </w:pPr>
      <w:r>
        <w:rPr>
          <w:b/>
          <w:bCs/>
        </w:rPr>
        <w:t xml:space="preserve">Art. 929.</w:t>
      </w:r>
      <w:r>
        <w:t xml:space="preserve"> </w:t>
      </w:r>
      <w:r>
        <w:t xml:space="preserve">Os autos serão registrados no protocolo do tribunal no dia de sua entrada, cabendo à secretaria ordená-los, com imediata distribuição.</w:t>
      </w:r>
    </w:p>
    <w:p>
      <w:pPr>
        <w:pStyle w:val="BodyText"/>
        <w:spacing w:after="80"/>
        <w:jc w:val="both"/>
      </w:pPr>
      <w:r>
        <w:t xml:space="preserve">Parágrafo único. A critério do tribunal, os serviços de protocolo poderão ser descentralizados, mediante delegação a ofícios de justiça de primeiro grau.</w:t>
      </w:r>
    </w:p>
    <w:bookmarkEnd w:id="752"/>
    <w:bookmarkStart w:id="753" w:name="art.-930"/>
    <w:p>
      <w:pPr>
        <w:pStyle w:val="Heading6"/>
        <w:pBdr>
          <w:left w:val="single" w:sz="36" w:space="4" w:color="2E75B6"/>
        </w:pBdr>
        <w:shd w:val="clear" w:color="auto" w:fill="E3EEF9"/>
        <w:spacing w:before="200" w:after="80"/>
        <w:ind w:left="85"/>
      </w:pPr>
      <w:r>
        <w:rPr>
          <w:i w:val="0"/>
          <w:color w:val="1F3A5F"/>
          <w:sz w:val="23"/>
        </w:rPr>
        <w:t xml:space="preserve">Art. 930</w:t>
      </w:r>
    </w:p>
    <w:p>
      <w:pPr>
        <w:pStyle w:val="FirstParagraph"/>
        <w:keepNext/>
        <w:spacing w:after="80"/>
        <w:jc w:val="both"/>
      </w:pPr>
      <w:r>
        <w:rPr>
          <w:b/>
          <w:bCs/>
        </w:rPr>
        <w:t xml:space="preserve">Art. 930.</w:t>
      </w:r>
      <w:r>
        <w:t xml:space="preserve"> </w:t>
      </w:r>
      <w:r>
        <w:t xml:space="preserve">Far-se-á a distribuição de acordo com o regimento interno do tribunal, observando-se a alternatividade, o sorteio eletrônico e a publicidade.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80"/>
        <w:gridCol w:w="2608"/>
        <w:gridCol w:w="4966"/>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0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96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780"/>
          </w:tcPr>
          <w:p>
            <w:pPr>
              <w:pStyle w:val="Compact"/>
              <w:spacing w:line="276" w:lineRule="auto" w:before="40" w:after="40"/>
            </w:pPr>
            <w:r>
              <w:rPr>
                <w:rFonts w:ascii="Liberation Sans Narrow" w:hAnsi="Liberation Sans Narrow"/>
                <w:sz w:val="18"/>
              </w:rPr>
              <w:t xml:space="preserve">Caput — distribuição conforme o regimento interno</w:t>
            </w:r>
          </w:p>
        </w:tc>
        <w:tc>
          <w:tcPr>
            <w:tcW w:type="dxa" w:w="2608"/>
          </w:tcPr>
          <w:p>
            <w:pPr>
              <w:pStyle w:val="Compact"/>
              <w:spacing w:line="276" w:lineRule="auto" w:before="40" w:after="40"/>
            </w:pPr>
            <w:r>
              <w:rPr>
                <w:rFonts w:ascii="Liberation Sans Narrow" w:hAnsi="Liberation Sans Narrow"/>
                <w:sz w:val="18"/>
              </w:rPr>
              <w:t xml:space="preserve">STJ, EDcl no AgRg no RMS 77.943, Quinta Turma, relator Min. Joel Ilan Paciornik, julgado em 04/08/2026</w:t>
            </w:r>
          </w:p>
        </w:tc>
        <w:tc>
          <w:tcPr>
            <w:tcW w:type="dxa" w:w="4966"/>
          </w:tcPr>
          <w:p>
            <w:pPr>
              <w:pStyle w:val="Compact"/>
              <w:spacing w:line="276" w:lineRule="auto" w:before="40" w:after="40"/>
            </w:pPr>
            <w:r>
              <w:rPr>
                <w:rFonts w:ascii="Liberation Sans Narrow" w:hAnsi="Liberation Sans Narrow"/>
                <w:sz w:val="18"/>
              </w:rPr>
              <w:t xml:space="preserve">A distribuição do feito entre órgãos de mesma hierarquia é matéria regimental: qualquer Grupo de Câmaras Criminais tem competência para apreciar as revisões criminais das Câmaras, com distribuição por sorteio ou prevenção dentre os Grupos. A prevenção do desembargador-relator na Câmara em que julgada a apelação não se estende a órgão jurisdicional diverso do mesmo tribunal.</w:t>
            </w:r>
          </w:p>
        </w:tc>
      </w:tr>
    </w:tbl>
    <w:p>
      <w:pPr>
        <w:pStyle w:val="BodyText"/>
        <w:spacing w:after="80"/>
        <w:jc w:val="both"/>
      </w:pPr>
      <w:r>
        <w:t xml:space="preserve">Parágrafo único. O primeiro recurso protocolado no tribunal tornará prevento o relator para eventual recurso subsequente interposto no mesmo processo ou em processo conexo.</w:t>
      </w:r>
    </w:p>
    <w:bookmarkEnd w:id="753"/>
    <w:bookmarkStart w:id="754" w:name="art.-931"/>
    <w:p>
      <w:pPr>
        <w:pStyle w:val="Heading6"/>
        <w:pBdr>
          <w:left w:val="single" w:sz="36" w:space="4" w:color="2E75B6"/>
        </w:pBdr>
        <w:shd w:val="clear" w:color="auto" w:fill="E3EEF9"/>
        <w:spacing w:before="200" w:after="80"/>
        <w:ind w:left="85"/>
      </w:pPr>
      <w:r>
        <w:rPr>
          <w:i w:val="0"/>
          <w:color w:val="1F3A5F"/>
          <w:sz w:val="23"/>
        </w:rPr>
        <w:t xml:space="preserve">Art. 931</w:t>
      </w:r>
    </w:p>
    <w:p>
      <w:pPr>
        <w:pStyle w:val="FirstParagraph"/>
        <w:spacing w:after="80"/>
        <w:jc w:val="both"/>
      </w:pPr>
      <w:r>
        <w:rPr>
          <w:b/>
          <w:bCs/>
        </w:rPr>
        <w:t xml:space="preserve">Art. 931.</w:t>
      </w:r>
      <w:r>
        <w:t xml:space="preserve"> </w:t>
      </w:r>
      <w:r>
        <w:t xml:space="preserve">Distribuídos, os autos serão imediatamente conclusos ao relator, que, em 30 (trinta) dias, depois de elaborar o voto, restituí-los-á, com relatório, à secretaria.</w:t>
      </w:r>
    </w:p>
    <w:bookmarkEnd w:id="754"/>
    <w:bookmarkStart w:id="755" w:name="art.-932"/>
    <w:p>
      <w:pPr>
        <w:pStyle w:val="Heading6"/>
        <w:pBdr>
          <w:left w:val="single" w:sz="36" w:space="4" w:color="2E75B6"/>
        </w:pBdr>
        <w:shd w:val="clear" w:color="auto" w:fill="E3EEF9"/>
        <w:spacing w:before="200" w:after="80"/>
        <w:ind w:left="85"/>
      </w:pPr>
      <w:r>
        <w:rPr>
          <w:i w:val="0"/>
          <w:color w:val="1F3A5F"/>
          <w:sz w:val="23"/>
        </w:rPr>
        <w:t xml:space="preserve">Art. 932</w:t>
      </w:r>
    </w:p>
    <w:p>
      <w:pPr>
        <w:pStyle w:val="FirstParagraph"/>
        <w:keepNext/>
        <w:spacing w:after="80"/>
        <w:jc w:val="both"/>
      </w:pPr>
      <w:r>
        <w:rPr>
          <w:b/>
          <w:bCs/>
        </w:rPr>
        <w:t xml:space="preserve">Art. 932.</w:t>
      </w:r>
      <w:r>
        <w:t xml:space="preserve"> </w:t>
      </w:r>
      <w:r>
        <w:t xml:space="preserve">Incumbe ao relator: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60"/>
        <w:gridCol w:w="3809"/>
        <w:gridCol w:w="3785"/>
      </w:tblGrid>
      <w:tr>
        <w:trPr>
          <w:tblHeader w:val="on"/>
          <w:cantSplit/>
          <w:tblHeader/>
        </w:trPr>
        <w:tc>
          <w:tcPr>
            <w:tcW w:type="dxa" w:w="176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80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378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760"/>
          </w:tcPr>
          <w:p>
            <w:pPr>
              <w:pStyle w:val="Compact"/>
              <w:spacing w:line="276" w:lineRule="auto" w:before="40" w:after="40"/>
            </w:pPr>
            <w:r>
              <w:rPr>
                <w:rFonts w:ascii="Liberation Sans Narrow" w:hAnsi="Liberation Sans Narrow"/>
                <w:sz w:val="18"/>
              </w:rPr>
              <w:t xml:space="preserve">Caput — decisão monocrática do relator</w:t>
            </w:r>
          </w:p>
        </w:tc>
        <w:tc>
          <w:tcPr>
            <w:tcW w:type="dxa" w:w="3809"/>
          </w:tcPr>
          <w:p>
            <w:pPr>
              <w:pStyle w:val="Compact"/>
              <w:spacing w:line="276" w:lineRule="auto" w:before="40" w:after="40"/>
            </w:pPr>
            <w:r>
              <w:rPr>
                <w:rFonts w:ascii="Liberation Sans Narrow" w:hAnsi="Liberation Sans Narrow"/>
                <w:sz w:val="18"/>
              </w:rPr>
              <w:t xml:space="preserve">STJ, AgInt no AREsp 3.087.923, Terceira Turma, relator Min. Humberto Martins, julgado em 22/06/2026, DJEN de 25/06/2026</w:t>
            </w:r>
          </w:p>
        </w:tc>
        <w:tc>
          <w:tcPr>
            <w:tcW w:type="dxa" w:w="3785"/>
          </w:tcPr>
          <w:p>
            <w:pPr>
              <w:pStyle w:val="Compact"/>
              <w:spacing w:line="276" w:lineRule="auto" w:before="40" w:after="40"/>
            </w:pPr>
            <w:r>
              <w:rPr>
                <w:rFonts w:ascii="Liberation Sans Narrow" w:hAnsi="Liberation Sans Narrow"/>
                <w:sz w:val="18"/>
              </w:rPr>
              <w:t xml:space="preserve">A confirmação da decisão monocrática do relator pelo órgão colegiado afasta a alegada nulidade por violação do art. 932.</w:t>
            </w:r>
          </w:p>
        </w:tc>
      </w:tr>
    </w:tbl>
    <w:p>
      <w:pPr>
        <w:pStyle w:val="BodyText"/>
        <w:spacing w:after="80"/>
        <w:jc w:val="both"/>
      </w:pPr>
      <w:r>
        <w:t xml:space="preserve">I - dirigir e ordenar o processo no tribunal, inclusive em relação à produção de prova, bem como, quando for o caso, homologar autocomposição das partes;</w:t>
      </w:r>
    </w:p>
    <w:p>
      <w:pPr>
        <w:pStyle w:val="BodyText"/>
        <w:spacing w:after="80"/>
        <w:jc w:val="both"/>
      </w:pPr>
      <w:r>
        <w:t xml:space="preserve">II - apreciar o pedido de tutela provisória nos recursos e nos processos de competência originária do tribunal;</w:t>
      </w:r>
    </w:p>
    <w:p>
      <w:pPr>
        <w:pStyle w:val="BodyText"/>
        <w:keepNext/>
        <w:spacing w:after="80"/>
        <w:jc w:val="both"/>
      </w:pPr>
      <w:r>
        <w:t xml:space="preserve">III - não conhecer de recurso inadmissível, prejudicado ou que não tenha impugnado especificamente os fundamentos da decisão recorrida;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806"/>
        <w:gridCol w:w="2229"/>
        <w:gridCol w:w="4319"/>
      </w:tblGrid>
      <w:tr>
        <w:trPr>
          <w:tblHeader w:val="on"/>
          <w:cantSplit/>
          <w:tblHeader/>
        </w:trPr>
        <w:tc>
          <w:tcPr>
            <w:tcW w:type="dxa" w:w="2806"/>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22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31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806"/>
          </w:tcPr>
          <w:p>
            <w:pPr>
              <w:pStyle w:val="Compact"/>
              <w:spacing w:line="276" w:lineRule="auto" w:before="40" w:after="40"/>
            </w:pPr>
            <w:r>
              <w:rPr>
                <w:rFonts w:ascii="Liberation Sans Narrow" w:hAnsi="Liberation Sans Narrow"/>
                <w:sz w:val="18"/>
              </w:rPr>
              <w:t xml:space="preserve">III e IV — decisão monocrática que aplica jurisprudência consolidada e reconhece a inadmissibilidade manifesta (aplicação narrada)</w:t>
            </w:r>
          </w:p>
        </w:tc>
        <w:tc>
          <w:tcPr>
            <w:tcW w:type="dxa" w:w="2229"/>
          </w:tcPr>
          <w:p>
            <w:pPr>
              <w:pStyle w:val="Compact"/>
              <w:spacing w:line="276" w:lineRule="auto" w:before="40" w:after="40"/>
            </w:pPr>
            <w:r>
              <w:rPr>
                <w:rFonts w:ascii="Liberation Sans Narrow" w:hAnsi="Liberation Sans Narrow"/>
                <w:sz w:val="18"/>
              </w:rPr>
              <w:t xml:space="preserve">STJ, AgInt no AREsp 3.107.379, Quinta Turma, relatora Min. Daniela Teixeira, julgado em 30/06/2026</w:t>
            </w:r>
          </w:p>
        </w:tc>
        <w:tc>
          <w:tcPr>
            <w:tcW w:type="dxa" w:w="4319"/>
          </w:tcPr>
          <w:p>
            <w:pPr>
              <w:pStyle w:val="Compact"/>
              <w:spacing w:line="276" w:lineRule="auto" w:before="40" w:after="40"/>
            </w:pPr>
            <w:r>
              <w:rPr>
                <w:rFonts w:ascii="Liberation Sans Narrow" w:hAnsi="Liberation Sans Narrow"/>
                <w:sz w:val="18"/>
              </w:rPr>
              <w:t xml:space="preserve">É legítima a decisão monocrática do relator que aplica jurisprudência consolidada e reconhece a inadmissibilidade manifesta do recurso, nos termos dos incisos III e IV do art. 932 e da Súmula 568 do Superior Tribunal de Justiça. Trecho: “É legítima a decisão monocrática do relator que aplica jurisprudência consolidada e inadmissibilidade manifesta, nos termos do art.”</w:t>
            </w:r>
          </w:p>
        </w:tc>
      </w:tr>
    </w:tbl>
    <w:p>
      <w:pPr>
        <w:pStyle w:val="BodyText"/>
        <w:spacing w:after="80"/>
        <w:jc w:val="both"/>
      </w:pPr>
      <w:r>
        <w:t xml:space="preserve">IV - negar provimento a recurso que for contrário a:</w:t>
      </w:r>
    </w:p>
    <w:p>
      <w:pPr>
        <w:pStyle w:val="BodyText"/>
        <w:spacing w:after="80"/>
        <w:jc w:val="both"/>
      </w:pPr>
      <w:r>
        <w:t xml:space="preserve">a) súmula do Supremo Tribunal Federal, do Superior Tribunal de Justiça ou do próprio tribunal;</w:t>
      </w:r>
    </w:p>
    <w:p>
      <w:pPr>
        <w:pStyle w:val="BodyText"/>
        <w:spacing w:after="80"/>
        <w:jc w:val="both"/>
      </w:pPr>
      <w:r>
        <w:t xml:space="preserve">b) acórdão proferido pelo Supremo Tribunal Federal ou pelo Superior Tribunal de Justiça em julgamento de recursos repetitivos ou de recursos especiais com a relevância da questão de direito federal infraconstitucional reconhecida; (Redação dada pela Lei nº 15.484, de 2026) Vigência</w:t>
      </w:r>
    </w:p>
    <w:p>
      <w:pPr>
        <w:pStyle w:val="BodyText"/>
        <w:spacing w:after="80"/>
        <w:jc w:val="both"/>
      </w:pPr>
      <w:r>
        <w:t xml:space="preserve">c) entendimento firmado em incidente de resolução de demandas repetitivas ou de assunção de competência;</w:t>
      </w:r>
    </w:p>
    <w:p>
      <w:pPr>
        <w:pStyle w:val="BodyText"/>
        <w:spacing w:after="80"/>
        <w:jc w:val="both"/>
      </w:pPr>
      <w:r>
        <w:t xml:space="preserve">V - depois de facultada a apresentação de contrarrazões, dar provimento ao recurso se a decisão recorrida for contrária a:</w:t>
      </w:r>
    </w:p>
    <w:p>
      <w:pPr>
        <w:pStyle w:val="BodyText"/>
        <w:spacing w:after="80"/>
        <w:jc w:val="both"/>
      </w:pPr>
      <w:r>
        <w:t xml:space="preserve">a) súmula do Supremo Tribunal Federal, do Superior Tribunal de Justiça ou do próprio tribunal;</w:t>
      </w:r>
    </w:p>
    <w:p>
      <w:pPr>
        <w:pStyle w:val="BodyText"/>
        <w:spacing w:after="80"/>
        <w:jc w:val="both"/>
      </w:pPr>
      <w:r>
        <w:t xml:space="preserve">b) acórdão proferido pelo Supremo Tribunal Federal ou pelo Superior Tribunal de Justiça em julgamento de recursos repetitivos ou de recursos especiais com a relevância da questão de direito federal infraconstitucional reconhecida; (Redação dada pela Lei nº 15.484, de 2026) Vigência</w:t>
      </w:r>
    </w:p>
    <w:p>
      <w:pPr>
        <w:pStyle w:val="BodyText"/>
        <w:spacing w:after="80"/>
        <w:jc w:val="both"/>
      </w:pPr>
      <w:r>
        <w:t xml:space="preserve">c) entendimento firmado em incidente de resolução de demandas repetitivas ou de assunção de competência;</w:t>
      </w:r>
    </w:p>
    <w:p>
      <w:pPr>
        <w:pStyle w:val="BodyText"/>
        <w:spacing w:after="80"/>
        <w:jc w:val="both"/>
      </w:pPr>
      <w:r>
        <w:t xml:space="preserve">VI - decidir o incidente de desconsideração da personalidade jurídica, quando este for instaurado originariamente perante o tribunal;</w:t>
      </w:r>
    </w:p>
    <w:p>
      <w:pPr>
        <w:pStyle w:val="BodyText"/>
        <w:spacing w:after="80"/>
        <w:jc w:val="both"/>
      </w:pPr>
      <w:r>
        <w:t xml:space="preserve">VII - determinar a intimação do Ministério Público, quando for o caso;</w:t>
      </w:r>
    </w:p>
    <w:p>
      <w:pPr>
        <w:pStyle w:val="BodyText"/>
        <w:spacing w:after="80"/>
        <w:jc w:val="both"/>
      </w:pPr>
      <w:r>
        <w:t xml:space="preserve">VIII - exercer outras atribuições estabelecidas no regimento interno do tribunal.</w:t>
      </w:r>
    </w:p>
    <w:p>
      <w:pPr>
        <w:pStyle w:val="BodyText"/>
        <w:spacing w:after="80"/>
        <w:jc w:val="both"/>
      </w:pPr>
      <w:r>
        <w:t xml:space="preserve">Parágrafo único. Antes de considerar inadmissível o recurso, o relator concederá o prazo de 5 (cinco) dias ao recorrente para que seja sanado vício ou complementada a documentação exigível.</w:t>
      </w:r>
    </w:p>
    <w:bookmarkEnd w:id="755"/>
    <w:bookmarkStart w:id="756" w:name="art.-933"/>
    <w:p>
      <w:pPr>
        <w:pStyle w:val="Heading6"/>
        <w:pBdr>
          <w:left w:val="single" w:sz="36" w:space="4" w:color="2E75B6"/>
        </w:pBdr>
        <w:shd w:val="clear" w:color="auto" w:fill="E3EEF9"/>
        <w:spacing w:before="200" w:after="80"/>
        <w:ind w:left="85"/>
      </w:pPr>
      <w:r>
        <w:rPr>
          <w:i w:val="0"/>
          <w:color w:val="1F3A5F"/>
          <w:sz w:val="23"/>
        </w:rPr>
        <w:t xml:space="preserve">Art. 933</w:t>
      </w:r>
    </w:p>
    <w:p>
      <w:pPr>
        <w:pStyle w:val="FirstParagraph"/>
        <w:keepNext/>
        <w:spacing w:after="80"/>
        <w:jc w:val="both"/>
      </w:pPr>
      <w:r>
        <w:rPr>
          <w:b/>
          <w:bCs/>
        </w:rPr>
        <w:t xml:space="preserve">Art. 933.</w:t>
      </w:r>
      <w:r>
        <w:t xml:space="preserve"> </w:t>
      </w:r>
      <w:r>
        <w:t xml:space="preserve">Se o relator constatar a ocorrência de fato superveniente à decisão recorrida ou a existência de questão apreciável de ofício ainda não examinada que devam ser considerados no julgamento do recurso, intimará as partes para que se manifestem no prazo de 5 (cinco) dias.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2372"/>
        <w:gridCol w:w="5077"/>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37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077"/>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Caput — fato superveniente no julgamento do recurso</w:t>
            </w:r>
          </w:p>
        </w:tc>
        <w:tc>
          <w:tcPr>
            <w:tcW w:type="dxa" w:w="2372"/>
          </w:tcPr>
          <w:p>
            <w:pPr>
              <w:pStyle w:val="Compact"/>
              <w:spacing w:line="276" w:lineRule="auto" w:before="40" w:after="40"/>
            </w:pPr>
            <w:r>
              <w:rPr>
                <w:rFonts w:ascii="Liberation Sans Narrow" w:hAnsi="Liberation Sans Narrow"/>
                <w:sz w:val="18"/>
              </w:rPr>
              <w:t xml:space="preserve">STJ, REsp 2.221.166, Terceira Turma, relatora Min. Nancy Andrighi, julgado em 18/08/2026</w:t>
            </w:r>
          </w:p>
        </w:tc>
        <w:tc>
          <w:tcPr>
            <w:tcW w:type="dxa" w:w="5077"/>
          </w:tcPr>
          <w:p>
            <w:pPr>
              <w:pStyle w:val="Compact"/>
              <w:spacing w:line="276" w:lineRule="auto" w:before="40" w:after="40"/>
            </w:pPr>
            <w:r>
              <w:rPr>
                <w:rFonts w:ascii="Liberation Sans Narrow" w:hAnsi="Liberation Sans Narrow"/>
                <w:sz w:val="18"/>
              </w:rPr>
              <w:t xml:space="preserve">O surgimento de fato novo, nos termos do art. 933, não desfaz o ato processual já consumado de ampliação do colegiado na forma do art. 942. O fato superveniente deve ser submetido ao colegiado ampliado, a quem incumbe apreciar todo o conteúdo da apelação.</w:t>
            </w:r>
          </w:p>
        </w:tc>
      </w:tr>
    </w:tbl>
    <w:p>
      <w:pPr>
        <w:pStyle w:val="BodyText"/>
        <w:spacing w:after="80"/>
        <w:jc w:val="both"/>
      </w:pPr>
      <w:r>
        <w:t xml:space="preserve">§ 1º Se a constatação ocorrer durante a sessão de julgamento, esse será imediatamente suspenso a fim de que as partes se manifestem especificamente.</w:t>
      </w:r>
    </w:p>
    <w:p>
      <w:pPr>
        <w:pStyle w:val="BodyText"/>
        <w:spacing w:after="80"/>
        <w:jc w:val="both"/>
      </w:pPr>
      <w:r>
        <w:t xml:space="preserve">§ 2º Se a constatação se der em vista dos autos, deverá o juiz que a solicitou encaminhá-los ao relator, que tomará as providências previstas no caput e, em seguida, solicitará a inclusão do feito em pauta para prosseguimento do julgamento, com submissão integral da nova questão aos julgadores.</w:t>
      </w:r>
    </w:p>
    <w:bookmarkEnd w:id="756"/>
    <w:bookmarkStart w:id="757" w:name="art.-934"/>
    <w:p>
      <w:pPr>
        <w:pStyle w:val="Heading6"/>
        <w:pBdr>
          <w:left w:val="single" w:sz="36" w:space="4" w:color="2E75B6"/>
        </w:pBdr>
        <w:shd w:val="clear" w:color="auto" w:fill="E3EEF9"/>
        <w:spacing w:before="200" w:after="80"/>
        <w:ind w:left="85"/>
      </w:pPr>
      <w:r>
        <w:rPr>
          <w:i w:val="0"/>
          <w:color w:val="1F3A5F"/>
          <w:sz w:val="23"/>
        </w:rPr>
        <w:t xml:space="preserve">Art. 934</w:t>
      </w:r>
    </w:p>
    <w:p>
      <w:pPr>
        <w:pStyle w:val="FirstParagraph"/>
        <w:keepNext/>
        <w:spacing w:after="80"/>
        <w:jc w:val="both"/>
      </w:pPr>
      <w:r>
        <w:rPr>
          <w:b/>
          <w:bCs/>
        </w:rPr>
        <w:t xml:space="preserve">Art. 934.</w:t>
      </w:r>
      <w:r>
        <w:t xml:space="preserve"> </w:t>
      </w:r>
      <w:r>
        <w:t xml:space="preserve">Em seguida, os autos serão apresentados ao presidente, que designará dia para julgamento, ordenando, em todas as hipóteses previstas neste Livro, a publicação da pauta no órgão oficial.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30"/>
        <w:gridCol w:w="3673"/>
        <w:gridCol w:w="3751"/>
      </w:tblGrid>
      <w:tr>
        <w:trPr>
          <w:tblHeader w:val="on"/>
          <w:cantSplit/>
          <w:tblHeader/>
        </w:trPr>
        <w:tc>
          <w:tcPr>
            <w:tcW w:type="dxa" w:w="193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67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375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30"/>
          </w:tcPr>
          <w:p>
            <w:pPr>
              <w:pStyle w:val="Compact"/>
              <w:spacing w:line="276" w:lineRule="auto" w:before="40" w:after="40"/>
            </w:pPr>
            <w:r>
              <w:rPr>
                <w:rFonts w:ascii="Liberation Sans Narrow" w:hAnsi="Liberation Sans Narrow"/>
                <w:sz w:val="18"/>
              </w:rPr>
              <w:t xml:space="preserve">Caput — designação de dia para julgamento</w:t>
            </w:r>
          </w:p>
        </w:tc>
        <w:tc>
          <w:tcPr>
            <w:tcW w:type="dxa" w:w="3673"/>
          </w:tcPr>
          <w:p>
            <w:pPr>
              <w:pStyle w:val="Compact"/>
              <w:spacing w:line="276" w:lineRule="auto" w:before="40" w:after="40"/>
            </w:pPr>
            <w:r>
              <w:rPr>
                <w:rFonts w:ascii="Liberation Sans Narrow" w:hAnsi="Liberation Sans Narrow"/>
                <w:sz w:val="18"/>
              </w:rPr>
              <w:t xml:space="preserve">STJ, AREsp 3.184.455, Terceira Turma, relator Min. Moura Ribeiro, julgado em 22/06/2026, DJEN de 01/07/2026</w:t>
            </w:r>
          </w:p>
        </w:tc>
        <w:tc>
          <w:tcPr>
            <w:tcW w:type="dxa" w:w="3751"/>
          </w:tcPr>
          <w:p>
            <w:pPr>
              <w:pStyle w:val="Compact"/>
              <w:spacing w:line="276" w:lineRule="auto" w:before="40" w:after="40"/>
            </w:pPr>
            <w:r>
              <w:rPr>
                <w:rFonts w:ascii="Liberation Sans Narrow" w:hAnsi="Liberation Sans Narrow"/>
                <w:sz w:val="18"/>
              </w:rPr>
              <w:t xml:space="preserve">O julgamento virtual sem publicação prévia da pauta, na forma dos arts. 934 e 935, acarreta nulidade do julgado.</w:t>
            </w:r>
          </w:p>
        </w:tc>
      </w:tr>
    </w:tbl>
    <w:bookmarkEnd w:id="757"/>
    <w:bookmarkStart w:id="758" w:name="art.-935"/>
    <w:p>
      <w:pPr>
        <w:pStyle w:val="Heading6"/>
        <w:pBdr>
          <w:left w:val="single" w:sz="36" w:space="4" w:color="2E75B6"/>
        </w:pBdr>
        <w:shd w:val="clear" w:color="auto" w:fill="E3EEF9"/>
        <w:spacing w:before="200" w:after="80"/>
        <w:ind w:left="85"/>
      </w:pPr>
      <w:r>
        <w:rPr>
          <w:i w:val="0"/>
          <w:color w:val="1F3A5F"/>
          <w:sz w:val="23"/>
        </w:rPr>
        <w:t xml:space="preserve">Art. 935</w:t>
      </w:r>
    </w:p>
    <w:p>
      <w:pPr>
        <w:pStyle w:val="FirstParagraph"/>
        <w:spacing w:after="80"/>
        <w:jc w:val="both"/>
      </w:pPr>
      <w:r>
        <w:rPr>
          <w:b/>
          <w:bCs/>
        </w:rPr>
        <w:t xml:space="preserve">Art. 935.</w:t>
      </w:r>
      <w:r>
        <w:t xml:space="preserve"> </w:t>
      </w:r>
      <w:r>
        <w:t xml:space="preserve">Entre a data de publicação da pauta e a da sessão de julgamento decorrerá, pelo menos, o prazo de 5 (cinco) dias, incluindo-se em nova pauta os processos que não tenham sido julgados, salvo aqueles cujo julgamento tiver sido expressamente adiado para a primeira sessão seguinte.</w:t>
      </w:r>
    </w:p>
    <w:p>
      <w:pPr>
        <w:pStyle w:val="BodyText"/>
        <w:spacing w:after="80"/>
        <w:jc w:val="both"/>
      </w:pPr>
      <w:r>
        <w:t xml:space="preserve">§ 1º Às partes será permitida vista dos autos em cartório após a publicação da pauta de julgamento.</w:t>
      </w:r>
    </w:p>
    <w:p>
      <w:pPr>
        <w:pStyle w:val="BodyText"/>
        <w:spacing w:after="80"/>
        <w:jc w:val="both"/>
      </w:pPr>
      <w:r>
        <w:t xml:space="preserve">§ 2º Afixar-se-á a pauta na entrada da sala em que se realizar a sessão de julgamento.</w:t>
      </w:r>
    </w:p>
    <w:bookmarkEnd w:id="758"/>
    <w:bookmarkStart w:id="759" w:name="art.-936"/>
    <w:p>
      <w:pPr>
        <w:pStyle w:val="Heading6"/>
        <w:pBdr>
          <w:left w:val="single" w:sz="36" w:space="4" w:color="2E75B6"/>
        </w:pBdr>
        <w:shd w:val="clear" w:color="auto" w:fill="E3EEF9"/>
        <w:spacing w:before="200" w:after="80"/>
        <w:ind w:left="85"/>
      </w:pPr>
      <w:r>
        <w:rPr>
          <w:i w:val="0"/>
          <w:color w:val="1F3A5F"/>
          <w:sz w:val="23"/>
        </w:rPr>
        <w:t xml:space="preserve">Art. 936</w:t>
      </w:r>
    </w:p>
    <w:p>
      <w:pPr>
        <w:pStyle w:val="FirstParagraph"/>
        <w:spacing w:after="80"/>
        <w:jc w:val="both"/>
      </w:pPr>
      <w:r>
        <w:rPr>
          <w:b/>
          <w:bCs/>
        </w:rPr>
        <w:t xml:space="preserve">Art. 936.</w:t>
      </w:r>
      <w:r>
        <w:t xml:space="preserve"> </w:t>
      </w:r>
      <w:r>
        <w:t xml:space="preserve">Ressalvadas as preferências legais e regimentais, os recursos, a remessa necessária e os processos de competência originária serão julgados na seguinte ordem:</w:t>
      </w:r>
    </w:p>
    <w:p>
      <w:pPr>
        <w:pStyle w:val="BodyText"/>
        <w:spacing w:after="80"/>
        <w:jc w:val="both"/>
      </w:pPr>
      <w:r>
        <w:t xml:space="preserve">I - aqueles nos quais houver sustentação oral, observada a ordem dos requerimentos;</w:t>
      </w:r>
    </w:p>
    <w:p>
      <w:pPr>
        <w:pStyle w:val="BodyText"/>
        <w:spacing w:after="80"/>
        <w:jc w:val="both"/>
      </w:pPr>
      <w:r>
        <w:t xml:space="preserve">II - os requerimentos de preferência apresentados até o início da sessão de julgamento;</w:t>
      </w:r>
    </w:p>
    <w:p>
      <w:pPr>
        <w:pStyle w:val="BodyText"/>
        <w:spacing w:after="80"/>
        <w:jc w:val="both"/>
      </w:pPr>
      <w:r>
        <w:t xml:space="preserve">III - aqueles cujo julgamento tenha iniciado em sessão anterior; e</w:t>
      </w:r>
    </w:p>
    <w:p>
      <w:pPr>
        <w:pStyle w:val="BodyText"/>
        <w:spacing w:after="80"/>
        <w:jc w:val="both"/>
      </w:pPr>
      <w:r>
        <w:t xml:space="preserve">IV - os demais casos.</w:t>
      </w:r>
    </w:p>
    <w:bookmarkEnd w:id="759"/>
    <w:bookmarkStart w:id="760" w:name="art.-937"/>
    <w:p>
      <w:pPr>
        <w:pStyle w:val="Heading6"/>
        <w:pBdr>
          <w:left w:val="single" w:sz="36" w:space="4" w:color="2E75B6"/>
        </w:pBdr>
        <w:shd w:val="clear" w:color="auto" w:fill="E3EEF9"/>
        <w:spacing w:before="200" w:after="80"/>
        <w:ind w:left="85"/>
      </w:pPr>
      <w:r>
        <w:rPr>
          <w:i w:val="0"/>
          <w:color w:val="1F3A5F"/>
          <w:sz w:val="23"/>
        </w:rPr>
        <w:t xml:space="preserve">Art. 937</w:t>
      </w:r>
    </w:p>
    <w:p>
      <w:pPr>
        <w:pStyle w:val="FirstParagraph"/>
        <w:keepNext/>
        <w:spacing w:after="80"/>
        <w:jc w:val="both"/>
      </w:pPr>
      <w:r>
        <w:rPr>
          <w:b/>
          <w:bCs/>
        </w:rPr>
        <w:t xml:space="preserve">Art. 937.</w:t>
      </w:r>
      <w:r>
        <w:t xml:space="preserve"> </w:t>
      </w:r>
      <w:r>
        <w:t xml:space="preserve">Na sessão de julgamento, depois da exposição da causa pelo relator, o presidente dará a palavra, sucessivamente, ao recorrente, ao recorrido e, nos casos de sua intervenção, ao membro do Ministério Público, pelo prazo improrrogável de 15 (quinze) minutos para cada um, a fim de sustentarem suas razões, nas seguintes hipóteses, nos termos da parte final do caput do art. 1.021:</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98"/>
        <w:gridCol w:w="2762"/>
        <w:gridCol w:w="4493"/>
      </w:tblGrid>
      <w:tr>
        <w:trPr>
          <w:tblHeader w:val="on"/>
          <w:cantSplit/>
          <w:tblHeader/>
        </w:trPr>
        <w:tc>
          <w:tcPr>
            <w:tcW w:type="dxa" w:w="2099"/>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6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49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99"/>
          </w:tcPr>
          <w:p>
            <w:pPr>
              <w:pStyle w:val="Compact"/>
              <w:spacing w:line="276" w:lineRule="auto" w:before="40" w:after="40"/>
            </w:pPr>
            <w:r>
              <w:rPr>
                <w:rFonts w:ascii="Liberation Sans Narrow" w:hAnsi="Liberation Sans Narrow"/>
                <w:sz w:val="18"/>
              </w:rPr>
              <w:t xml:space="preserve">Caput — sustentação oral</w:t>
            </w:r>
          </w:p>
        </w:tc>
        <w:tc>
          <w:tcPr>
            <w:tcW w:type="dxa" w:w="2763"/>
          </w:tcPr>
          <w:p>
            <w:pPr>
              <w:pStyle w:val="Compact"/>
              <w:spacing w:line="276" w:lineRule="auto" w:before="40" w:after="40"/>
            </w:pPr>
            <w:r>
              <w:rPr>
                <w:rFonts w:ascii="Liberation Sans Narrow" w:hAnsi="Liberation Sans Narrow"/>
                <w:sz w:val="18"/>
              </w:rPr>
              <w:t xml:space="preserve">STJ, EDcl no AREsp 2.288.038, Corte Especial, relator Min. Joel Ilan Paciornik, DJe de 27/10/2023</w:t>
            </w:r>
          </w:p>
        </w:tc>
        <w:tc>
          <w:tcPr>
            <w:tcW w:type="dxa" w:w="4493"/>
          </w:tcPr>
          <w:p>
            <w:pPr>
              <w:pStyle w:val="Compact"/>
              <w:spacing w:line="276" w:lineRule="auto" w:before="40" w:after="40"/>
            </w:pPr>
            <w:r>
              <w:rPr>
                <w:rFonts w:ascii="Liberation Sans Narrow" w:hAnsi="Liberation Sans Narrow"/>
                <w:sz w:val="18"/>
              </w:rPr>
              <w:t xml:space="preserve">Não cabe sustentação oral no agravo regimental contra decisão monocrática que julgou o agravo em recurso especial: o art. 937 não prevê a sustentação no julgamento do agravo em recurso especial, e o art. 7º, § 2º-B, da Lei 8.906/1994 não alcança essa hipótese.</w:t>
            </w:r>
          </w:p>
        </w:tc>
      </w:tr>
      <w:tr>
        <w:trPr>
          <w:cantSplit/>
        </w:trPr>
        <w:tc>
          <w:tcPr>
            <w:tcW w:type="dxa" w:w="2099"/>
          </w:tcPr>
          <w:p>
            <w:pPr>
              <w:pStyle w:val="Compact"/>
              <w:spacing w:line="276" w:lineRule="auto" w:before="40" w:after="40"/>
            </w:pPr>
            <w:r>
              <w:rPr>
                <w:rFonts w:ascii="Liberation Sans Narrow" w:hAnsi="Liberation Sans Narrow"/>
                <w:sz w:val="18"/>
              </w:rPr>
              <w:t xml:space="preserve">Caput — ausência de intimação para sustentação oral: nulidade sujeita a arguição na primeira oportunidade</w:t>
            </w:r>
          </w:p>
        </w:tc>
        <w:tc>
          <w:tcPr>
            <w:tcW w:type="dxa" w:w="2763"/>
          </w:tcPr>
          <w:p>
            <w:pPr>
              <w:pStyle w:val="Compact"/>
              <w:spacing w:line="276" w:lineRule="auto" w:before="40" w:after="40"/>
            </w:pPr>
            <w:r>
              <w:rPr>
                <w:rFonts w:ascii="Liberation Sans Narrow" w:hAnsi="Liberation Sans Narrow"/>
                <w:sz w:val="18"/>
              </w:rPr>
              <w:t xml:space="preserve">STJ, AgRg no</w:t>
            </w:r>
            <w:r>
              <w:rPr>
                <w:rFonts w:ascii="Liberation Sans Narrow" w:hAnsi="Liberation Sans Narrow"/>
                <w:sz w:val="18"/>
              </w:rPr>
              <w:t xml:space="preserve"> </w:t>
            </w:r>
            <w:r>
              <w:rPr>
                <w:rFonts w:ascii="Liberation Sans Narrow" w:hAnsi="Liberation Sans Narrow"/>
                <w:i/>
                <w:iCs/>
                <w:sz w:val="18"/>
              </w:rPr>
              <w:t xml:space="preserve">habeas corpus</w:t>
            </w:r>
            <w:r>
              <w:rPr>
                <w:rFonts w:ascii="Liberation Sans Narrow" w:hAnsi="Liberation Sans Narrow"/>
                <w:sz w:val="18"/>
              </w:rPr>
              <w:t xml:space="preserve"> </w:t>
            </w:r>
            <w:r>
              <w:rPr>
                <w:rFonts w:ascii="Liberation Sans Narrow" w:hAnsi="Liberation Sans Narrow"/>
                <w:sz w:val="18"/>
              </w:rPr>
              <w:t xml:space="preserve">(HC) 903.471, Sexta Turma, relator Min. Antonio Saldanha Palheiro</w:t>
            </w:r>
          </w:p>
        </w:tc>
        <w:tc>
          <w:tcPr>
            <w:tcW w:type="dxa" w:w="4493"/>
          </w:tcPr>
          <w:p>
            <w:pPr>
              <w:pStyle w:val="Compact"/>
              <w:spacing w:line="276" w:lineRule="auto" w:before="40" w:after="40"/>
            </w:pPr>
            <w:r>
              <w:rPr>
                <w:rFonts w:ascii="Liberation Sans Narrow" w:hAnsi="Liberation Sans Narrow"/>
                <w:sz w:val="18"/>
              </w:rPr>
              <w:t xml:space="preserve">Havendo pedido expresso de sustentação oral, a ausência de intimação do advogado constituído torna nula a sessão de julgamento; a nulidade, contudo, deve ser arguida na primeira oportunidade em que a defesa toma ciência do julgamento, sob pena de preclusão, ainda que opostos embargos de declaração sem que o colegiado de origem tenha debatido o vício.</w:t>
            </w:r>
          </w:p>
        </w:tc>
      </w:tr>
    </w:tbl>
    <w:p>
      <w:pPr>
        <w:pStyle w:val="BodyText"/>
        <w:spacing w:after="80"/>
        <w:jc w:val="both"/>
      </w:pPr>
      <w:r>
        <w:t xml:space="preserve">I - no recurso de apelação;</w:t>
      </w:r>
    </w:p>
    <w:p>
      <w:pPr>
        <w:pStyle w:val="BodyText"/>
        <w:spacing w:after="80"/>
        <w:jc w:val="both"/>
      </w:pPr>
      <w:r>
        <w:t xml:space="preserve">II - no recurso ordinário;</w:t>
      </w:r>
    </w:p>
    <w:p>
      <w:pPr>
        <w:pStyle w:val="BodyText"/>
        <w:spacing w:after="80"/>
        <w:jc w:val="both"/>
      </w:pPr>
      <w:r>
        <w:t xml:space="preserve">III - no recurso especial;</w:t>
      </w:r>
    </w:p>
    <w:p>
      <w:pPr>
        <w:pStyle w:val="BodyText"/>
        <w:spacing w:after="80"/>
        <w:jc w:val="both"/>
      </w:pPr>
      <w:r>
        <w:t xml:space="preserve">IV - no recurso extraordinário;</w:t>
      </w:r>
    </w:p>
    <w:p>
      <w:pPr>
        <w:pStyle w:val="BodyText"/>
        <w:spacing w:after="80"/>
        <w:jc w:val="both"/>
      </w:pPr>
      <w:r>
        <w:t xml:space="preserve">V - nos embargos de divergência;</w:t>
      </w:r>
    </w:p>
    <w:p>
      <w:pPr>
        <w:pStyle w:val="BodyText"/>
        <w:spacing w:after="80"/>
        <w:jc w:val="both"/>
      </w:pPr>
      <w:r>
        <w:t xml:space="preserve">VI - na ação rescisória, no mandado de segurança e na reclamação;</w:t>
      </w:r>
    </w:p>
    <w:p>
      <w:pPr>
        <w:pStyle w:val="BodyText"/>
        <w:spacing w:after="80"/>
        <w:jc w:val="both"/>
      </w:pPr>
      <w:r>
        <w:t xml:space="preserve">VII - (VETADO);</w:t>
      </w:r>
    </w:p>
    <w:p>
      <w:pPr>
        <w:pStyle w:val="BodyText"/>
        <w:spacing w:after="80"/>
        <w:jc w:val="both"/>
      </w:pPr>
      <w:r>
        <w:t xml:space="preserve">VIII - no agravo de instrumento interposto contra decisões interlocutórias que versem sobre tutelas provisórias de urgência ou da evidência;</w:t>
      </w:r>
    </w:p>
    <w:p>
      <w:pPr>
        <w:pStyle w:val="BodyText"/>
        <w:spacing w:after="80"/>
        <w:jc w:val="both"/>
      </w:pPr>
      <w:r>
        <w:t xml:space="preserve">IX - em outras hipóteses previstas em lei ou no regimento interno do tribunal.</w:t>
      </w:r>
    </w:p>
    <w:p>
      <w:pPr>
        <w:pStyle w:val="BodyText"/>
        <w:spacing w:after="80"/>
        <w:jc w:val="both"/>
      </w:pPr>
      <w:r>
        <w:t xml:space="preserve">§ 1º A sustentação oral no incidente de resolução de demandas repetitivas observará o disposto no art. 984, no que couber.</w:t>
      </w:r>
    </w:p>
    <w:p>
      <w:pPr>
        <w:pStyle w:val="BodyText"/>
        <w:spacing w:after="80"/>
        <w:jc w:val="both"/>
      </w:pPr>
      <w:r>
        <w:t xml:space="preserve">§ 2º O procurador que desejar proferir sustentação oral poderá requerer, até o início da sessão, que o processo seja julgado em primeiro lugar, sem prejuízo das preferências legais.</w:t>
      </w:r>
    </w:p>
    <w:p>
      <w:pPr>
        <w:pStyle w:val="BodyText"/>
        <w:spacing w:after="80"/>
        <w:jc w:val="both"/>
      </w:pPr>
      <w:r>
        <w:t xml:space="preserve">§ 3º Nos processos de competência originária previstos no inciso VI, caberá sustentação oral no agravo interno interposto contra decisão de relator que o extinga.</w:t>
      </w:r>
    </w:p>
    <w:p>
      <w:pPr>
        <w:pStyle w:val="BodyText"/>
        <w:spacing w:after="80"/>
        <w:jc w:val="both"/>
      </w:pPr>
      <w:r>
        <w:t xml:space="preserve">§ 4º É permitido ao advogado com domicílio profissional em cidade diversa daquela onde está sediado o tribunal realizar sustentação oral por meio de videoconferência ou outro recurso tecnológico de transmissão de sons e imagens em tempo real, desde que o requeira até o dia anterior ao da sessão.</w:t>
      </w:r>
    </w:p>
    <w:bookmarkEnd w:id="760"/>
    <w:bookmarkStart w:id="761" w:name="art.-938"/>
    <w:p>
      <w:pPr>
        <w:pStyle w:val="Heading6"/>
        <w:pBdr>
          <w:left w:val="single" w:sz="36" w:space="4" w:color="2E75B6"/>
        </w:pBdr>
        <w:shd w:val="clear" w:color="auto" w:fill="E3EEF9"/>
        <w:spacing w:before="200" w:after="80"/>
        <w:ind w:left="85"/>
      </w:pPr>
      <w:r>
        <w:rPr>
          <w:i w:val="0"/>
          <w:color w:val="1F3A5F"/>
          <w:sz w:val="23"/>
        </w:rPr>
        <w:t xml:space="preserve">Art. 938</w:t>
      </w:r>
    </w:p>
    <w:p>
      <w:pPr>
        <w:pStyle w:val="FirstParagraph"/>
        <w:spacing w:after="80"/>
        <w:jc w:val="both"/>
      </w:pPr>
      <w:r>
        <w:rPr>
          <w:b/>
          <w:bCs/>
        </w:rPr>
        <w:t xml:space="preserve">Art. 938.</w:t>
      </w:r>
      <w:r>
        <w:t xml:space="preserve"> </w:t>
      </w:r>
      <w:r>
        <w:t xml:space="preserve">A questão preliminar suscitada no julgamento será decidida antes do mérito, deste não se conhecendo caso seja incompatível com a decisão.</w:t>
      </w:r>
    </w:p>
    <w:p>
      <w:pPr>
        <w:pStyle w:val="BodyText"/>
        <w:spacing w:after="80"/>
        <w:jc w:val="both"/>
      </w:pPr>
      <w:r>
        <w:t xml:space="preserve">§ 1º Constatada a ocorrência de vício sanável, inclusive aquele que possa ser conhecido de ofício, o relator determinará a realização ou a renovação do ato processual, no próprio tribunal ou em primeiro grau de jurisdição, intimadas as partes.</w:t>
      </w:r>
    </w:p>
    <w:p>
      <w:pPr>
        <w:pStyle w:val="BodyText"/>
        <w:spacing w:after="80"/>
        <w:jc w:val="both"/>
      </w:pPr>
      <w:r>
        <w:t xml:space="preserve">§ 2º Cumprida a diligência de que trata o § 1º, o relator, sempre que possível, prosseguirá no julgamento do recurso.</w:t>
      </w:r>
    </w:p>
    <w:p>
      <w:pPr>
        <w:pStyle w:val="BodyText"/>
        <w:spacing w:after="80"/>
        <w:jc w:val="both"/>
      </w:pPr>
      <w:r>
        <w:t xml:space="preserve">§ 3º Reconhecida a necessidade de produção de prova, o relator converterá o julgamento em diligência, que se realizará no tribunal ou em primeiro grau de jurisdição, decidindo-se o recurso após a conclusão da instrução.</w:t>
      </w:r>
    </w:p>
    <w:p>
      <w:pPr>
        <w:pStyle w:val="BodyText"/>
        <w:spacing w:after="80"/>
        <w:jc w:val="both"/>
      </w:pPr>
      <w:r>
        <w:t xml:space="preserve">§ 4º Quando não determinadas pelo relator, as providências indicadas nos §§ 1º e 3º poderão ser determinadas pelo órgão competente para julgamento do recurso.</w:t>
      </w:r>
    </w:p>
    <w:bookmarkEnd w:id="761"/>
    <w:bookmarkStart w:id="762" w:name="art.-939"/>
    <w:p>
      <w:pPr>
        <w:pStyle w:val="Heading6"/>
        <w:pBdr>
          <w:left w:val="single" w:sz="36" w:space="4" w:color="2E75B6"/>
        </w:pBdr>
        <w:shd w:val="clear" w:color="auto" w:fill="E3EEF9"/>
        <w:spacing w:before="200" w:after="80"/>
        <w:ind w:left="85"/>
      </w:pPr>
      <w:r>
        <w:rPr>
          <w:i w:val="0"/>
          <w:color w:val="1F3A5F"/>
          <w:sz w:val="23"/>
        </w:rPr>
        <w:t xml:space="preserve">Art. 939</w:t>
      </w:r>
    </w:p>
    <w:p>
      <w:pPr>
        <w:pStyle w:val="FirstParagraph"/>
        <w:spacing w:after="80"/>
        <w:jc w:val="both"/>
      </w:pPr>
      <w:r>
        <w:rPr>
          <w:b/>
          <w:bCs/>
        </w:rPr>
        <w:t xml:space="preserve">Art. 939.</w:t>
      </w:r>
      <w:r>
        <w:t xml:space="preserve"> </w:t>
      </w:r>
      <w:r>
        <w:t xml:space="preserve">Se a preliminar for rejeitada ou se a apreciação do mérito for com ela compatível, seguir-se-ão a discussão e o julgamento da matéria principal, sobre a qual deverão se pronunciar os juízes vencidos na preliminar.</w:t>
      </w:r>
    </w:p>
    <w:bookmarkEnd w:id="762"/>
    <w:bookmarkStart w:id="763" w:name="art.-940"/>
    <w:p>
      <w:pPr>
        <w:pStyle w:val="Heading6"/>
        <w:pBdr>
          <w:left w:val="single" w:sz="36" w:space="4" w:color="2E75B6"/>
        </w:pBdr>
        <w:shd w:val="clear" w:color="auto" w:fill="E3EEF9"/>
        <w:spacing w:before="200" w:after="80"/>
        <w:ind w:left="85"/>
      </w:pPr>
      <w:r>
        <w:rPr>
          <w:i w:val="0"/>
          <w:color w:val="1F3A5F"/>
          <w:sz w:val="23"/>
        </w:rPr>
        <w:t xml:space="preserve">Art. 940</w:t>
      </w:r>
    </w:p>
    <w:p>
      <w:pPr>
        <w:pStyle w:val="FirstParagraph"/>
        <w:spacing w:after="80"/>
        <w:jc w:val="both"/>
      </w:pPr>
      <w:r>
        <w:rPr>
          <w:b/>
          <w:bCs/>
        </w:rPr>
        <w:t xml:space="preserve">Art. 940.</w:t>
      </w:r>
      <w:r>
        <w:t xml:space="preserve"> </w:t>
      </w:r>
      <w:r>
        <w:t xml:space="preserve">O relator ou outro juiz que não se considerar habilitado a proferir imediatamente seu voto poderá solicitar vista pelo prazo máximo de 10 (dez) dias, após o qual o recurso será reincluído em pauta para julgamento na sessão seguinte à data da devolução.</w:t>
      </w:r>
    </w:p>
    <w:p>
      <w:pPr>
        <w:pStyle w:val="BodyText"/>
        <w:spacing w:after="80"/>
        <w:jc w:val="both"/>
      </w:pPr>
      <w:r>
        <w:t xml:space="preserve">§ 1º Se os autos não forem devolvidos tempestivamente ou se não for solicitada pelo juiz prorrogação de prazo de no máximo mais 10 (dez) dias, o presidente do órgão fracionário os requisitará para julgamento do recurso na sessão ordinária subsequente, com publicação da pauta em que for incluído.</w:t>
      </w:r>
    </w:p>
    <w:p>
      <w:pPr>
        <w:pStyle w:val="BodyText"/>
        <w:spacing w:after="80"/>
        <w:jc w:val="both"/>
      </w:pPr>
      <w:r>
        <w:t xml:space="preserve">§ 2º Quando requisitar os autos na forma do § 1º, se aquele que fez o pedido de vista ainda não se sentir habilitado a votar, o presidente convocará substituto para proferir voto, na forma estabelecida no regimento interno do tribunal.</w:t>
      </w:r>
    </w:p>
    <w:bookmarkEnd w:id="763"/>
    <w:bookmarkStart w:id="764" w:name="art.-941"/>
    <w:p>
      <w:pPr>
        <w:pStyle w:val="Heading6"/>
        <w:pBdr>
          <w:left w:val="single" w:sz="36" w:space="4" w:color="2E75B6"/>
        </w:pBdr>
        <w:shd w:val="clear" w:color="auto" w:fill="E3EEF9"/>
        <w:spacing w:before="200" w:after="80"/>
        <w:ind w:left="85"/>
      </w:pPr>
      <w:r>
        <w:rPr>
          <w:i w:val="0"/>
          <w:color w:val="1F3A5F"/>
          <w:sz w:val="23"/>
        </w:rPr>
        <w:t xml:space="preserve">Art. 941</w:t>
      </w:r>
    </w:p>
    <w:p>
      <w:pPr>
        <w:pStyle w:val="FirstParagraph"/>
        <w:spacing w:after="80"/>
        <w:jc w:val="both"/>
      </w:pPr>
      <w:r>
        <w:rPr>
          <w:b/>
          <w:bCs/>
        </w:rPr>
        <w:t xml:space="preserve">Art. 941.</w:t>
      </w:r>
      <w:r>
        <w:t xml:space="preserve"> </w:t>
      </w:r>
      <w:r>
        <w:t xml:space="preserve">Proferidos os votos, o presidente anunciará o resultado do julgamento, designando para redigir o acórdão o relator ou, se vencido este, o autor do primeiro voto vencedor.</w:t>
      </w:r>
    </w:p>
    <w:p>
      <w:pPr>
        <w:pStyle w:val="BodyText"/>
        <w:spacing w:after="80"/>
        <w:jc w:val="both"/>
      </w:pPr>
      <w:r>
        <w:t xml:space="preserve">§ 1º O voto poderá ser alterado até o momento da proclamação do resultado pelo presidente, salvo aquele já proferido por juiz afastado ou substituído.</w:t>
      </w:r>
    </w:p>
    <w:p>
      <w:pPr>
        <w:pStyle w:val="BodyText"/>
        <w:spacing w:after="80"/>
        <w:jc w:val="both"/>
      </w:pPr>
      <w:r>
        <w:t xml:space="preserve">§ 2º No julgamento de apelação ou de agravo de instrumento, a decisão será tomada, no órgão colegiado, pelo voto de 3 (três) juízes.</w:t>
      </w:r>
    </w:p>
    <w:p>
      <w:pPr>
        <w:pStyle w:val="BodyText"/>
        <w:spacing w:after="80"/>
        <w:jc w:val="both"/>
      </w:pPr>
      <w:r>
        <w:t xml:space="preserve">§ 3º O voto vencido será necessariamente declarado e considerado parte integrante do acórdão para todos os fins legais, inclusive de pré-questionamento.</w:t>
      </w:r>
    </w:p>
    <w:bookmarkEnd w:id="764"/>
    <w:bookmarkStart w:id="765" w:name="art.-942"/>
    <w:p>
      <w:pPr>
        <w:pStyle w:val="Heading6"/>
        <w:pBdr>
          <w:left w:val="single" w:sz="36" w:space="4" w:color="2E75B6"/>
        </w:pBdr>
        <w:shd w:val="clear" w:color="auto" w:fill="E3EEF9"/>
        <w:spacing w:before="200" w:after="80"/>
        <w:ind w:left="85"/>
      </w:pPr>
      <w:r>
        <w:rPr>
          <w:i w:val="0"/>
          <w:color w:val="1F3A5F"/>
          <w:sz w:val="23"/>
        </w:rPr>
        <w:t xml:space="preserve">Art. 942</w:t>
      </w:r>
    </w:p>
    <w:p>
      <w:pPr>
        <w:pStyle w:val="FirstParagraph"/>
        <w:keepNext/>
        <w:spacing w:after="80"/>
        <w:jc w:val="both"/>
      </w:pPr>
      <w:r>
        <w:rPr>
          <w:b/>
          <w:bCs/>
        </w:rPr>
        <w:t xml:space="preserve">Art. 942.</w:t>
      </w:r>
      <w:r>
        <w:t xml:space="preserve"> </w:t>
      </w:r>
      <w:r>
        <w:t xml:space="preserve">Quando o resultado da apelação for não unânime, o julgamento terá prosseguimento em sessão a ser designada com a presença de outros julgadores, que serão convocados nos termos previamente definidos no regimento interno, em número suficiente para garantir a possibilidade de inversão do resultado inicial, assegurado às partes e a eventuais terceiros o direito de sustentar oralmente suas razões perante os novos julgadores.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55"/>
        <w:gridCol w:w="2611"/>
        <w:gridCol w:w="4588"/>
      </w:tblGrid>
      <w:tr>
        <w:trPr>
          <w:tblHeader w:val="on"/>
          <w:cantSplit/>
          <w:tblHeader/>
        </w:trPr>
        <w:tc>
          <w:tcPr>
            <w:tcW w:type="dxa" w:w="215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12"/>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588"/>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55"/>
          </w:tcPr>
          <w:p>
            <w:pPr>
              <w:pStyle w:val="Compact"/>
              <w:spacing w:line="276" w:lineRule="auto" w:before="40" w:after="40"/>
            </w:pPr>
            <w:r>
              <w:rPr>
                <w:rFonts w:ascii="Liberation Sans Narrow" w:hAnsi="Liberation Sans Narrow"/>
                <w:sz w:val="18"/>
              </w:rPr>
              <w:t xml:space="preserve">Caput — extensão da técnica ao julgamento não unânime do agravo interno e dos embargos de declaração</w:t>
            </w:r>
          </w:p>
        </w:tc>
        <w:tc>
          <w:tcPr>
            <w:tcW w:type="dxa" w:w="2612"/>
          </w:tcPr>
          <w:p>
            <w:pPr>
              <w:pStyle w:val="Compact"/>
              <w:spacing w:line="276" w:lineRule="auto" w:before="40" w:after="40"/>
            </w:pPr>
            <w:r>
              <w:rPr>
                <w:rFonts w:ascii="Liberation Sans Narrow" w:hAnsi="Liberation Sans Narrow"/>
                <w:sz w:val="18"/>
              </w:rPr>
              <w:t xml:space="preserve">STJ, REsp 2.213.902, Segunda Turma, relator Min. Francisco Falcão, julgado em 03/03/2026</w:t>
            </w:r>
          </w:p>
        </w:tc>
        <w:tc>
          <w:tcPr>
            <w:tcW w:type="dxa" w:w="4588"/>
          </w:tcPr>
          <w:p>
            <w:pPr>
              <w:pStyle w:val="Compact"/>
              <w:spacing w:line="276" w:lineRule="auto" w:before="40" w:after="40"/>
            </w:pPr>
            <w:r>
              <w:rPr>
                <w:rFonts w:ascii="Liberation Sans Narrow" w:hAnsi="Liberation Sans Narrow"/>
                <w:sz w:val="18"/>
              </w:rPr>
              <w:t xml:space="preserve">A técnica de julgamento ampliado do art. 942 é de observância automática e obrigatória sempre que o resultado da apelação for não unânime, e aplica-se também ao julgamento não unânime dos embargos de declaração opostos contra o acórdão de apelação e, com maior razão, ao do agravo interno que conduziu ao julgamento final da apelação e à reforma da sentença; a ausência de ampliação do colegiado nesse julgamento acarreta nulidade.</w:t>
            </w:r>
          </w:p>
        </w:tc>
      </w:tr>
      <w:tr>
        <w:trPr>
          <w:cantSplit/>
        </w:trPr>
        <w:tc>
          <w:tcPr>
            <w:tcW w:type="dxa" w:w="2155"/>
          </w:tcPr>
          <w:p>
            <w:pPr>
              <w:pStyle w:val="Compact"/>
              <w:spacing w:line="276" w:lineRule="auto" w:before="40" w:after="40"/>
            </w:pPr>
            <w:r>
              <w:rPr>
                <w:rFonts w:ascii="Liberation Sans Narrow" w:hAnsi="Liberation Sans Narrow"/>
                <w:sz w:val="18"/>
              </w:rPr>
              <w:t xml:space="preserve">Caput — julgamento não unânime</w:t>
            </w:r>
          </w:p>
        </w:tc>
        <w:tc>
          <w:tcPr>
            <w:tcW w:type="dxa" w:w="2612"/>
          </w:tcPr>
          <w:p>
            <w:pPr>
              <w:pStyle w:val="Compact"/>
              <w:spacing w:line="276" w:lineRule="auto" w:before="40" w:after="40"/>
            </w:pPr>
            <w:r>
              <w:rPr>
                <w:rFonts w:ascii="Liberation Sans Narrow" w:hAnsi="Liberation Sans Narrow"/>
                <w:sz w:val="18"/>
              </w:rPr>
              <w:t xml:space="preserve">STJ, REsp 1.922.044, Segunda Turma, relator Min. Herman Benjamin, DJe de 13/04/2021</w:t>
            </w:r>
          </w:p>
        </w:tc>
        <w:tc>
          <w:tcPr>
            <w:tcW w:type="dxa" w:w="4588"/>
          </w:tcPr>
          <w:p>
            <w:pPr>
              <w:pStyle w:val="Compact"/>
              <w:spacing w:line="276" w:lineRule="auto" w:before="40" w:after="40"/>
            </w:pPr>
            <w:r>
              <w:rPr>
                <w:rFonts w:ascii="Liberation Sans Narrow" w:hAnsi="Liberation Sans Narrow"/>
                <w:sz w:val="18"/>
              </w:rPr>
              <w:t xml:space="preserve">A inobservância da técnica de ampliação do colegiado no julgamento não unânime de apelação, após a vigência do CPC/2015, gera nulidade.</w:t>
            </w:r>
          </w:p>
        </w:tc>
      </w:tr>
    </w:tbl>
    <w:p>
      <w:pPr>
        <w:pStyle w:val="BodyText"/>
        <w:spacing w:after="80"/>
        <w:jc w:val="both"/>
      </w:pPr>
      <w:r>
        <w:t xml:space="preserve">§ 1º Sendo possível, o prosseguimento do julgamento dar-se-á na mesma sessão, colhendo-se os votos de outros julgadores que porventura componham o órgão colegiado.</w:t>
      </w:r>
    </w:p>
    <w:p>
      <w:pPr>
        <w:pStyle w:val="BodyText"/>
        <w:spacing w:after="80"/>
        <w:jc w:val="both"/>
      </w:pPr>
      <w:r>
        <w:t xml:space="preserve">§ 2º Os julgadores que já tiverem votado poderão rever seus votos por ocasião do prosseguimento do julgamento.</w:t>
      </w:r>
    </w:p>
    <w:p>
      <w:pPr>
        <w:pStyle w:val="BodyText"/>
        <w:spacing w:after="80"/>
        <w:jc w:val="both"/>
      </w:pPr>
      <w:r>
        <w:t xml:space="preserve">§ 3º A técnica de julgamento prevista neste artigo aplica-se, igualmente, ao julgamento não unânime proferido em:</w:t>
      </w:r>
    </w:p>
    <w:p>
      <w:pPr>
        <w:pStyle w:val="BodyText"/>
        <w:spacing w:after="80"/>
        <w:jc w:val="both"/>
      </w:pPr>
      <w:r>
        <w:t xml:space="preserve">I - ação rescisória, quando o resultado for a rescisão da sentença, devendo, nesse caso, seu prosseguimento ocorrer em órgão de maior composição previsto no regimento interno;</w:t>
      </w:r>
    </w:p>
    <w:p>
      <w:pPr>
        <w:pStyle w:val="BodyText"/>
        <w:spacing w:after="80"/>
        <w:jc w:val="both"/>
      </w:pPr>
      <w:r>
        <w:t xml:space="preserve">II - agravo de instrumento, quando houver reforma da decisão que julgar parcialmente o mérito.</w:t>
      </w:r>
    </w:p>
    <w:p>
      <w:pPr>
        <w:pStyle w:val="BodyText"/>
        <w:spacing w:after="80"/>
        <w:jc w:val="both"/>
      </w:pPr>
      <w:r>
        <w:t xml:space="preserve">§ 4º Não se aplica o disposto neste artigo ao julgamento:</w:t>
      </w:r>
    </w:p>
    <w:p>
      <w:pPr>
        <w:pStyle w:val="BodyText"/>
        <w:spacing w:after="80"/>
        <w:jc w:val="both"/>
      </w:pPr>
      <w:r>
        <w:t xml:space="preserve">I - do incidente de assunção de competência e ao de resolução de demandas repetitivas;</w:t>
      </w:r>
    </w:p>
    <w:p>
      <w:pPr>
        <w:pStyle w:val="BodyText"/>
        <w:spacing w:after="80"/>
        <w:jc w:val="both"/>
      </w:pPr>
      <w:r>
        <w:t xml:space="preserve">II - da remessa necessária;</w:t>
      </w:r>
    </w:p>
    <w:p>
      <w:pPr>
        <w:pStyle w:val="BodyText"/>
        <w:spacing w:after="80"/>
        <w:jc w:val="both"/>
      </w:pPr>
      <w:r>
        <w:t xml:space="preserve">III - não unânime proferido, nos tribunais, pelo plenário ou pela corte especial.</w:t>
      </w:r>
    </w:p>
    <w:bookmarkEnd w:id="765"/>
    <w:bookmarkStart w:id="766" w:name="art.-943"/>
    <w:p>
      <w:pPr>
        <w:pStyle w:val="Heading6"/>
        <w:pBdr>
          <w:left w:val="single" w:sz="36" w:space="4" w:color="2E75B6"/>
        </w:pBdr>
        <w:shd w:val="clear" w:color="auto" w:fill="E3EEF9"/>
        <w:spacing w:before="200" w:after="80"/>
        <w:ind w:left="85"/>
      </w:pPr>
      <w:r>
        <w:rPr>
          <w:i w:val="0"/>
          <w:color w:val="1F3A5F"/>
          <w:sz w:val="23"/>
        </w:rPr>
        <w:t xml:space="preserve">Art. 943</w:t>
      </w:r>
    </w:p>
    <w:p>
      <w:pPr>
        <w:pStyle w:val="FirstParagraph"/>
        <w:spacing w:after="80"/>
        <w:jc w:val="both"/>
      </w:pPr>
      <w:r>
        <w:rPr>
          <w:b/>
          <w:bCs/>
        </w:rPr>
        <w:t xml:space="preserve">Art. 943.</w:t>
      </w:r>
      <w:r>
        <w:t xml:space="preserve"> </w:t>
      </w:r>
      <w:r>
        <w:t xml:space="preserve">Os votos, os acórdãos e os demais atos processuais podem ser registrados em documento eletrônico inviolável e assinados eletronicamente, na forma da lei, devendo ser impressos para juntada aos autos do processo quando este não for eletrônico.</w:t>
      </w:r>
    </w:p>
    <w:p>
      <w:pPr>
        <w:pStyle w:val="BodyText"/>
        <w:spacing w:after="80"/>
        <w:jc w:val="both"/>
      </w:pPr>
      <w:r>
        <w:t xml:space="preserve">§ 1º Todo acórdão conterá ementa.</w:t>
      </w:r>
    </w:p>
    <w:p>
      <w:pPr>
        <w:pStyle w:val="BodyText"/>
        <w:spacing w:after="80"/>
        <w:jc w:val="both"/>
      </w:pPr>
      <w:r>
        <w:t xml:space="preserve">§ 2º Lavrado o acórdão, sua ementa será publicada no órgão oficial no prazo de 10 (dez) dias.</w:t>
      </w:r>
    </w:p>
    <w:bookmarkEnd w:id="766"/>
    <w:bookmarkStart w:id="767" w:name="art.-944"/>
    <w:p>
      <w:pPr>
        <w:pStyle w:val="Heading6"/>
        <w:pBdr>
          <w:left w:val="single" w:sz="36" w:space="4" w:color="2E75B6"/>
        </w:pBdr>
        <w:shd w:val="clear" w:color="auto" w:fill="E3EEF9"/>
        <w:spacing w:before="200" w:after="80"/>
        <w:ind w:left="85"/>
      </w:pPr>
      <w:r>
        <w:rPr>
          <w:i w:val="0"/>
          <w:color w:val="1F3A5F"/>
          <w:sz w:val="23"/>
        </w:rPr>
        <w:t xml:space="preserve">Art. 944</w:t>
      </w:r>
    </w:p>
    <w:p>
      <w:pPr>
        <w:pStyle w:val="FirstParagraph"/>
        <w:spacing w:after="80"/>
        <w:jc w:val="both"/>
      </w:pPr>
      <w:r>
        <w:rPr>
          <w:b/>
          <w:bCs/>
        </w:rPr>
        <w:t xml:space="preserve">Art. 944.</w:t>
      </w:r>
      <w:r>
        <w:t xml:space="preserve"> </w:t>
      </w:r>
      <w:r>
        <w:t xml:space="preserve">Não publicado o acórdão no prazo de 30 (trinta) dias, contado da data da sessão de julgamento, as notas taquigráficas o substituirão, para todos os fins legais, independentemente de revisão.</w:t>
      </w:r>
    </w:p>
    <w:p>
      <w:pPr>
        <w:pStyle w:val="BodyText"/>
        <w:spacing w:after="80"/>
        <w:jc w:val="both"/>
      </w:pPr>
      <w:r>
        <w:t xml:space="preserve">Parágrafo único. No caso do caput , o presidente do tribunal lavrará, de imediato, as conclusões e a ementa e mandará publicar o acórdão.</w:t>
      </w:r>
    </w:p>
    <w:bookmarkEnd w:id="767"/>
    <w:bookmarkStart w:id="768" w:name="art.-945"/>
    <w:p>
      <w:pPr>
        <w:pStyle w:val="Heading6"/>
        <w:pBdr>
          <w:left w:val="single" w:sz="36" w:space="4" w:color="2E75B6"/>
        </w:pBdr>
        <w:shd w:val="clear" w:color="auto" w:fill="E3EEF9"/>
        <w:spacing w:before="200" w:after="80"/>
        <w:ind w:left="85"/>
      </w:pPr>
      <w:r>
        <w:rPr>
          <w:i w:val="0"/>
          <w:color w:val="1F3A5F"/>
          <w:sz w:val="23"/>
        </w:rPr>
        <w:t xml:space="preserve">Art. 945</w:t>
      </w:r>
    </w:p>
    <w:p>
      <w:pPr>
        <w:pStyle w:val="FirstParagraph"/>
        <w:spacing w:after="80"/>
        <w:jc w:val="both"/>
      </w:pPr>
      <w:r>
        <w:rPr>
          <w:b/>
          <w:bCs/>
        </w:rPr>
        <w:t xml:space="preserve">Art. 945.</w:t>
      </w:r>
      <w:r>
        <w:t xml:space="preserve"> </w:t>
      </w:r>
      <w:r>
        <w:t xml:space="preserve">(Revogado pela Lei nº 13.256, de 2016)</w:t>
      </w:r>
    </w:p>
    <w:bookmarkEnd w:id="768"/>
    <w:bookmarkStart w:id="769" w:name="art.-946"/>
    <w:p>
      <w:pPr>
        <w:pStyle w:val="Heading6"/>
        <w:pBdr>
          <w:left w:val="single" w:sz="36" w:space="4" w:color="2E75B6"/>
        </w:pBdr>
        <w:shd w:val="clear" w:color="auto" w:fill="E3EEF9"/>
        <w:spacing w:before="200" w:after="80"/>
        <w:ind w:left="85"/>
      </w:pPr>
      <w:r>
        <w:rPr>
          <w:i w:val="0"/>
          <w:color w:val="1F3A5F"/>
          <w:sz w:val="23"/>
        </w:rPr>
        <w:t xml:space="preserve">Art. 946</w:t>
      </w:r>
    </w:p>
    <w:p>
      <w:pPr>
        <w:pStyle w:val="FirstParagraph"/>
        <w:keepNext/>
        <w:spacing w:after="80"/>
        <w:jc w:val="both"/>
      </w:pPr>
      <w:r>
        <w:rPr>
          <w:b/>
          <w:bCs/>
        </w:rPr>
        <w:t xml:space="preserve">Art. 946.</w:t>
      </w:r>
      <w:r>
        <w:t xml:space="preserve"> </w:t>
      </w:r>
      <w:r>
        <w:t xml:space="preserve">O agravo de instrumento será julgado antes da apelação interposta no mesmo processo.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13"/>
        <w:gridCol w:w="2741"/>
        <w:gridCol w:w="4600"/>
      </w:tblGrid>
      <w:tr>
        <w:trPr>
          <w:tblHeader w:val="on"/>
          <w:cantSplit/>
          <w:tblHeader/>
        </w:trPr>
        <w:tc>
          <w:tcPr>
            <w:tcW w:type="dxa" w:w="2013"/>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4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60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13"/>
          </w:tcPr>
          <w:p>
            <w:pPr>
              <w:pStyle w:val="Compact"/>
              <w:spacing w:line="276" w:lineRule="auto" w:before="40" w:after="40"/>
            </w:pPr>
            <w:r>
              <w:rPr>
                <w:rFonts w:ascii="Liberation Sans Narrow" w:hAnsi="Liberation Sans Narrow"/>
                <w:sz w:val="18"/>
              </w:rPr>
              <w:t xml:space="preserve">Caput — precedência do julgamento do agravo de instrumento</w:t>
            </w:r>
          </w:p>
        </w:tc>
        <w:tc>
          <w:tcPr>
            <w:tcW w:type="dxa" w:w="2741"/>
          </w:tcPr>
          <w:p>
            <w:pPr>
              <w:pStyle w:val="Compact"/>
              <w:spacing w:line="276" w:lineRule="auto" w:before="40" w:after="40"/>
            </w:pPr>
            <w:r>
              <w:rPr>
                <w:rFonts w:ascii="Liberation Sans Narrow" w:hAnsi="Liberation Sans Narrow"/>
                <w:sz w:val="18"/>
              </w:rPr>
              <w:t xml:space="preserve">STJ, REsp 2.082.230, Quarta Turma, relator Min. João Otávio de Noronha, julgado em 22/06/2026</w:t>
            </w:r>
          </w:p>
        </w:tc>
        <w:tc>
          <w:tcPr>
            <w:tcW w:type="dxa" w:w="4600"/>
          </w:tcPr>
          <w:p>
            <w:pPr>
              <w:pStyle w:val="Compact"/>
              <w:spacing w:line="276" w:lineRule="auto" w:before="40" w:after="40"/>
            </w:pPr>
            <w:r>
              <w:rPr>
                <w:rFonts w:ascii="Liberation Sans Narrow" w:hAnsi="Liberation Sans Narrow"/>
                <w:sz w:val="18"/>
              </w:rPr>
              <w:t xml:space="preserve">O agravo de instrumento deve ser julgado antes da apelação interposta no mesmo processo, nos termos do art. 946, sendo nulo o acórdão que inverte a ordem com prejuízo à parte recorrente.</w:t>
            </w:r>
          </w:p>
        </w:tc>
      </w:tr>
    </w:tbl>
    <w:p>
      <w:pPr>
        <w:pStyle w:val="BodyText"/>
        <w:spacing w:after="80"/>
        <w:jc w:val="both"/>
      </w:pPr>
      <w:r>
        <w:t xml:space="preserve">Parágrafo único. Se ambos os recursos de que trata o caput houverem de ser julgados na mesma sessão, terá precedência o agravo de instrumento.</w:t>
      </w:r>
    </w:p>
    <w:bookmarkEnd w:id="769"/>
    <w:bookmarkEnd w:id="770"/>
    <w:bookmarkStart w:id="772" w:name="X820d561a7e103da845f0ea67072a01cbff7c379"/>
    <w:p>
      <w:pPr>
        <w:pStyle w:val="Heading4"/>
        <w:spacing w:before="160" w:after="40"/>
      </w:pPr>
      <w:r>
        <w:rPr>
          <w:smallCaps/>
          <w:color w:val="2E75B6"/>
        </w:rPr>
        <w:t xml:space="preserve">Capítulo III: do incidente de assunção de competência (arts. 947)</w:t>
      </w:r>
    </w:p>
    <w:bookmarkStart w:id="771" w:name="art.-947"/>
    <w:p>
      <w:pPr>
        <w:pStyle w:val="Heading6"/>
        <w:pBdr>
          <w:left w:val="single" w:sz="36" w:space="4" w:color="2E75B6"/>
        </w:pBdr>
        <w:shd w:val="clear" w:color="auto" w:fill="E3EEF9"/>
        <w:spacing w:before="200" w:after="80"/>
        <w:ind w:left="85"/>
      </w:pPr>
      <w:r>
        <w:rPr>
          <w:i w:val="0"/>
          <w:color w:val="1F3A5F"/>
          <w:sz w:val="23"/>
        </w:rPr>
        <w:t xml:space="preserve">Art. 947</w:t>
      </w:r>
    </w:p>
    <w:p>
      <w:pPr>
        <w:pStyle w:val="FirstParagraph"/>
        <w:keepNext/>
        <w:spacing w:after="80"/>
        <w:jc w:val="both"/>
      </w:pPr>
      <w:r>
        <w:rPr>
          <w:b/>
          <w:bCs/>
        </w:rPr>
        <w:t xml:space="preserve">Art. 947.</w:t>
      </w:r>
      <w:r>
        <w:t xml:space="preserve"> </w:t>
      </w:r>
      <w:r>
        <w:t xml:space="preserve">É admissível a assunção de competência quando o julgamento de recurso, de remessa necessária ou de processo de competência originária envolver relevante questão de direito, com grande repercussão social, sem repetição em múltiplos processos.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2504"/>
        <w:gridCol w:w="519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0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19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55"/>
          </w:tcPr>
          <w:p>
            <w:pPr>
              <w:pStyle w:val="Compact"/>
              <w:spacing w:line="276" w:lineRule="auto" w:before="40" w:after="40"/>
            </w:pPr>
            <w:r>
              <w:rPr>
                <w:rFonts w:ascii="Liberation Sans Narrow" w:hAnsi="Liberation Sans Narrow"/>
                <w:sz w:val="18"/>
              </w:rPr>
              <w:t xml:space="preserve">Caput — requisitos da assunção de competência</w:t>
            </w:r>
          </w:p>
        </w:tc>
        <w:tc>
          <w:tcPr>
            <w:tcW w:type="dxa" w:w="2504"/>
          </w:tcPr>
          <w:p>
            <w:pPr>
              <w:pStyle w:val="Compact"/>
              <w:spacing w:line="276" w:lineRule="auto" w:before="40" w:after="40"/>
            </w:pPr>
            <w:r>
              <w:rPr>
                <w:rFonts w:ascii="Liberation Sans Narrow" w:hAnsi="Liberation Sans Narrow"/>
                <w:sz w:val="18"/>
              </w:rPr>
              <w:t xml:space="preserve">STJ, IAC no RMS 73.231, Primeira Seção, relator Min. Afrânio Vilela, julgado em 02/06/2026</w:t>
            </w:r>
          </w:p>
        </w:tc>
        <w:tc>
          <w:tcPr>
            <w:tcW w:type="dxa" w:w="5195"/>
          </w:tcPr>
          <w:p>
            <w:pPr>
              <w:pStyle w:val="Compact"/>
              <w:spacing w:line="276" w:lineRule="auto" w:before="40" w:after="40"/>
            </w:pPr>
            <w:r>
              <w:rPr>
                <w:rFonts w:ascii="Liberation Sans Narrow" w:hAnsi="Liberation Sans Narrow"/>
                <w:sz w:val="18"/>
              </w:rPr>
              <w:t xml:space="preserve">Configura-se a hipótese de assunção de competência quando a causa envolve relevante questão de direito, com grande repercussão social e sem repetição em múltiplos processos, ainda que a matéria tenha limitada capacidade repetitiva e exista, na origem, incidente de resolução de demandas repetitivas em possível dissonância com a jurisprudência do Superior Tribunal de Justiça e do Supremo Tribunal Federal.</w:t>
            </w:r>
          </w:p>
        </w:tc>
      </w:tr>
    </w:tbl>
    <w:p>
      <w:pPr>
        <w:pStyle w:val="BodyText"/>
        <w:spacing w:after="80"/>
        <w:jc w:val="both"/>
      </w:pPr>
      <w:r>
        <w:t xml:space="preserve">§ 1º Ocorrendo a hipótese de assunção de competência, o relator proporá, de ofício ou a requerimento da parte, do Ministério Público ou da Defensoria Pública, que seja o recurso, a remessa necessária ou o processo de competência originária julgado pelo órgão colegiado que o regimento indicar.</w:t>
      </w:r>
    </w:p>
    <w:p>
      <w:pPr>
        <w:pStyle w:val="BodyText"/>
        <w:spacing w:after="80"/>
        <w:jc w:val="both"/>
      </w:pPr>
      <w:r>
        <w:t xml:space="preserve">§ 2º O órgão colegiado julgará o recurso, a remessa necessária ou o processo de competência originária se reconhecer interesse público na assunção de competência.</w:t>
      </w:r>
    </w:p>
    <w:p>
      <w:pPr>
        <w:pStyle w:val="BodyText"/>
        <w:spacing w:after="80"/>
        <w:jc w:val="both"/>
      </w:pPr>
      <w:r>
        <w:t xml:space="preserve">§ 3º O acórdão proferido em assunção de competência vinculará todos os juízes e órgãos fracionários, exceto se houver revisão de tese.</w:t>
      </w:r>
    </w:p>
    <w:p>
      <w:pPr>
        <w:pStyle w:val="BodyText"/>
        <w:keepNext/>
        <w:spacing w:after="80"/>
        <w:jc w:val="both"/>
      </w:pPr>
      <w:r>
        <w:t xml:space="preserve">§ 4º Aplica-se o disposto neste artigo quando ocorrer relevante questão de direito a respeito da qual seja conveniente a prevenção ou a composição de divergência entre câmaras ou turmas do tribunal.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818"/>
        <w:gridCol w:w="3068"/>
        <w:gridCol w:w="4468"/>
      </w:tblGrid>
      <w:tr>
        <w:trPr>
          <w:tblHeader w:val="on"/>
          <w:cantSplit/>
          <w:tblHeader/>
        </w:trPr>
        <w:tc>
          <w:tcPr>
            <w:tcW w:type="dxa" w:w="1818"/>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06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468"/>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818"/>
          </w:tcPr>
          <w:p>
            <w:pPr>
              <w:pStyle w:val="Compact"/>
              <w:spacing w:line="276" w:lineRule="auto" w:before="40" w:after="40"/>
            </w:pPr>
            <w:r>
              <w:rPr>
                <w:rFonts w:ascii="Liberation Sans Narrow" w:hAnsi="Liberation Sans Narrow"/>
                <w:sz w:val="18"/>
              </w:rPr>
              <w:t xml:space="preserve">§ 4º — prevenção e composição de divergência entre câmaras ou turmas</w:t>
            </w:r>
          </w:p>
        </w:tc>
        <w:tc>
          <w:tcPr>
            <w:tcW w:type="dxa" w:w="3068"/>
          </w:tcPr>
          <w:p>
            <w:pPr>
              <w:pStyle w:val="Compact"/>
              <w:spacing w:line="276" w:lineRule="auto" w:before="40" w:after="40"/>
            </w:pPr>
            <w:r>
              <w:rPr>
                <w:rFonts w:ascii="Liberation Sans Narrow" w:hAnsi="Liberation Sans Narrow"/>
                <w:sz w:val="18"/>
              </w:rPr>
              <w:t xml:space="preserve">STJ, Original repetitivo., IAC no REsp 1.860.219, Primeira Seção, relator Min. Paulo Sérgio Domingues, julgado em 28/05/2024, DJe de 17/06/2024</w:t>
            </w:r>
          </w:p>
        </w:tc>
        <w:tc>
          <w:tcPr>
            <w:tcW w:type="dxa" w:w="4468"/>
          </w:tcPr>
          <w:p>
            <w:pPr>
              <w:pStyle w:val="Compact"/>
              <w:spacing w:line="276" w:lineRule="auto" w:before="40" w:after="40"/>
            </w:pPr>
            <w:r>
              <w:rPr>
                <w:rFonts w:ascii="Liberation Sans Narrow" w:hAnsi="Liberation Sans Narrow"/>
                <w:sz w:val="18"/>
              </w:rPr>
              <w:t xml:space="preserve">A dispersão jurisprudencial incipiente no âmbito do próprio tribunal amolda-se à previsão do art. 947, § 4º, autorizando a admissão do incidente para prevenir ou compor divergência entre câmaras ou turmas. A instauração do incidente neutraliza o risco à credibilidade e à eficiência do sistema de justiça.</w:t>
            </w:r>
          </w:p>
        </w:tc>
      </w:tr>
    </w:tbl>
    <w:bookmarkEnd w:id="771"/>
    <w:bookmarkEnd w:id="772"/>
    <w:bookmarkStart w:id="776" w:name="X243266c2bac98763034c483b3429662629c4e63"/>
    <w:p>
      <w:pPr>
        <w:pStyle w:val="Heading4"/>
        <w:spacing w:before="160" w:after="40"/>
      </w:pPr>
      <w:r>
        <w:rPr>
          <w:smallCaps/>
          <w:color w:val="2E75B6"/>
        </w:rPr>
        <w:t xml:space="preserve">Capítulo IV: do incidente de arguição de inconstitucionalidade (arts. 948 a 950)</w:t>
      </w:r>
    </w:p>
    <w:bookmarkStart w:id="773" w:name="art.-948"/>
    <w:p>
      <w:pPr>
        <w:pStyle w:val="Heading6"/>
        <w:pBdr>
          <w:left w:val="single" w:sz="36" w:space="4" w:color="2E75B6"/>
        </w:pBdr>
        <w:shd w:val="clear" w:color="auto" w:fill="E3EEF9"/>
        <w:spacing w:before="200" w:after="80"/>
        <w:ind w:left="85"/>
      </w:pPr>
      <w:r>
        <w:rPr>
          <w:i w:val="0"/>
          <w:color w:val="1F3A5F"/>
          <w:sz w:val="23"/>
        </w:rPr>
        <w:t xml:space="preserve">Art. 948</w:t>
      </w:r>
    </w:p>
    <w:p>
      <w:pPr>
        <w:pStyle w:val="FirstParagraph"/>
        <w:keepNext/>
        <w:spacing w:after="80"/>
        <w:jc w:val="both"/>
      </w:pPr>
      <w:r>
        <w:rPr>
          <w:b/>
          <w:bCs/>
        </w:rPr>
        <w:t xml:space="preserve">Art. 948.</w:t>
      </w:r>
      <w:r>
        <w:t xml:space="preserve"> </w:t>
      </w:r>
      <w:r>
        <w:t xml:space="preserve">Arguida, em controle difuso, a inconstitucionalidade de lei ou de ato normativo do poder público, o relator, após ouvir o Ministério Público e as partes, submeterá a questão à turma ou à câmara à qual competir o conhecimento do processo.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835"/>
        <w:gridCol w:w="2420"/>
        <w:gridCol w:w="4099"/>
      </w:tblGrid>
      <w:tr>
        <w:trPr>
          <w:tblHeader w:val="on"/>
          <w:cantSplit/>
          <w:tblHeader/>
        </w:trPr>
        <w:tc>
          <w:tcPr>
            <w:tcW w:type="dxa" w:w="283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42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09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835"/>
          </w:tcPr>
          <w:p>
            <w:pPr>
              <w:pStyle w:val="Compact"/>
              <w:spacing w:line="276" w:lineRule="auto" w:before="40" w:after="40"/>
            </w:pPr>
            <w:r>
              <w:rPr>
                <w:rFonts w:ascii="Liberation Sans Narrow" w:hAnsi="Liberation Sans Narrow"/>
                <w:sz w:val="18"/>
              </w:rPr>
              <w:t xml:space="preserve">Caput — dispensa da arguição quando o órgão apenas interpreta o ordenamento, sem declarar a inconstitucionalidade</w:t>
            </w:r>
          </w:p>
        </w:tc>
        <w:tc>
          <w:tcPr>
            <w:tcW w:type="dxa" w:w="2420"/>
          </w:tcPr>
          <w:p>
            <w:pPr>
              <w:pStyle w:val="Compact"/>
              <w:spacing w:line="276" w:lineRule="auto" w:before="40" w:after="40"/>
            </w:pPr>
            <w:r>
              <w:rPr>
                <w:rFonts w:ascii="Liberation Sans Narrow" w:hAnsi="Liberation Sans Narrow"/>
                <w:sz w:val="18"/>
              </w:rPr>
              <w:t xml:space="preserve">STJ, AgInt no AREsp 3.116.274, Primeira Turma, relator Min. Benedito Gonçalves, julgado em 12/08/2026</w:t>
            </w:r>
          </w:p>
        </w:tc>
        <w:tc>
          <w:tcPr>
            <w:tcW w:type="dxa" w:w="4099"/>
          </w:tcPr>
          <w:p>
            <w:pPr>
              <w:pStyle w:val="Compact"/>
              <w:spacing w:line="276" w:lineRule="auto" w:before="40" w:after="40"/>
            </w:pPr>
            <w:r>
              <w:rPr>
                <w:rFonts w:ascii="Liberation Sans Narrow" w:hAnsi="Liberation Sans Narrow"/>
                <w:sz w:val="18"/>
              </w:rPr>
              <w:t xml:space="preserve">Não há violação da cláusula de reserva de plenário, nem da Súmula Vinculante 10, quando a decisão recorrida procede à mera interpretação sistemática do ordenamento jurídico, sem declarar a inconstitucionalidade da norma questionada, hipótese em que não se instaura a arguição de inconstitucionalidade.</w:t>
            </w:r>
          </w:p>
        </w:tc>
      </w:tr>
      <w:tr>
        <w:trPr>
          <w:cantSplit/>
        </w:trPr>
        <w:tc>
          <w:tcPr>
            <w:tcW w:type="dxa" w:w="2835"/>
          </w:tcPr>
          <w:p>
            <w:pPr>
              <w:pStyle w:val="Compact"/>
              <w:spacing w:line="276" w:lineRule="auto" w:before="40" w:after="40"/>
            </w:pPr>
            <w:r>
              <w:rPr>
                <w:rFonts w:ascii="Liberation Sans Narrow" w:hAnsi="Liberation Sans Narrow"/>
                <w:sz w:val="18"/>
              </w:rPr>
              <w:t xml:space="preserve">Caput — dispensa da arguição de inconstitucionalidade</w:t>
            </w:r>
          </w:p>
        </w:tc>
        <w:tc>
          <w:tcPr>
            <w:tcW w:type="dxa" w:w="2420"/>
          </w:tcPr>
          <w:p>
            <w:pPr>
              <w:pStyle w:val="Compact"/>
              <w:spacing w:line="276" w:lineRule="auto" w:before="40" w:after="40"/>
            </w:pPr>
            <w:r>
              <w:rPr>
                <w:rFonts w:ascii="Liberation Sans Narrow" w:hAnsi="Liberation Sans Narrow"/>
                <w:sz w:val="18"/>
              </w:rPr>
              <w:t xml:space="preserve">STJ, REsp 2.037.422, Terceira Turma, relator Min. Moura Ribeiro, julgado em 09/03/2026</w:t>
            </w:r>
          </w:p>
        </w:tc>
        <w:tc>
          <w:tcPr>
            <w:tcW w:type="dxa" w:w="4099"/>
          </w:tcPr>
          <w:p>
            <w:pPr>
              <w:pStyle w:val="Compact"/>
              <w:spacing w:line="276" w:lineRule="auto" w:before="40" w:after="40"/>
            </w:pPr>
            <w:r>
              <w:rPr>
                <w:rFonts w:ascii="Liberation Sans Narrow" w:hAnsi="Liberation Sans Narrow"/>
                <w:sz w:val="18"/>
              </w:rPr>
              <w:t xml:space="preserve">O órgão fracionário não está obrigado a suscitar o incidente de arguição de inconstitucionalidade quando o Supremo Tribunal Federal já reconheceu o caráter infraconstitucional da matéria e a ausência de repercussão geral.</w:t>
            </w:r>
          </w:p>
        </w:tc>
      </w:tr>
    </w:tbl>
    <w:bookmarkEnd w:id="773"/>
    <w:bookmarkStart w:id="774" w:name="art.-949"/>
    <w:p>
      <w:pPr>
        <w:pStyle w:val="Heading6"/>
        <w:pBdr>
          <w:left w:val="single" w:sz="36" w:space="4" w:color="2E75B6"/>
        </w:pBdr>
        <w:shd w:val="clear" w:color="auto" w:fill="E3EEF9"/>
        <w:spacing w:before="200" w:after="80"/>
        <w:ind w:left="85"/>
      </w:pPr>
      <w:r>
        <w:rPr>
          <w:i w:val="0"/>
          <w:color w:val="1F3A5F"/>
          <w:sz w:val="23"/>
        </w:rPr>
        <w:t xml:space="preserve">Art. 949</w:t>
      </w:r>
    </w:p>
    <w:p>
      <w:pPr>
        <w:pStyle w:val="FirstParagraph"/>
        <w:spacing w:after="80"/>
        <w:jc w:val="both"/>
      </w:pPr>
      <w:r>
        <w:rPr>
          <w:b/>
          <w:bCs/>
        </w:rPr>
        <w:t xml:space="preserve">Art. 949.</w:t>
      </w:r>
      <w:r>
        <w:t xml:space="preserve"> </w:t>
      </w:r>
      <w:r>
        <w:t xml:space="preserve">Se a arguição for:</w:t>
      </w:r>
    </w:p>
    <w:p>
      <w:pPr>
        <w:pStyle w:val="BodyText"/>
        <w:spacing w:after="80"/>
        <w:jc w:val="both"/>
      </w:pPr>
      <w:r>
        <w:t xml:space="preserve">I - rejeitada, prosseguirá o julgamento;</w:t>
      </w:r>
    </w:p>
    <w:p>
      <w:pPr>
        <w:pStyle w:val="BodyText"/>
        <w:keepNext/>
        <w:spacing w:after="80"/>
        <w:jc w:val="both"/>
      </w:pPr>
      <w:r>
        <w:t xml:space="preserve">II - acolhida, a questão será submetida ao plenário do tribunal ou ao seu órgão especial, onde houver.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2"/>
        <w:gridCol w:w="2730"/>
        <w:gridCol w:w="4722"/>
      </w:tblGrid>
      <w:tr>
        <w:trPr>
          <w:tblHeader w:val="on"/>
          <w:cantSplit/>
          <w:tblHeader/>
        </w:trPr>
        <w:tc>
          <w:tcPr>
            <w:tcW w:type="dxa" w:w="190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3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2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02"/>
          </w:tcPr>
          <w:p>
            <w:pPr>
              <w:pStyle w:val="Compact"/>
              <w:spacing w:line="276" w:lineRule="auto" w:before="40" w:after="40"/>
            </w:pPr>
            <w:r>
              <w:rPr>
                <w:rFonts w:ascii="Liberation Sans Narrow" w:hAnsi="Liberation Sans Narrow"/>
                <w:sz w:val="18"/>
              </w:rPr>
              <w:t xml:space="preserve">II — submissão da arguição acolhida ao plenário (aplicação narrada)</w:t>
            </w:r>
          </w:p>
        </w:tc>
        <w:tc>
          <w:tcPr>
            <w:tcW w:type="dxa" w:w="2730"/>
          </w:tcPr>
          <w:p>
            <w:pPr>
              <w:pStyle w:val="Compact"/>
              <w:spacing w:line="276" w:lineRule="auto" w:before="40" w:after="40"/>
            </w:pPr>
            <w:r>
              <w:rPr>
                <w:rFonts w:ascii="Liberation Sans Narrow" w:hAnsi="Liberation Sans Narrow"/>
                <w:sz w:val="18"/>
              </w:rPr>
              <w:t xml:space="preserve">STJ, AREsp 2.475.196, Segunda Turma, relator Min. Mauro Campbell Marques, julgado em 05/03/2024, DJe de 07/03/2024</w:t>
            </w:r>
          </w:p>
        </w:tc>
        <w:tc>
          <w:tcPr>
            <w:tcW w:type="dxa" w:w="4722"/>
          </w:tcPr>
          <w:p>
            <w:pPr>
              <w:pStyle w:val="Compact"/>
              <w:spacing w:line="276" w:lineRule="auto" w:before="40" w:after="40"/>
            </w:pPr>
            <w:r>
              <w:rPr>
                <w:rFonts w:ascii="Liberation Sans Narrow" w:hAnsi="Liberation Sans Narrow"/>
                <w:sz w:val="18"/>
              </w:rPr>
              <w:t xml:space="preserve">A decisão que autoriza a interposição de recurso especial não é a do plenário que resolve o incidente de inconstitucionalidade, mas a do órgão (câmara, grupo ou turma) que completa o julgamento do feito, na inteligência da Súmula 513 do Supremo Tribunal Federal. Trecho: “A decisão que enseja a interposição de recurso especial não é a do plenário, que resolve o incidente de inconstitucionalidade, mas a do órgão (câmaras, grupos ou turmas) que completa o julgamento do feito.”</w:t>
            </w:r>
          </w:p>
        </w:tc>
      </w:tr>
    </w:tbl>
    <w:p>
      <w:pPr>
        <w:pStyle w:val="BodyText"/>
        <w:spacing w:after="80"/>
        <w:jc w:val="both"/>
      </w:pPr>
      <w:r>
        <w:t xml:space="preserve">Parágrafo único. Os órgãos fracionários dos tribunais não submeterão ao plenário ou ao órgão especial a arguição de inconstitucionalidade quando já houver pronunciamento destes ou do plenário do Supremo Tribunal Federal sobre a questão.</w:t>
      </w:r>
    </w:p>
    <w:bookmarkEnd w:id="774"/>
    <w:bookmarkStart w:id="775" w:name="art.-950"/>
    <w:p>
      <w:pPr>
        <w:pStyle w:val="Heading6"/>
        <w:pBdr>
          <w:left w:val="single" w:sz="36" w:space="4" w:color="2E75B6"/>
        </w:pBdr>
        <w:shd w:val="clear" w:color="auto" w:fill="E3EEF9"/>
        <w:spacing w:before="200" w:after="80"/>
        <w:ind w:left="85"/>
      </w:pPr>
      <w:r>
        <w:rPr>
          <w:i w:val="0"/>
          <w:color w:val="1F3A5F"/>
          <w:sz w:val="23"/>
        </w:rPr>
        <w:t xml:space="preserve">Art. 950</w:t>
      </w:r>
    </w:p>
    <w:p>
      <w:pPr>
        <w:pStyle w:val="FirstParagraph"/>
        <w:spacing w:after="80"/>
        <w:jc w:val="both"/>
      </w:pPr>
      <w:r>
        <w:rPr>
          <w:b/>
          <w:bCs/>
        </w:rPr>
        <w:t xml:space="preserve">Art. 950.</w:t>
      </w:r>
      <w:r>
        <w:t xml:space="preserve"> </w:t>
      </w:r>
      <w:r>
        <w:t xml:space="preserve">Remetida cópia do acórdão a todos os juízes, o presidente do tribunal designará a sessão de julgamento.</w:t>
      </w:r>
    </w:p>
    <w:p>
      <w:pPr>
        <w:pStyle w:val="BodyText"/>
        <w:spacing w:after="80"/>
        <w:jc w:val="both"/>
      </w:pPr>
      <w:r>
        <w:t xml:space="preserve">§ 1º As pessoas jurídicas de direito público responsáveis pela edição do ato questionado poderão manifestar-se no incidente de inconstitucionalidade se assim o requererem, observados os prazos e as condições previstos no regimento interno do tribunal.</w:t>
      </w:r>
    </w:p>
    <w:p>
      <w:pPr>
        <w:pStyle w:val="BodyText"/>
        <w:spacing w:after="80"/>
        <w:jc w:val="both"/>
      </w:pPr>
      <w:r>
        <w:t xml:space="preserve">§ 2º A parte legitimada à propositura das ações previstas no art. 103 da Constituição Federal poderá manifestar-se, por escrito, sobre a questão constitucional objeto de apreciação, no prazo previsto pelo regimento interno, sendo-lhe assegurado o direito de apresentar memoriais ou de requerer a juntada de documentos.</w:t>
      </w:r>
    </w:p>
    <w:p>
      <w:pPr>
        <w:pStyle w:val="BodyText"/>
        <w:spacing w:after="80"/>
        <w:jc w:val="both"/>
      </w:pPr>
      <w:r>
        <w:t xml:space="preserve">§ 3º Considerando a relevância da matéria e a representatividade dos postulantes, o relator poderá admitir, por despacho irrecorrível, a manifestação de outros órgãos ou entidades.</w:t>
      </w:r>
    </w:p>
    <w:bookmarkEnd w:id="775"/>
    <w:bookmarkEnd w:id="776"/>
    <w:bookmarkStart w:id="786" w:name="Xb94c5f2fca0638255307b32edcd5d096565617a"/>
    <w:p>
      <w:pPr>
        <w:pStyle w:val="Heading4"/>
        <w:spacing w:before="160" w:after="40"/>
      </w:pPr>
      <w:r>
        <w:rPr>
          <w:smallCaps/>
          <w:color w:val="2E75B6"/>
        </w:rPr>
        <w:t xml:space="preserve">Capítulo V: do conflito de competência (arts. 951 a 959)</w:t>
      </w:r>
    </w:p>
    <w:bookmarkStart w:id="777" w:name="art.-951"/>
    <w:p>
      <w:pPr>
        <w:pStyle w:val="Heading6"/>
        <w:pBdr>
          <w:left w:val="single" w:sz="36" w:space="4" w:color="2E75B6"/>
        </w:pBdr>
        <w:shd w:val="clear" w:color="auto" w:fill="E3EEF9"/>
        <w:spacing w:before="200" w:after="80"/>
        <w:ind w:left="85"/>
      </w:pPr>
      <w:r>
        <w:rPr>
          <w:i w:val="0"/>
          <w:color w:val="1F3A5F"/>
          <w:sz w:val="23"/>
        </w:rPr>
        <w:t xml:space="preserve">Art. 951</w:t>
      </w:r>
    </w:p>
    <w:p>
      <w:pPr>
        <w:pStyle w:val="FirstParagraph"/>
        <w:keepNext/>
        <w:spacing w:after="80"/>
        <w:jc w:val="both"/>
      </w:pPr>
      <w:r>
        <w:rPr>
          <w:b/>
          <w:bCs/>
        </w:rPr>
        <w:t xml:space="preserve">Art. 951.</w:t>
      </w:r>
      <w:r>
        <w:t xml:space="preserve"> </w:t>
      </w:r>
      <w:r>
        <w:t xml:space="preserve">O conflito de competência pode ser suscitado por qualquer das partes, pelo Ministério Público ou pelo juiz.</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420"/>
        <w:gridCol w:w="2565"/>
        <w:gridCol w:w="4369"/>
      </w:tblGrid>
      <w:tr>
        <w:trPr>
          <w:tblHeader w:val="on"/>
          <w:cantSplit/>
          <w:tblHeader/>
        </w:trPr>
        <w:tc>
          <w:tcPr>
            <w:tcW w:type="dxa" w:w="242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6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36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420"/>
          </w:tcPr>
          <w:p>
            <w:pPr>
              <w:pStyle w:val="Compact"/>
              <w:spacing w:line="276" w:lineRule="auto" w:before="40" w:after="40"/>
            </w:pPr>
            <w:r>
              <w:rPr>
                <w:rFonts w:ascii="Liberation Sans Narrow" w:hAnsi="Liberation Sans Narrow"/>
                <w:sz w:val="18"/>
              </w:rPr>
              <w:t xml:space="preserve">Caput — vedação de o juízo estadual suscitar conflito de competência após a exclusão do ente federal</w:t>
            </w:r>
          </w:p>
        </w:tc>
        <w:tc>
          <w:tcPr>
            <w:tcW w:type="dxa" w:w="2565"/>
          </w:tcPr>
          <w:p>
            <w:pPr>
              <w:pStyle w:val="Compact"/>
              <w:spacing w:line="276" w:lineRule="auto" w:before="40" w:after="40"/>
            </w:pPr>
            <w:r>
              <w:rPr>
                <w:rFonts w:ascii="Liberation Sans Narrow" w:hAnsi="Liberation Sans Narrow"/>
                <w:sz w:val="18"/>
              </w:rPr>
              <w:t xml:space="preserve">STJ, AgInt no CC 200.667, Primeira Seção, relator Min. Francisco Falcão</w:t>
            </w:r>
          </w:p>
        </w:tc>
        <w:tc>
          <w:tcPr>
            <w:tcW w:type="dxa" w:w="4369"/>
          </w:tcPr>
          <w:p>
            <w:pPr>
              <w:pStyle w:val="Compact"/>
              <w:spacing w:line="276" w:lineRule="auto" w:before="40" w:after="40"/>
            </w:pPr>
            <w:r>
              <w:rPr>
                <w:rFonts w:ascii="Liberation Sans Narrow" w:hAnsi="Liberation Sans Narrow"/>
                <w:sz w:val="18"/>
              </w:rPr>
              <w:t xml:space="preserve">Firmado em incidente de assunção de competência que não cabe ao juízo estadual, ao receber os autos que lhe foram restituídos em vista da exclusão do ente federal do feito, suscitar conflito de competência (Súmula 254 do Superior Tribunal de Justiça), devendo abster-se da prática de ato declinatório da competência; a solidariedade dos entes federados nas demandas de saúde não autoriza a instauração do conflito.</w:t>
            </w:r>
          </w:p>
        </w:tc>
      </w:tr>
      <w:tr>
        <w:trPr>
          <w:cantSplit/>
        </w:trPr>
        <w:tc>
          <w:tcPr>
            <w:tcW w:type="dxa" w:w="2420"/>
          </w:tcPr>
          <w:p>
            <w:pPr>
              <w:pStyle w:val="Compact"/>
              <w:spacing w:line="276" w:lineRule="auto" w:before="40" w:after="40"/>
            </w:pPr>
            <w:r>
              <w:rPr>
                <w:rFonts w:ascii="Liberation Sans Narrow" w:hAnsi="Liberation Sans Narrow"/>
                <w:sz w:val="18"/>
              </w:rPr>
              <w:t xml:space="preserve">Caput — suscitação do conflito e vedação de sucedâneo recursal</w:t>
            </w:r>
          </w:p>
        </w:tc>
        <w:tc>
          <w:tcPr>
            <w:tcW w:type="dxa" w:w="2565"/>
          </w:tcPr>
          <w:p>
            <w:pPr>
              <w:pStyle w:val="Compact"/>
              <w:spacing w:line="276" w:lineRule="auto" w:before="40" w:after="40"/>
            </w:pPr>
            <w:r>
              <w:rPr>
                <w:rFonts w:ascii="Liberation Sans Narrow" w:hAnsi="Liberation Sans Narrow"/>
                <w:sz w:val="18"/>
              </w:rPr>
              <w:t xml:space="preserve">STJ, AgInt no CC 219.988, Primeira Seção, relatora Min. Maria Thereza de Assis Moura, julgado em 16/06/2026</w:t>
            </w:r>
          </w:p>
        </w:tc>
        <w:tc>
          <w:tcPr>
            <w:tcW w:type="dxa" w:w="4369"/>
          </w:tcPr>
          <w:p>
            <w:pPr>
              <w:pStyle w:val="Compact"/>
              <w:spacing w:line="276" w:lineRule="auto" w:before="40" w:after="40"/>
            </w:pPr>
            <w:r>
              <w:rPr>
                <w:rFonts w:ascii="Liberation Sans Narrow" w:hAnsi="Liberation Sans Narrow"/>
                <w:sz w:val="18"/>
              </w:rPr>
              <w:t xml:space="preserve">Não é cabível conflito de competência como sucedâneo recursal para definir a legitimidade passiva da União. Excluído o ente federal, o juízo federal deve restituir os autos ao juízo estadual, nos termos do art. 45, § 3º, e das Súmulas 150, 224 e 254 do Superior Tribunal de Justiça.</w:t>
            </w:r>
          </w:p>
        </w:tc>
      </w:tr>
    </w:tbl>
    <w:p>
      <w:pPr>
        <w:pStyle w:val="BodyText"/>
        <w:spacing w:after="80"/>
        <w:jc w:val="both"/>
      </w:pPr>
      <w:r>
        <w:t xml:space="preserve">Parágrafo único. O Ministério Público somente será ouvido nos conflitos de competência relativos aos processos previstos no art. 178, mas terá qualidade de parte nos conflitos que suscitar.</w:t>
      </w:r>
    </w:p>
    <w:bookmarkEnd w:id="777"/>
    <w:bookmarkStart w:id="778" w:name="art.-952"/>
    <w:p>
      <w:pPr>
        <w:pStyle w:val="Heading6"/>
        <w:pBdr>
          <w:left w:val="single" w:sz="36" w:space="4" w:color="2E75B6"/>
        </w:pBdr>
        <w:shd w:val="clear" w:color="auto" w:fill="E3EEF9"/>
        <w:spacing w:before="200" w:after="80"/>
        <w:ind w:left="85"/>
      </w:pPr>
      <w:r>
        <w:rPr>
          <w:i w:val="0"/>
          <w:color w:val="1F3A5F"/>
          <w:sz w:val="23"/>
        </w:rPr>
        <w:t xml:space="preserve">Art. 952</w:t>
      </w:r>
    </w:p>
    <w:p>
      <w:pPr>
        <w:pStyle w:val="FirstParagraph"/>
        <w:spacing w:after="80"/>
        <w:jc w:val="both"/>
      </w:pPr>
      <w:r>
        <w:rPr>
          <w:b/>
          <w:bCs/>
        </w:rPr>
        <w:t xml:space="preserve">Art. 952.</w:t>
      </w:r>
      <w:r>
        <w:t xml:space="preserve"> </w:t>
      </w:r>
      <w:r>
        <w:t xml:space="preserve">Não pode suscitar conflito a parte que, no processo, arguiu incompetência relativa.</w:t>
      </w:r>
    </w:p>
    <w:p>
      <w:pPr>
        <w:pStyle w:val="BodyText"/>
        <w:spacing w:after="80"/>
        <w:jc w:val="both"/>
      </w:pPr>
      <w:r>
        <w:t xml:space="preserve">Parágrafo único. O conflito de competência não obsta, porém, a que a parte que não o arguiu suscite a incompetência.</w:t>
      </w:r>
    </w:p>
    <w:bookmarkEnd w:id="778"/>
    <w:bookmarkStart w:id="779" w:name="art.-953"/>
    <w:p>
      <w:pPr>
        <w:pStyle w:val="Heading6"/>
        <w:pBdr>
          <w:left w:val="single" w:sz="36" w:space="4" w:color="2E75B6"/>
        </w:pBdr>
        <w:shd w:val="clear" w:color="auto" w:fill="E3EEF9"/>
        <w:spacing w:before="200" w:after="80"/>
        <w:ind w:left="85"/>
      </w:pPr>
      <w:r>
        <w:rPr>
          <w:i w:val="0"/>
          <w:color w:val="1F3A5F"/>
          <w:sz w:val="23"/>
        </w:rPr>
        <w:t xml:space="preserve">Art. 953</w:t>
      </w:r>
    </w:p>
    <w:p>
      <w:pPr>
        <w:pStyle w:val="FirstParagraph"/>
        <w:spacing w:after="80"/>
        <w:jc w:val="both"/>
      </w:pPr>
      <w:r>
        <w:rPr>
          <w:b/>
          <w:bCs/>
        </w:rPr>
        <w:t xml:space="preserve">Art. 953.</w:t>
      </w:r>
      <w:r>
        <w:t xml:space="preserve"> </w:t>
      </w:r>
      <w:r>
        <w:t xml:space="preserve">O conflito será suscitado ao tribunal:</w:t>
      </w:r>
    </w:p>
    <w:p>
      <w:pPr>
        <w:pStyle w:val="BodyText"/>
        <w:spacing w:after="80"/>
        <w:jc w:val="both"/>
      </w:pPr>
      <w:r>
        <w:t xml:space="preserve">I - pelo juiz, por ofício;</w:t>
      </w:r>
    </w:p>
    <w:p>
      <w:pPr>
        <w:pStyle w:val="BodyText"/>
        <w:spacing w:after="80"/>
        <w:jc w:val="both"/>
      </w:pPr>
      <w:r>
        <w:t xml:space="preserve">II - pela parte e pelo Ministério Público, por petição.</w:t>
      </w:r>
    </w:p>
    <w:p>
      <w:pPr>
        <w:pStyle w:val="BodyText"/>
        <w:spacing w:after="80"/>
        <w:jc w:val="both"/>
      </w:pPr>
      <w:r>
        <w:t xml:space="preserve">Parágrafo único. O ofício e a petição serão instruídos com os documentos necessários à prova do conflito.</w:t>
      </w:r>
    </w:p>
    <w:bookmarkEnd w:id="779"/>
    <w:bookmarkStart w:id="780" w:name="art.-954"/>
    <w:p>
      <w:pPr>
        <w:pStyle w:val="Heading6"/>
        <w:pBdr>
          <w:left w:val="single" w:sz="36" w:space="4" w:color="2E75B6"/>
        </w:pBdr>
        <w:shd w:val="clear" w:color="auto" w:fill="E3EEF9"/>
        <w:spacing w:before="200" w:after="80"/>
        <w:ind w:left="85"/>
      </w:pPr>
      <w:r>
        <w:rPr>
          <w:i w:val="0"/>
          <w:color w:val="1F3A5F"/>
          <w:sz w:val="23"/>
        </w:rPr>
        <w:t xml:space="preserve">Art. 954</w:t>
      </w:r>
    </w:p>
    <w:p>
      <w:pPr>
        <w:pStyle w:val="FirstParagraph"/>
        <w:spacing w:after="80"/>
        <w:jc w:val="both"/>
      </w:pPr>
      <w:r>
        <w:rPr>
          <w:b/>
          <w:bCs/>
        </w:rPr>
        <w:t xml:space="preserve">Art. 954.</w:t>
      </w:r>
      <w:r>
        <w:t xml:space="preserve"> </w:t>
      </w:r>
      <w:r>
        <w:t xml:space="preserve">Após a distribuição, o relator determinará a oitiva dos juízes em conflito ou, se um deles for suscitante, apenas do suscitado.</w:t>
      </w:r>
    </w:p>
    <w:p>
      <w:pPr>
        <w:pStyle w:val="BodyText"/>
        <w:spacing w:after="80"/>
        <w:jc w:val="both"/>
      </w:pPr>
      <w:r>
        <w:t xml:space="preserve">Parágrafo único. No prazo designado pelo relator, incumbirá ao juiz ou aos juízes prestar as informações.</w:t>
      </w:r>
    </w:p>
    <w:bookmarkEnd w:id="780"/>
    <w:bookmarkStart w:id="781" w:name="art.-955"/>
    <w:p>
      <w:pPr>
        <w:pStyle w:val="Heading6"/>
        <w:pBdr>
          <w:left w:val="single" w:sz="36" w:space="4" w:color="2E75B6"/>
        </w:pBdr>
        <w:shd w:val="clear" w:color="auto" w:fill="E3EEF9"/>
        <w:spacing w:before="200" w:after="80"/>
        <w:ind w:left="85"/>
      </w:pPr>
      <w:r>
        <w:rPr>
          <w:i w:val="0"/>
          <w:color w:val="1F3A5F"/>
          <w:sz w:val="23"/>
        </w:rPr>
        <w:t xml:space="preserve">Art. 955</w:t>
      </w:r>
    </w:p>
    <w:p>
      <w:pPr>
        <w:pStyle w:val="FirstParagraph"/>
        <w:spacing w:after="80"/>
        <w:jc w:val="both"/>
      </w:pPr>
      <w:r>
        <w:rPr>
          <w:b/>
          <w:bCs/>
        </w:rPr>
        <w:t xml:space="preserve">Art. 955.</w:t>
      </w:r>
      <w:r>
        <w:t xml:space="preserve"> </w:t>
      </w:r>
      <w:r>
        <w:t xml:space="preserve">O relator poderá, de ofício ou a requerimento de qualquer das partes, determinar, quando o conflito for positivo, o sobrestamento do processo e, nesse caso, bem como no de conflito negativo, designará um dos juízes para resolver, em caráter provisório, as medidas urgentes.</w:t>
      </w:r>
    </w:p>
    <w:p>
      <w:pPr>
        <w:pStyle w:val="BodyText"/>
        <w:spacing w:after="80"/>
        <w:jc w:val="both"/>
      </w:pPr>
      <w:r>
        <w:t xml:space="preserve">Parágrafo único. O relator poderá julgar de plano o conflito de competência quando sua decisão se fundar em:</w:t>
      </w:r>
    </w:p>
    <w:p>
      <w:pPr>
        <w:pStyle w:val="BodyText"/>
        <w:spacing w:after="80"/>
        <w:jc w:val="both"/>
      </w:pPr>
      <w:r>
        <w:t xml:space="preserve">I - súmula do Supremo Tribunal Federal, do Superior Tribunal de Justiça ou do próprio tribunal;</w:t>
      </w:r>
    </w:p>
    <w:p>
      <w:pPr>
        <w:pStyle w:val="BodyText"/>
        <w:spacing w:after="80"/>
        <w:jc w:val="both"/>
      </w:pPr>
      <w:r>
        <w:t xml:space="preserve">II - tese firmada em julgamento de casos repetitivos ou em incidente de assunção de competência.</w:t>
      </w:r>
    </w:p>
    <w:bookmarkEnd w:id="781"/>
    <w:bookmarkStart w:id="782" w:name="art.-956"/>
    <w:p>
      <w:pPr>
        <w:pStyle w:val="Heading6"/>
        <w:pBdr>
          <w:left w:val="single" w:sz="36" w:space="4" w:color="2E75B6"/>
        </w:pBdr>
        <w:shd w:val="clear" w:color="auto" w:fill="E3EEF9"/>
        <w:spacing w:before="200" w:after="80"/>
        <w:ind w:left="85"/>
      </w:pPr>
      <w:r>
        <w:rPr>
          <w:i w:val="0"/>
          <w:color w:val="1F3A5F"/>
          <w:sz w:val="23"/>
        </w:rPr>
        <w:t xml:space="preserve">Art. 956</w:t>
      </w:r>
    </w:p>
    <w:p>
      <w:pPr>
        <w:pStyle w:val="FirstParagraph"/>
        <w:spacing w:after="80"/>
        <w:jc w:val="both"/>
      </w:pPr>
      <w:r>
        <w:rPr>
          <w:b/>
          <w:bCs/>
        </w:rPr>
        <w:t xml:space="preserve">Art. 956.</w:t>
      </w:r>
      <w:r>
        <w:t xml:space="preserve"> </w:t>
      </w:r>
      <w:r>
        <w:t xml:space="preserve">Decorrido o prazo designado pelo relator, será ouvido o Ministério Público, no prazo de 5 (cinco) dias, ainda que as informações não tenham sido prestadas, e, em seguida, o conflito irá a julgamento.</w:t>
      </w:r>
    </w:p>
    <w:bookmarkEnd w:id="782"/>
    <w:bookmarkStart w:id="783" w:name="art.-957"/>
    <w:p>
      <w:pPr>
        <w:pStyle w:val="Heading6"/>
        <w:pBdr>
          <w:left w:val="single" w:sz="36" w:space="4" w:color="2E75B6"/>
        </w:pBdr>
        <w:shd w:val="clear" w:color="auto" w:fill="E3EEF9"/>
        <w:spacing w:before="200" w:after="80"/>
        <w:ind w:left="85"/>
      </w:pPr>
      <w:r>
        <w:rPr>
          <w:i w:val="0"/>
          <w:color w:val="1F3A5F"/>
          <w:sz w:val="23"/>
        </w:rPr>
        <w:t xml:space="preserve">Art. 957</w:t>
      </w:r>
    </w:p>
    <w:p>
      <w:pPr>
        <w:pStyle w:val="FirstParagraph"/>
        <w:spacing w:after="80"/>
        <w:jc w:val="both"/>
      </w:pPr>
      <w:r>
        <w:rPr>
          <w:b/>
          <w:bCs/>
        </w:rPr>
        <w:t xml:space="preserve">Art. 957.</w:t>
      </w:r>
      <w:r>
        <w:t xml:space="preserve"> </w:t>
      </w:r>
      <w:r>
        <w:t xml:space="preserve">Ao decidir o conflito, o tribunal declarará qual o juízo competente, pronunciando-se também sobre a validade dos atos do juízo incompetente.</w:t>
      </w:r>
    </w:p>
    <w:p>
      <w:pPr>
        <w:pStyle w:val="BodyText"/>
        <w:spacing w:after="80"/>
        <w:jc w:val="both"/>
      </w:pPr>
      <w:r>
        <w:t xml:space="preserve">Parágrafo único. Os autos do processo em que se manifestou o conflito serão remetidos ao juiz declarado competente.</w:t>
      </w:r>
    </w:p>
    <w:bookmarkEnd w:id="783"/>
    <w:bookmarkStart w:id="784" w:name="art.-958"/>
    <w:p>
      <w:pPr>
        <w:pStyle w:val="Heading6"/>
        <w:pBdr>
          <w:left w:val="single" w:sz="36" w:space="4" w:color="2E75B6"/>
        </w:pBdr>
        <w:shd w:val="clear" w:color="auto" w:fill="E3EEF9"/>
        <w:spacing w:before="200" w:after="80"/>
        <w:ind w:left="85"/>
      </w:pPr>
      <w:r>
        <w:rPr>
          <w:i w:val="0"/>
          <w:color w:val="1F3A5F"/>
          <w:sz w:val="23"/>
        </w:rPr>
        <w:t xml:space="preserve">Art. 958</w:t>
      </w:r>
    </w:p>
    <w:p>
      <w:pPr>
        <w:pStyle w:val="FirstParagraph"/>
        <w:keepNext/>
        <w:spacing w:after="80"/>
        <w:jc w:val="both"/>
      </w:pPr>
      <w:r>
        <w:rPr>
          <w:b/>
          <w:bCs/>
        </w:rPr>
        <w:t xml:space="preserve">Art. 958.</w:t>
      </w:r>
      <w:r>
        <w:t xml:space="preserve"> </w:t>
      </w:r>
      <w:r>
        <w:t xml:space="preserve">No conflito que envolva órgãos fracionários dos tribunais, desembargadores e juízes em exercício no tribunal, observar-se-á o que dispuser o regimento interno do tribunal.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20"/>
        <w:gridCol w:w="2859"/>
        <w:gridCol w:w="4575"/>
      </w:tblGrid>
      <w:tr>
        <w:trPr>
          <w:tblHeader w:val="on"/>
          <w:cantSplit/>
          <w:tblHeader/>
        </w:trPr>
        <w:tc>
          <w:tcPr>
            <w:tcW w:type="dxa" w:w="192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5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57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20"/>
          </w:tcPr>
          <w:p>
            <w:pPr>
              <w:pStyle w:val="Compact"/>
              <w:spacing w:line="276" w:lineRule="auto" w:before="40" w:after="40"/>
            </w:pPr>
            <w:r>
              <w:rPr>
                <w:rFonts w:ascii="Liberation Sans Narrow" w:hAnsi="Liberation Sans Narrow"/>
                <w:sz w:val="18"/>
              </w:rPr>
              <w:t xml:space="preserve">Caput — conflito entre órgãos fracionários do tribunal (aplicação)</w:t>
            </w:r>
          </w:p>
        </w:tc>
        <w:tc>
          <w:tcPr>
            <w:tcW w:type="dxa" w:w="2859"/>
          </w:tcPr>
          <w:p>
            <w:pPr>
              <w:pStyle w:val="Compact"/>
              <w:spacing w:line="276" w:lineRule="auto" w:before="40" w:after="40"/>
            </w:pPr>
            <w:r>
              <w:rPr>
                <w:rFonts w:ascii="Liberation Sans Narrow" w:hAnsi="Liberation Sans Narrow"/>
                <w:sz w:val="18"/>
              </w:rPr>
              <w:t xml:space="preserve">STJ, CC 218.125, Corte Especial, relatora Min. Maria Thereza de Assis Moura, julgado em 24/03/2026, DJEN de 30/03/2026</w:t>
            </w:r>
          </w:p>
        </w:tc>
        <w:tc>
          <w:tcPr>
            <w:tcW w:type="dxa" w:w="4575"/>
          </w:tcPr>
          <w:p>
            <w:pPr>
              <w:pStyle w:val="Compact"/>
              <w:spacing w:line="276" w:lineRule="auto" w:before="40" w:after="40"/>
            </w:pPr>
            <w:r>
              <w:rPr>
                <w:rFonts w:ascii="Liberation Sans Narrow" w:hAnsi="Liberation Sans Narrow"/>
                <w:sz w:val="18"/>
              </w:rPr>
              <w:t xml:space="preserve">No conflito entre órgãos fracionários do mesmo tribunal, a competência é definida pelo regimento interno: a ação de direito de resposta, de natureza cível e administrativa, compete à Primeira Turma, e não à Quinta Turma.</w:t>
            </w:r>
          </w:p>
        </w:tc>
      </w:tr>
    </w:tbl>
    <w:bookmarkEnd w:id="784"/>
    <w:bookmarkStart w:id="785" w:name="art.-959"/>
    <w:p>
      <w:pPr>
        <w:pStyle w:val="Heading6"/>
        <w:pBdr>
          <w:left w:val="single" w:sz="36" w:space="4" w:color="2E75B6"/>
        </w:pBdr>
        <w:shd w:val="clear" w:color="auto" w:fill="E3EEF9"/>
        <w:spacing w:before="200" w:after="80"/>
        <w:ind w:left="85"/>
      </w:pPr>
      <w:r>
        <w:rPr>
          <w:i w:val="0"/>
          <w:color w:val="1F3A5F"/>
          <w:sz w:val="23"/>
        </w:rPr>
        <w:t xml:space="preserve">Art. 959</w:t>
      </w:r>
    </w:p>
    <w:p>
      <w:pPr>
        <w:pStyle w:val="FirstParagraph"/>
        <w:keepNext/>
        <w:spacing w:after="80"/>
        <w:jc w:val="both"/>
      </w:pPr>
      <w:r>
        <w:rPr>
          <w:b/>
          <w:bCs/>
        </w:rPr>
        <w:t xml:space="preserve">Art. 959.</w:t>
      </w:r>
      <w:r>
        <w:t xml:space="preserve"> </w:t>
      </w:r>
      <w:r>
        <w:t xml:space="preserve">O regimento interno do tribunal regulará o processo e o julgamento do conflito de atribuições entre autoridade judiciária e autoridade administrativa.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80"/>
        <w:gridCol w:w="2398"/>
        <w:gridCol w:w="4576"/>
      </w:tblGrid>
      <w:tr>
        <w:trPr>
          <w:tblHeader w:val="on"/>
          <w:cantSplit/>
          <w:tblHeader/>
        </w:trPr>
        <w:tc>
          <w:tcPr>
            <w:tcW w:type="dxa" w:w="238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39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57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380"/>
          </w:tcPr>
          <w:p>
            <w:pPr>
              <w:pStyle w:val="Compact"/>
              <w:spacing w:line="276" w:lineRule="auto" w:before="40" w:after="40"/>
            </w:pPr>
            <w:r>
              <w:rPr>
                <w:rFonts w:ascii="Liberation Sans Narrow" w:hAnsi="Liberation Sans Narrow"/>
                <w:sz w:val="18"/>
              </w:rPr>
              <w:t xml:space="preserve">Caput — conflito de atribuições entre autoridade judiciária e administrativa (aplicação narrada)</w:t>
            </w:r>
          </w:p>
        </w:tc>
        <w:tc>
          <w:tcPr>
            <w:tcW w:type="dxa" w:w="2398"/>
          </w:tcPr>
          <w:p>
            <w:pPr>
              <w:pStyle w:val="Compact"/>
              <w:spacing w:line="276" w:lineRule="auto" w:before="40" w:after="40"/>
            </w:pPr>
            <w:r>
              <w:rPr>
                <w:rFonts w:ascii="Liberation Sans Narrow" w:hAnsi="Liberation Sans Narrow"/>
                <w:sz w:val="18"/>
              </w:rPr>
              <w:t xml:space="preserve">STJ, CAt 297, Primeira Seção, relator Min. Herman Benjamin, julgado em 12/06/2019, DJe de 01/07/2019</w:t>
            </w:r>
          </w:p>
        </w:tc>
        <w:tc>
          <w:tcPr>
            <w:tcW w:type="dxa" w:w="4576"/>
          </w:tcPr>
          <w:p>
            <w:pPr>
              <w:pStyle w:val="Compact"/>
              <w:spacing w:line="276" w:lineRule="auto" w:before="40" w:after="40"/>
            </w:pPr>
            <w:r>
              <w:rPr>
                <w:rFonts w:ascii="Liberation Sans Narrow" w:hAnsi="Liberation Sans Narrow"/>
                <w:sz w:val="18"/>
              </w:rPr>
              <w:t xml:space="preserve">O conflito de atribuições entre autoridade administrativa e judiciária somente surge quando ambas se atribuem competência para o conhecimento e a solução de matéria estritamente administrativa; não há conflito quando a autoridade judiciária, no exercício genuíno da função jurisdicional, aprecia e decide pedido liminar em ação civil pública. Trecho: “Se a autoridade judiciária, no exercício genuíno de sua função jurisdicional, aprecia e decide pedido liminar formulado em Ação Civil Pública por ato de Improbidade Administrativa, não há falar em Conflito de Atribuições com a autoridade administrativa.”</w:t>
            </w:r>
          </w:p>
        </w:tc>
      </w:tr>
    </w:tbl>
    <w:bookmarkEnd w:id="785"/>
    <w:bookmarkEnd w:id="786"/>
    <w:bookmarkStart w:id="793" w:name="X29e19cf6091edae256680c9abb1a7ff805b81a0"/>
    <w:p>
      <w:pPr>
        <w:pStyle w:val="Heading4"/>
        <w:spacing w:before="160" w:after="40"/>
      </w:pPr>
      <w:r>
        <w:rPr>
          <w:smallCaps/>
          <w:color w:val="2E75B6"/>
        </w:rPr>
        <w:t xml:space="preserve">Capítulo VI: da homologação de decisão estrangeira e da concessão do exequatur à carta rogatória (arts. 960 a 965)</w:t>
      </w:r>
    </w:p>
    <w:bookmarkStart w:id="787" w:name="art.-960"/>
    <w:p>
      <w:pPr>
        <w:pStyle w:val="Heading6"/>
        <w:pBdr>
          <w:left w:val="single" w:sz="36" w:space="4" w:color="2E75B6"/>
        </w:pBdr>
        <w:shd w:val="clear" w:color="auto" w:fill="E3EEF9"/>
        <w:spacing w:before="200" w:after="80"/>
        <w:ind w:left="85"/>
      </w:pPr>
      <w:r>
        <w:rPr>
          <w:i w:val="0"/>
          <w:color w:val="1F3A5F"/>
          <w:sz w:val="23"/>
        </w:rPr>
        <w:t xml:space="preserve">Art. 960</w:t>
      </w:r>
    </w:p>
    <w:p>
      <w:pPr>
        <w:pStyle w:val="FirstParagraph"/>
        <w:keepNext/>
        <w:spacing w:after="80"/>
        <w:jc w:val="both"/>
      </w:pPr>
      <w:r>
        <w:rPr>
          <w:b/>
          <w:bCs/>
        </w:rPr>
        <w:t xml:space="preserve">Art. 960.</w:t>
      </w:r>
      <w:r>
        <w:t xml:space="preserve"> </w:t>
      </w:r>
      <w:r>
        <w:t xml:space="preserve">A homologação de decisão estrangeira será requerida por ação de homologação de decisão estrangeira, salvo disposição especial em sentido contrário prevista em tratado.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825"/>
        <w:gridCol w:w="2747"/>
        <w:gridCol w:w="4782"/>
      </w:tblGrid>
      <w:tr>
        <w:trPr>
          <w:tblHeader w:val="on"/>
          <w:cantSplit/>
          <w:tblHeader/>
        </w:trPr>
        <w:tc>
          <w:tcPr>
            <w:tcW w:type="dxa" w:w="182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4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8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825"/>
          </w:tcPr>
          <w:p>
            <w:pPr>
              <w:pStyle w:val="Compact"/>
              <w:spacing w:line="276" w:lineRule="auto" w:before="40" w:after="40"/>
            </w:pPr>
            <w:r>
              <w:rPr>
                <w:rFonts w:ascii="Liberation Sans Narrow" w:hAnsi="Liberation Sans Narrow"/>
                <w:sz w:val="18"/>
              </w:rPr>
              <w:t xml:space="preserve">Caput — natureza da ação de homologação de decisão estrangeira</w:t>
            </w:r>
          </w:p>
        </w:tc>
        <w:tc>
          <w:tcPr>
            <w:tcW w:type="dxa" w:w="2747"/>
          </w:tcPr>
          <w:p>
            <w:pPr>
              <w:pStyle w:val="Compact"/>
              <w:spacing w:line="276" w:lineRule="auto" w:before="40" w:after="40"/>
            </w:pPr>
            <w:r>
              <w:rPr>
                <w:rFonts w:ascii="Liberation Sans Narrow" w:hAnsi="Liberation Sans Narrow"/>
                <w:sz w:val="18"/>
              </w:rPr>
              <w:t xml:space="preserve">STJ, AgInt na HDE 3.552, Corte Especial, relator Min. Humberto Martins, julgado em 10/03/2026, DJEN de 16/03/2026</w:t>
            </w:r>
          </w:p>
        </w:tc>
        <w:tc>
          <w:tcPr>
            <w:tcW w:type="dxa" w:w="4782"/>
          </w:tcPr>
          <w:p>
            <w:pPr>
              <w:pStyle w:val="Compact"/>
              <w:spacing w:line="276" w:lineRule="auto" w:before="40" w:after="40"/>
            </w:pPr>
            <w:r>
              <w:rPr>
                <w:rFonts w:ascii="Liberation Sans Narrow" w:hAnsi="Liberation Sans Narrow"/>
                <w:sz w:val="18"/>
              </w:rPr>
              <w:t xml:space="preserve">A homologação de sentença estrangeira tem natureza constitutiva e de contenciosidade limitada, razão pela qual a análise deve cingir-se aos requisitos do Regimento Interno do Superior Tribunal de Justiça, do Código de Processo Civil e da Lei de Introdução às Normas do Direito Brasileiro.</w:t>
            </w:r>
          </w:p>
        </w:tc>
      </w:tr>
    </w:tbl>
    <w:p>
      <w:pPr>
        <w:pStyle w:val="BodyText"/>
        <w:spacing w:after="80"/>
        <w:jc w:val="both"/>
      </w:pPr>
      <w:r>
        <w:t xml:space="preserve">§ 1º A decisão interlocutória estrangeira poderá ser executada no Brasil por meio de carta rogatória.</w:t>
      </w:r>
    </w:p>
    <w:p>
      <w:pPr>
        <w:pStyle w:val="BodyText"/>
        <w:keepNext/>
        <w:spacing w:after="80"/>
        <w:jc w:val="both"/>
      </w:pPr>
      <w:r>
        <w:t xml:space="preserve">§ 2º A homologação obedecerá ao que dispuserem os tratados em vigor no Brasil e o Regimento Interno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05"/>
        <w:gridCol w:w="2184"/>
        <w:gridCol w:w="4965"/>
      </w:tblGrid>
      <w:tr>
        <w:trPr>
          <w:tblHeader w:val="on"/>
          <w:cantSplit/>
          <w:tblHeader/>
        </w:trPr>
        <w:tc>
          <w:tcPr>
            <w:tcW w:type="dxa" w:w="220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18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96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05"/>
          </w:tcPr>
          <w:p>
            <w:pPr>
              <w:pStyle w:val="Compact"/>
              <w:spacing w:line="276" w:lineRule="auto" w:before="40" w:after="40"/>
            </w:pPr>
            <w:r>
              <w:rPr>
                <w:rFonts w:ascii="Liberation Sans Narrow" w:hAnsi="Liberation Sans Narrow"/>
                <w:sz w:val="18"/>
              </w:rPr>
              <w:t xml:space="preserve">§ 2º — validade da citação aferida pela lei do país de origem e pelo contrato</w:t>
            </w:r>
          </w:p>
        </w:tc>
        <w:tc>
          <w:tcPr>
            <w:tcW w:type="dxa" w:w="2184"/>
          </w:tcPr>
          <w:p>
            <w:pPr>
              <w:pStyle w:val="Compact"/>
              <w:spacing w:line="276" w:lineRule="auto" w:before="40" w:after="40"/>
            </w:pPr>
            <w:r>
              <w:rPr>
                <w:rFonts w:ascii="Liberation Sans Narrow" w:hAnsi="Liberation Sans Narrow"/>
                <w:sz w:val="18"/>
              </w:rPr>
              <w:t xml:space="preserve">STJ, AgInt no HDE 3.384, Corte Especial, relator Min. Ricardo Villas Bôas Cueva</w:t>
            </w:r>
          </w:p>
        </w:tc>
        <w:tc>
          <w:tcPr>
            <w:tcW w:type="dxa" w:w="4965"/>
          </w:tcPr>
          <w:p>
            <w:pPr>
              <w:pStyle w:val="Compact"/>
              <w:spacing w:line="276" w:lineRule="auto" w:before="40" w:after="40"/>
            </w:pPr>
            <w:r>
              <w:rPr>
                <w:rFonts w:ascii="Liberation Sans Narrow" w:hAnsi="Liberation Sans Narrow"/>
                <w:sz w:val="18"/>
              </w:rPr>
              <w:t xml:space="preserve">Na homologação de decisão estrangeira, a validade da citação para responder ao processo que tramitou no exterior verifica-se de acordo com as normas processuais daquele país e também de acordo com o contrato pactuado, não cabendo ao Superior Tribunal de Justiça, na via homologatória, imiscuir-se no tema.</w:t>
            </w:r>
          </w:p>
        </w:tc>
      </w:tr>
    </w:tbl>
    <w:p>
      <w:pPr>
        <w:pStyle w:val="BodyText"/>
        <w:spacing w:after="80"/>
        <w:jc w:val="both"/>
      </w:pPr>
      <w:r>
        <w:t xml:space="preserve">§ 3º A homologação de decisão arbitral estrangeira obedecerá ao disposto em tratado e em lei, aplicando-se, subsidiariamente, as disposições deste Capítulo.</w:t>
      </w:r>
    </w:p>
    <w:bookmarkEnd w:id="787"/>
    <w:bookmarkStart w:id="788" w:name="art.-961"/>
    <w:p>
      <w:pPr>
        <w:pStyle w:val="Heading6"/>
        <w:pBdr>
          <w:left w:val="single" w:sz="36" w:space="4" w:color="2E75B6"/>
        </w:pBdr>
        <w:shd w:val="clear" w:color="auto" w:fill="E3EEF9"/>
        <w:spacing w:before="200" w:after="80"/>
        <w:ind w:left="85"/>
      </w:pPr>
      <w:r>
        <w:rPr>
          <w:i w:val="0"/>
          <w:color w:val="1F3A5F"/>
          <w:sz w:val="23"/>
        </w:rPr>
        <w:t xml:space="preserve">Art. 961</w:t>
      </w:r>
    </w:p>
    <w:p>
      <w:pPr>
        <w:pStyle w:val="FirstParagraph"/>
        <w:spacing w:after="80"/>
        <w:jc w:val="both"/>
      </w:pPr>
      <w:r>
        <w:rPr>
          <w:b/>
          <w:bCs/>
        </w:rPr>
        <w:t xml:space="preserve">Art. 961.</w:t>
      </w:r>
      <w:r>
        <w:t xml:space="preserve"> </w:t>
      </w:r>
      <w:r>
        <w:t xml:space="preserve">A decisão estrangeira somente terá eficácia no Brasil após a homologação de sentença estrangeira ou a concessão do exequatur às cartas rogatórias, salvo disposição em sentido contrário de lei ou tratado.</w:t>
      </w:r>
    </w:p>
    <w:p>
      <w:pPr>
        <w:pStyle w:val="BodyText"/>
        <w:spacing w:after="80"/>
        <w:jc w:val="both"/>
      </w:pPr>
      <w:r>
        <w:t xml:space="preserve">§ 1º É passível de homologação a decisão judicial definitiva, bem como a decisão não judicial que, pela lei brasileira, teria natureza jurisdicional.</w:t>
      </w:r>
    </w:p>
    <w:p>
      <w:pPr>
        <w:pStyle w:val="BodyText"/>
        <w:spacing w:after="80"/>
        <w:jc w:val="both"/>
      </w:pPr>
      <w:r>
        <w:t xml:space="preserve">§ 2º A decisão estrangeira poderá ser homologada parcialmente.</w:t>
      </w:r>
    </w:p>
    <w:p>
      <w:pPr>
        <w:pStyle w:val="BodyText"/>
        <w:spacing w:after="80"/>
        <w:jc w:val="both"/>
      </w:pPr>
      <w:r>
        <w:t xml:space="preserve">§ 3º A autoridade judiciária brasileira poderá deferir pedidos de urgência e realizar atos de execução provisória no processo de homologação de decisão estrangeira.</w:t>
      </w:r>
    </w:p>
    <w:p>
      <w:pPr>
        <w:pStyle w:val="BodyText"/>
        <w:spacing w:after="80"/>
        <w:jc w:val="both"/>
      </w:pPr>
      <w:r>
        <w:t xml:space="preserve">§ 4º Haverá homologação de decisão estrangeira para fins de execução fiscal quando prevista em tratado ou em promessa de reciprocidade apresentada à autoridade brasileira.</w:t>
      </w:r>
    </w:p>
    <w:p>
      <w:pPr>
        <w:pStyle w:val="BodyText"/>
        <w:spacing w:after="80"/>
        <w:jc w:val="both"/>
      </w:pPr>
      <w:r>
        <w:t xml:space="preserve">§ 5º A sentença estrangeira de divórcio consensual produz efeitos no Brasil, independentemente de homologação pelo Superior Tribunal de Justiça.</w:t>
      </w:r>
    </w:p>
    <w:p>
      <w:pPr>
        <w:pStyle w:val="BodyText"/>
        <w:spacing w:after="80"/>
        <w:jc w:val="both"/>
      </w:pPr>
      <w:r>
        <w:t xml:space="preserve">§ 6º Na hipótese do § 5º, competirá a qualquer juiz examinar a validade da decisão, em caráter principal ou incidental, quando essa questão for suscitada em processo de sua competência.</w:t>
      </w:r>
    </w:p>
    <w:bookmarkEnd w:id="788"/>
    <w:bookmarkStart w:id="789" w:name="art.-962"/>
    <w:p>
      <w:pPr>
        <w:pStyle w:val="Heading6"/>
        <w:pBdr>
          <w:left w:val="single" w:sz="36" w:space="4" w:color="2E75B6"/>
        </w:pBdr>
        <w:shd w:val="clear" w:color="auto" w:fill="E3EEF9"/>
        <w:spacing w:before="200" w:after="80"/>
        <w:ind w:left="85"/>
      </w:pPr>
      <w:r>
        <w:rPr>
          <w:i w:val="0"/>
          <w:color w:val="1F3A5F"/>
          <w:sz w:val="23"/>
        </w:rPr>
        <w:t xml:space="preserve">Art. 962</w:t>
      </w:r>
    </w:p>
    <w:p>
      <w:pPr>
        <w:pStyle w:val="FirstParagraph"/>
        <w:spacing w:after="80"/>
        <w:jc w:val="both"/>
      </w:pPr>
      <w:r>
        <w:rPr>
          <w:b/>
          <w:bCs/>
        </w:rPr>
        <w:t xml:space="preserve">Art. 962.</w:t>
      </w:r>
      <w:r>
        <w:t xml:space="preserve"> </w:t>
      </w:r>
      <w:r>
        <w:t xml:space="preserve">É passível de execução a decisão estrangeira concessiva de medida de urgência.</w:t>
      </w:r>
    </w:p>
    <w:p>
      <w:pPr>
        <w:pStyle w:val="BodyText"/>
        <w:spacing w:after="80"/>
        <w:jc w:val="both"/>
      </w:pPr>
      <w:r>
        <w:t xml:space="preserve">§ 1º A execução no Brasil de decisão interlocutória estrangeira concessiva de medida de urgência dar-se-á por carta rogatória.</w:t>
      </w:r>
    </w:p>
    <w:p>
      <w:pPr>
        <w:pStyle w:val="BodyText"/>
        <w:spacing w:after="80"/>
        <w:jc w:val="both"/>
      </w:pPr>
      <w:r>
        <w:t xml:space="preserve">§ 2º A medida de urgência concedida sem audiência do réu poderá ser executada, desde que garantido o contraditório em momento posterior.</w:t>
      </w:r>
    </w:p>
    <w:p>
      <w:pPr>
        <w:pStyle w:val="BodyText"/>
        <w:spacing w:after="80"/>
        <w:jc w:val="both"/>
      </w:pPr>
      <w:r>
        <w:t xml:space="preserve">§ 3º O juízo sobre a urgência da medida compete exclusivamente à autoridade jurisdicional prolatora da decisão estrangeira.</w:t>
      </w:r>
    </w:p>
    <w:p>
      <w:pPr>
        <w:pStyle w:val="BodyText"/>
        <w:spacing w:after="80"/>
        <w:jc w:val="both"/>
      </w:pPr>
      <w:r>
        <w:t xml:space="preserve">§ 4º Quando dispensada a homologação para que a sentença estrangeira produza efeitos no Brasil, a decisão concessiva de medida de urgência dependerá, para produzir efeitos, de ter sua validade expressamente reconhecida pelo juiz competente para dar-lhe cumprimento, dispensada a homologação pelo Superior Tribunal de Justiça.</w:t>
      </w:r>
    </w:p>
    <w:bookmarkEnd w:id="789"/>
    <w:bookmarkStart w:id="790" w:name="art.-963"/>
    <w:p>
      <w:pPr>
        <w:pStyle w:val="Heading6"/>
        <w:pBdr>
          <w:left w:val="single" w:sz="36" w:space="4" w:color="2E75B6"/>
        </w:pBdr>
        <w:shd w:val="clear" w:color="auto" w:fill="E3EEF9"/>
        <w:spacing w:before="200" w:after="80"/>
        <w:ind w:left="85"/>
      </w:pPr>
      <w:r>
        <w:rPr>
          <w:i w:val="0"/>
          <w:color w:val="1F3A5F"/>
          <w:sz w:val="23"/>
        </w:rPr>
        <w:t xml:space="preserve">Art. 963</w:t>
      </w:r>
    </w:p>
    <w:p>
      <w:pPr>
        <w:pStyle w:val="FirstParagraph"/>
        <w:spacing w:after="80"/>
        <w:jc w:val="both"/>
      </w:pPr>
      <w:r>
        <w:rPr>
          <w:b/>
          <w:bCs/>
        </w:rPr>
        <w:t xml:space="preserve">Art. 963.</w:t>
      </w:r>
      <w:r>
        <w:t xml:space="preserve"> </w:t>
      </w:r>
      <w:r>
        <w:t xml:space="preserve">Constituem requisitos indispensáveis à homologação da decisão:</w:t>
      </w:r>
    </w:p>
    <w:p>
      <w:pPr>
        <w:pStyle w:val="BodyText"/>
        <w:spacing w:after="80"/>
        <w:jc w:val="both"/>
      </w:pPr>
      <w:r>
        <w:t xml:space="preserve">I - ser proferida por autoridade competente;</w:t>
      </w:r>
    </w:p>
    <w:p>
      <w:pPr>
        <w:pStyle w:val="BodyText"/>
        <w:spacing w:after="80"/>
        <w:jc w:val="both"/>
      </w:pPr>
      <w:r>
        <w:t xml:space="preserve">II - ser precedida de citação regular, ainda que verificada a revelia;</w:t>
      </w:r>
    </w:p>
    <w:p>
      <w:pPr>
        <w:pStyle w:val="BodyText"/>
        <w:keepNext/>
        <w:spacing w:after="80"/>
        <w:jc w:val="both"/>
      </w:pPr>
      <w:r>
        <w:t xml:space="preserve">III - ser eficaz no país em que foi proferida;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93"/>
        <w:gridCol w:w="3172"/>
        <w:gridCol w:w="4588"/>
      </w:tblGrid>
      <w:tr>
        <w:trPr>
          <w:tblHeader w:val="on"/>
          <w:cantSplit/>
          <w:tblHeader/>
        </w:trPr>
        <w:tc>
          <w:tcPr>
            <w:tcW w:type="dxa" w:w="1594"/>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17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588"/>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94"/>
          </w:tcPr>
          <w:p>
            <w:pPr>
              <w:pStyle w:val="Compact"/>
              <w:spacing w:line="276" w:lineRule="auto" w:before="40" w:after="40"/>
            </w:pPr>
            <w:r>
              <w:rPr>
                <w:rFonts w:ascii="Liberation Sans Narrow" w:hAnsi="Liberation Sans Narrow"/>
                <w:sz w:val="18"/>
              </w:rPr>
              <w:t xml:space="preserve">III — eficácia da decisão no país de origem</w:t>
            </w:r>
          </w:p>
        </w:tc>
        <w:tc>
          <w:tcPr>
            <w:tcW w:type="dxa" w:w="3173"/>
          </w:tcPr>
          <w:p>
            <w:pPr>
              <w:pStyle w:val="Compact"/>
              <w:spacing w:line="276" w:lineRule="auto" w:before="40" w:after="40"/>
            </w:pPr>
            <w:r>
              <w:rPr>
                <w:rFonts w:ascii="Liberation Sans Narrow" w:hAnsi="Liberation Sans Narrow"/>
                <w:sz w:val="18"/>
              </w:rPr>
              <w:t xml:space="preserve">STJ, HDE 8.908, Corte Especial, relatora Min. Maria Thereza de Assis Moura, julgado em 25/11/2025, DJEN de 28/11/2025</w:t>
            </w:r>
          </w:p>
        </w:tc>
        <w:tc>
          <w:tcPr>
            <w:tcW w:type="dxa" w:w="4588"/>
          </w:tcPr>
          <w:p>
            <w:pPr>
              <w:pStyle w:val="Compact"/>
              <w:spacing w:line="276" w:lineRule="auto" w:before="40" w:after="40"/>
            </w:pPr>
            <w:r>
              <w:rPr>
                <w:rFonts w:ascii="Liberation Sans Narrow" w:hAnsi="Liberation Sans Narrow"/>
                <w:sz w:val="18"/>
              </w:rPr>
              <w:t xml:space="preserve">O art. 963, inciso III, do Código de Processo Civil não exige a comprovação do trânsito em julgado da sentença estrangeira, bastando, para a homologação, a demonstração de que a decisão é eficaz no país de origem.</w:t>
            </w:r>
          </w:p>
        </w:tc>
      </w:tr>
      <w:tr>
        <w:trPr>
          <w:cantSplit/>
        </w:trPr>
        <w:tc>
          <w:tcPr>
            <w:tcW w:type="dxa" w:w="1594"/>
          </w:tcPr>
          <w:p>
            <w:pPr>
              <w:pStyle w:val="Compact"/>
              <w:spacing w:line="276" w:lineRule="auto" w:before="40" w:after="40"/>
            </w:pPr>
            <w:r>
              <w:rPr>
                <w:rFonts w:ascii="Liberation Sans Narrow" w:hAnsi="Liberation Sans Narrow"/>
                <w:sz w:val="18"/>
              </w:rPr>
              <w:t xml:space="preserve">III — eficácia da decisão no país de origem</w:t>
            </w:r>
          </w:p>
        </w:tc>
        <w:tc>
          <w:tcPr>
            <w:tcW w:type="dxa" w:w="3173"/>
          </w:tcPr>
          <w:p>
            <w:pPr>
              <w:pStyle w:val="Compact"/>
              <w:spacing w:line="276" w:lineRule="auto" w:before="40" w:after="40"/>
            </w:pPr>
            <w:r>
              <w:rPr>
                <w:rFonts w:ascii="Liberation Sans Narrow" w:hAnsi="Liberation Sans Narrow"/>
                <w:sz w:val="18"/>
              </w:rPr>
              <w:t xml:space="preserve">STJ, HDE 7.547, Corte Especial, relator Min. Francisco Falcão, julgado em 17/04/2024, DJe de 22/04/2024</w:t>
            </w:r>
          </w:p>
        </w:tc>
        <w:tc>
          <w:tcPr>
            <w:tcW w:type="dxa" w:w="4588"/>
          </w:tcPr>
          <w:p>
            <w:pPr>
              <w:pStyle w:val="Compact"/>
              <w:spacing w:line="276" w:lineRule="auto" w:before="40" w:after="40"/>
            </w:pPr>
            <w:r>
              <w:rPr>
                <w:rFonts w:ascii="Liberation Sans Narrow" w:hAnsi="Liberation Sans Narrow"/>
                <w:sz w:val="18"/>
              </w:rPr>
              <w:t xml:space="preserve">Resta demonstrada a eficácia, nos termos do art. 963, inciso III, quando a parte requerida dá parcial cumprimento ao título estrangeiro que se pretende homologar.</w:t>
            </w:r>
          </w:p>
        </w:tc>
      </w:tr>
    </w:tbl>
    <w:p>
      <w:pPr>
        <w:pStyle w:val="BodyText"/>
        <w:spacing w:after="80"/>
        <w:jc w:val="both"/>
      </w:pPr>
      <w:r>
        <w:t xml:space="preserve">IV - não ofender a coisa julgada brasileira;</w:t>
      </w:r>
    </w:p>
    <w:p>
      <w:pPr>
        <w:pStyle w:val="BodyText"/>
        <w:spacing w:after="80"/>
        <w:jc w:val="both"/>
      </w:pPr>
      <w:r>
        <w:t xml:space="preserve">V - estar acompanhada de tradução oficial, salvo disposição que a dispense prevista em tratado;</w:t>
      </w:r>
    </w:p>
    <w:p>
      <w:pPr>
        <w:pStyle w:val="BodyText"/>
        <w:spacing w:after="80"/>
        <w:jc w:val="both"/>
      </w:pPr>
      <w:r>
        <w:t xml:space="preserve">VI - não conter manifesta ofensa à ordem pública.</w:t>
      </w:r>
    </w:p>
    <w:p>
      <w:pPr>
        <w:pStyle w:val="BodyText"/>
        <w:spacing w:after="80"/>
        <w:jc w:val="both"/>
      </w:pPr>
      <w:r>
        <w:t xml:space="preserve">Parágrafo único. Para a concessão do exequatur às cartas rogatórias, observar-se-ão os pressupostos previstos no caput deste artigo e no art. 962, § 2º.</w:t>
      </w:r>
    </w:p>
    <w:bookmarkEnd w:id="790"/>
    <w:bookmarkStart w:id="791" w:name="art.-964"/>
    <w:p>
      <w:pPr>
        <w:pStyle w:val="Heading6"/>
        <w:pBdr>
          <w:left w:val="single" w:sz="36" w:space="4" w:color="2E75B6"/>
        </w:pBdr>
        <w:shd w:val="clear" w:color="auto" w:fill="E3EEF9"/>
        <w:spacing w:before="200" w:after="80"/>
        <w:ind w:left="85"/>
      </w:pPr>
      <w:r>
        <w:rPr>
          <w:i w:val="0"/>
          <w:color w:val="1F3A5F"/>
          <w:sz w:val="23"/>
        </w:rPr>
        <w:t xml:space="preserve">Art. 964</w:t>
      </w:r>
    </w:p>
    <w:p>
      <w:pPr>
        <w:pStyle w:val="FirstParagraph"/>
        <w:keepNext/>
        <w:spacing w:after="80"/>
        <w:jc w:val="both"/>
      </w:pPr>
      <w:r>
        <w:rPr>
          <w:b/>
          <w:bCs/>
        </w:rPr>
        <w:t xml:space="preserve">Art. 964.</w:t>
      </w:r>
      <w:r>
        <w:t xml:space="preserve"> </w:t>
      </w:r>
      <w:r>
        <w:t xml:space="preserve">Não será homologada a decisão estrangeira na hipótese de competência exclusiva da autoridade judiciária brasileira.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03"/>
        <w:gridCol w:w="3018"/>
        <w:gridCol w:w="4133"/>
      </w:tblGrid>
      <w:tr>
        <w:trPr>
          <w:tblHeader w:val="on"/>
          <w:cantSplit/>
          <w:tblHeader/>
        </w:trPr>
        <w:tc>
          <w:tcPr>
            <w:tcW w:type="dxa" w:w="2203"/>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01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13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03"/>
          </w:tcPr>
          <w:p>
            <w:pPr>
              <w:pStyle w:val="Compact"/>
              <w:spacing w:line="276" w:lineRule="auto" w:before="40" w:after="40"/>
            </w:pPr>
            <w:r>
              <w:rPr>
                <w:rFonts w:ascii="Liberation Sans Narrow" w:hAnsi="Liberation Sans Narrow"/>
                <w:sz w:val="18"/>
              </w:rPr>
              <w:t xml:space="preserve">Caput — extensão da competência exclusiva apenas ao capítulo atingido</w:t>
            </w:r>
          </w:p>
        </w:tc>
        <w:tc>
          <w:tcPr>
            <w:tcW w:type="dxa" w:w="3018"/>
          </w:tcPr>
          <w:p>
            <w:pPr>
              <w:pStyle w:val="Compact"/>
              <w:spacing w:line="276" w:lineRule="auto" w:before="40" w:after="40"/>
            </w:pPr>
            <w:r>
              <w:rPr>
                <w:rFonts w:ascii="Liberation Sans Narrow" w:hAnsi="Liberation Sans Narrow"/>
                <w:sz w:val="18"/>
              </w:rPr>
              <w:t xml:space="preserve">STJ, AgInt nos EDcl na HDE 11.911, Corte Especial, relator Min. Og Fernandes, julgado em 03/03/2026, DJEN de 10/03/2026</w:t>
            </w:r>
          </w:p>
        </w:tc>
        <w:tc>
          <w:tcPr>
            <w:tcW w:type="dxa" w:w="4133"/>
          </w:tcPr>
          <w:p>
            <w:pPr>
              <w:pStyle w:val="Compact"/>
              <w:spacing w:line="276" w:lineRule="auto" w:before="40" w:after="40"/>
            </w:pPr>
            <w:r>
              <w:rPr>
                <w:rFonts w:ascii="Liberation Sans Narrow" w:hAnsi="Liberation Sans Narrow"/>
                <w:sz w:val="18"/>
              </w:rPr>
              <w:t xml:space="preserve">A exclusão do capítulo relativo à propriedade de imóvel situado no Brasil decorre da incidência do art. 23, III, do CPC e não afeta a homologação das demais disposições do título estrangeiro. É admissível a homologação de sentença estrangeira de divórcio que reconhece dívida comum do casal, matéria de natureza obrigacional não submetida à jurisdição exclusiva da Justiça brasileira, e a explicitação desse alcance em embargos de declaração não configura julgamento extra petita nem afronta à congruência.</w:t>
            </w:r>
          </w:p>
        </w:tc>
      </w:tr>
      <w:tr>
        <w:trPr>
          <w:cantSplit/>
        </w:trPr>
        <w:tc>
          <w:tcPr>
            <w:tcW w:type="dxa" w:w="2203"/>
          </w:tcPr>
          <w:p>
            <w:pPr>
              <w:pStyle w:val="Compact"/>
              <w:spacing w:line="276" w:lineRule="auto" w:before="40" w:after="40"/>
            </w:pPr>
            <w:r>
              <w:rPr>
                <w:rFonts w:ascii="Liberation Sans Narrow" w:hAnsi="Liberation Sans Narrow"/>
                <w:sz w:val="18"/>
              </w:rPr>
              <w:t xml:space="preserve">Caput — competência exclusiva da autoridade judiciária brasileira (aplicação narrada)</w:t>
            </w:r>
          </w:p>
        </w:tc>
        <w:tc>
          <w:tcPr>
            <w:tcW w:type="dxa" w:w="3018"/>
          </w:tcPr>
          <w:p>
            <w:pPr>
              <w:pStyle w:val="Compact"/>
              <w:spacing w:line="276" w:lineRule="auto" w:before="40" w:after="40"/>
            </w:pPr>
            <w:r>
              <w:rPr>
                <w:rFonts w:ascii="Liberation Sans Narrow" w:hAnsi="Liberation Sans Narrow"/>
                <w:sz w:val="18"/>
              </w:rPr>
              <w:t xml:space="preserve">STJ, HDE 8.908, Corte Especial, relatora Min. Maria Thereza de Assis Moura, julgado em 25/11/2025, DJEN de 28/11/2025</w:t>
            </w:r>
          </w:p>
        </w:tc>
        <w:tc>
          <w:tcPr>
            <w:tcW w:type="dxa" w:w="4133"/>
          </w:tcPr>
          <w:p>
            <w:pPr>
              <w:pStyle w:val="Compact"/>
              <w:spacing w:line="276" w:lineRule="auto" w:before="40" w:after="40"/>
            </w:pPr>
            <w:r>
              <w:rPr>
                <w:rFonts w:ascii="Liberation Sans Narrow" w:hAnsi="Liberation Sans Narrow"/>
                <w:sz w:val="18"/>
              </w:rPr>
              <w:t xml:space="preserve">Não incide a competência exclusiva da autoridade judiciária brasileira quando a imunidade de jurisdição do Estado estrangeiro é relativa e o litígio é de natureza trabalhista, de modo que a decisão estrangeira pode ser homologada. Trecho: “Não há falar em jurisdição exclusiva da Justiça Federal brasileira, pois, atualmente, a questão sobre imunidade de jurisdição é relativa, especialmente quando o litígio se refira a relações de natureza trabalhista, como a presente.”</w:t>
            </w:r>
          </w:p>
        </w:tc>
      </w:tr>
    </w:tbl>
    <w:p>
      <w:pPr>
        <w:pStyle w:val="BodyText"/>
        <w:spacing w:after="80"/>
        <w:jc w:val="both"/>
      </w:pPr>
      <w:r>
        <w:t xml:space="preserve">Parágrafo único. O dispositivo também se aplica à concessão do exequatur à carta rogatória.</w:t>
      </w:r>
    </w:p>
    <w:bookmarkEnd w:id="791"/>
    <w:bookmarkStart w:id="792" w:name="art.-965"/>
    <w:p>
      <w:pPr>
        <w:pStyle w:val="Heading6"/>
        <w:pBdr>
          <w:left w:val="single" w:sz="36" w:space="4" w:color="2E75B6"/>
        </w:pBdr>
        <w:shd w:val="clear" w:color="auto" w:fill="E3EEF9"/>
        <w:spacing w:before="200" w:after="80"/>
        <w:ind w:left="85"/>
      </w:pPr>
      <w:r>
        <w:rPr>
          <w:i w:val="0"/>
          <w:color w:val="1F3A5F"/>
          <w:sz w:val="23"/>
        </w:rPr>
        <w:t xml:space="preserve">Art. 965</w:t>
      </w:r>
    </w:p>
    <w:p>
      <w:pPr>
        <w:pStyle w:val="FirstParagraph"/>
        <w:spacing w:after="80"/>
        <w:jc w:val="both"/>
      </w:pPr>
      <w:r>
        <w:rPr>
          <w:b/>
          <w:bCs/>
        </w:rPr>
        <w:t xml:space="preserve">Art. 965.</w:t>
      </w:r>
      <w:r>
        <w:t xml:space="preserve"> </w:t>
      </w:r>
      <w:r>
        <w:t xml:space="preserve">O cumprimento de decisão estrangeira far-se-á perante o juízo federal competente, a requerimento da parte, conforme as normas estabelecidas para o cumprimento de decisão nacional.</w:t>
      </w:r>
    </w:p>
    <w:p>
      <w:pPr>
        <w:pStyle w:val="BodyText"/>
        <w:spacing w:after="80"/>
        <w:jc w:val="both"/>
      </w:pPr>
      <w:r>
        <w:t xml:space="preserve">Parágrafo único. O pedido de execução deverá ser instruído com cópia autenticada da decisão homologatória ou do exequatur , conforme o caso.</w:t>
      </w:r>
    </w:p>
    <w:bookmarkEnd w:id="792"/>
    <w:bookmarkEnd w:id="793"/>
    <w:bookmarkStart w:id="804" w:name="X8e8ff2910ccb87313e73df940a13685ac9a2796"/>
    <w:p>
      <w:pPr>
        <w:pStyle w:val="Heading4"/>
        <w:spacing w:before="160" w:after="40"/>
      </w:pPr>
      <w:r>
        <w:rPr>
          <w:smallCaps/>
          <w:color w:val="2E75B6"/>
        </w:rPr>
        <w:t xml:space="preserve">Capítulo VII: da ação rescisória (arts. 966 a 975)</w:t>
      </w:r>
    </w:p>
    <w:bookmarkStart w:id="794" w:name="art.-966"/>
    <w:p>
      <w:pPr>
        <w:pStyle w:val="Heading6"/>
        <w:pBdr>
          <w:left w:val="single" w:sz="36" w:space="4" w:color="2E75B6"/>
        </w:pBdr>
        <w:shd w:val="clear" w:color="auto" w:fill="E3EEF9"/>
        <w:spacing w:before="200" w:after="80"/>
        <w:ind w:left="85"/>
      </w:pPr>
      <w:r>
        <w:rPr>
          <w:i w:val="0"/>
          <w:color w:val="1F3A5F"/>
          <w:sz w:val="23"/>
        </w:rPr>
        <w:t xml:space="preserve">Art. 966</w:t>
      </w:r>
    </w:p>
    <w:p>
      <w:pPr>
        <w:pStyle w:val="FirstParagraph"/>
        <w:keepNext/>
        <w:spacing w:after="80"/>
        <w:jc w:val="both"/>
      </w:pPr>
      <w:r>
        <w:rPr>
          <w:b/>
          <w:bCs/>
        </w:rPr>
        <w:t xml:space="preserve">Art. 966.</w:t>
      </w:r>
      <w:r>
        <w:t xml:space="preserve"> </w:t>
      </w:r>
      <w:r>
        <w:t xml:space="preserve">A decisão de mérito, transitada em julgado, pode ser rescindida quando: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2638"/>
        <w:gridCol w:w="5186"/>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3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18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Caput — hipóteses de rescisão</w:t>
            </w:r>
          </w:p>
        </w:tc>
        <w:tc>
          <w:tcPr>
            <w:tcW w:type="dxa" w:w="2638"/>
          </w:tcPr>
          <w:p>
            <w:pPr>
              <w:pStyle w:val="Compact"/>
              <w:spacing w:line="276" w:lineRule="auto" w:before="40" w:after="40"/>
            </w:pPr>
            <w:r>
              <w:rPr>
                <w:rFonts w:ascii="Liberation Sans Narrow" w:hAnsi="Liberation Sans Narrow"/>
                <w:sz w:val="18"/>
              </w:rPr>
              <w:t xml:space="preserve">STJ, EDcl no AR 7.646, Segunda Seção, relator Min. Marco Buzzi, DJe de 23/10/2024</w:t>
            </w:r>
          </w:p>
        </w:tc>
        <w:tc>
          <w:tcPr>
            <w:tcW w:type="dxa" w:w="5186"/>
          </w:tcPr>
          <w:p>
            <w:pPr>
              <w:pStyle w:val="Compact"/>
              <w:spacing w:line="276" w:lineRule="auto" w:before="40" w:after="40"/>
            </w:pPr>
            <w:r>
              <w:rPr>
                <w:rFonts w:ascii="Liberation Sans Narrow" w:hAnsi="Liberation Sans Narrow"/>
                <w:sz w:val="18"/>
              </w:rPr>
              <w:t xml:space="preserve">A ação rescisória é medida de acolhimento excepcional, cabível apenas nas hipóteses taxativas do art. 966, em razão da proteção constitucional da coisa julgada e do princípio da segurança jurídica.</w:t>
            </w:r>
          </w:p>
        </w:tc>
      </w:tr>
    </w:tbl>
    <w:p>
      <w:pPr>
        <w:pStyle w:val="BodyText"/>
        <w:spacing w:after="80"/>
        <w:jc w:val="both"/>
      </w:pPr>
      <w:r>
        <w:t xml:space="preserve">I - se verificar que foi proferida por força de prevaricação, concussão ou corrupção do juiz;</w:t>
      </w:r>
    </w:p>
    <w:p>
      <w:pPr>
        <w:pStyle w:val="BodyText"/>
        <w:spacing w:after="80"/>
        <w:jc w:val="both"/>
      </w:pPr>
      <w:r>
        <w:t xml:space="preserve">II - for proferida por juiz impedido ou por juízo absolutamente incompetente;</w:t>
      </w:r>
    </w:p>
    <w:p>
      <w:pPr>
        <w:pStyle w:val="BodyText"/>
        <w:spacing w:after="80"/>
        <w:jc w:val="both"/>
      </w:pPr>
      <w:r>
        <w:t xml:space="preserve">III - resultar de dolo ou coação da parte vencedora em detrimento da parte vencida ou, ainda, de simulação ou colusão entre as partes, a fim de fraudar a lei;</w:t>
      </w:r>
    </w:p>
    <w:p>
      <w:pPr>
        <w:pStyle w:val="BodyText"/>
        <w:spacing w:after="80"/>
        <w:jc w:val="both"/>
      </w:pPr>
      <w:r>
        <w:t xml:space="preserve">IV - ofender a coisa julgada;</w:t>
      </w:r>
    </w:p>
    <w:p>
      <w:pPr>
        <w:pStyle w:val="BodyText"/>
        <w:spacing w:after="80"/>
        <w:jc w:val="both"/>
      </w:pPr>
      <w:r>
        <w:t xml:space="preserve">V - violar manifestamente norma jurídica;</w:t>
      </w:r>
    </w:p>
    <w:p>
      <w:pPr>
        <w:pStyle w:val="BodyText"/>
        <w:spacing w:after="80"/>
        <w:jc w:val="both"/>
      </w:pPr>
      <w:r>
        <w:t xml:space="preserve">VI - for fundada em prova cuja falsidade tenha sido apurada em processo criminal ou venha a ser demonstrada na própria ação rescisória;</w:t>
      </w:r>
    </w:p>
    <w:p>
      <w:pPr>
        <w:pStyle w:val="BodyText"/>
        <w:spacing w:after="80"/>
        <w:jc w:val="both"/>
      </w:pPr>
      <w:r>
        <w:t xml:space="preserve">VII - obtiver o autor, posteriormente ao trânsito em julgado, prova nova cuja existência ignorava ou de que não pôde fazer uso, capaz, por si só, de lhe assegurar pronunciamento favorável;</w:t>
      </w:r>
    </w:p>
    <w:p>
      <w:pPr>
        <w:pStyle w:val="BodyText"/>
        <w:spacing w:after="80"/>
        <w:jc w:val="both"/>
      </w:pPr>
      <w:r>
        <w:t xml:space="preserve">VIII - for fundada em erro de fato verificável do exame dos autos.</w:t>
      </w:r>
    </w:p>
    <w:p>
      <w:pPr>
        <w:pStyle w:val="BodyText"/>
        <w:keepNext/>
        <w:spacing w:after="80"/>
        <w:jc w:val="both"/>
      </w:pPr>
      <w:r>
        <w:t xml:space="preserve">§ 1º Há erro de fato quando a decisão rescindenda admitir fato inexistente ou quando considerar inexistente fato efetivamente ocorrido, sendo indispensável, em ambos os casos, que o fato não represente ponto controvertido sobre o qual o juiz deveria ter se pronunciado.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94"/>
        <w:gridCol w:w="2321"/>
        <w:gridCol w:w="4639"/>
      </w:tblGrid>
      <w:tr>
        <w:trPr>
          <w:tblHeader w:val="on"/>
          <w:cantSplit/>
          <w:tblHeader/>
        </w:trPr>
        <w:tc>
          <w:tcPr>
            <w:tcW w:type="dxa" w:w="2394"/>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32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63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394"/>
          </w:tcPr>
          <w:p>
            <w:pPr>
              <w:pStyle w:val="Compact"/>
              <w:spacing w:line="276" w:lineRule="auto" w:before="40" w:after="40"/>
            </w:pPr>
            <w:r>
              <w:rPr>
                <w:rFonts w:ascii="Liberation Sans Narrow" w:hAnsi="Liberation Sans Narrow"/>
                <w:sz w:val="18"/>
              </w:rPr>
              <w:t xml:space="preserve">VIII e § 1º — inexistência de erro de fato quando o ponto foi enfrentado na decisão rescindenda</w:t>
            </w:r>
          </w:p>
        </w:tc>
        <w:tc>
          <w:tcPr>
            <w:tcW w:type="dxa" w:w="2321"/>
          </w:tcPr>
          <w:p>
            <w:pPr>
              <w:pStyle w:val="Compact"/>
              <w:spacing w:line="276" w:lineRule="auto" w:before="40" w:after="40"/>
            </w:pPr>
            <w:r>
              <w:rPr>
                <w:rFonts w:ascii="Liberation Sans Narrow" w:hAnsi="Liberation Sans Narrow"/>
                <w:sz w:val="18"/>
              </w:rPr>
              <w:t xml:space="preserve">STJ, AREsp 2.744.284, Quarta Turma, relator Min. João Otávio de Noronha, julgado em 09/03/2026</w:t>
            </w:r>
          </w:p>
        </w:tc>
        <w:tc>
          <w:tcPr>
            <w:tcW w:type="dxa" w:w="4639"/>
          </w:tcPr>
          <w:p>
            <w:pPr>
              <w:pStyle w:val="Compact"/>
              <w:spacing w:line="276" w:lineRule="auto" w:before="40" w:after="40"/>
            </w:pPr>
            <w:r>
              <w:rPr>
                <w:rFonts w:ascii="Liberation Sans Narrow" w:hAnsi="Liberation Sans Narrow"/>
                <w:sz w:val="18"/>
              </w:rPr>
              <w:t xml:space="preserve">Não há erro de fato quando a decisão rescindenda enfrentou o ponto controvertido e houve pronunciamento judicial sobre a questão, pois o § 1º do art. 966 exige, para a rescisão, que o fato não represente ponto controvertido sobre o qual o juiz deveria ter se pronunciado.</w:t>
            </w:r>
          </w:p>
        </w:tc>
      </w:tr>
    </w:tbl>
    <w:p>
      <w:pPr>
        <w:pStyle w:val="BodyText"/>
        <w:spacing w:after="80"/>
        <w:jc w:val="both"/>
      </w:pPr>
      <w:r>
        <w:t xml:space="preserve">§ 2º Nas hipóteses previstas nos incisos do caput , será rescindível a decisão transitada em julgado que, embora não seja de mérito, impeça:</w:t>
      </w:r>
    </w:p>
    <w:p>
      <w:pPr>
        <w:pStyle w:val="BodyText"/>
        <w:spacing w:after="80"/>
        <w:jc w:val="both"/>
      </w:pPr>
      <w:r>
        <w:t xml:space="preserve">I - nova propositura da demanda; ou</w:t>
      </w:r>
    </w:p>
    <w:p>
      <w:pPr>
        <w:pStyle w:val="BodyText"/>
        <w:spacing w:after="80"/>
        <w:jc w:val="both"/>
      </w:pPr>
      <w:r>
        <w:t xml:space="preserve">II - admissibilidade do recurso correspondente.</w:t>
      </w:r>
    </w:p>
    <w:p>
      <w:pPr>
        <w:pStyle w:val="BodyText"/>
        <w:spacing w:after="80"/>
        <w:jc w:val="both"/>
      </w:pPr>
      <w:r>
        <w:t xml:space="preserve">§ 3º A ação rescisória pode ter por objeto apenas 1 (um) capítulo da decisão.</w:t>
      </w:r>
    </w:p>
    <w:p>
      <w:pPr>
        <w:pStyle w:val="BodyText"/>
        <w:spacing w:after="80"/>
        <w:jc w:val="both"/>
      </w:pPr>
      <w:r>
        <w:t xml:space="preserve">§ 4º Os atos de disposição de direitos, praticados pelas partes ou por outros participantes do processo e homologados pelo juízo, bem como os atos homologatórios praticados no curso da execução, estão sujeitos à anulação, nos termos da lei.</w:t>
      </w:r>
    </w:p>
    <w:p>
      <w:pPr>
        <w:pStyle w:val="BodyText"/>
        <w:spacing w:after="80"/>
        <w:jc w:val="both"/>
      </w:pPr>
      <w:r>
        <w:t xml:space="preserve">§ 5º Cabe ação rescisória, com fundamento no inciso V do caput deste artigo, contra decisão baseada em enunciado de súmula ou acórdão proferido em julgamento de casos repetitivos que não tenha considerado a existência de distinção entre a questão discutida no processo e o padrão decisório que lhe deu fundamento. (Incluído pela Lei nº 13.256, de 2016) (Vigência)</w:t>
      </w:r>
    </w:p>
    <w:p>
      <w:pPr>
        <w:pStyle w:val="BodyText"/>
        <w:spacing w:after="80"/>
        <w:jc w:val="both"/>
      </w:pPr>
      <w:r>
        <w:t xml:space="preserve">§ 6º Quando a ação rescisória fundar-se na hipótese do § 5º deste artigo, caberá ao autor, sob pena de inépcia, demonstrar, fundamentadamente, tratar-se de situação particularizada por hipótese fática distinta ou de questão jurídica não examinada, a impor outra solução jurídica. (Incluído pela Lei nº 13.256, de 2016) (Vigência)</w:t>
      </w:r>
    </w:p>
    <w:bookmarkEnd w:id="794"/>
    <w:bookmarkStart w:id="795" w:name="art.-967"/>
    <w:p>
      <w:pPr>
        <w:pStyle w:val="Heading6"/>
        <w:pBdr>
          <w:left w:val="single" w:sz="36" w:space="4" w:color="2E75B6"/>
        </w:pBdr>
        <w:shd w:val="clear" w:color="auto" w:fill="E3EEF9"/>
        <w:spacing w:before="200" w:after="80"/>
        <w:ind w:left="85"/>
      </w:pPr>
      <w:r>
        <w:rPr>
          <w:i w:val="0"/>
          <w:color w:val="1F3A5F"/>
          <w:sz w:val="23"/>
        </w:rPr>
        <w:t xml:space="preserve">Art. 967</w:t>
      </w:r>
    </w:p>
    <w:p>
      <w:pPr>
        <w:pStyle w:val="FirstParagraph"/>
        <w:spacing w:after="80"/>
        <w:jc w:val="both"/>
      </w:pPr>
      <w:r>
        <w:rPr>
          <w:b/>
          <w:bCs/>
        </w:rPr>
        <w:t xml:space="preserve">Art. 967.</w:t>
      </w:r>
      <w:r>
        <w:t xml:space="preserve"> </w:t>
      </w:r>
      <w:r>
        <w:t xml:space="preserve">Têm legitimidade para propor a ação rescisória:</w:t>
      </w:r>
    </w:p>
    <w:p>
      <w:pPr>
        <w:pStyle w:val="BodyText"/>
        <w:keepNext/>
        <w:spacing w:after="80"/>
        <w:jc w:val="both"/>
      </w:pPr>
      <w:r>
        <w:t xml:space="preserve">I - quem foi parte no processo ou o seu sucessor a título universal ou singular;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38"/>
        <w:gridCol w:w="2816"/>
        <w:gridCol w:w="4401"/>
      </w:tblGrid>
      <w:tr>
        <w:trPr>
          <w:tblHeader w:val="on"/>
          <w:cantSplit/>
          <w:tblHeader/>
        </w:trPr>
        <w:tc>
          <w:tcPr>
            <w:tcW w:type="dxa" w:w="2138"/>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1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40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38"/>
          </w:tcPr>
          <w:p>
            <w:pPr>
              <w:pStyle w:val="Compact"/>
              <w:spacing w:line="276" w:lineRule="auto" w:before="40" w:after="40"/>
            </w:pPr>
            <w:r>
              <w:rPr>
                <w:rFonts w:ascii="Liberation Sans Narrow" w:hAnsi="Liberation Sans Narrow"/>
                <w:sz w:val="18"/>
              </w:rPr>
              <w:t xml:space="preserve">I — legitimidade do terceiro juridicamente interessado</w:t>
            </w:r>
          </w:p>
        </w:tc>
        <w:tc>
          <w:tcPr>
            <w:tcW w:type="dxa" w:w="2816"/>
          </w:tcPr>
          <w:p>
            <w:pPr>
              <w:pStyle w:val="Compact"/>
              <w:spacing w:line="276" w:lineRule="auto" w:before="40" w:after="40"/>
            </w:pPr>
            <w:r>
              <w:rPr>
                <w:rFonts w:ascii="Liberation Sans Narrow" w:hAnsi="Liberation Sans Narrow"/>
                <w:sz w:val="18"/>
              </w:rPr>
              <w:t xml:space="preserve">STJ, AgInt na AR 7.967, Primeira Seção, relator Min. Francisco Falcão, julgado em 23/06/2026</w:t>
            </w:r>
          </w:p>
        </w:tc>
        <w:tc>
          <w:tcPr>
            <w:tcW w:type="dxa" w:w="4401"/>
          </w:tcPr>
          <w:p>
            <w:pPr>
              <w:pStyle w:val="Compact"/>
              <w:spacing w:line="276" w:lineRule="auto" w:before="40" w:after="40"/>
            </w:pPr>
            <w:r>
              <w:rPr>
                <w:rFonts w:ascii="Liberation Sans Narrow" w:hAnsi="Liberation Sans Narrow"/>
                <w:sz w:val="18"/>
              </w:rPr>
              <w:t xml:space="preserve">A legitimidade para propor ação rescisória, nos termos do art. 967, é de quem é ou foi parte no processo, de seu sucessor e do terceiro juridicamente interessado, exigindo-se deste último interesse jurídico, e não meramente econômico. A assistência simples no processo de origem não confere legitimidade ativa.</w:t>
            </w:r>
          </w:p>
        </w:tc>
      </w:tr>
      <w:tr>
        <w:trPr>
          <w:cantSplit/>
        </w:trPr>
        <w:tc>
          <w:tcPr>
            <w:tcW w:type="dxa" w:w="2138"/>
          </w:tcPr>
          <w:p>
            <w:pPr>
              <w:pStyle w:val="Compact"/>
              <w:spacing w:line="276" w:lineRule="auto" w:before="40" w:after="40"/>
            </w:pPr>
            <w:r>
              <w:rPr>
                <w:rFonts w:ascii="Liberation Sans Narrow" w:hAnsi="Liberation Sans Narrow"/>
                <w:sz w:val="18"/>
              </w:rPr>
              <w:t xml:space="preserve">I — legitimidade passiva: todos os que figuraram como parte no processo originário</w:t>
            </w:r>
          </w:p>
        </w:tc>
        <w:tc>
          <w:tcPr>
            <w:tcW w:type="dxa" w:w="2816"/>
          </w:tcPr>
          <w:p>
            <w:pPr>
              <w:pStyle w:val="Compact"/>
              <w:spacing w:line="276" w:lineRule="auto" w:before="40" w:after="40"/>
            </w:pPr>
            <w:r>
              <w:rPr>
                <w:rFonts w:ascii="Liberation Sans Narrow" w:hAnsi="Liberation Sans Narrow"/>
                <w:sz w:val="18"/>
              </w:rPr>
              <w:t xml:space="preserve">STJ, AR 5.980, Segunda Seção, relator Min. Marco Aurélio Bellizze, julgado em 24/11/2021, DJe de 03/12/2021</w:t>
            </w:r>
          </w:p>
        </w:tc>
        <w:tc>
          <w:tcPr>
            <w:tcW w:type="dxa" w:w="4401"/>
          </w:tcPr>
          <w:p>
            <w:pPr>
              <w:pStyle w:val="Compact"/>
              <w:spacing w:line="276" w:lineRule="auto" w:before="40" w:after="40"/>
            </w:pPr>
            <w:r>
              <w:rPr>
                <w:rFonts w:ascii="Liberation Sans Narrow" w:hAnsi="Liberation Sans Narrow"/>
                <w:sz w:val="18"/>
              </w:rPr>
              <w:t xml:space="preserve">A legitimidade para figurar no polo passivo da ação rescisória é de todos os sujeitos que figuravam como parte no processo originário.</w:t>
            </w:r>
          </w:p>
        </w:tc>
      </w:tr>
    </w:tbl>
    <w:p>
      <w:pPr>
        <w:pStyle w:val="BodyText"/>
        <w:spacing w:after="80"/>
        <w:jc w:val="both"/>
      </w:pPr>
      <w:r>
        <w:t xml:space="preserve">II - o terceiro juridicamente interessado;</w:t>
      </w:r>
    </w:p>
    <w:p>
      <w:pPr>
        <w:pStyle w:val="BodyText"/>
        <w:spacing w:after="80"/>
        <w:jc w:val="both"/>
      </w:pPr>
      <w:r>
        <w:t xml:space="preserve">III - o Ministério Público:</w:t>
      </w:r>
    </w:p>
    <w:p>
      <w:pPr>
        <w:pStyle w:val="BodyText"/>
        <w:spacing w:after="80"/>
        <w:jc w:val="both"/>
      </w:pPr>
      <w:r>
        <w:t xml:space="preserve">a) se não foi ouvido no processo em que lhe era obrigatória a intervenção;</w:t>
      </w:r>
    </w:p>
    <w:p>
      <w:pPr>
        <w:pStyle w:val="BodyText"/>
        <w:spacing w:after="80"/>
        <w:jc w:val="both"/>
      </w:pPr>
      <w:r>
        <w:t xml:space="preserve">b) quando a decisão rescindenda é o efeito de simulação ou de colusão das partes, a fim de fraudar a lei;</w:t>
      </w:r>
    </w:p>
    <w:p>
      <w:pPr>
        <w:pStyle w:val="BodyText"/>
        <w:spacing w:after="80"/>
        <w:jc w:val="both"/>
      </w:pPr>
      <w:r>
        <w:t xml:space="preserve">c) em outros casos em que se imponha sua atuação;</w:t>
      </w:r>
    </w:p>
    <w:p>
      <w:pPr>
        <w:pStyle w:val="BodyText"/>
        <w:spacing w:after="80"/>
        <w:jc w:val="both"/>
      </w:pPr>
      <w:r>
        <w:t xml:space="preserve">IV - aquele que não foi ouvido no processo em que lhe era obrigatória a intervenção.</w:t>
      </w:r>
    </w:p>
    <w:p>
      <w:pPr>
        <w:pStyle w:val="BodyText"/>
        <w:spacing w:after="80"/>
        <w:jc w:val="both"/>
      </w:pPr>
      <w:r>
        <w:t xml:space="preserve">Parágrafo único. Nas hipóteses do art. 178, o Ministério Público será intimado para intervir como fiscal da ordem jurídica quando não for parte.</w:t>
      </w:r>
    </w:p>
    <w:bookmarkEnd w:id="795"/>
    <w:bookmarkStart w:id="796" w:name="art.-968"/>
    <w:p>
      <w:pPr>
        <w:pStyle w:val="Heading6"/>
        <w:pBdr>
          <w:left w:val="single" w:sz="36" w:space="4" w:color="2E75B6"/>
        </w:pBdr>
        <w:shd w:val="clear" w:color="auto" w:fill="E3EEF9"/>
        <w:spacing w:before="200" w:after="80"/>
        <w:ind w:left="85"/>
      </w:pPr>
      <w:r>
        <w:rPr>
          <w:i w:val="0"/>
          <w:color w:val="1F3A5F"/>
          <w:sz w:val="23"/>
        </w:rPr>
        <w:t xml:space="preserve">Art. 968</w:t>
      </w:r>
    </w:p>
    <w:p>
      <w:pPr>
        <w:pStyle w:val="FirstParagraph"/>
        <w:spacing w:after="80"/>
        <w:jc w:val="both"/>
      </w:pPr>
      <w:r>
        <w:rPr>
          <w:b/>
          <w:bCs/>
        </w:rPr>
        <w:t xml:space="preserve">Art. 968.</w:t>
      </w:r>
      <w:r>
        <w:t xml:space="preserve"> </w:t>
      </w:r>
      <w:r>
        <w:t xml:space="preserve">A petição inicial será elaborada com observância dos requisitos essenciais do art. 319, devendo o autor:</w:t>
      </w:r>
    </w:p>
    <w:p>
      <w:pPr>
        <w:pStyle w:val="BodyText"/>
        <w:spacing w:after="80"/>
        <w:jc w:val="both"/>
      </w:pPr>
      <w:r>
        <w:t xml:space="preserve">I - cumular ao pedido de rescisão, se for o caso, o de novo julgamento do processo;</w:t>
      </w:r>
    </w:p>
    <w:p>
      <w:pPr>
        <w:pStyle w:val="BodyText"/>
        <w:spacing w:after="80"/>
        <w:jc w:val="both"/>
      </w:pPr>
      <w:r>
        <w:t xml:space="preserve">II - depositar a importância de cinco por cento sobre o valor da causa, que se converterá em multa caso a ação seja, por unanimidade de votos, declarada inadmissível ou improcedente.</w:t>
      </w:r>
    </w:p>
    <w:p>
      <w:pPr>
        <w:pStyle w:val="BodyText"/>
        <w:spacing w:after="80"/>
        <w:jc w:val="both"/>
      </w:pPr>
      <w:r>
        <w:t xml:space="preserve">§ 1º Não se aplica o disposto no inciso II à União, aos Estados, ao Distrito Federal, aos Municípios, às suas respectivas autarquias e fundações de direito público, ao Ministério Público, à Defensoria Pública e aos que tenham obtido o benefício de gratuidade da justiça.</w:t>
      </w:r>
    </w:p>
    <w:p>
      <w:pPr>
        <w:pStyle w:val="BodyText"/>
        <w:spacing w:after="80"/>
        <w:jc w:val="both"/>
      </w:pPr>
      <w:r>
        <w:t xml:space="preserve">§ 2º O depósito previsto no inciso II do caput deste artigo não será superior a 1.000 (mil) salários-mínimos.</w:t>
      </w:r>
    </w:p>
    <w:p>
      <w:pPr>
        <w:pStyle w:val="BodyText"/>
        <w:spacing w:after="80"/>
        <w:jc w:val="both"/>
      </w:pPr>
      <w:r>
        <w:t xml:space="preserve">§ 3º Além dos casos previstos no art. 330, a petição inicial será indeferida quando não efetuado o depósito exigido pelo inciso II do caput deste artigo.</w:t>
      </w:r>
    </w:p>
    <w:p>
      <w:pPr>
        <w:pStyle w:val="BodyText"/>
        <w:keepNext/>
        <w:spacing w:after="80"/>
        <w:jc w:val="both"/>
      </w:pPr>
      <w:r>
        <w:t xml:space="preserve">§ 4º Aplica-se à ação rescisória o disposto no art. 332.</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2425"/>
        <w:gridCol w:w="502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42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02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 4º — indeferimento liminar da petição inicial</w:t>
            </w:r>
          </w:p>
        </w:tc>
        <w:tc>
          <w:tcPr>
            <w:tcW w:type="dxa" w:w="2426"/>
          </w:tcPr>
          <w:p>
            <w:pPr>
              <w:pStyle w:val="Compact"/>
              <w:spacing w:line="276" w:lineRule="auto" w:before="40" w:after="40"/>
            </w:pPr>
            <w:r>
              <w:rPr>
                <w:rFonts w:ascii="Liberation Sans Narrow" w:hAnsi="Liberation Sans Narrow"/>
                <w:sz w:val="18"/>
              </w:rPr>
              <w:t xml:space="preserve">STJ, REsp 1.781.587, Quarta Turma, relator Min. João Otávio de Noronha, julgado em 14/04/2026</w:t>
            </w:r>
          </w:p>
        </w:tc>
        <w:tc>
          <w:tcPr>
            <w:tcW w:type="dxa" w:w="5024"/>
          </w:tcPr>
          <w:p>
            <w:pPr>
              <w:pStyle w:val="Compact"/>
              <w:spacing w:line="276" w:lineRule="auto" w:before="40" w:after="40"/>
            </w:pPr>
            <w:r>
              <w:rPr>
                <w:rFonts w:ascii="Liberation Sans Narrow" w:hAnsi="Liberation Sans Narrow"/>
                <w:sz w:val="18"/>
              </w:rPr>
              <w:t xml:space="preserve">Admite-se o indeferimento liminar da petição inicial da ação rescisória quando constatado, de plano, o descabimento da demanda, inclusive na hipótese de evidente ausência de violação manifesta de dispositivo legal cuja matéria não foi tratada na demanda rescindenda.</w:t>
            </w:r>
          </w:p>
        </w:tc>
      </w:tr>
    </w:tbl>
    <w:p>
      <w:pPr>
        <w:pStyle w:val="BodyText"/>
        <w:spacing w:after="80"/>
        <w:jc w:val="both"/>
      </w:pPr>
      <w:r>
        <w:t xml:space="preserve">§ 5º Reconhecida a incompetência do tribunal para julgar a ação rescisória, o autor será intimado para emendar a petição inicial, a fim de adequar o objeto da ação rescisória, quando a decisão apontada como rescindenda:</w:t>
      </w:r>
    </w:p>
    <w:p>
      <w:pPr>
        <w:pStyle w:val="BodyText"/>
        <w:spacing w:after="80"/>
        <w:jc w:val="both"/>
      </w:pPr>
      <w:r>
        <w:t xml:space="preserve">I - não tiver apreciado o mérito e não se enquadrar na situação prevista no § 2º do art. 966;</w:t>
      </w:r>
    </w:p>
    <w:p>
      <w:pPr>
        <w:pStyle w:val="BodyText"/>
        <w:spacing w:after="80"/>
        <w:jc w:val="both"/>
      </w:pPr>
      <w:r>
        <w:t xml:space="preserve">II - tiver sido substituída por decisão posterior.</w:t>
      </w:r>
    </w:p>
    <w:p>
      <w:pPr>
        <w:pStyle w:val="BodyText"/>
        <w:spacing w:after="80"/>
        <w:jc w:val="both"/>
      </w:pPr>
      <w:r>
        <w:t xml:space="preserve">§ 6º Na hipótese do § 5º, após a emenda da petição inicial, será permitido ao réu complementar os fundamentos de defesa, e, em seguida, os autos serão remetidos ao tribunal competente.</w:t>
      </w:r>
    </w:p>
    <w:bookmarkEnd w:id="796"/>
    <w:bookmarkStart w:id="797" w:name="art.-969"/>
    <w:p>
      <w:pPr>
        <w:pStyle w:val="Heading6"/>
        <w:pBdr>
          <w:left w:val="single" w:sz="36" w:space="4" w:color="2E75B6"/>
        </w:pBdr>
        <w:shd w:val="clear" w:color="auto" w:fill="E3EEF9"/>
        <w:spacing w:before="200" w:after="80"/>
        <w:ind w:left="85"/>
      </w:pPr>
      <w:r>
        <w:rPr>
          <w:i w:val="0"/>
          <w:color w:val="1F3A5F"/>
          <w:sz w:val="23"/>
        </w:rPr>
        <w:t xml:space="preserve">Art. 969</w:t>
      </w:r>
    </w:p>
    <w:p>
      <w:pPr>
        <w:pStyle w:val="FirstParagraph"/>
        <w:keepNext/>
        <w:spacing w:after="80"/>
        <w:jc w:val="both"/>
      </w:pPr>
      <w:r>
        <w:rPr>
          <w:b/>
          <w:bCs/>
        </w:rPr>
        <w:t xml:space="preserve">Art. 969.</w:t>
      </w:r>
      <w:r>
        <w:t xml:space="preserve"> </w:t>
      </w:r>
      <w:r>
        <w:t xml:space="preserve">A propositura da ação rescisória não impede o cumprimento da decisão rescindenda, ressalvada a concessão de tutela provisória.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52"/>
        <w:gridCol w:w="2671"/>
        <w:gridCol w:w="4531"/>
      </w:tblGrid>
      <w:tr>
        <w:trPr>
          <w:tblHeader w:val="on"/>
          <w:cantSplit/>
          <w:tblHeader/>
        </w:trPr>
        <w:tc>
          <w:tcPr>
            <w:tcW w:type="dxa" w:w="215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7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53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52"/>
          </w:tcPr>
          <w:p>
            <w:pPr>
              <w:pStyle w:val="Compact"/>
              <w:spacing w:line="276" w:lineRule="auto" w:before="40" w:after="40"/>
            </w:pPr>
            <w:r>
              <w:rPr>
                <w:rFonts w:ascii="Liberation Sans Narrow" w:hAnsi="Liberation Sans Narrow"/>
                <w:sz w:val="18"/>
              </w:rPr>
              <w:t xml:space="preserve">Caput — tutela provisória em ação rescisória (orientação de aplicação)</w:t>
            </w:r>
          </w:p>
        </w:tc>
        <w:tc>
          <w:tcPr>
            <w:tcW w:type="dxa" w:w="2671"/>
          </w:tcPr>
          <w:p>
            <w:pPr>
              <w:pStyle w:val="Compact"/>
              <w:spacing w:line="276" w:lineRule="auto" w:before="40" w:after="40"/>
            </w:pPr>
            <w:r>
              <w:rPr>
                <w:rFonts w:ascii="Liberation Sans Narrow" w:hAnsi="Liberation Sans Narrow"/>
                <w:sz w:val="18"/>
              </w:rPr>
              <w:t xml:space="preserve">STF, AR 3.213, Tribunal Pleno, relator Min. Flávio Dino, julgado em 09/03/2026</w:t>
            </w:r>
          </w:p>
        </w:tc>
        <w:tc>
          <w:tcPr>
            <w:tcW w:type="dxa" w:w="4531"/>
          </w:tcPr>
          <w:p>
            <w:pPr>
              <w:pStyle w:val="Compact"/>
              <w:spacing w:line="276" w:lineRule="auto" w:before="40" w:after="40"/>
            </w:pPr>
            <w:r>
              <w:rPr>
                <w:rFonts w:ascii="Liberation Sans Narrow" w:hAnsi="Liberation Sans Narrow"/>
                <w:sz w:val="18"/>
              </w:rPr>
              <w:t xml:space="preserve">No caso, o Tribunal Pleno referendou medida cautelar em ação rescisória que suspendeu os efeitos da decisão rescindenda, diante da plausibilidade jurídica decorrente da modulação de efeitos do Tema 1.254/STF.</w:t>
            </w:r>
          </w:p>
        </w:tc>
      </w:tr>
      <w:tr>
        <w:trPr>
          <w:cantSplit/>
        </w:trPr>
        <w:tc>
          <w:tcPr>
            <w:tcW w:type="dxa" w:w="2152"/>
          </w:tcPr>
          <w:p>
            <w:pPr>
              <w:pStyle w:val="Compact"/>
              <w:spacing w:line="276" w:lineRule="auto" w:before="40" w:after="40"/>
            </w:pPr>
            <w:r>
              <w:rPr>
                <w:rFonts w:ascii="Liberation Sans Narrow" w:hAnsi="Liberation Sans Narrow"/>
                <w:sz w:val="18"/>
              </w:rPr>
              <w:t xml:space="preserve">Caput — cumprimento da decisão rescindenda e tutela provisória</w:t>
            </w:r>
          </w:p>
        </w:tc>
        <w:tc>
          <w:tcPr>
            <w:tcW w:type="dxa" w:w="2671"/>
          </w:tcPr>
          <w:p>
            <w:pPr>
              <w:pStyle w:val="Compact"/>
              <w:spacing w:line="276" w:lineRule="auto" w:before="40" w:after="40"/>
            </w:pPr>
            <w:r>
              <w:rPr>
                <w:rFonts w:ascii="Liberation Sans Narrow" w:hAnsi="Liberation Sans Narrow"/>
                <w:sz w:val="18"/>
              </w:rPr>
              <w:t xml:space="preserve">STJ, AgInt nos EDcl no AREsp 2.873.650, Quarta Turma, relator Min. Raul Araújo, julgado em 15/06/2026</w:t>
            </w:r>
          </w:p>
        </w:tc>
        <w:tc>
          <w:tcPr>
            <w:tcW w:type="dxa" w:w="4531"/>
          </w:tcPr>
          <w:p>
            <w:pPr>
              <w:pStyle w:val="Compact"/>
              <w:spacing w:line="276" w:lineRule="auto" w:before="40" w:after="40"/>
            </w:pPr>
            <w:r>
              <w:rPr>
                <w:rFonts w:ascii="Liberation Sans Narrow" w:hAnsi="Liberation Sans Narrow"/>
                <w:sz w:val="18"/>
              </w:rPr>
              <w:t xml:space="preserve">A ação rescisória não impede o cumprimento da decisão rescindenda, ressalvada a concessão de tutela provisória. A improcedência em cognição exauriente substitui a tutela provisória anteriormente deferida e faz cessar seus fundamentos, permitindo a continuidade do cumprimento de sentença, ainda que silente a decisão a respeito.</w:t>
            </w:r>
          </w:p>
        </w:tc>
      </w:tr>
    </w:tbl>
    <w:bookmarkEnd w:id="797"/>
    <w:bookmarkStart w:id="798" w:name="art.-970"/>
    <w:p>
      <w:pPr>
        <w:pStyle w:val="Heading6"/>
        <w:pBdr>
          <w:left w:val="single" w:sz="36" w:space="4" w:color="2E75B6"/>
        </w:pBdr>
        <w:shd w:val="clear" w:color="auto" w:fill="E3EEF9"/>
        <w:spacing w:before="200" w:after="80"/>
        <w:ind w:left="85"/>
      </w:pPr>
      <w:r>
        <w:rPr>
          <w:i w:val="0"/>
          <w:color w:val="1F3A5F"/>
          <w:sz w:val="23"/>
        </w:rPr>
        <w:t xml:space="preserve">Art. 970</w:t>
      </w:r>
    </w:p>
    <w:p>
      <w:pPr>
        <w:pStyle w:val="FirstParagraph"/>
        <w:spacing w:after="80"/>
        <w:jc w:val="both"/>
      </w:pPr>
      <w:r>
        <w:rPr>
          <w:b/>
          <w:bCs/>
        </w:rPr>
        <w:t xml:space="preserve">Art. 970.</w:t>
      </w:r>
      <w:r>
        <w:t xml:space="preserve"> </w:t>
      </w:r>
      <w:r>
        <w:t xml:space="preserve">O relator ordenará a citação do réu, designando-lhe prazo nunca inferior a 15 (quinze) dias nem superior a 30 (trinta) dias para, querendo, apresentar resposta, ao fim do qual, com ou sem contestação, observar-se-á, no que couber, o procedimento comum.</w:t>
      </w:r>
    </w:p>
    <w:bookmarkEnd w:id="798"/>
    <w:bookmarkStart w:id="799" w:name="art.-971"/>
    <w:p>
      <w:pPr>
        <w:pStyle w:val="Heading6"/>
        <w:pBdr>
          <w:left w:val="single" w:sz="36" w:space="4" w:color="2E75B6"/>
        </w:pBdr>
        <w:shd w:val="clear" w:color="auto" w:fill="E3EEF9"/>
        <w:spacing w:before="200" w:after="80"/>
        <w:ind w:left="85"/>
      </w:pPr>
      <w:r>
        <w:rPr>
          <w:i w:val="0"/>
          <w:color w:val="1F3A5F"/>
          <w:sz w:val="23"/>
        </w:rPr>
        <w:t xml:space="preserve">Art. 971</w:t>
      </w:r>
    </w:p>
    <w:p>
      <w:pPr>
        <w:pStyle w:val="FirstParagraph"/>
        <w:spacing w:after="80"/>
        <w:jc w:val="both"/>
      </w:pPr>
      <w:r>
        <w:rPr>
          <w:b/>
          <w:bCs/>
        </w:rPr>
        <w:t xml:space="preserve">Art. 971.</w:t>
      </w:r>
      <w:r>
        <w:t xml:space="preserve"> </w:t>
      </w:r>
      <w:r>
        <w:t xml:space="preserve">Na ação rescisória, devolvidos os autos pelo relator, a secretaria do tribunal expedirá cópias do relatório e as distribuirá entre os juízes que compuserem o órgão competente para o julgamento.</w:t>
      </w:r>
    </w:p>
    <w:p>
      <w:pPr>
        <w:pStyle w:val="BodyText"/>
        <w:spacing w:after="80"/>
        <w:jc w:val="both"/>
      </w:pPr>
      <w:r>
        <w:t xml:space="preserve">Parágrafo único. A escolha de relator recairá, sempre que possível, em juiz que não haja participado do julgamento rescindendo.</w:t>
      </w:r>
    </w:p>
    <w:bookmarkEnd w:id="799"/>
    <w:bookmarkStart w:id="800" w:name="art.-972"/>
    <w:p>
      <w:pPr>
        <w:pStyle w:val="Heading6"/>
        <w:pBdr>
          <w:left w:val="single" w:sz="36" w:space="4" w:color="2E75B6"/>
        </w:pBdr>
        <w:shd w:val="clear" w:color="auto" w:fill="E3EEF9"/>
        <w:spacing w:before="200" w:after="80"/>
        <w:ind w:left="85"/>
      </w:pPr>
      <w:r>
        <w:rPr>
          <w:i w:val="0"/>
          <w:color w:val="1F3A5F"/>
          <w:sz w:val="23"/>
        </w:rPr>
        <w:t xml:space="preserve">Art. 972</w:t>
      </w:r>
    </w:p>
    <w:p>
      <w:pPr>
        <w:pStyle w:val="FirstParagraph"/>
        <w:spacing w:after="80"/>
        <w:jc w:val="both"/>
      </w:pPr>
      <w:r>
        <w:rPr>
          <w:b/>
          <w:bCs/>
        </w:rPr>
        <w:t xml:space="preserve">Art. 972.</w:t>
      </w:r>
      <w:r>
        <w:t xml:space="preserve"> </w:t>
      </w:r>
      <w:r>
        <w:t xml:space="preserve">Se os fatos alegados pelas partes dependerem de prova, o relator poderá delegar a competência ao órgão que proferiu a decisão rescindenda, fixando prazo de 1 (um) a 3 (três) meses para a devolução dos autos.</w:t>
      </w:r>
    </w:p>
    <w:bookmarkEnd w:id="800"/>
    <w:bookmarkStart w:id="801" w:name="art.-973"/>
    <w:p>
      <w:pPr>
        <w:pStyle w:val="Heading6"/>
        <w:pBdr>
          <w:left w:val="single" w:sz="36" w:space="4" w:color="2E75B6"/>
        </w:pBdr>
        <w:shd w:val="clear" w:color="auto" w:fill="E3EEF9"/>
        <w:spacing w:before="200" w:after="80"/>
        <w:ind w:left="85"/>
      </w:pPr>
      <w:r>
        <w:rPr>
          <w:i w:val="0"/>
          <w:color w:val="1F3A5F"/>
          <w:sz w:val="23"/>
        </w:rPr>
        <w:t xml:space="preserve">Art. 973</w:t>
      </w:r>
    </w:p>
    <w:p>
      <w:pPr>
        <w:pStyle w:val="FirstParagraph"/>
        <w:spacing w:after="80"/>
        <w:jc w:val="both"/>
      </w:pPr>
      <w:r>
        <w:rPr>
          <w:b/>
          <w:bCs/>
        </w:rPr>
        <w:t xml:space="preserve">Art. 973.</w:t>
      </w:r>
      <w:r>
        <w:t xml:space="preserve"> </w:t>
      </w:r>
      <w:r>
        <w:t xml:space="preserve">Concluída a instrução, será aberta vista ao autor e ao réu para razões finais, sucessivamente, pelo prazo de 10 (dez) dias.</w:t>
      </w:r>
    </w:p>
    <w:p>
      <w:pPr>
        <w:pStyle w:val="BodyText"/>
        <w:spacing w:after="80"/>
        <w:jc w:val="both"/>
      </w:pPr>
      <w:r>
        <w:t xml:space="preserve">Parágrafo único. Em seguida, os autos serão conclusos ao relator, procedendo-se ao julgamento pelo órgão competente.</w:t>
      </w:r>
    </w:p>
    <w:bookmarkEnd w:id="801"/>
    <w:bookmarkStart w:id="802" w:name="art.-974"/>
    <w:p>
      <w:pPr>
        <w:pStyle w:val="Heading6"/>
        <w:pBdr>
          <w:left w:val="single" w:sz="36" w:space="4" w:color="2E75B6"/>
        </w:pBdr>
        <w:shd w:val="clear" w:color="auto" w:fill="E3EEF9"/>
        <w:spacing w:before="200" w:after="80"/>
        <w:ind w:left="85"/>
      </w:pPr>
      <w:r>
        <w:rPr>
          <w:i w:val="0"/>
          <w:color w:val="1F3A5F"/>
          <w:sz w:val="23"/>
        </w:rPr>
        <w:t xml:space="preserve">Art. 974</w:t>
      </w:r>
    </w:p>
    <w:p>
      <w:pPr>
        <w:pStyle w:val="FirstParagraph"/>
        <w:spacing w:after="80"/>
        <w:jc w:val="both"/>
      </w:pPr>
      <w:r>
        <w:rPr>
          <w:b/>
          <w:bCs/>
        </w:rPr>
        <w:t xml:space="preserve">Art. 974.</w:t>
      </w:r>
      <w:r>
        <w:t xml:space="preserve"> </w:t>
      </w:r>
      <w:r>
        <w:t xml:space="preserve">Julgando procedente o pedido, o tribunal rescindirá a decisão, proferirá, se for o caso, novo julgamento e determinará a restituição do depósito a que se refere o inciso II do art. 968.</w:t>
      </w:r>
    </w:p>
    <w:p>
      <w:pPr>
        <w:pStyle w:val="BodyText"/>
        <w:spacing w:after="80"/>
        <w:jc w:val="both"/>
      </w:pPr>
      <w:r>
        <w:t xml:space="preserve">Parágrafo único. Considerando, por unanimidade, inadmissível ou improcedente o pedido, o tribunal determinará a reversão, em favor do réu, da importância do depósito, sem prejuízo do disposto no § 2º do art. 82.</w:t>
      </w:r>
    </w:p>
    <w:bookmarkEnd w:id="802"/>
    <w:bookmarkStart w:id="803" w:name="art.-975"/>
    <w:p>
      <w:pPr>
        <w:pStyle w:val="Heading6"/>
        <w:pBdr>
          <w:left w:val="single" w:sz="36" w:space="4" w:color="2E75B6"/>
        </w:pBdr>
        <w:shd w:val="clear" w:color="auto" w:fill="E3EEF9"/>
        <w:spacing w:before="200" w:after="80"/>
        <w:ind w:left="85"/>
      </w:pPr>
      <w:r>
        <w:rPr>
          <w:i w:val="0"/>
          <w:color w:val="1F3A5F"/>
          <w:sz w:val="23"/>
        </w:rPr>
        <w:t xml:space="preserve">Art. 975</w:t>
      </w:r>
    </w:p>
    <w:p>
      <w:pPr>
        <w:pStyle w:val="FirstParagraph"/>
        <w:keepNext/>
        <w:spacing w:after="80"/>
        <w:jc w:val="both"/>
      </w:pPr>
      <w:r>
        <w:rPr>
          <w:b/>
          <w:bCs/>
        </w:rPr>
        <w:t xml:space="preserve">Art. 975.</w:t>
      </w:r>
      <w:r>
        <w:t xml:space="preserve"> </w:t>
      </w:r>
      <w:r>
        <w:t xml:space="preserve">O direito à rescisão se extingue em 2 (dois) anos contados do trânsito em julgado da última decisão proferida no processo.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32"/>
        <w:gridCol w:w="2245"/>
        <w:gridCol w:w="5177"/>
      </w:tblGrid>
      <w:tr>
        <w:trPr>
          <w:tblHeader w:val="on"/>
          <w:cantSplit/>
          <w:tblHeader/>
        </w:trPr>
        <w:tc>
          <w:tcPr>
            <w:tcW w:type="dxa" w:w="1933"/>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24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177"/>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33"/>
          </w:tcPr>
          <w:p>
            <w:pPr>
              <w:pStyle w:val="Compact"/>
              <w:spacing w:line="276" w:lineRule="auto" w:before="40" w:after="40"/>
            </w:pPr>
            <w:r>
              <w:rPr>
                <w:rFonts w:ascii="Liberation Sans Narrow" w:hAnsi="Liberation Sans Narrow"/>
                <w:sz w:val="18"/>
              </w:rPr>
              <w:t xml:space="preserve">Caput — biênio da rescisória e deslocamento de competência</w:t>
            </w:r>
          </w:p>
        </w:tc>
        <w:tc>
          <w:tcPr>
            <w:tcW w:type="dxa" w:w="2245"/>
          </w:tcPr>
          <w:p>
            <w:pPr>
              <w:pStyle w:val="Compact"/>
              <w:spacing w:line="276" w:lineRule="auto" w:before="40" w:after="40"/>
            </w:pPr>
            <w:r>
              <w:rPr>
                <w:rFonts w:ascii="Liberation Sans Narrow" w:hAnsi="Liberation Sans Narrow"/>
                <w:sz w:val="18"/>
              </w:rPr>
              <w:t xml:space="preserve">STF, AR 2.973, Tribunal Pleno, relator Min. Luiz Fux, julgado em 26/02/2024</w:t>
            </w:r>
          </w:p>
        </w:tc>
        <w:tc>
          <w:tcPr>
            <w:tcW w:type="dxa" w:w="5177"/>
          </w:tcPr>
          <w:p>
            <w:pPr>
              <w:pStyle w:val="Compact"/>
              <w:spacing w:line="276" w:lineRule="auto" w:before="40" w:after="40"/>
            </w:pPr>
            <w:r>
              <w:rPr>
                <w:rFonts w:ascii="Liberation Sans Narrow" w:hAnsi="Liberation Sans Narrow"/>
                <w:sz w:val="18"/>
              </w:rPr>
              <w:t xml:space="preserve">No caso, o prazo decadencial de dois anos conta-se do ajuizamento da ação rescisória, ainda que proposta em tribunal diverso e depois redistribuída por deslocamento de competência; a emenda à inicial não desloca o termo inicial.</w:t>
            </w:r>
          </w:p>
        </w:tc>
      </w:tr>
    </w:tbl>
    <w:p>
      <w:pPr>
        <w:pStyle w:val="BodyText"/>
        <w:spacing w:after="80"/>
        <w:jc w:val="both"/>
      </w:pPr>
      <w:r>
        <w:t xml:space="preserve">§ 1º Prorroga-se até o primeiro dia útil imediatamente subsequente o prazo a que se refere o caput , quando expirar durante férias forenses, recesso, feriados ou em dia em que não houver expediente forense.</w:t>
      </w:r>
    </w:p>
    <w:p>
      <w:pPr>
        <w:pStyle w:val="BodyText"/>
        <w:spacing w:after="80"/>
        <w:jc w:val="both"/>
      </w:pPr>
      <w:r>
        <w:t xml:space="preserve">§ 2º Se fundada a ação no inciso VII do art. 966, o termo inicial do prazo será a data de descoberta da prova nova, observado o prazo máximo de 5 (cinco) anos, contado do trânsito em julgado da última decisão proferida no processo.</w:t>
      </w:r>
    </w:p>
    <w:p>
      <w:pPr>
        <w:pStyle w:val="BodyText"/>
        <w:spacing w:after="80"/>
        <w:jc w:val="both"/>
      </w:pPr>
      <w:r>
        <w:t xml:space="preserve">§ 3º Nas hipóteses de simulação ou de colusão das partes, o prazo começa a contar, para o terceiro prejudicado e para o Ministério Público, que não interveio no processo, a partir do momento em que têm ciência da simulação ou da colusão.</w:t>
      </w:r>
    </w:p>
    <w:bookmarkEnd w:id="803"/>
    <w:bookmarkEnd w:id="804"/>
    <w:bookmarkStart w:id="817" w:name="X01783811124bceae1285883d65b49ce7c1526aa"/>
    <w:p>
      <w:pPr>
        <w:pStyle w:val="Heading4"/>
        <w:spacing w:before="160" w:after="40"/>
      </w:pPr>
      <w:r>
        <w:rPr>
          <w:smallCaps/>
          <w:color w:val="2E75B6"/>
        </w:rPr>
        <w:t xml:space="preserve">Capítulo VIII: do incidente de resolução de demandas repetitivas (arts. 976 a 987)</w:t>
      </w:r>
    </w:p>
    <w:bookmarkStart w:id="805" w:name="art.-976"/>
    <w:p>
      <w:pPr>
        <w:pStyle w:val="Heading6"/>
        <w:pBdr>
          <w:left w:val="single" w:sz="36" w:space="4" w:color="2E75B6"/>
        </w:pBdr>
        <w:shd w:val="clear" w:color="auto" w:fill="E3EEF9"/>
        <w:spacing w:before="200" w:after="80"/>
        <w:ind w:left="85"/>
      </w:pPr>
      <w:r>
        <w:rPr>
          <w:i w:val="0"/>
          <w:color w:val="1F3A5F"/>
          <w:sz w:val="23"/>
        </w:rPr>
        <w:t xml:space="preserve">Art. 976</w:t>
      </w:r>
    </w:p>
    <w:p>
      <w:pPr>
        <w:pStyle w:val="FirstParagraph"/>
        <w:keepNext/>
        <w:spacing w:after="80"/>
        <w:jc w:val="both"/>
      </w:pPr>
      <w:r>
        <w:rPr>
          <w:b/>
          <w:bCs/>
        </w:rPr>
        <w:t xml:space="preserve">Art. 976.</w:t>
      </w:r>
      <w:r>
        <w:t xml:space="preserve"> </w:t>
      </w:r>
      <w:r>
        <w:t xml:space="preserve">É cabível a instauração do incidente de resolução de demandas repetitivas quando houver, simultaneamente: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25"/>
        <w:gridCol w:w="2189"/>
        <w:gridCol w:w="4840"/>
      </w:tblGrid>
      <w:tr>
        <w:trPr>
          <w:tblHeader w:val="on"/>
          <w:cantSplit/>
          <w:tblHeader/>
        </w:trPr>
        <w:tc>
          <w:tcPr>
            <w:tcW w:type="dxa" w:w="232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18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4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325"/>
          </w:tcPr>
          <w:p>
            <w:pPr>
              <w:pStyle w:val="Compact"/>
              <w:spacing w:line="276" w:lineRule="auto" w:before="40" w:after="40"/>
            </w:pPr>
            <w:r>
              <w:rPr>
                <w:rFonts w:ascii="Liberation Sans Narrow" w:hAnsi="Liberation Sans Narrow"/>
                <w:sz w:val="18"/>
              </w:rPr>
              <w:t xml:space="preserve">Caput — cabimento restrito aos tribunais de justiça e aos tribunais regionais federais</w:t>
            </w:r>
          </w:p>
        </w:tc>
        <w:tc>
          <w:tcPr>
            <w:tcW w:type="dxa" w:w="2189"/>
          </w:tcPr>
          <w:p>
            <w:pPr>
              <w:pStyle w:val="Compact"/>
              <w:spacing w:line="276" w:lineRule="auto" w:before="40" w:after="40"/>
            </w:pPr>
            <w:r>
              <w:rPr>
                <w:rFonts w:ascii="Liberation Sans Narrow" w:hAnsi="Liberation Sans Narrow"/>
                <w:sz w:val="18"/>
              </w:rPr>
              <w:t xml:space="preserve">STJ, AgInt no AREsp 2.530.497, Terceira Turma, relator Min. Marco Aurélio Bellizze</w:t>
            </w:r>
          </w:p>
        </w:tc>
        <w:tc>
          <w:tcPr>
            <w:tcW w:type="dxa" w:w="4840"/>
          </w:tcPr>
          <w:p>
            <w:pPr>
              <w:pStyle w:val="Compact"/>
              <w:spacing w:line="276" w:lineRule="auto" w:before="40" w:after="40"/>
            </w:pPr>
            <w:r>
              <w:rPr>
                <w:rFonts w:ascii="Liberation Sans Narrow" w:hAnsi="Liberation Sans Narrow"/>
                <w:sz w:val="18"/>
              </w:rPr>
              <w:t xml:space="preserve">O incidente de resolução de demandas repetitivas, instrumento com o objetivo de imprimir celeridade e uniformização na solução de demandas de massa, é cabível somente no âmbito dos tribunais de justiça e dos tribunais regionais federais, quando houver repetição de processos sobre a mesma questão de direito ou nas situações de risco à isonomia e à segurança jurídica.</w:t>
            </w:r>
          </w:p>
        </w:tc>
      </w:tr>
    </w:tbl>
    <w:p>
      <w:pPr>
        <w:pStyle w:val="BodyText"/>
        <w:keepNext/>
        <w:spacing w:after="80"/>
        <w:jc w:val="both"/>
      </w:pPr>
      <w:r>
        <w:t xml:space="preserve">I - efetiva repetição de processos que contenham controvérsia sobre a mesma questão unicamente de direito;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2481"/>
        <w:gridCol w:w="5342"/>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48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34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I — questão unicamente de direito</w:t>
            </w:r>
          </w:p>
        </w:tc>
        <w:tc>
          <w:tcPr>
            <w:tcW w:type="dxa" w:w="2481"/>
          </w:tcPr>
          <w:p>
            <w:pPr>
              <w:pStyle w:val="Compact"/>
              <w:spacing w:line="276" w:lineRule="auto" w:before="40" w:after="40"/>
            </w:pPr>
            <w:r>
              <w:rPr>
                <w:rFonts w:ascii="Liberation Sans Narrow" w:hAnsi="Liberation Sans Narrow"/>
                <w:sz w:val="18"/>
              </w:rPr>
              <w:t xml:space="preserve">STJ, AREsp 3.027.409, Terceira Turma, relator Min. Moura Ribeiro, julgado em 22/06/2026</w:t>
            </w:r>
          </w:p>
        </w:tc>
        <w:tc>
          <w:tcPr>
            <w:tcW w:type="dxa" w:w="5342"/>
          </w:tcPr>
          <w:p>
            <w:pPr>
              <w:pStyle w:val="Compact"/>
              <w:spacing w:line="276" w:lineRule="auto" w:before="40" w:after="40"/>
            </w:pPr>
            <w:r>
              <w:rPr>
                <w:rFonts w:ascii="Liberation Sans Narrow" w:hAnsi="Liberation Sans Narrow"/>
                <w:sz w:val="18"/>
              </w:rPr>
              <w:t xml:space="preserve">A calibragem, a revisão ou o afastamento de astreintes por justa causa ou por excessividade depende de elementos fático-probatórios de cada execução. Por isso, é inapta a fixar tese abstrata em incidente de resolução de demandas repetitivas, por ausência de questão unicamente de direito.</w:t>
            </w:r>
          </w:p>
        </w:tc>
      </w:tr>
    </w:tbl>
    <w:p>
      <w:pPr>
        <w:pStyle w:val="BodyText"/>
        <w:spacing w:after="80"/>
        <w:jc w:val="both"/>
      </w:pPr>
      <w:r>
        <w:t xml:space="preserve">II - risco de ofensa à isonomia e à segurança jurídica.</w:t>
      </w:r>
    </w:p>
    <w:p>
      <w:pPr>
        <w:pStyle w:val="BodyText"/>
        <w:spacing w:after="80"/>
        <w:jc w:val="both"/>
      </w:pPr>
      <w:r>
        <w:t xml:space="preserve">§ 1º A desistência ou o abandono do processo não impede o exame de mérito do incidente.</w:t>
      </w:r>
    </w:p>
    <w:p>
      <w:pPr>
        <w:pStyle w:val="BodyText"/>
        <w:spacing w:after="80"/>
        <w:jc w:val="both"/>
      </w:pPr>
      <w:r>
        <w:t xml:space="preserve">§ 2º Se não for o requerente, o Ministério Público intervirá obrigatoriamente no incidente e deverá assumir sua titularidade em caso de desistência ou de abandono.</w:t>
      </w:r>
    </w:p>
    <w:p>
      <w:pPr>
        <w:pStyle w:val="BodyText"/>
        <w:spacing w:after="80"/>
        <w:jc w:val="both"/>
      </w:pPr>
      <w:r>
        <w:t xml:space="preserve">§ 3º A inadmissão do incidente de resolução de demandas repetitivas por ausência de qualquer de seus pressupostos de admissibilidade não impede que, uma vez satisfeito o requisito, seja o incidente novamente suscitado.</w:t>
      </w:r>
    </w:p>
    <w:p>
      <w:pPr>
        <w:pStyle w:val="BodyText"/>
        <w:spacing w:after="80"/>
        <w:jc w:val="both"/>
      </w:pPr>
      <w:r>
        <w:t xml:space="preserve">§ 4º É incabível o incidente de resolução de demandas repetitivas quando um dos tribunais superiores, no âmbito de sua respectiva competência, já tiver afetado recurso para definição de tese sobre questão de direito material ou processual repetitiva.</w:t>
      </w:r>
    </w:p>
    <w:p>
      <w:pPr>
        <w:pStyle w:val="BodyText"/>
        <w:spacing w:after="80"/>
        <w:jc w:val="both"/>
      </w:pPr>
      <w:r>
        <w:t xml:space="preserve">§ 5º Não serão exigidas custas processuais no incidente de resolução de demandas repetitivas.</w:t>
      </w:r>
    </w:p>
    <w:bookmarkEnd w:id="805"/>
    <w:bookmarkStart w:id="806" w:name="art.-977"/>
    <w:p>
      <w:pPr>
        <w:pStyle w:val="Heading6"/>
        <w:pBdr>
          <w:left w:val="single" w:sz="36" w:space="4" w:color="2E75B6"/>
        </w:pBdr>
        <w:shd w:val="clear" w:color="auto" w:fill="E3EEF9"/>
        <w:spacing w:before="200" w:after="80"/>
        <w:ind w:left="85"/>
      </w:pPr>
      <w:r>
        <w:rPr>
          <w:i w:val="0"/>
          <w:color w:val="1F3A5F"/>
          <w:sz w:val="23"/>
        </w:rPr>
        <w:t xml:space="preserve">Art. 977</w:t>
      </w:r>
    </w:p>
    <w:p>
      <w:pPr>
        <w:pStyle w:val="FirstParagraph"/>
        <w:spacing w:after="80"/>
        <w:jc w:val="both"/>
      </w:pPr>
      <w:r>
        <w:rPr>
          <w:b/>
          <w:bCs/>
        </w:rPr>
        <w:t xml:space="preserve">Art. 977.</w:t>
      </w:r>
      <w:r>
        <w:t xml:space="preserve"> </w:t>
      </w:r>
      <w:r>
        <w:t xml:space="preserve">O pedido de instauração do incidente será dirigido ao presidente de tribunal:</w:t>
      </w:r>
    </w:p>
    <w:p>
      <w:pPr>
        <w:pStyle w:val="BodyText"/>
        <w:spacing w:after="80"/>
        <w:jc w:val="both"/>
      </w:pPr>
      <w:r>
        <w:t xml:space="preserve">I - pelo juiz ou relator, por ofício;</w:t>
      </w:r>
    </w:p>
    <w:p>
      <w:pPr>
        <w:pStyle w:val="BodyText"/>
        <w:spacing w:after="80"/>
        <w:jc w:val="both"/>
      </w:pPr>
      <w:r>
        <w:t xml:space="preserve">II - pelas partes, por petição;</w:t>
      </w:r>
    </w:p>
    <w:p>
      <w:pPr>
        <w:pStyle w:val="BodyText"/>
        <w:spacing w:after="80"/>
        <w:jc w:val="both"/>
      </w:pPr>
      <w:r>
        <w:t xml:space="preserve">III - pelo Ministério Público ou pela Defensoria Pública, por petição.</w:t>
      </w:r>
    </w:p>
    <w:p>
      <w:pPr>
        <w:pStyle w:val="BodyText"/>
        <w:spacing w:after="80"/>
        <w:jc w:val="both"/>
      </w:pPr>
      <w:r>
        <w:t xml:space="preserve">Parágrafo único. O ofício ou a petição será instruído com os documentos necessários à demonstração do preenchimento dos pressupostos para a instauração do incidente.</w:t>
      </w:r>
    </w:p>
    <w:bookmarkEnd w:id="806"/>
    <w:bookmarkStart w:id="807" w:name="art.-978"/>
    <w:p>
      <w:pPr>
        <w:pStyle w:val="Heading6"/>
        <w:pBdr>
          <w:left w:val="single" w:sz="36" w:space="4" w:color="2E75B6"/>
        </w:pBdr>
        <w:shd w:val="clear" w:color="auto" w:fill="E3EEF9"/>
        <w:spacing w:before="200" w:after="80"/>
        <w:ind w:left="85"/>
      </w:pPr>
      <w:r>
        <w:rPr>
          <w:i w:val="0"/>
          <w:color w:val="1F3A5F"/>
          <w:sz w:val="23"/>
        </w:rPr>
        <w:t xml:space="preserve">Art. 978</w:t>
      </w:r>
    </w:p>
    <w:p>
      <w:pPr>
        <w:pStyle w:val="FirstParagraph"/>
        <w:spacing w:after="80"/>
        <w:jc w:val="both"/>
      </w:pPr>
      <w:r>
        <w:rPr>
          <w:b/>
          <w:bCs/>
        </w:rPr>
        <w:t xml:space="preserve">Art. 978.</w:t>
      </w:r>
      <w:r>
        <w:t xml:space="preserve"> </w:t>
      </w:r>
      <w:r>
        <w:t xml:space="preserve">O julgamento do incidente caberá ao órgão indicado pelo regimento interno dentre aqueles responsáveis pela uniformização de jurisprudência do tribunal.</w:t>
      </w:r>
    </w:p>
    <w:p>
      <w:pPr>
        <w:pStyle w:val="BodyText"/>
        <w:spacing w:after="80"/>
        <w:jc w:val="both"/>
      </w:pPr>
      <w:r>
        <w:t xml:space="preserve">Parágrafo único. O órgão colegiado incumbido de julgar o incidente e de fixar a tese jurídica julgará igualmente o recurso, a remessa necessária ou o processo de competência originária de onde se originou o incidente.</w:t>
      </w:r>
    </w:p>
    <w:bookmarkEnd w:id="807"/>
    <w:bookmarkStart w:id="808" w:name="art.-979"/>
    <w:p>
      <w:pPr>
        <w:pStyle w:val="Heading6"/>
        <w:pBdr>
          <w:left w:val="single" w:sz="36" w:space="4" w:color="2E75B6"/>
        </w:pBdr>
        <w:shd w:val="clear" w:color="auto" w:fill="E3EEF9"/>
        <w:spacing w:before="200" w:after="80"/>
        <w:ind w:left="85"/>
      </w:pPr>
      <w:r>
        <w:rPr>
          <w:i w:val="0"/>
          <w:color w:val="1F3A5F"/>
          <w:sz w:val="23"/>
        </w:rPr>
        <w:t xml:space="preserve">Art. 979</w:t>
      </w:r>
    </w:p>
    <w:p>
      <w:pPr>
        <w:pStyle w:val="FirstParagraph"/>
        <w:spacing w:after="80"/>
        <w:jc w:val="both"/>
      </w:pPr>
      <w:r>
        <w:rPr>
          <w:b/>
          <w:bCs/>
        </w:rPr>
        <w:t xml:space="preserve">Art. 979.</w:t>
      </w:r>
      <w:r>
        <w:t xml:space="preserve"> </w:t>
      </w:r>
      <w:r>
        <w:t xml:space="preserve">A instauração e o julgamento do incidente serão sucedidos da mais ampla e específica divulgação e publicidade, por meio de registro eletrônico no Conselho Nacional de Justiça.</w:t>
      </w:r>
    </w:p>
    <w:p>
      <w:pPr>
        <w:pStyle w:val="BodyText"/>
        <w:spacing w:after="80"/>
        <w:jc w:val="both"/>
      </w:pPr>
      <w:r>
        <w:t xml:space="preserve">§ 1º Os tribunais manterão banco eletrônico de dados atualizados com informações específicas sobre questões de direito submetidas ao incidente, comunicando-o imediatamente ao Conselho Nacional de Justiça para inclusão no cadastro.</w:t>
      </w:r>
    </w:p>
    <w:p>
      <w:pPr>
        <w:pStyle w:val="BodyText"/>
        <w:spacing w:after="80"/>
        <w:jc w:val="both"/>
      </w:pPr>
      <w:r>
        <w:t xml:space="preserve">§ 2º Para possibilitar a identificação dos processos abrangidos pela decisão do incidente, o registro eletrônico das teses jurídicas constantes do cadastro conterá, no mínimo, os fundamentos determinantes da decisão e os dispositivos normativos a ela relacionados.</w:t>
      </w:r>
    </w:p>
    <w:p>
      <w:pPr>
        <w:pStyle w:val="BodyText"/>
        <w:spacing w:after="80"/>
        <w:jc w:val="both"/>
      </w:pPr>
      <w:r>
        <w:t xml:space="preserve">§ 3º Aplica-se o disposto neste artigo ao julgamento de recurso extraordinário com repercussão geral, de recurso especial com relevância da questão de direito federal infraconstitucional reconhecida, de incidente de assunção de competência e de casos repetitivos. (Redação dada pela Lei nº 15.484, de 2026) Vigência</w:t>
      </w:r>
    </w:p>
    <w:bookmarkEnd w:id="808"/>
    <w:bookmarkStart w:id="809" w:name="art.-980"/>
    <w:p>
      <w:pPr>
        <w:pStyle w:val="Heading6"/>
        <w:pBdr>
          <w:left w:val="single" w:sz="36" w:space="4" w:color="2E75B6"/>
        </w:pBdr>
        <w:shd w:val="clear" w:color="auto" w:fill="E3EEF9"/>
        <w:spacing w:before="200" w:after="80"/>
        <w:ind w:left="85"/>
      </w:pPr>
      <w:r>
        <w:rPr>
          <w:i w:val="0"/>
          <w:color w:val="1F3A5F"/>
          <w:sz w:val="23"/>
        </w:rPr>
        <w:t xml:space="preserve">Art. 980</w:t>
      </w:r>
    </w:p>
    <w:p>
      <w:pPr>
        <w:pStyle w:val="FirstParagraph"/>
        <w:spacing w:after="80"/>
        <w:jc w:val="both"/>
      </w:pPr>
      <w:r>
        <w:rPr>
          <w:b/>
          <w:bCs/>
        </w:rPr>
        <w:t xml:space="preserve">Art. 980.</w:t>
      </w:r>
      <w:r>
        <w:t xml:space="preserve"> </w:t>
      </w:r>
      <w:r>
        <w:t xml:space="preserve">O incidente será julgado no prazo de 1 (um) ano e terá preferência sobre os demais feitos, ressalvados os que envolvam réu preso e os pedidos de habeas corpus .</w:t>
      </w:r>
    </w:p>
    <w:p>
      <w:pPr>
        <w:pStyle w:val="BodyText"/>
        <w:spacing w:after="80"/>
        <w:jc w:val="both"/>
      </w:pPr>
      <w:r>
        <w:t xml:space="preserve">Parágrafo único. Superado o prazo previsto no caput , cessa a suspensão dos processos prevista no art. 982, salvo decisão fundamentada do relator em sentido contrário.</w:t>
      </w:r>
    </w:p>
    <w:bookmarkEnd w:id="809"/>
    <w:bookmarkStart w:id="810" w:name="art.-981"/>
    <w:p>
      <w:pPr>
        <w:pStyle w:val="Heading6"/>
        <w:pBdr>
          <w:left w:val="single" w:sz="36" w:space="4" w:color="2E75B6"/>
        </w:pBdr>
        <w:shd w:val="clear" w:color="auto" w:fill="E3EEF9"/>
        <w:spacing w:before="200" w:after="80"/>
        <w:ind w:left="85"/>
      </w:pPr>
      <w:r>
        <w:rPr>
          <w:i w:val="0"/>
          <w:color w:val="1F3A5F"/>
          <w:sz w:val="23"/>
        </w:rPr>
        <w:t xml:space="preserve">Art. 981</w:t>
      </w:r>
    </w:p>
    <w:p>
      <w:pPr>
        <w:pStyle w:val="FirstParagraph"/>
        <w:spacing w:after="80"/>
        <w:jc w:val="both"/>
      </w:pPr>
      <w:r>
        <w:rPr>
          <w:b/>
          <w:bCs/>
        </w:rPr>
        <w:t xml:space="preserve">Art. 981.</w:t>
      </w:r>
      <w:r>
        <w:t xml:space="preserve"> </w:t>
      </w:r>
      <w:r>
        <w:t xml:space="preserve">Após a distribuição, o órgão colegiado competente para julgar o incidente procederá ao seu juízo de admissibilidade, considerando a presença dos pressupostos do art. 976.</w:t>
      </w:r>
    </w:p>
    <w:bookmarkEnd w:id="810"/>
    <w:bookmarkStart w:id="811" w:name="art.-982"/>
    <w:p>
      <w:pPr>
        <w:pStyle w:val="Heading6"/>
        <w:pBdr>
          <w:left w:val="single" w:sz="36" w:space="4" w:color="2E75B6"/>
        </w:pBdr>
        <w:shd w:val="clear" w:color="auto" w:fill="E3EEF9"/>
        <w:spacing w:before="200" w:after="80"/>
        <w:ind w:left="85"/>
      </w:pPr>
      <w:r>
        <w:rPr>
          <w:i w:val="0"/>
          <w:color w:val="1F3A5F"/>
          <w:sz w:val="23"/>
        </w:rPr>
        <w:t xml:space="preserve">Art. 982</w:t>
      </w:r>
    </w:p>
    <w:p>
      <w:pPr>
        <w:pStyle w:val="FirstParagraph"/>
        <w:spacing w:after="80"/>
        <w:jc w:val="both"/>
      </w:pPr>
      <w:r>
        <w:rPr>
          <w:b/>
          <w:bCs/>
        </w:rPr>
        <w:t xml:space="preserve">Art. 982.</w:t>
      </w:r>
      <w:r>
        <w:t xml:space="preserve"> </w:t>
      </w:r>
      <w:r>
        <w:t xml:space="preserve">Admitido o incidente, o relator:</w:t>
      </w:r>
    </w:p>
    <w:p>
      <w:pPr>
        <w:pStyle w:val="BodyText"/>
        <w:keepNext/>
        <w:spacing w:after="80"/>
        <w:jc w:val="both"/>
      </w:pPr>
      <w:r>
        <w:t xml:space="preserve">I - suspenderá os processos pendentes, individuais ou coletivos, que tramitam no Estado ou na região, conforme o caso;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17"/>
        <w:gridCol w:w="2890"/>
        <w:gridCol w:w="4448"/>
      </w:tblGrid>
      <w:tr>
        <w:trPr>
          <w:tblHeader w:val="on"/>
          <w:cantSplit/>
          <w:tblHeader/>
        </w:trPr>
        <w:tc>
          <w:tcPr>
            <w:tcW w:type="dxa" w:w="2017"/>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9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447"/>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17"/>
          </w:tcPr>
          <w:p>
            <w:pPr>
              <w:pStyle w:val="Compact"/>
              <w:spacing w:line="276" w:lineRule="auto" w:before="40" w:after="40"/>
            </w:pPr>
            <w:r>
              <w:rPr>
                <w:rFonts w:ascii="Liberation Sans Narrow" w:hAnsi="Liberation Sans Narrow"/>
                <w:sz w:val="18"/>
              </w:rPr>
              <w:t xml:space="preserve">I — limite da suspensão aos processos vinculados ao tribunal do incidente</w:t>
            </w:r>
          </w:p>
        </w:tc>
        <w:tc>
          <w:tcPr>
            <w:tcW w:type="dxa" w:w="2890"/>
          </w:tcPr>
          <w:p>
            <w:pPr>
              <w:pStyle w:val="Compact"/>
              <w:spacing w:line="276" w:lineRule="auto" w:before="40" w:after="40"/>
            </w:pPr>
            <w:r>
              <w:rPr>
                <w:rFonts w:ascii="Liberation Sans Narrow" w:hAnsi="Liberation Sans Narrow"/>
                <w:sz w:val="18"/>
              </w:rPr>
              <w:t xml:space="preserve">STJ, AgInt no RMS 78.807, Segunda Turma, relator Min. Marco Aurélio Bellizze, julgado em 26/08/2026</w:t>
            </w:r>
          </w:p>
        </w:tc>
        <w:tc>
          <w:tcPr>
            <w:tcW w:type="dxa" w:w="4447"/>
          </w:tcPr>
          <w:p>
            <w:pPr>
              <w:pStyle w:val="Compact"/>
              <w:spacing w:line="276" w:lineRule="auto" w:before="40" w:after="40"/>
            </w:pPr>
            <w:r>
              <w:rPr>
                <w:rFonts w:ascii="Liberation Sans Narrow" w:hAnsi="Liberation Sans Narrow"/>
                <w:sz w:val="18"/>
              </w:rPr>
              <w:t xml:space="preserve">A suspensão prevista no art. 982, I, do CPC restringe-se aos processos em curso perante os órgãos jurisdicionais vinculados ao tribunal em que instaurado o incidente, não justificando a paralisação de feito que tramita no Superior Tribunal de Justiça.</w:t>
            </w:r>
          </w:p>
        </w:tc>
      </w:tr>
      <w:tr>
        <w:trPr>
          <w:cantSplit/>
        </w:trPr>
        <w:tc>
          <w:tcPr>
            <w:tcW w:type="dxa" w:w="2017"/>
          </w:tcPr>
          <w:p>
            <w:pPr>
              <w:pStyle w:val="Compact"/>
              <w:spacing w:line="276" w:lineRule="auto" w:before="40" w:after="40"/>
            </w:pPr>
            <w:r>
              <w:rPr>
                <w:rFonts w:ascii="Liberation Sans Narrow" w:hAnsi="Liberation Sans Narrow"/>
                <w:sz w:val="18"/>
              </w:rPr>
              <w:t xml:space="preserve">I — suspensão dos processos afetados e sua cessação</w:t>
            </w:r>
          </w:p>
        </w:tc>
        <w:tc>
          <w:tcPr>
            <w:tcW w:type="dxa" w:w="2890"/>
          </w:tcPr>
          <w:p>
            <w:pPr>
              <w:pStyle w:val="Compact"/>
              <w:spacing w:line="276" w:lineRule="auto" w:before="40" w:after="40"/>
            </w:pPr>
            <w:r>
              <w:rPr>
                <w:rFonts w:ascii="Liberation Sans Narrow" w:hAnsi="Liberation Sans Narrow"/>
                <w:sz w:val="18"/>
              </w:rPr>
              <w:t xml:space="preserve">STJ, AgInt no AREsp 2.966.132, Segunda Turma, relator Min. Marco Aurélio Bellizze, julgado em 24/06/2026</w:t>
            </w:r>
          </w:p>
        </w:tc>
        <w:tc>
          <w:tcPr>
            <w:tcW w:type="dxa" w:w="4447"/>
          </w:tcPr>
          <w:p>
            <w:pPr>
              <w:pStyle w:val="Compact"/>
              <w:spacing w:line="276" w:lineRule="auto" w:before="40" w:after="40"/>
            </w:pPr>
            <w:r>
              <w:rPr>
                <w:rFonts w:ascii="Liberation Sans Narrow" w:hAnsi="Liberation Sans Narrow"/>
                <w:sz w:val="18"/>
              </w:rPr>
              <w:t xml:space="preserve">Interposto recurso especial ou recurso extraordinário contra o acórdão do incidente, a suspensão dos processos afetados cessa com o julgamento dos recursos, dispensado o aguardo do trânsito em julgado. Julgados os recursos especiais pelo Superior Tribunal de Justiça, fica prejudicado o pedido de sobrestamento do feito.</w:t>
            </w:r>
          </w:p>
        </w:tc>
      </w:tr>
    </w:tbl>
    <w:p>
      <w:pPr>
        <w:pStyle w:val="BodyText"/>
        <w:spacing w:after="80"/>
        <w:jc w:val="both"/>
      </w:pPr>
      <w:r>
        <w:t xml:space="preserve">II - poderá requisitar informações a órgãos em cujo juízo tramita processo no qual se discute o objeto do incidente, que as prestarão no prazo de 15 (quinze) dias;</w:t>
      </w:r>
    </w:p>
    <w:p>
      <w:pPr>
        <w:pStyle w:val="BodyText"/>
        <w:spacing w:after="80"/>
        <w:jc w:val="both"/>
      </w:pPr>
      <w:r>
        <w:t xml:space="preserve">III - intimará o Ministério Público para, querendo, manifestar-se no prazo de 15 (quinze) dias.</w:t>
      </w:r>
    </w:p>
    <w:p>
      <w:pPr>
        <w:pStyle w:val="BodyText"/>
        <w:spacing w:after="80"/>
        <w:jc w:val="both"/>
      </w:pPr>
      <w:r>
        <w:t xml:space="preserve">§ 1º A suspensão será comunicada aos órgãos jurisdicionais competentes.</w:t>
      </w:r>
    </w:p>
    <w:p>
      <w:pPr>
        <w:pStyle w:val="BodyText"/>
        <w:spacing w:after="80"/>
        <w:jc w:val="both"/>
      </w:pPr>
      <w:r>
        <w:t xml:space="preserve">§ 2º Durante a suspensão, o pedido de tutela de urgência deverá ser dirigido ao juízo onde tramita o processo suspenso.</w:t>
      </w:r>
    </w:p>
    <w:p>
      <w:pPr>
        <w:pStyle w:val="BodyText"/>
        <w:spacing w:after="80"/>
        <w:jc w:val="both"/>
      </w:pPr>
      <w:r>
        <w:t xml:space="preserve">§ 3º Visando à garantia da segurança jurídica, qualquer legitimado mencionado no art. 977, incisos II e III, poderá requerer, ao tribunal competente para conhecer do recurso extraordinário ou especial, a suspensão de todos os processos individuais ou coletivos em curso no território nacional que versem sobre a questão objeto do incidente já instaurado.</w:t>
      </w:r>
    </w:p>
    <w:p>
      <w:pPr>
        <w:pStyle w:val="BodyText"/>
        <w:spacing w:after="80"/>
        <w:jc w:val="both"/>
      </w:pPr>
      <w:r>
        <w:t xml:space="preserve">§ 4º Independentemente dos limites da competência territorial, a parte no processo em curso no qual se discuta a mesma questão objeto do incidente é legitimada para requerer a providência prevista no § 3º deste artigo.</w:t>
      </w:r>
    </w:p>
    <w:p>
      <w:pPr>
        <w:pStyle w:val="BodyText"/>
        <w:spacing w:after="80"/>
        <w:jc w:val="both"/>
      </w:pPr>
      <w:r>
        <w:t xml:space="preserve">§ 5º Cessa a suspensão a que se refere o inciso I do caput deste artigo se não for interposto recurso especial ou recurso extraordinário contra a decisão proferida no incidente.</w:t>
      </w:r>
    </w:p>
    <w:bookmarkEnd w:id="811"/>
    <w:bookmarkStart w:id="812" w:name="art.-983"/>
    <w:p>
      <w:pPr>
        <w:pStyle w:val="Heading6"/>
        <w:pBdr>
          <w:left w:val="single" w:sz="36" w:space="4" w:color="2E75B6"/>
        </w:pBdr>
        <w:shd w:val="clear" w:color="auto" w:fill="E3EEF9"/>
        <w:spacing w:before="200" w:after="80"/>
        <w:ind w:left="85"/>
      </w:pPr>
      <w:r>
        <w:rPr>
          <w:i w:val="0"/>
          <w:color w:val="1F3A5F"/>
          <w:sz w:val="23"/>
        </w:rPr>
        <w:t xml:space="preserve">Art. 983</w:t>
      </w:r>
    </w:p>
    <w:p>
      <w:pPr>
        <w:pStyle w:val="FirstParagraph"/>
        <w:keepNext/>
        <w:spacing w:after="80"/>
        <w:jc w:val="both"/>
      </w:pPr>
      <w:r>
        <w:rPr>
          <w:b/>
          <w:bCs/>
        </w:rPr>
        <w:t xml:space="preserve">Art. 983.</w:t>
      </w:r>
      <w:r>
        <w:t xml:space="preserve"> </w:t>
      </w:r>
      <w:r>
        <w:t xml:space="preserve">O relator ouvirá as partes e os demais interessados, inclusive pessoas, órgãos e entidades com interesse na controvérsia, que, no prazo comum de 15 (quinze) dias, poderão requerer a juntada de documentos, bem como as diligências necessárias para a elucidação da questão de direito controvertida, e, em seguida, manifestar-se-á o Ministério Público, no mesmo prazo.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80"/>
        <w:gridCol w:w="2677"/>
        <w:gridCol w:w="4897"/>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7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97"/>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780"/>
          </w:tcPr>
          <w:p>
            <w:pPr>
              <w:pStyle w:val="Compact"/>
              <w:spacing w:line="276" w:lineRule="auto" w:before="40" w:after="40"/>
            </w:pPr>
            <w:r>
              <w:rPr>
                <w:rFonts w:ascii="Liberation Sans Narrow" w:hAnsi="Liberation Sans Narrow"/>
                <w:sz w:val="18"/>
              </w:rPr>
              <w:t xml:space="preserve">Caput — participação das partes e dos demais interessados</w:t>
            </w:r>
          </w:p>
        </w:tc>
        <w:tc>
          <w:tcPr>
            <w:tcW w:type="dxa" w:w="2677"/>
          </w:tcPr>
          <w:p>
            <w:pPr>
              <w:pStyle w:val="Compact"/>
              <w:spacing w:line="276" w:lineRule="auto" w:before="40" w:after="40"/>
            </w:pPr>
            <w:r>
              <w:rPr>
                <w:rFonts w:ascii="Liberation Sans Narrow" w:hAnsi="Liberation Sans Narrow"/>
                <w:sz w:val="18"/>
              </w:rPr>
              <w:t xml:space="preserve">STJ, REsp 1.916.976, Segunda Turma, relator Min. Herman Benjamin, julgado em 21/05/2024, DJe de 23/08/2024</w:t>
            </w:r>
          </w:p>
        </w:tc>
        <w:tc>
          <w:tcPr>
            <w:tcW w:type="dxa" w:w="4897"/>
          </w:tcPr>
          <w:p>
            <w:pPr>
              <w:pStyle w:val="Compact"/>
              <w:spacing w:line="276" w:lineRule="auto" w:before="40" w:after="40"/>
            </w:pPr>
            <w:r>
              <w:rPr>
                <w:rFonts w:ascii="Liberation Sans Narrow" w:hAnsi="Liberation Sans Narrow"/>
                <w:sz w:val="18"/>
              </w:rPr>
              <w:t xml:space="preserve">A participação das partes dos processos selecionados como representativos da controvérsia constitui o núcleo do contraditório no incidente, cabendo ao tribunal garantir que a representação seja exercida de forma adequada. O tribunal não pode avocar o julgamento de questões de direito de causas que não lhe compete julgar nem afastar a manifestação de um dos lados sob o argumento de adotar a sistemática da causa-modelo, sob pena de nulidade que atinge todo o procedimento do incidente.</w:t>
            </w:r>
          </w:p>
        </w:tc>
      </w:tr>
    </w:tbl>
    <w:p>
      <w:pPr>
        <w:pStyle w:val="BodyText"/>
        <w:spacing w:after="80"/>
        <w:jc w:val="both"/>
      </w:pPr>
      <w:r>
        <w:t xml:space="preserve">§ 1º Para instruir o incidente, o relator poderá designar data para, em audiência pública, ouvir depoimentos de pessoas com experiência e conhecimento na matéria.</w:t>
      </w:r>
    </w:p>
    <w:p>
      <w:pPr>
        <w:pStyle w:val="BodyText"/>
        <w:spacing w:after="80"/>
        <w:jc w:val="both"/>
      </w:pPr>
      <w:r>
        <w:t xml:space="preserve">§ 2º Concluídas as diligências, o relator solicitará dia para o julgamento do incidente.</w:t>
      </w:r>
    </w:p>
    <w:bookmarkEnd w:id="812"/>
    <w:bookmarkStart w:id="813" w:name="art.-984"/>
    <w:p>
      <w:pPr>
        <w:pStyle w:val="Heading6"/>
        <w:pBdr>
          <w:left w:val="single" w:sz="36" w:space="4" w:color="2E75B6"/>
        </w:pBdr>
        <w:shd w:val="clear" w:color="auto" w:fill="E3EEF9"/>
        <w:spacing w:before="200" w:after="80"/>
        <w:ind w:left="85"/>
      </w:pPr>
      <w:r>
        <w:rPr>
          <w:i w:val="0"/>
          <w:color w:val="1F3A5F"/>
          <w:sz w:val="23"/>
        </w:rPr>
        <w:t xml:space="preserve">Art. 984</w:t>
      </w:r>
    </w:p>
    <w:p>
      <w:pPr>
        <w:pStyle w:val="FirstParagraph"/>
        <w:spacing w:after="80"/>
        <w:jc w:val="both"/>
      </w:pPr>
      <w:r>
        <w:rPr>
          <w:b/>
          <w:bCs/>
        </w:rPr>
        <w:t xml:space="preserve">Art. 984.</w:t>
      </w:r>
      <w:r>
        <w:t xml:space="preserve"> </w:t>
      </w:r>
      <w:r>
        <w:t xml:space="preserve">No julgamento do incidente, observar-se-á a seguinte ordem:</w:t>
      </w:r>
    </w:p>
    <w:p>
      <w:pPr>
        <w:pStyle w:val="BodyText"/>
        <w:spacing w:after="80"/>
        <w:jc w:val="both"/>
      </w:pPr>
      <w:r>
        <w:t xml:space="preserve">I - o relator fará a exposição do objeto do incidente;</w:t>
      </w:r>
    </w:p>
    <w:p>
      <w:pPr>
        <w:pStyle w:val="BodyText"/>
        <w:spacing w:after="80"/>
        <w:jc w:val="both"/>
      </w:pPr>
      <w:r>
        <w:t xml:space="preserve">II - poderão sustentar suas razões, sucessivamente:</w:t>
      </w:r>
    </w:p>
    <w:p>
      <w:pPr>
        <w:pStyle w:val="BodyText"/>
        <w:spacing w:after="80"/>
        <w:jc w:val="both"/>
      </w:pPr>
      <w:r>
        <w:t xml:space="preserve">a) o autor e o réu do processo originário e o Ministério Público, pelo prazo de 30 (trinta) minutos;</w:t>
      </w:r>
    </w:p>
    <w:p>
      <w:pPr>
        <w:pStyle w:val="BodyText"/>
        <w:spacing w:after="80"/>
        <w:jc w:val="both"/>
      </w:pPr>
      <w:r>
        <w:t xml:space="preserve">b) os demais interessados, no prazo de 30 (trinta) minutos, divididos entre todos, sendo exigida inscrição com 2 (dois) dias de antecedência.</w:t>
      </w:r>
    </w:p>
    <w:p>
      <w:pPr>
        <w:pStyle w:val="BodyText"/>
        <w:spacing w:after="80"/>
        <w:jc w:val="both"/>
      </w:pPr>
      <w:r>
        <w:t xml:space="preserve">§ 1º Considerando o número de inscritos, o prazo poderá ser ampliado.</w:t>
      </w:r>
    </w:p>
    <w:p>
      <w:pPr>
        <w:pStyle w:val="BodyText"/>
        <w:spacing w:after="80"/>
        <w:jc w:val="both"/>
      </w:pPr>
      <w:r>
        <w:t xml:space="preserve">§ 2º O conteúdo do acórdão abrangerá a análise de todos os fundamentos suscitados concernentes à tese jurídica discutida, sejam favoráveis ou contrários.</w:t>
      </w:r>
    </w:p>
    <w:bookmarkEnd w:id="813"/>
    <w:bookmarkStart w:id="814" w:name="art.-985"/>
    <w:p>
      <w:pPr>
        <w:pStyle w:val="Heading6"/>
        <w:pBdr>
          <w:left w:val="single" w:sz="36" w:space="4" w:color="2E75B6"/>
        </w:pBdr>
        <w:shd w:val="clear" w:color="auto" w:fill="E3EEF9"/>
        <w:spacing w:before="200" w:after="80"/>
        <w:ind w:left="85"/>
      </w:pPr>
      <w:r>
        <w:rPr>
          <w:i w:val="0"/>
          <w:color w:val="1F3A5F"/>
          <w:sz w:val="23"/>
        </w:rPr>
        <w:t xml:space="preserve">Art. 985</w:t>
      </w:r>
    </w:p>
    <w:p>
      <w:pPr>
        <w:pStyle w:val="FirstParagraph"/>
        <w:spacing w:after="80"/>
        <w:jc w:val="both"/>
      </w:pPr>
      <w:r>
        <w:rPr>
          <w:b/>
          <w:bCs/>
        </w:rPr>
        <w:t xml:space="preserve">Art. 985.</w:t>
      </w:r>
      <w:r>
        <w:t xml:space="preserve"> </w:t>
      </w:r>
      <w:r>
        <w:t xml:space="preserve">Julgado o incidente, a tese jurídica será aplicada:</w:t>
      </w:r>
    </w:p>
    <w:p>
      <w:pPr>
        <w:pStyle w:val="BodyText"/>
        <w:spacing w:after="80"/>
        <w:jc w:val="both"/>
      </w:pPr>
      <w:r>
        <w:t xml:space="preserve">I - a todos os processos individuais ou coletivos que versem sobre idêntica questão de direito e que tramitem na área de jurisdição do respectivo tribunal, inclusive àqueles que tramitem nos juizados especiais do respectivo Estado ou região;</w:t>
      </w:r>
    </w:p>
    <w:p>
      <w:pPr>
        <w:pStyle w:val="BodyText"/>
        <w:spacing w:after="80"/>
        <w:jc w:val="both"/>
      </w:pPr>
      <w:r>
        <w:t xml:space="preserve">II - aos casos futuros que versem idêntica questão de direito e que venham a tramitar no território de competência do tribunal, salvo revisão na forma do art. 986.</w:t>
      </w:r>
    </w:p>
    <w:p>
      <w:pPr>
        <w:pStyle w:val="BodyText"/>
        <w:spacing w:after="80"/>
        <w:jc w:val="both"/>
      </w:pPr>
      <w:r>
        <w:t xml:space="preserve">§ 1º Não observada a tese adotada no incidente, caberá reclamação.</w:t>
      </w:r>
    </w:p>
    <w:p>
      <w:pPr>
        <w:pStyle w:val="BodyText"/>
        <w:spacing w:after="80"/>
        <w:jc w:val="both"/>
      </w:pPr>
      <w:r>
        <w:t xml:space="preserve">§ 2º Se o incidente tiver por objeto questão relativa a prestação de serviço concedido, permitido ou autorizado, o resultado do julgamento será comunicado ao órgão, ao ente ou à agência reguladora competente para fiscalização da efetiva aplicação, por parte dos entes sujeitos a regulação, da tese adotada.</w:t>
      </w:r>
    </w:p>
    <w:bookmarkEnd w:id="814"/>
    <w:bookmarkStart w:id="815" w:name="art.-986"/>
    <w:p>
      <w:pPr>
        <w:pStyle w:val="Heading6"/>
        <w:pBdr>
          <w:left w:val="single" w:sz="36" w:space="4" w:color="2E75B6"/>
        </w:pBdr>
        <w:shd w:val="clear" w:color="auto" w:fill="E3EEF9"/>
        <w:spacing w:before="200" w:after="80"/>
        <w:ind w:left="85"/>
      </w:pPr>
      <w:r>
        <w:rPr>
          <w:i w:val="0"/>
          <w:color w:val="1F3A5F"/>
          <w:sz w:val="23"/>
        </w:rPr>
        <w:t xml:space="preserve">Art. 986</w:t>
      </w:r>
    </w:p>
    <w:p>
      <w:pPr>
        <w:pStyle w:val="FirstParagraph"/>
        <w:spacing w:after="80"/>
        <w:jc w:val="both"/>
      </w:pPr>
      <w:r>
        <w:rPr>
          <w:b/>
          <w:bCs/>
        </w:rPr>
        <w:t xml:space="preserve">Art. 986.</w:t>
      </w:r>
      <w:r>
        <w:t xml:space="preserve"> </w:t>
      </w:r>
      <w:r>
        <w:t xml:space="preserve">A revisão da tese jurídica firmada no incidente far-se-á pelo mesmo tribunal, de ofício ou mediante requerimento dos legitimados mencionados no art. 977, inciso III.</w:t>
      </w:r>
    </w:p>
    <w:bookmarkEnd w:id="815"/>
    <w:bookmarkStart w:id="816" w:name="art.-987"/>
    <w:p>
      <w:pPr>
        <w:pStyle w:val="Heading6"/>
        <w:pBdr>
          <w:left w:val="single" w:sz="36" w:space="4" w:color="2E75B6"/>
        </w:pBdr>
        <w:shd w:val="clear" w:color="auto" w:fill="E3EEF9"/>
        <w:spacing w:before="200" w:after="80"/>
        <w:ind w:left="85"/>
      </w:pPr>
      <w:r>
        <w:rPr>
          <w:i w:val="0"/>
          <w:color w:val="1F3A5F"/>
          <w:sz w:val="23"/>
        </w:rPr>
        <w:t xml:space="preserve">Art. 987</w:t>
      </w:r>
    </w:p>
    <w:p>
      <w:pPr>
        <w:pStyle w:val="FirstParagraph"/>
        <w:spacing w:after="80"/>
        <w:jc w:val="both"/>
      </w:pPr>
      <w:r>
        <w:rPr>
          <w:b/>
          <w:bCs/>
        </w:rPr>
        <w:t xml:space="preserve">Art. 987.</w:t>
      </w:r>
      <w:r>
        <w:t xml:space="preserve"> </w:t>
      </w:r>
      <w:r>
        <w:t xml:space="preserve">Do julgamento do mérito do incidente caberá recurso extraordinário ou especial, conforme o caso.</w:t>
      </w:r>
    </w:p>
    <w:p>
      <w:pPr>
        <w:pStyle w:val="BodyText"/>
        <w:spacing w:after="80"/>
        <w:jc w:val="both"/>
      </w:pPr>
      <w:r>
        <w:t xml:space="preserve">§ 1º O recurso tem efeito suspensivo, presumindo-se a repercussão geral de questão constitucional eventualmente discutida.</w:t>
      </w:r>
    </w:p>
    <w:p>
      <w:pPr>
        <w:pStyle w:val="BodyText"/>
        <w:spacing w:after="80"/>
        <w:jc w:val="both"/>
      </w:pPr>
      <w:r>
        <w:t xml:space="preserve">§ 2º Apreciado o mérito do recurso, a tese jurídica adotada pelo Supremo Tribunal Federal ou pelo Superior Tribunal de Justiça será aplicada no território nacional a todos os processos individuais ou coletivos que versem sobre idêntica questão de direito.</w:t>
      </w:r>
    </w:p>
    <w:bookmarkEnd w:id="816"/>
    <w:bookmarkEnd w:id="817"/>
    <w:bookmarkStart w:id="824" w:name="Xf6f7a700e0e5855b184cf3fe4612c09790b5a4f"/>
    <w:p>
      <w:pPr>
        <w:pStyle w:val="Heading4"/>
        <w:spacing w:before="160" w:after="40"/>
      </w:pPr>
      <w:r>
        <w:rPr>
          <w:smallCaps/>
          <w:color w:val="2E75B6"/>
        </w:rPr>
        <w:t xml:space="preserve">Capítulo IX: da reclamação (arts. 988 a 993)</w:t>
      </w:r>
    </w:p>
    <w:bookmarkStart w:id="818" w:name="art.-988"/>
    <w:p>
      <w:pPr>
        <w:pStyle w:val="Heading6"/>
        <w:pBdr>
          <w:left w:val="single" w:sz="36" w:space="4" w:color="2E75B6"/>
        </w:pBdr>
        <w:shd w:val="clear" w:color="auto" w:fill="E3EEF9"/>
        <w:spacing w:before="200" w:after="80"/>
        <w:ind w:left="85"/>
      </w:pPr>
      <w:r>
        <w:rPr>
          <w:i w:val="0"/>
          <w:color w:val="1F3A5F"/>
          <w:sz w:val="23"/>
        </w:rPr>
        <w:t xml:space="preserve">Art. 988</w:t>
      </w:r>
    </w:p>
    <w:p>
      <w:pPr>
        <w:pStyle w:val="FirstParagraph"/>
        <w:spacing w:after="80"/>
        <w:jc w:val="both"/>
      </w:pPr>
      <w:r>
        <w:rPr>
          <w:b/>
          <w:bCs/>
        </w:rPr>
        <w:t xml:space="preserve">Art. 988.</w:t>
      </w:r>
      <w:r>
        <w:t xml:space="preserve"> </w:t>
      </w:r>
      <w:r>
        <w:t xml:space="preserve">Caberá reclamação da parte interessada ou do Ministério Público para:</w:t>
      </w:r>
    </w:p>
    <w:p>
      <w:pPr>
        <w:pStyle w:val="BodyText"/>
        <w:keepNext/>
        <w:spacing w:after="80"/>
        <w:jc w:val="both"/>
      </w:pPr>
      <w:r>
        <w:t xml:space="preserve">I - preservar a competência do tribunal;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2629"/>
        <w:gridCol w:w="519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2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19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Incisos I e II — cabimento da reclamação</w:t>
            </w:r>
          </w:p>
        </w:tc>
        <w:tc>
          <w:tcPr>
            <w:tcW w:type="dxa" w:w="2629"/>
          </w:tcPr>
          <w:p>
            <w:pPr>
              <w:pStyle w:val="Compact"/>
              <w:spacing w:line="276" w:lineRule="auto" w:before="40" w:after="40"/>
            </w:pPr>
            <w:r>
              <w:rPr>
                <w:rFonts w:ascii="Liberation Sans Narrow" w:hAnsi="Liberation Sans Narrow"/>
                <w:sz w:val="18"/>
              </w:rPr>
              <w:t xml:space="preserve">STJ, AgInt no Rcl 40.663, Primeira Seção, relator Min. Mauro Campbell Marques, DJe de 04/03/2021</w:t>
            </w:r>
          </w:p>
        </w:tc>
        <w:tc>
          <w:tcPr>
            <w:tcW w:type="dxa" w:w="5194"/>
          </w:tcPr>
          <w:p>
            <w:pPr>
              <w:pStyle w:val="Compact"/>
              <w:spacing w:line="276" w:lineRule="auto" w:before="40" w:after="40"/>
            </w:pPr>
            <w:r>
              <w:rPr>
                <w:rFonts w:ascii="Liberation Sans Narrow" w:hAnsi="Liberation Sans Narrow"/>
                <w:sz w:val="18"/>
              </w:rPr>
              <w:t xml:space="preserve">A reclamação não serve para preservar ordem de sobrestamento contida em decisão de afetação de recurso repetitivo, por ausência de previsão legal expressa; seu cabimento é restrito à preservação da competência e à garantia da autoridade das decisões do tribunal.</w:t>
            </w:r>
          </w:p>
        </w:tc>
      </w:tr>
    </w:tbl>
    <w:p>
      <w:pPr>
        <w:pStyle w:val="BodyText"/>
        <w:spacing w:after="80"/>
        <w:jc w:val="both"/>
      </w:pPr>
      <w:r>
        <w:t xml:space="preserve">II - garantir a autoridade das decisões do tribunal;</w:t>
      </w:r>
    </w:p>
    <w:p>
      <w:pPr>
        <w:pStyle w:val="BodyText"/>
        <w:spacing w:after="80"/>
        <w:jc w:val="both"/>
      </w:pPr>
      <w:r>
        <w:t xml:space="preserve">III – garantir a observância de enunciado de súmula vinculante e de decisão do Supremo Tribunal Federal em controle concentrado de constitucionalidade; (Redação dada pela Lei nº 13.256, de 2016) (Vigência)</w:t>
      </w:r>
    </w:p>
    <w:p>
      <w:pPr>
        <w:pStyle w:val="BodyText"/>
        <w:keepNext/>
        <w:spacing w:after="80"/>
        <w:jc w:val="both"/>
      </w:pPr>
      <w:r>
        <w:t xml:space="preserve">IV – garantir a observância de acórdão proferido em julgamento de incidente de resolução de demandas repetitivas ou de incidente de assunção de competência; (Redação dada pela Lei nº 13.256, de 2016) (Vigência)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94"/>
        <w:gridCol w:w="2357"/>
        <w:gridCol w:w="4603"/>
      </w:tblGrid>
      <w:tr>
        <w:trPr>
          <w:tblHeader w:val="on"/>
          <w:cantSplit/>
          <w:tblHeader/>
        </w:trPr>
        <w:tc>
          <w:tcPr>
            <w:tcW w:type="dxa" w:w="2394"/>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35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60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394"/>
          </w:tcPr>
          <w:p>
            <w:pPr>
              <w:pStyle w:val="Compact"/>
              <w:spacing w:line="276" w:lineRule="auto" w:before="40" w:after="40"/>
            </w:pPr>
            <w:r>
              <w:rPr>
                <w:rFonts w:ascii="Liberation Sans Narrow" w:hAnsi="Liberation Sans Narrow"/>
                <w:sz w:val="18"/>
              </w:rPr>
              <w:t xml:space="preserve">IV — cabimento restrito ao incidente de resolução de demandas repetitivas após a Lei 13.256/2016</w:t>
            </w:r>
          </w:p>
        </w:tc>
        <w:tc>
          <w:tcPr>
            <w:tcW w:type="dxa" w:w="2358"/>
          </w:tcPr>
          <w:p>
            <w:pPr>
              <w:pStyle w:val="Compact"/>
              <w:spacing w:line="276" w:lineRule="auto" w:before="40" w:after="40"/>
            </w:pPr>
            <w:r>
              <w:rPr>
                <w:rFonts w:ascii="Liberation Sans Narrow" w:hAnsi="Liberation Sans Narrow"/>
                <w:sz w:val="18"/>
              </w:rPr>
              <w:t xml:space="preserve">STJ, AgRg na Rcl 51.018, Terceira Seção, relator Min. Maria Marluce Caldas, julgado em 18/06/2026</w:t>
            </w:r>
          </w:p>
        </w:tc>
        <w:tc>
          <w:tcPr>
            <w:tcW w:type="dxa" w:w="4603"/>
          </w:tcPr>
          <w:p>
            <w:pPr>
              <w:pStyle w:val="Compact"/>
              <w:spacing w:line="276" w:lineRule="auto" w:before="40" w:after="40"/>
            </w:pPr>
            <w:r>
              <w:rPr>
                <w:rFonts w:ascii="Liberation Sans Narrow" w:hAnsi="Liberation Sans Narrow"/>
                <w:sz w:val="18"/>
              </w:rPr>
              <w:t xml:space="preserve">A alteração promovida pela Lei 13.256/2016 no art. 988, IV, excluiu do rol de hipóteses de cabimento da reclamação a garantia de observância de precedentes oriundos de casos repetitivos, mantendo apenas os precedentes do incidente de resolução de demandas repetitivas; a revisão da aplicação de tese firmada em recurso especial repetitivo se dá pelo agravo interno do art. 1.030, § 2º.</w:t>
            </w:r>
          </w:p>
        </w:tc>
      </w:tr>
    </w:tbl>
    <w:p>
      <w:pPr>
        <w:pStyle w:val="BodyText"/>
        <w:spacing w:after="80"/>
        <w:jc w:val="both"/>
      </w:pPr>
      <w:r>
        <w:t xml:space="preserve">V – em casos excepcionais, garantir a observância de acórdão proferido em julgamento de recurso especial sob o regime de relevância. (Incluído pela Lei nº 15.484, de 2026) Vigência</w:t>
      </w:r>
    </w:p>
    <w:p>
      <w:pPr>
        <w:pStyle w:val="BodyText"/>
        <w:spacing w:after="80"/>
        <w:jc w:val="both"/>
      </w:pPr>
      <w:r>
        <w:t xml:space="preserve">§ 1º A reclamação pode ser proposta perante qualquer tribunal, e seu julgamento compete ao órgão jurisdicional cuja competência se busca preservar ou cuja autoridade se pretenda garantir.</w:t>
      </w:r>
    </w:p>
    <w:p>
      <w:pPr>
        <w:pStyle w:val="BodyText"/>
        <w:spacing w:after="80"/>
        <w:jc w:val="both"/>
      </w:pPr>
      <w:r>
        <w:t xml:space="preserve">§ 2º A reclamação deverá ser instruída com prova documental e dirigida ao presidente do tribunal.</w:t>
      </w:r>
    </w:p>
    <w:p>
      <w:pPr>
        <w:pStyle w:val="BodyText"/>
        <w:spacing w:after="80"/>
        <w:jc w:val="both"/>
      </w:pPr>
      <w:r>
        <w:t xml:space="preserve">§ 3º Assim que recebida, a reclamação será autuada e distribuída ao relator do processo principal, sempre que possível.</w:t>
      </w:r>
    </w:p>
    <w:p>
      <w:pPr>
        <w:pStyle w:val="BodyText"/>
        <w:spacing w:after="80"/>
        <w:jc w:val="both"/>
      </w:pPr>
      <w:r>
        <w:t xml:space="preserve">§ 4º As hipóteses dos incisos III, IV e V compreendem a aplicação indevida da tese jurídica e sua não aplicação aos casos que a ela correspondam. (Redação dada pela Lei nº 15.484, de 2026) Vigência</w:t>
      </w:r>
    </w:p>
    <w:p>
      <w:pPr>
        <w:pStyle w:val="BodyText"/>
        <w:spacing w:after="80"/>
        <w:jc w:val="both"/>
      </w:pPr>
      <w:r>
        <w:t xml:space="preserve">§ 5º Será liminarmente indeferida a reclamação: (Redação dada pela Lei nº 15.484, de 2026) Vigência</w:t>
      </w:r>
    </w:p>
    <w:p>
      <w:pPr>
        <w:pStyle w:val="BodyText"/>
        <w:spacing w:after="80"/>
        <w:jc w:val="both"/>
      </w:pPr>
      <w:r>
        <w:t xml:space="preserve">I – proposta após o trânsito em julgado da decisão reclamada; (Incluído pela Lei nº 13.256, de 2016) (Vigência)</w:t>
      </w:r>
    </w:p>
    <w:p>
      <w:pPr>
        <w:pStyle w:val="BodyText"/>
        <w:spacing w:after="80"/>
        <w:jc w:val="both"/>
      </w:pPr>
      <w:r>
        <w:t xml:space="preserve">II – proposta para garantir a observância de acórdão de recurso extraordinário com repercussão geral reconhecida, de acórdão de recurso especial com relevância da questão de direito federal infraconstitucional reconhecida ou de acórdãos proferidos em julgamento de recursos extraordinários ou especiais repetitivos, quando não esgotadas as instâncias ordinárias ou o ato atacado não se mostrar manifestamente em desacordo com o precedente qualificado. (Redação dada pela Lei nº 15.484, de 2026) Vigência</w:t>
      </w:r>
    </w:p>
    <w:p>
      <w:pPr>
        <w:pStyle w:val="BodyText"/>
        <w:spacing w:after="80"/>
        <w:jc w:val="both"/>
      </w:pPr>
      <w:r>
        <w:t xml:space="preserve">§ 6º A inadmissibilidade ou o julgamento do recurso interposto contra a decisão proferida pelo órgão reclamado não prejudica a reclamação.</w:t>
      </w:r>
    </w:p>
    <w:bookmarkEnd w:id="818"/>
    <w:bookmarkStart w:id="819" w:name="art.-989"/>
    <w:p>
      <w:pPr>
        <w:pStyle w:val="Heading6"/>
        <w:pBdr>
          <w:left w:val="single" w:sz="36" w:space="4" w:color="2E75B6"/>
        </w:pBdr>
        <w:shd w:val="clear" w:color="auto" w:fill="E3EEF9"/>
        <w:spacing w:before="200" w:after="80"/>
        <w:ind w:left="85"/>
      </w:pPr>
      <w:r>
        <w:rPr>
          <w:i w:val="0"/>
          <w:color w:val="1F3A5F"/>
          <w:sz w:val="23"/>
        </w:rPr>
        <w:t xml:space="preserve">Art. 989</w:t>
      </w:r>
    </w:p>
    <w:p>
      <w:pPr>
        <w:pStyle w:val="FirstParagraph"/>
        <w:spacing w:after="80"/>
        <w:jc w:val="both"/>
      </w:pPr>
      <w:r>
        <w:rPr>
          <w:b/>
          <w:bCs/>
        </w:rPr>
        <w:t xml:space="preserve">Art. 989.</w:t>
      </w:r>
      <w:r>
        <w:t xml:space="preserve"> </w:t>
      </w:r>
      <w:r>
        <w:t xml:space="preserve">Ao despachar a reclamação, o relator:</w:t>
      </w:r>
    </w:p>
    <w:p>
      <w:pPr>
        <w:pStyle w:val="BodyText"/>
        <w:spacing w:after="80"/>
        <w:jc w:val="both"/>
      </w:pPr>
      <w:r>
        <w:t xml:space="preserve">I - requisitará informações da autoridade a quem for imputada a prática do ato impugnado, que as prestará no prazo de 10 (dez) dias;</w:t>
      </w:r>
    </w:p>
    <w:p>
      <w:pPr>
        <w:pStyle w:val="BodyText"/>
        <w:spacing w:after="80"/>
        <w:jc w:val="both"/>
      </w:pPr>
      <w:r>
        <w:t xml:space="preserve">II - se necessário, ordenará a suspensão do processo ou do ato impugnado para evitar dano irreparável;</w:t>
      </w:r>
    </w:p>
    <w:p>
      <w:pPr>
        <w:pStyle w:val="BodyText"/>
        <w:spacing w:after="80"/>
        <w:jc w:val="both"/>
      </w:pPr>
      <w:r>
        <w:t xml:space="preserve">III - determinará a citação do beneficiário da decisão impugnada, que terá prazo de 15 (quinze) dias para apresentar a sua contestação.</w:t>
      </w:r>
    </w:p>
    <w:bookmarkEnd w:id="819"/>
    <w:bookmarkStart w:id="820" w:name="art.-990"/>
    <w:p>
      <w:pPr>
        <w:pStyle w:val="Heading6"/>
        <w:pBdr>
          <w:left w:val="single" w:sz="36" w:space="4" w:color="2E75B6"/>
        </w:pBdr>
        <w:shd w:val="clear" w:color="auto" w:fill="E3EEF9"/>
        <w:spacing w:before="200" w:after="80"/>
        <w:ind w:left="85"/>
      </w:pPr>
      <w:r>
        <w:rPr>
          <w:i w:val="0"/>
          <w:color w:val="1F3A5F"/>
          <w:sz w:val="23"/>
        </w:rPr>
        <w:t xml:space="preserve">Art. 990</w:t>
      </w:r>
    </w:p>
    <w:p>
      <w:pPr>
        <w:pStyle w:val="FirstParagraph"/>
        <w:spacing w:after="80"/>
        <w:jc w:val="both"/>
      </w:pPr>
      <w:r>
        <w:rPr>
          <w:b/>
          <w:bCs/>
        </w:rPr>
        <w:t xml:space="preserve">Art. 990.</w:t>
      </w:r>
      <w:r>
        <w:t xml:space="preserve"> </w:t>
      </w:r>
      <w:r>
        <w:t xml:space="preserve">Qualquer interessado poderá impugnar o pedido do reclamante.</w:t>
      </w:r>
    </w:p>
    <w:bookmarkEnd w:id="820"/>
    <w:bookmarkStart w:id="821" w:name="art.-991"/>
    <w:p>
      <w:pPr>
        <w:pStyle w:val="Heading6"/>
        <w:pBdr>
          <w:left w:val="single" w:sz="36" w:space="4" w:color="2E75B6"/>
        </w:pBdr>
        <w:shd w:val="clear" w:color="auto" w:fill="E3EEF9"/>
        <w:spacing w:before="200" w:after="80"/>
        <w:ind w:left="85"/>
      </w:pPr>
      <w:r>
        <w:rPr>
          <w:i w:val="0"/>
          <w:color w:val="1F3A5F"/>
          <w:sz w:val="23"/>
        </w:rPr>
        <w:t xml:space="preserve">Art. 991</w:t>
      </w:r>
    </w:p>
    <w:p>
      <w:pPr>
        <w:pStyle w:val="FirstParagraph"/>
        <w:spacing w:after="80"/>
        <w:jc w:val="both"/>
      </w:pPr>
      <w:r>
        <w:rPr>
          <w:b/>
          <w:bCs/>
        </w:rPr>
        <w:t xml:space="preserve">Art. 991.</w:t>
      </w:r>
      <w:r>
        <w:t xml:space="preserve"> </w:t>
      </w:r>
      <w:r>
        <w:t xml:space="preserve">Na reclamação que não houver formulado, o Ministério Público terá vista do processo por 5 (cinco) dias, após o decurso do prazo para informações e para o oferecimento da contestação pelo beneficiário do ato impugnado.</w:t>
      </w:r>
    </w:p>
    <w:bookmarkEnd w:id="821"/>
    <w:bookmarkStart w:id="822" w:name="art.-992"/>
    <w:p>
      <w:pPr>
        <w:pStyle w:val="Heading6"/>
        <w:pBdr>
          <w:left w:val="single" w:sz="36" w:space="4" w:color="2E75B6"/>
        </w:pBdr>
        <w:shd w:val="clear" w:color="auto" w:fill="E3EEF9"/>
        <w:spacing w:before="200" w:after="80"/>
        <w:ind w:left="85"/>
      </w:pPr>
      <w:r>
        <w:rPr>
          <w:i w:val="0"/>
          <w:color w:val="1F3A5F"/>
          <w:sz w:val="23"/>
        </w:rPr>
        <w:t xml:space="preserve">Art. 992</w:t>
      </w:r>
    </w:p>
    <w:p>
      <w:pPr>
        <w:pStyle w:val="FirstParagraph"/>
        <w:keepNext/>
        <w:spacing w:after="80"/>
        <w:jc w:val="both"/>
      </w:pPr>
      <w:r>
        <w:rPr>
          <w:b/>
          <w:bCs/>
        </w:rPr>
        <w:t xml:space="preserve">Art. 992.</w:t>
      </w:r>
      <w:r>
        <w:t xml:space="preserve"> </w:t>
      </w:r>
      <w:r>
        <w:t xml:space="preserve">Julgando procedente a reclamação, o tribunal cassará a decisão exorbitante de seu julgado ou determinará medida adequada à solução da controvérsia.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551"/>
        <w:gridCol w:w="2281"/>
        <w:gridCol w:w="4522"/>
      </w:tblGrid>
      <w:tr>
        <w:trPr>
          <w:tblHeader w:val="on"/>
          <w:cantSplit/>
          <w:tblHeader/>
        </w:trPr>
        <w:tc>
          <w:tcPr>
            <w:tcW w:type="dxa" w:w="255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28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52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551"/>
          </w:tcPr>
          <w:p>
            <w:pPr>
              <w:pStyle w:val="Compact"/>
              <w:spacing w:line="276" w:lineRule="auto" w:before="40" w:after="40"/>
            </w:pPr>
            <w:r>
              <w:rPr>
                <w:rFonts w:ascii="Liberation Sans Narrow" w:hAnsi="Liberation Sans Narrow"/>
                <w:sz w:val="18"/>
              </w:rPr>
              <w:t xml:space="preserve">Caput — procedência da reclamação e cassação da decisão</w:t>
            </w:r>
          </w:p>
        </w:tc>
        <w:tc>
          <w:tcPr>
            <w:tcW w:type="dxa" w:w="2281"/>
          </w:tcPr>
          <w:p>
            <w:pPr>
              <w:pStyle w:val="Compact"/>
              <w:spacing w:line="276" w:lineRule="auto" w:before="40" w:after="40"/>
            </w:pPr>
            <w:r>
              <w:rPr>
                <w:rFonts w:ascii="Liberation Sans Narrow" w:hAnsi="Liberation Sans Narrow"/>
                <w:sz w:val="18"/>
              </w:rPr>
              <w:t xml:space="preserve">STF, Rcl 60.872, Segunda Turma, relator Min. Nunes Marques, julgado em 24/06/2024</w:t>
            </w:r>
          </w:p>
        </w:tc>
        <w:tc>
          <w:tcPr>
            <w:tcW w:type="dxa" w:w="4522"/>
          </w:tcPr>
          <w:p>
            <w:pPr>
              <w:pStyle w:val="Compact"/>
              <w:spacing w:line="276" w:lineRule="auto" w:before="40" w:after="40"/>
            </w:pPr>
            <w:r>
              <w:rPr>
                <w:rFonts w:ascii="Liberation Sans Narrow" w:hAnsi="Liberation Sans Narrow"/>
                <w:sz w:val="18"/>
              </w:rPr>
              <w:t xml:space="preserve">No caso, julgada procedente a reclamação, o tribunal cassa a decisão exorbitante ou determina a medida adequada; é inadequado, nessa via, julgar o processo originário.</w:t>
            </w:r>
          </w:p>
        </w:tc>
      </w:tr>
      <w:tr>
        <w:trPr>
          <w:cantSplit/>
        </w:trPr>
        <w:tc>
          <w:tcPr>
            <w:tcW w:type="dxa" w:w="2551"/>
          </w:tcPr>
          <w:p>
            <w:pPr>
              <w:pStyle w:val="Compact"/>
              <w:spacing w:line="276" w:lineRule="auto" w:before="40" w:after="40"/>
            </w:pPr>
            <w:r>
              <w:rPr>
                <w:rFonts w:ascii="Liberation Sans Narrow" w:hAnsi="Liberation Sans Narrow"/>
                <w:sz w:val="18"/>
              </w:rPr>
              <w:t xml:space="preserve">Caput — procedência quando o juízo reclamado não observa estritamente o comando do tribunal (aplicação narrada)</w:t>
            </w:r>
          </w:p>
        </w:tc>
        <w:tc>
          <w:tcPr>
            <w:tcW w:type="dxa" w:w="2281"/>
          </w:tcPr>
          <w:p>
            <w:pPr>
              <w:pStyle w:val="Compact"/>
              <w:spacing w:line="276" w:lineRule="auto" w:before="40" w:after="40"/>
            </w:pPr>
            <w:r>
              <w:rPr>
                <w:rFonts w:ascii="Liberation Sans Narrow" w:hAnsi="Liberation Sans Narrow"/>
                <w:sz w:val="18"/>
              </w:rPr>
              <w:t xml:space="preserve">STJ, AgInt no Rcl 44.823, Segunda Seção, relator Min. Marco Buzzi</w:t>
            </w:r>
          </w:p>
        </w:tc>
        <w:tc>
          <w:tcPr>
            <w:tcW w:type="dxa" w:w="4522"/>
          </w:tcPr>
          <w:p>
            <w:pPr>
              <w:pStyle w:val="Compact"/>
              <w:spacing w:line="276" w:lineRule="auto" w:before="40" w:after="40"/>
            </w:pPr>
            <w:r>
              <w:rPr>
                <w:rFonts w:ascii="Liberation Sans Narrow" w:hAnsi="Liberation Sans Narrow"/>
                <w:sz w:val="18"/>
              </w:rPr>
              <w:t xml:space="preserve">Afastando-se dos parâmetros fixados pelo Superior Tribunal de Justiça, a deliberação do juízo reclamado que mantém ato constritivo já anulado em recurso especial não observa estritamente o comando, o que enseja o acolhimento da reclamação. Trecho: “Na hipótese, afastando-se dos parâmetros erigidos por este Tribunal Superior, a deliberação exarada pelo r. juízo reclamado não observou, de maneira estrita o referido comando, ensejando-se, portanto, o acolhimento da reclamação.”</w:t>
            </w:r>
          </w:p>
        </w:tc>
      </w:tr>
    </w:tbl>
    <w:bookmarkEnd w:id="822"/>
    <w:bookmarkStart w:id="823" w:name="art.-993"/>
    <w:p>
      <w:pPr>
        <w:pStyle w:val="Heading6"/>
        <w:pBdr>
          <w:left w:val="single" w:sz="36" w:space="4" w:color="2E75B6"/>
        </w:pBdr>
        <w:shd w:val="clear" w:color="auto" w:fill="E3EEF9"/>
        <w:spacing w:before="200" w:after="80"/>
        <w:ind w:left="85"/>
      </w:pPr>
      <w:r>
        <w:rPr>
          <w:i w:val="0"/>
          <w:color w:val="1F3A5F"/>
          <w:sz w:val="23"/>
        </w:rPr>
        <w:t xml:space="preserve">Art. 993</w:t>
      </w:r>
    </w:p>
    <w:p>
      <w:pPr>
        <w:pStyle w:val="FirstParagraph"/>
        <w:spacing w:after="80"/>
        <w:jc w:val="both"/>
      </w:pPr>
      <w:r>
        <w:rPr>
          <w:b/>
          <w:bCs/>
        </w:rPr>
        <w:t xml:space="preserve">Art. 993.</w:t>
      </w:r>
      <w:r>
        <w:t xml:space="preserve"> </w:t>
      </w:r>
      <w:r>
        <w:t xml:space="preserve">O presidente do tribunal determinará o imediato cumprimento da decisão, lavrando-se o acórdão posteriormente.</w:t>
      </w:r>
    </w:p>
    <w:bookmarkEnd w:id="823"/>
    <w:bookmarkEnd w:id="824"/>
    <w:bookmarkEnd w:id="825"/>
    <w:bookmarkStart w:id="886" w:name="título-ii-dos-recursos-arts.-994-a-1044"/>
    <w:p>
      <w:pPr>
        <w:pStyle w:val="Heading3"/>
        <w:pBdr>
          <w:bottom w:val="single" w:sz="8" w:space="2" w:color="2E75B6"/>
        </w:pBdr>
        <w:spacing w:before="200" w:after="80"/>
      </w:pPr>
      <w:r>
        <w:rPr>
          <w:sz w:val="24"/>
        </w:rPr>
        <w:t xml:space="preserve">Título II: dos recursos (arts. 994 a 1044)</w:t>
      </w:r>
    </w:p>
    <w:bookmarkStart w:id="841" w:name="Xcbdae266aa5ce94ef0b64c2f6e88541295351e9"/>
    <w:p>
      <w:pPr>
        <w:pStyle w:val="Heading4"/>
        <w:spacing w:before="160" w:after="40"/>
      </w:pPr>
      <w:r>
        <w:rPr>
          <w:smallCaps/>
          <w:color w:val="2E75B6"/>
        </w:rPr>
        <w:t xml:space="preserve">Capítulo I: disposições gerais (arts. 994 a 1008)</w:t>
      </w:r>
    </w:p>
    <w:bookmarkStart w:id="826" w:name="art.-994"/>
    <w:p>
      <w:pPr>
        <w:pStyle w:val="Heading6"/>
        <w:pBdr>
          <w:left w:val="single" w:sz="36" w:space="4" w:color="2E75B6"/>
        </w:pBdr>
        <w:shd w:val="clear" w:color="auto" w:fill="E3EEF9"/>
        <w:spacing w:before="200" w:after="80"/>
        <w:ind w:left="85"/>
      </w:pPr>
      <w:r>
        <w:rPr>
          <w:i w:val="0"/>
          <w:color w:val="1F3A5F"/>
          <w:sz w:val="23"/>
        </w:rPr>
        <w:t xml:space="preserve">Art. 994</w:t>
      </w:r>
    </w:p>
    <w:p>
      <w:pPr>
        <w:pStyle w:val="FirstParagraph"/>
        <w:spacing w:after="80"/>
        <w:jc w:val="both"/>
      </w:pPr>
      <w:r>
        <w:rPr>
          <w:b/>
          <w:bCs/>
        </w:rPr>
        <w:t xml:space="preserve">Art. 994.</w:t>
      </w:r>
      <w:r>
        <w:t xml:space="preserve"> </w:t>
      </w:r>
      <w:r>
        <w:t xml:space="preserve">São cabíveis os seguintes recursos:</w:t>
      </w:r>
    </w:p>
    <w:p>
      <w:pPr>
        <w:pStyle w:val="BodyText"/>
        <w:spacing w:after="80"/>
        <w:jc w:val="both"/>
      </w:pPr>
      <w:r>
        <w:t xml:space="preserve">I - apelação;</w:t>
      </w:r>
    </w:p>
    <w:p>
      <w:pPr>
        <w:pStyle w:val="BodyText"/>
        <w:spacing w:after="80"/>
        <w:jc w:val="both"/>
      </w:pPr>
      <w:r>
        <w:t xml:space="preserve">II - agravo de instrumento;</w:t>
      </w:r>
    </w:p>
    <w:p>
      <w:pPr>
        <w:pStyle w:val="BodyText"/>
        <w:spacing w:after="80"/>
        <w:jc w:val="both"/>
      </w:pPr>
      <w:r>
        <w:t xml:space="preserve">III - agravo interno;</w:t>
      </w:r>
    </w:p>
    <w:p>
      <w:pPr>
        <w:pStyle w:val="BodyText"/>
        <w:spacing w:after="80"/>
        <w:jc w:val="both"/>
      </w:pPr>
      <w:r>
        <w:t xml:space="preserve">IV - embargos de declaração;</w:t>
      </w:r>
    </w:p>
    <w:p>
      <w:pPr>
        <w:pStyle w:val="BodyText"/>
        <w:spacing w:after="80"/>
        <w:jc w:val="both"/>
      </w:pPr>
      <w:r>
        <w:t xml:space="preserve">V - recurso ordinário;</w:t>
      </w:r>
    </w:p>
    <w:p>
      <w:pPr>
        <w:pStyle w:val="BodyText"/>
        <w:spacing w:after="80"/>
        <w:jc w:val="both"/>
      </w:pPr>
      <w:r>
        <w:t xml:space="preserve">VI - recurso especial;</w:t>
      </w:r>
    </w:p>
    <w:p>
      <w:pPr>
        <w:pStyle w:val="BodyText"/>
        <w:spacing w:after="80"/>
        <w:jc w:val="both"/>
      </w:pPr>
      <w:r>
        <w:t xml:space="preserve">VII - recurso extraordinário;</w:t>
      </w:r>
    </w:p>
    <w:p>
      <w:pPr>
        <w:pStyle w:val="BodyText"/>
        <w:spacing w:after="80"/>
        <w:jc w:val="both"/>
      </w:pPr>
      <w:r>
        <w:t xml:space="preserve">VIII - agravo em recurso especial ou extraordinário;</w:t>
      </w:r>
    </w:p>
    <w:p>
      <w:pPr>
        <w:pStyle w:val="BodyText"/>
        <w:spacing w:after="80"/>
        <w:jc w:val="both"/>
      </w:pPr>
      <w:r>
        <w:t xml:space="preserve">IX - embargos de divergência.</w:t>
      </w:r>
    </w:p>
    <w:bookmarkEnd w:id="826"/>
    <w:bookmarkStart w:id="827" w:name="art.-995"/>
    <w:p>
      <w:pPr>
        <w:pStyle w:val="Heading6"/>
        <w:pBdr>
          <w:left w:val="single" w:sz="36" w:space="4" w:color="2E75B6"/>
        </w:pBdr>
        <w:shd w:val="clear" w:color="auto" w:fill="E3EEF9"/>
        <w:spacing w:before="200" w:after="80"/>
        <w:ind w:left="85"/>
      </w:pPr>
      <w:r>
        <w:rPr>
          <w:i w:val="0"/>
          <w:color w:val="1F3A5F"/>
          <w:sz w:val="23"/>
        </w:rPr>
        <w:t xml:space="preserve">Art. 995</w:t>
      </w:r>
    </w:p>
    <w:p>
      <w:pPr>
        <w:pStyle w:val="FirstParagraph"/>
        <w:spacing w:after="80"/>
        <w:jc w:val="both"/>
      </w:pPr>
      <w:r>
        <w:rPr>
          <w:b/>
          <w:bCs/>
        </w:rPr>
        <w:t xml:space="preserve">Art. 995.</w:t>
      </w:r>
      <w:r>
        <w:t xml:space="preserve"> </w:t>
      </w:r>
      <w:r>
        <w:t xml:space="preserve">Os recursos não impedem a eficácia da decisão, salvo disposição legal ou decisão judicial em sentido diverso.</w:t>
      </w:r>
    </w:p>
    <w:p>
      <w:pPr>
        <w:pStyle w:val="BodyText"/>
        <w:spacing w:after="80"/>
        <w:jc w:val="both"/>
      </w:pPr>
      <w:r>
        <w:t xml:space="preserve">Parágrafo único. A eficácia da decisão recorrida poderá ser suspensa por decisão do relator, se da imediata produção de seus efeitos houver risco de dano grave, de difícil ou impossível reparação, e ficar demonstrada a probabilidade de provimento do recurso.</w:t>
      </w:r>
    </w:p>
    <w:bookmarkEnd w:id="827"/>
    <w:bookmarkStart w:id="828" w:name="art.-996"/>
    <w:p>
      <w:pPr>
        <w:pStyle w:val="Heading6"/>
        <w:pBdr>
          <w:left w:val="single" w:sz="36" w:space="4" w:color="2E75B6"/>
        </w:pBdr>
        <w:shd w:val="clear" w:color="auto" w:fill="E3EEF9"/>
        <w:spacing w:before="200" w:after="80"/>
        <w:ind w:left="85"/>
      </w:pPr>
      <w:r>
        <w:rPr>
          <w:i w:val="0"/>
          <w:color w:val="1F3A5F"/>
          <w:sz w:val="23"/>
        </w:rPr>
        <w:t xml:space="preserve">Art. 996</w:t>
      </w:r>
    </w:p>
    <w:p>
      <w:pPr>
        <w:pStyle w:val="FirstParagraph"/>
        <w:keepNext/>
        <w:spacing w:after="80"/>
        <w:jc w:val="both"/>
      </w:pPr>
      <w:r>
        <w:rPr>
          <w:b/>
          <w:bCs/>
        </w:rPr>
        <w:t xml:space="preserve">Art. 996.</w:t>
      </w:r>
      <w:r>
        <w:t xml:space="preserve"> </w:t>
      </w:r>
      <w:r>
        <w:t xml:space="preserve">O recurso pode ser interposto pela parte vencida, pelo terceiro prejudicado e pelo Ministério Público, como parte ou como fiscal da ordem jurídica.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80"/>
        <w:gridCol w:w="3806"/>
        <w:gridCol w:w="3768"/>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806"/>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3768"/>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780"/>
          </w:tcPr>
          <w:p>
            <w:pPr>
              <w:pStyle w:val="Compact"/>
              <w:spacing w:line="276" w:lineRule="auto" w:before="40" w:after="40"/>
            </w:pPr>
            <w:r>
              <w:rPr>
                <w:rFonts w:ascii="Liberation Sans Narrow" w:hAnsi="Liberation Sans Narrow"/>
                <w:sz w:val="18"/>
              </w:rPr>
              <w:t xml:space="preserve">Inciso I — legitimidade para recorrer</w:t>
            </w:r>
          </w:p>
        </w:tc>
        <w:tc>
          <w:tcPr>
            <w:tcW w:type="dxa" w:w="3806"/>
          </w:tcPr>
          <w:p>
            <w:pPr>
              <w:pStyle w:val="Compact"/>
              <w:spacing w:line="276" w:lineRule="auto" w:before="40" w:after="40"/>
            </w:pPr>
            <w:r>
              <w:rPr>
                <w:rFonts w:ascii="Liberation Sans Narrow" w:hAnsi="Liberation Sans Narrow"/>
                <w:sz w:val="18"/>
              </w:rPr>
              <w:t xml:space="preserve">STJ, EDcl no REsp 1.571.109, Terceira Turma, relator Min. Marco Aurélio Bellizze, julgado em 06/12/2022, DJe de 14/12/2022</w:t>
            </w:r>
          </w:p>
        </w:tc>
        <w:tc>
          <w:tcPr>
            <w:tcW w:type="dxa" w:w="3768"/>
          </w:tcPr>
          <w:p>
            <w:pPr>
              <w:pStyle w:val="Compact"/>
              <w:spacing w:line="276" w:lineRule="auto" w:before="40" w:after="40"/>
            </w:pPr>
            <w:r>
              <w:rPr>
                <w:rFonts w:ascii="Liberation Sans Narrow" w:hAnsi="Liberation Sans Narrow"/>
                <w:sz w:val="18"/>
              </w:rPr>
              <w:t xml:space="preserve">A legitimidade para recorrer, assim como o interesse, constitui requisito de admissibilidade do recurso.</w:t>
            </w:r>
          </w:p>
        </w:tc>
      </w:tr>
      <w:tr>
        <w:trPr>
          <w:cantSplit/>
        </w:trPr>
        <w:tc>
          <w:tcPr>
            <w:tcW w:type="dxa" w:w="1780"/>
          </w:tcPr>
          <w:p>
            <w:pPr>
              <w:pStyle w:val="Compact"/>
              <w:spacing w:line="276" w:lineRule="auto" w:before="40" w:after="40"/>
            </w:pPr>
            <w:r>
              <w:rPr>
                <w:rFonts w:ascii="Liberation Sans Narrow" w:hAnsi="Liberation Sans Narrow"/>
                <w:sz w:val="18"/>
              </w:rPr>
              <w:t xml:space="preserve">Caput — terceiro prejudicado</w:t>
            </w:r>
          </w:p>
        </w:tc>
        <w:tc>
          <w:tcPr>
            <w:tcW w:type="dxa" w:w="3806"/>
          </w:tcPr>
          <w:p>
            <w:pPr>
              <w:pStyle w:val="Compact"/>
              <w:spacing w:line="276" w:lineRule="auto" w:before="40" w:after="40"/>
            </w:pPr>
            <w:r>
              <w:rPr>
                <w:rFonts w:ascii="Liberation Sans Narrow" w:hAnsi="Liberation Sans Narrow"/>
                <w:sz w:val="18"/>
              </w:rPr>
              <w:t xml:space="preserve">STJ, AgInt no AREsp 1.192.559, Primeira Turma, relator Min. Sérgio Kukina, julgado em 28/11/2022, DJe de 01/12/2022</w:t>
            </w:r>
          </w:p>
        </w:tc>
        <w:tc>
          <w:tcPr>
            <w:tcW w:type="dxa" w:w="3768"/>
          </w:tcPr>
          <w:p>
            <w:pPr>
              <w:pStyle w:val="Compact"/>
              <w:spacing w:line="276" w:lineRule="auto" w:before="40" w:after="40"/>
            </w:pPr>
            <w:r>
              <w:rPr>
                <w:rFonts w:ascii="Liberation Sans Narrow" w:hAnsi="Liberation Sans Narrow"/>
                <w:sz w:val="18"/>
              </w:rPr>
              <w:t xml:space="preserve">Não se conhece do recurso de quem não é parte na lide e não demonstra a condição de terceiro prejudicado, por falta de legitimidade.</w:t>
            </w:r>
          </w:p>
        </w:tc>
      </w:tr>
    </w:tbl>
    <w:p>
      <w:pPr>
        <w:pStyle w:val="BodyText"/>
        <w:spacing w:after="80"/>
        <w:jc w:val="both"/>
      </w:pPr>
      <w:r>
        <w:t xml:space="preserve">Parágrafo único. Cumpre ao terceiro demonstrar a possibilidade de a decisão sobre a relação jurídica submetida à apreciação judicial atingir direito de que se afirme titular ou que possa discutir em juízo como substituto processual.</w:t>
      </w:r>
    </w:p>
    <w:bookmarkEnd w:id="828"/>
    <w:bookmarkStart w:id="829" w:name="art.-997"/>
    <w:p>
      <w:pPr>
        <w:pStyle w:val="Heading6"/>
        <w:pBdr>
          <w:left w:val="single" w:sz="36" w:space="4" w:color="2E75B6"/>
        </w:pBdr>
        <w:shd w:val="clear" w:color="auto" w:fill="E3EEF9"/>
        <w:spacing w:before="200" w:after="80"/>
        <w:ind w:left="85"/>
      </w:pPr>
      <w:r>
        <w:rPr>
          <w:i w:val="0"/>
          <w:color w:val="1F3A5F"/>
          <w:sz w:val="23"/>
        </w:rPr>
        <w:t xml:space="preserve">Art. 997</w:t>
      </w:r>
    </w:p>
    <w:p>
      <w:pPr>
        <w:pStyle w:val="FirstParagraph"/>
        <w:spacing w:after="80"/>
        <w:jc w:val="both"/>
      </w:pPr>
      <w:r>
        <w:rPr>
          <w:b/>
          <w:bCs/>
        </w:rPr>
        <w:t xml:space="preserve">Art. 997.</w:t>
      </w:r>
      <w:r>
        <w:t xml:space="preserve"> </w:t>
      </w:r>
      <w:r>
        <w:t xml:space="preserve">Cada parte interporá o recurso independentemente, no prazo e com observância das exigências legais.</w:t>
      </w:r>
    </w:p>
    <w:p>
      <w:pPr>
        <w:pStyle w:val="BodyText"/>
        <w:spacing w:after="80"/>
        <w:jc w:val="both"/>
      </w:pPr>
      <w:r>
        <w:t xml:space="preserve">§ 1º Sendo vencidos autor e réu, ao recurso interposto por qualquer deles poderá aderir o outro.</w:t>
      </w:r>
    </w:p>
    <w:p>
      <w:pPr>
        <w:pStyle w:val="BodyText"/>
        <w:spacing w:after="80"/>
        <w:jc w:val="both"/>
      </w:pPr>
      <w:r>
        <w:t xml:space="preserve">§ 2º O recurso adesivo fica subordinado ao recurso independente, sendo-lhe aplicáveis as mesmas regras deste quanto aos requisitos de admissibilidade e julgamento no tribunal, salvo disposição legal diversa, observado, ainda, o seguinte:</w:t>
      </w:r>
    </w:p>
    <w:p>
      <w:pPr>
        <w:pStyle w:val="BodyText"/>
        <w:spacing w:after="80"/>
        <w:jc w:val="both"/>
      </w:pPr>
      <w:r>
        <w:t xml:space="preserve">I - será dirigido ao órgão perante o qual o recurso independente fora interposto, no prazo de que a parte dispõe para responder;</w:t>
      </w:r>
    </w:p>
    <w:p>
      <w:pPr>
        <w:pStyle w:val="BodyText"/>
        <w:spacing w:after="80"/>
        <w:jc w:val="both"/>
      </w:pPr>
      <w:r>
        <w:t xml:space="preserve">II - será admissível na apelação, no recurso extraordinário e no recurso especial;</w:t>
      </w:r>
    </w:p>
    <w:p>
      <w:pPr>
        <w:pStyle w:val="BodyText"/>
        <w:spacing w:after="80"/>
        <w:jc w:val="both"/>
      </w:pPr>
      <w:r>
        <w:t xml:space="preserve">III - não será conhecido, se houver desistência do recurso principal ou se for ele considerado inadmissível.</w:t>
      </w:r>
    </w:p>
    <w:bookmarkEnd w:id="829"/>
    <w:bookmarkStart w:id="830" w:name="art.-998"/>
    <w:p>
      <w:pPr>
        <w:pStyle w:val="Heading6"/>
        <w:pBdr>
          <w:left w:val="single" w:sz="36" w:space="4" w:color="2E75B6"/>
        </w:pBdr>
        <w:shd w:val="clear" w:color="auto" w:fill="E3EEF9"/>
        <w:spacing w:before="200" w:after="80"/>
        <w:ind w:left="85"/>
      </w:pPr>
      <w:r>
        <w:rPr>
          <w:i w:val="0"/>
          <w:color w:val="1F3A5F"/>
          <w:sz w:val="23"/>
        </w:rPr>
        <w:t xml:space="preserve">Art. 998</w:t>
      </w:r>
    </w:p>
    <w:p>
      <w:pPr>
        <w:pStyle w:val="FirstParagraph"/>
        <w:keepNext/>
        <w:spacing w:after="80"/>
        <w:jc w:val="both"/>
      </w:pPr>
      <w:r>
        <w:rPr>
          <w:b/>
          <w:bCs/>
        </w:rPr>
        <w:t xml:space="preserve">Art. 998.</w:t>
      </w:r>
      <w:r>
        <w:t xml:space="preserve"> </w:t>
      </w:r>
      <w:r>
        <w:t xml:space="preserve">O recorrente poderá, a qualquer tempo, sem a anuência do recorrido ou dos litisconsortes, desistir do recurso.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50"/>
        <w:gridCol w:w="3421"/>
        <w:gridCol w:w="3983"/>
      </w:tblGrid>
      <w:tr>
        <w:trPr>
          <w:tblHeader w:val="on"/>
          <w:cantSplit/>
          <w:tblHeader/>
        </w:trPr>
        <w:tc>
          <w:tcPr>
            <w:tcW w:type="dxa" w:w="195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42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398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50"/>
          </w:tcPr>
          <w:p>
            <w:pPr>
              <w:pStyle w:val="Compact"/>
              <w:spacing w:line="276" w:lineRule="auto" w:before="40" w:after="40"/>
            </w:pPr>
            <w:r>
              <w:rPr>
                <w:rFonts w:ascii="Liberation Sans Narrow" w:hAnsi="Liberation Sans Narrow"/>
                <w:sz w:val="18"/>
              </w:rPr>
              <w:t xml:space="preserve">Caput — desistência do recurso</w:t>
            </w:r>
          </w:p>
        </w:tc>
        <w:tc>
          <w:tcPr>
            <w:tcW w:type="dxa" w:w="3421"/>
          </w:tcPr>
          <w:p>
            <w:pPr>
              <w:pStyle w:val="Compact"/>
              <w:spacing w:line="276" w:lineRule="auto" w:before="40" w:after="40"/>
            </w:pPr>
            <w:r>
              <w:rPr>
                <w:rFonts w:ascii="Liberation Sans Narrow" w:hAnsi="Liberation Sans Narrow"/>
                <w:sz w:val="18"/>
              </w:rPr>
              <w:t xml:space="preserve">STJ, EDcl no MS 25.453, Primeira Seção, relator Min. Francisco Falcão, DJe de 05/05/2022</w:t>
            </w:r>
          </w:p>
        </w:tc>
        <w:tc>
          <w:tcPr>
            <w:tcW w:type="dxa" w:w="3983"/>
          </w:tcPr>
          <w:p>
            <w:pPr>
              <w:pStyle w:val="Compact"/>
              <w:spacing w:line="276" w:lineRule="auto" w:before="40" w:after="40"/>
            </w:pPr>
            <w:r>
              <w:rPr>
                <w:rFonts w:ascii="Liberation Sans Narrow" w:hAnsi="Liberation Sans Narrow"/>
                <w:sz w:val="18"/>
              </w:rPr>
              <w:t xml:space="preserve">A desistência do recurso é viável a qualquer tempo, sem anuência do recorrido ou dos litisconsortes, na forma do art. 998.</w:t>
            </w:r>
          </w:p>
        </w:tc>
      </w:tr>
      <w:tr>
        <w:trPr>
          <w:cantSplit/>
        </w:trPr>
        <w:tc>
          <w:tcPr>
            <w:tcW w:type="dxa" w:w="1950"/>
          </w:tcPr>
          <w:p>
            <w:pPr>
              <w:pStyle w:val="Compact"/>
              <w:spacing w:line="276" w:lineRule="auto" w:before="40" w:after="40"/>
            </w:pPr>
            <w:r>
              <w:rPr>
                <w:rFonts w:ascii="Liberation Sans Narrow" w:hAnsi="Liberation Sans Narrow"/>
                <w:sz w:val="18"/>
              </w:rPr>
              <w:t xml:space="preserve">Caput — limite temporal: desistência somente antes do julgamento</w:t>
            </w:r>
          </w:p>
        </w:tc>
        <w:tc>
          <w:tcPr>
            <w:tcW w:type="dxa" w:w="3421"/>
          </w:tcPr>
          <w:p>
            <w:pPr>
              <w:pStyle w:val="Compact"/>
              <w:spacing w:line="276" w:lineRule="auto" w:before="40" w:after="40"/>
            </w:pPr>
            <w:r>
              <w:rPr>
                <w:rFonts w:ascii="Liberation Sans Narrow" w:hAnsi="Liberation Sans Narrow"/>
                <w:sz w:val="18"/>
              </w:rPr>
              <w:t xml:space="preserve">STJ, DESIS no REsp 1.795.534, Segunda Turma, relator Min. Herman Benjamin, julgado em 20/08/2019, DJe de 13/09/2019</w:t>
            </w:r>
          </w:p>
        </w:tc>
        <w:tc>
          <w:tcPr>
            <w:tcW w:type="dxa" w:w="3983"/>
          </w:tcPr>
          <w:p>
            <w:pPr>
              <w:pStyle w:val="Compact"/>
              <w:spacing w:line="276" w:lineRule="auto" w:before="40" w:after="40"/>
            </w:pPr>
            <w:r>
              <w:rPr>
                <w:rFonts w:ascii="Liberation Sans Narrow" w:hAnsi="Liberation Sans Narrow"/>
                <w:sz w:val="18"/>
              </w:rPr>
              <w:t xml:space="preserve">O pedido de desistência do recurso é possível somente antes de seu julgamento, sendo inviável depois de julgado pelo colegiado.</w:t>
            </w:r>
          </w:p>
        </w:tc>
      </w:tr>
    </w:tbl>
    <w:p>
      <w:pPr>
        <w:pStyle w:val="BodyText"/>
        <w:spacing w:after="80"/>
        <w:jc w:val="both"/>
      </w:pPr>
      <w:r>
        <w:t xml:space="preserve">Parágrafo único. A desistência do recurso não impede a análise de questão cuja repercussão geral ou cuja relevância da questão de direito federal infraconstitucional já tenha sido reconhecida e daquela objeto de julgamento de recursos extraordinários ou especiais repetitivos. (Redação dada pela Lei nº 15.484, de 2026) Vigência</w:t>
      </w:r>
    </w:p>
    <w:bookmarkEnd w:id="830"/>
    <w:bookmarkStart w:id="831" w:name="art.-999"/>
    <w:p>
      <w:pPr>
        <w:pStyle w:val="Heading6"/>
        <w:pBdr>
          <w:left w:val="single" w:sz="36" w:space="4" w:color="2E75B6"/>
        </w:pBdr>
        <w:shd w:val="clear" w:color="auto" w:fill="E3EEF9"/>
        <w:spacing w:before="200" w:after="80"/>
        <w:ind w:left="85"/>
      </w:pPr>
      <w:r>
        <w:rPr>
          <w:i w:val="0"/>
          <w:color w:val="1F3A5F"/>
          <w:sz w:val="23"/>
        </w:rPr>
        <w:t xml:space="preserve">Art. 999</w:t>
      </w:r>
    </w:p>
    <w:p>
      <w:pPr>
        <w:pStyle w:val="FirstParagraph"/>
        <w:keepNext/>
        <w:spacing w:after="80"/>
        <w:jc w:val="both"/>
      </w:pPr>
      <w:r>
        <w:rPr>
          <w:b/>
          <w:bCs/>
        </w:rPr>
        <w:t xml:space="preserve">Art. 999.</w:t>
      </w:r>
      <w:r>
        <w:t xml:space="preserve"> </w:t>
      </w:r>
      <w:r>
        <w:t xml:space="preserve">A renúncia ao direito de recorrer independe da aceitação da outra parte.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88"/>
        <w:gridCol w:w="2881"/>
        <w:gridCol w:w="4685"/>
      </w:tblGrid>
      <w:tr>
        <w:trPr>
          <w:tblHeader w:val="on"/>
          <w:cantSplit/>
          <w:tblHeader/>
        </w:trPr>
        <w:tc>
          <w:tcPr>
            <w:tcW w:type="dxa" w:w="1788"/>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8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68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788"/>
          </w:tcPr>
          <w:p>
            <w:pPr>
              <w:pStyle w:val="Compact"/>
              <w:spacing w:line="276" w:lineRule="auto" w:before="40" w:after="40"/>
            </w:pPr>
            <w:r>
              <w:rPr>
                <w:rFonts w:ascii="Liberation Sans Narrow" w:hAnsi="Liberation Sans Narrow"/>
                <w:sz w:val="18"/>
              </w:rPr>
              <w:t xml:space="preserve">Caput — ato que não configura renúncia nem aceitação tácita</w:t>
            </w:r>
          </w:p>
        </w:tc>
        <w:tc>
          <w:tcPr>
            <w:tcW w:type="dxa" w:w="2881"/>
          </w:tcPr>
          <w:p>
            <w:pPr>
              <w:pStyle w:val="Compact"/>
              <w:spacing w:line="276" w:lineRule="auto" w:before="40" w:after="40"/>
            </w:pPr>
            <w:r>
              <w:rPr>
                <w:rFonts w:ascii="Liberation Sans Narrow" w:hAnsi="Liberation Sans Narrow"/>
                <w:sz w:val="18"/>
              </w:rPr>
              <w:t xml:space="preserve">STJ, AgInt no AREsp 1.889.947, Quarta Turma, relator Min. Raul Araújo, julgado em 12/08/2026</w:t>
            </w:r>
          </w:p>
        </w:tc>
        <w:tc>
          <w:tcPr>
            <w:tcW w:type="dxa" w:w="4685"/>
          </w:tcPr>
          <w:p>
            <w:pPr>
              <w:pStyle w:val="Compact"/>
              <w:spacing w:line="276" w:lineRule="auto" w:before="40" w:after="40"/>
            </w:pPr>
            <w:r>
              <w:rPr>
                <w:rFonts w:ascii="Liberation Sans Narrow" w:hAnsi="Liberation Sans Narrow"/>
                <w:sz w:val="18"/>
              </w:rPr>
              <w:t xml:space="preserve">O pedido de dilação de prazo para cumprimento de sentença sujeita a apelação com efeito suspensivo automático não configura, por si só, aceitação tácita da decisão nem implica renúncia ao direito de recorrer.</w:t>
            </w:r>
          </w:p>
        </w:tc>
      </w:tr>
      <w:tr>
        <w:trPr>
          <w:cantSplit/>
        </w:trPr>
        <w:tc>
          <w:tcPr>
            <w:tcW w:type="dxa" w:w="1788"/>
          </w:tcPr>
          <w:p>
            <w:pPr>
              <w:pStyle w:val="Compact"/>
              <w:spacing w:line="276" w:lineRule="auto" w:before="40" w:after="40"/>
            </w:pPr>
            <w:r>
              <w:rPr>
                <w:rFonts w:ascii="Liberation Sans Narrow" w:hAnsi="Liberation Sans Narrow"/>
                <w:sz w:val="18"/>
              </w:rPr>
              <w:t xml:space="preserve">Caput — renúncia ao direito de recorrer</w:t>
            </w:r>
          </w:p>
        </w:tc>
        <w:tc>
          <w:tcPr>
            <w:tcW w:type="dxa" w:w="2881"/>
          </w:tcPr>
          <w:p>
            <w:pPr>
              <w:pStyle w:val="Compact"/>
              <w:spacing w:line="276" w:lineRule="auto" w:before="40" w:after="40"/>
            </w:pPr>
            <w:r>
              <w:rPr>
                <w:rFonts w:ascii="Liberation Sans Narrow" w:hAnsi="Liberation Sans Narrow"/>
                <w:sz w:val="18"/>
              </w:rPr>
              <w:t xml:space="preserve">STJ, AgInt no AREsp 2.146.524, Segunda Turma, relatora Min. Assusete Magalhães, DJe de 29/08/2023</w:t>
            </w:r>
          </w:p>
        </w:tc>
        <w:tc>
          <w:tcPr>
            <w:tcW w:type="dxa" w:w="4685"/>
          </w:tcPr>
          <w:p>
            <w:pPr>
              <w:pStyle w:val="Compact"/>
              <w:spacing w:line="276" w:lineRule="auto" w:before="40" w:after="40"/>
            </w:pPr>
            <w:r>
              <w:rPr>
                <w:rFonts w:ascii="Liberation Sans Narrow" w:hAnsi="Liberation Sans Narrow"/>
                <w:sz w:val="18"/>
              </w:rPr>
              <w:t xml:space="preserve">A renúncia ao direito de recorrer independe da aceitação da outra parte e produz preclusão lógica, impedindo o exame de recurso posterior (arts. 999 e 1.000).</w:t>
            </w:r>
          </w:p>
        </w:tc>
      </w:tr>
    </w:tbl>
    <w:bookmarkEnd w:id="831"/>
    <w:bookmarkStart w:id="832" w:name="art.-1000"/>
    <w:p>
      <w:pPr>
        <w:pStyle w:val="Heading6"/>
        <w:pBdr>
          <w:left w:val="single" w:sz="36" w:space="4" w:color="2E75B6"/>
        </w:pBdr>
        <w:shd w:val="clear" w:color="auto" w:fill="E3EEF9"/>
        <w:spacing w:before="200" w:after="80"/>
        <w:ind w:left="85"/>
      </w:pPr>
      <w:r>
        <w:rPr>
          <w:i w:val="0"/>
          <w:color w:val="1F3A5F"/>
          <w:sz w:val="23"/>
        </w:rPr>
        <w:t xml:space="preserve">Art. 1000</w:t>
      </w:r>
    </w:p>
    <w:p>
      <w:pPr>
        <w:pStyle w:val="FirstParagraph"/>
        <w:spacing w:after="80"/>
        <w:jc w:val="both"/>
      </w:pPr>
      <w:r>
        <w:rPr>
          <w:b/>
          <w:bCs/>
        </w:rPr>
        <w:t xml:space="preserve">Art. 1000.</w:t>
      </w:r>
      <w:r>
        <w:t xml:space="preserve"> </w:t>
      </w:r>
      <w:r>
        <w:t xml:space="preserve">A parte que aceitar expressa ou tacitamente a decisão não poderá recorrer.</w:t>
      </w:r>
    </w:p>
    <w:p>
      <w:pPr>
        <w:pStyle w:val="BodyText"/>
        <w:spacing w:after="80"/>
        <w:jc w:val="both"/>
      </w:pPr>
      <w:r>
        <w:t xml:space="preserve">Parágrafo único. Considera-se aceitação tácita a prática, sem nenhuma reserva, de ato incompatível com a vontade de recorrer.</w:t>
      </w:r>
    </w:p>
    <w:bookmarkEnd w:id="832"/>
    <w:bookmarkStart w:id="833" w:name="art.-1001"/>
    <w:p>
      <w:pPr>
        <w:pStyle w:val="Heading6"/>
        <w:pBdr>
          <w:left w:val="single" w:sz="36" w:space="4" w:color="2E75B6"/>
        </w:pBdr>
        <w:shd w:val="clear" w:color="auto" w:fill="E3EEF9"/>
        <w:spacing w:before="200" w:after="80"/>
        <w:ind w:left="85"/>
      </w:pPr>
      <w:r>
        <w:rPr>
          <w:i w:val="0"/>
          <w:color w:val="1F3A5F"/>
          <w:sz w:val="23"/>
        </w:rPr>
        <w:t xml:space="preserve">Art. 1001</w:t>
      </w:r>
    </w:p>
    <w:p>
      <w:pPr>
        <w:pStyle w:val="FirstParagraph"/>
        <w:keepNext/>
        <w:spacing w:after="80"/>
        <w:jc w:val="both"/>
      </w:pPr>
      <w:r>
        <w:rPr>
          <w:b/>
          <w:bCs/>
        </w:rPr>
        <w:t xml:space="preserve">Art. 1001.</w:t>
      </w:r>
      <w:r>
        <w:t xml:space="preserve"> </w:t>
      </w:r>
      <w:r>
        <w:t xml:space="preserve">Dos despachos não cabe recurso.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404"/>
        <w:gridCol w:w="2890"/>
        <w:gridCol w:w="4060"/>
      </w:tblGrid>
      <w:tr>
        <w:trPr>
          <w:tblHeader w:val="on"/>
          <w:cantSplit/>
          <w:tblHeader/>
        </w:trPr>
        <w:tc>
          <w:tcPr>
            <w:tcW w:type="dxa" w:w="2404"/>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9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06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404"/>
          </w:tcPr>
          <w:p>
            <w:pPr>
              <w:pStyle w:val="Compact"/>
              <w:spacing w:line="276" w:lineRule="auto" w:before="40" w:after="40"/>
            </w:pPr>
            <w:r>
              <w:rPr>
                <w:rFonts w:ascii="Liberation Sans Narrow" w:hAnsi="Liberation Sans Narrow"/>
                <w:sz w:val="18"/>
              </w:rPr>
              <w:t xml:space="preserve">Caput — irrecorribilidade do despacho de sobrestamento</w:t>
            </w:r>
          </w:p>
        </w:tc>
        <w:tc>
          <w:tcPr>
            <w:tcW w:type="dxa" w:w="2890"/>
          </w:tcPr>
          <w:p>
            <w:pPr>
              <w:pStyle w:val="Compact"/>
              <w:spacing w:line="276" w:lineRule="auto" w:before="40" w:after="40"/>
            </w:pPr>
            <w:r>
              <w:rPr>
                <w:rFonts w:ascii="Liberation Sans Narrow" w:hAnsi="Liberation Sans Narrow"/>
                <w:sz w:val="18"/>
              </w:rPr>
              <w:t xml:space="preserve">STJ, AgInt no AREsp 549.286, Terceira Turma, relator Min. Carlos Cini Marchionatti (Desembargador Convocado Tjrs)</w:t>
            </w:r>
          </w:p>
        </w:tc>
        <w:tc>
          <w:tcPr>
            <w:tcW w:type="dxa" w:w="4060"/>
          </w:tcPr>
          <w:p>
            <w:pPr>
              <w:pStyle w:val="Compact"/>
              <w:spacing w:line="276" w:lineRule="auto" w:before="40" w:after="40"/>
            </w:pPr>
            <w:r>
              <w:rPr>
                <w:rFonts w:ascii="Liberation Sans Narrow" w:hAnsi="Liberation Sans Narrow"/>
                <w:sz w:val="18"/>
              </w:rPr>
              <w:t xml:space="preserve">A decisão que determina o sobrestamento do processo em razão do reconhecimento de repercussão geral não possui cunho decisório: é mero ato procedimental e, portanto, irrecorrível.</w:t>
            </w:r>
          </w:p>
        </w:tc>
      </w:tr>
      <w:tr>
        <w:trPr>
          <w:cantSplit/>
        </w:trPr>
        <w:tc>
          <w:tcPr>
            <w:tcW w:type="dxa" w:w="2404"/>
          </w:tcPr>
          <w:p>
            <w:pPr>
              <w:pStyle w:val="Compact"/>
              <w:spacing w:line="276" w:lineRule="auto" w:before="40" w:after="40"/>
            </w:pPr>
            <w:r>
              <w:rPr>
                <w:rFonts w:ascii="Liberation Sans Narrow" w:hAnsi="Liberation Sans Narrow"/>
                <w:sz w:val="18"/>
              </w:rPr>
              <w:t xml:space="preserve">Caput — irrecorribilidade dos despachos</w:t>
            </w:r>
          </w:p>
        </w:tc>
        <w:tc>
          <w:tcPr>
            <w:tcW w:type="dxa" w:w="2890"/>
          </w:tcPr>
          <w:p>
            <w:pPr>
              <w:pStyle w:val="Compact"/>
              <w:spacing w:line="276" w:lineRule="auto" w:before="40" w:after="40"/>
            </w:pPr>
            <w:r>
              <w:rPr>
                <w:rFonts w:ascii="Liberation Sans Narrow" w:hAnsi="Liberation Sans Narrow"/>
                <w:sz w:val="18"/>
              </w:rPr>
              <w:t xml:space="preserve">STJ, AgInt no AREsp 1.854.995, Terceira Turma, relatora Min. Nancy Andrighi, DJe de 22/09/2021</w:t>
            </w:r>
          </w:p>
        </w:tc>
        <w:tc>
          <w:tcPr>
            <w:tcW w:type="dxa" w:w="4060"/>
          </w:tcPr>
          <w:p>
            <w:pPr>
              <w:pStyle w:val="Compact"/>
              <w:spacing w:line="276" w:lineRule="auto" w:before="40" w:after="40"/>
            </w:pPr>
            <w:r>
              <w:rPr>
                <w:rFonts w:ascii="Liberation Sans Narrow" w:hAnsi="Liberation Sans Narrow"/>
                <w:sz w:val="18"/>
              </w:rPr>
              <w:t xml:space="preserve">O provimento jurisdicional sem conteúdo decisório capaz de gerar prejuízo às partes é despacho, irrecorrível na forma do art. 1.001.</w:t>
            </w:r>
          </w:p>
        </w:tc>
      </w:tr>
    </w:tbl>
    <w:bookmarkEnd w:id="833"/>
    <w:bookmarkStart w:id="834" w:name="art.-1002"/>
    <w:p>
      <w:pPr>
        <w:pStyle w:val="Heading6"/>
        <w:pBdr>
          <w:left w:val="single" w:sz="36" w:space="4" w:color="2E75B6"/>
        </w:pBdr>
        <w:shd w:val="clear" w:color="auto" w:fill="E3EEF9"/>
        <w:spacing w:before="200" w:after="80"/>
        <w:ind w:left="85"/>
      </w:pPr>
      <w:r>
        <w:rPr>
          <w:i w:val="0"/>
          <w:color w:val="1F3A5F"/>
          <w:sz w:val="23"/>
        </w:rPr>
        <w:t xml:space="preserve">Art. 1002</w:t>
      </w:r>
    </w:p>
    <w:p>
      <w:pPr>
        <w:pStyle w:val="FirstParagraph"/>
        <w:keepNext/>
        <w:spacing w:after="80"/>
        <w:jc w:val="both"/>
      </w:pPr>
      <w:r>
        <w:rPr>
          <w:b/>
          <w:bCs/>
        </w:rPr>
        <w:t xml:space="preserve">Art. 1002.</w:t>
      </w:r>
      <w:r>
        <w:t xml:space="preserve"> </w:t>
      </w:r>
      <w:r>
        <w:t xml:space="preserve">A decisão pode ser impugnada no todo ou em parte.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61"/>
        <w:gridCol w:w="3010"/>
        <w:gridCol w:w="4183"/>
      </w:tblGrid>
      <w:tr>
        <w:trPr>
          <w:tblHeader w:val="on"/>
          <w:cantSplit/>
          <w:tblHeader/>
        </w:trPr>
        <w:tc>
          <w:tcPr>
            <w:tcW w:type="dxa" w:w="216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01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18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161"/>
          </w:tcPr>
          <w:p>
            <w:pPr>
              <w:pStyle w:val="Compact"/>
              <w:spacing w:line="276" w:lineRule="auto" w:before="40" w:after="40"/>
            </w:pPr>
            <w:r>
              <w:rPr>
                <w:rFonts w:ascii="Liberation Sans Narrow" w:hAnsi="Liberation Sans Narrow"/>
                <w:sz w:val="18"/>
              </w:rPr>
              <w:t xml:space="preserve">Caput — impugnação parcial e preclusão do capítulo não impugnado</w:t>
            </w:r>
          </w:p>
        </w:tc>
        <w:tc>
          <w:tcPr>
            <w:tcW w:type="dxa" w:w="3010"/>
          </w:tcPr>
          <w:p>
            <w:pPr>
              <w:pStyle w:val="Compact"/>
              <w:spacing w:line="276" w:lineRule="auto" w:before="40" w:after="40"/>
            </w:pPr>
            <w:r>
              <w:rPr>
                <w:rFonts w:ascii="Liberation Sans Narrow" w:hAnsi="Liberation Sans Narrow"/>
                <w:sz w:val="18"/>
              </w:rPr>
              <w:t xml:space="preserve">STJ, AgInt no AREsp 2.991.121, Primeira Turma, relator Min. Paulo Sérgio Domingues, julgado em 12/08/2026</w:t>
            </w:r>
          </w:p>
        </w:tc>
        <w:tc>
          <w:tcPr>
            <w:tcW w:type="dxa" w:w="4183"/>
          </w:tcPr>
          <w:p>
            <w:pPr>
              <w:pStyle w:val="Compact"/>
              <w:spacing w:line="276" w:lineRule="auto" w:before="40" w:after="40"/>
            </w:pPr>
            <w:r>
              <w:rPr>
                <w:rFonts w:ascii="Liberation Sans Narrow" w:hAnsi="Liberation Sans Narrow"/>
                <w:sz w:val="18"/>
              </w:rPr>
              <w:t xml:space="preserve">A ausência de impugnação de capítulo autônomo da decisão agravada acarreta a preclusão da matéria não impugnada, não incidindo, nessa hipótese, a Súmula 182 do STJ.</w:t>
            </w:r>
          </w:p>
        </w:tc>
      </w:tr>
    </w:tbl>
    <w:bookmarkEnd w:id="834"/>
    <w:bookmarkStart w:id="835" w:name="art.-1003"/>
    <w:p>
      <w:pPr>
        <w:pStyle w:val="Heading6"/>
        <w:pBdr>
          <w:left w:val="single" w:sz="36" w:space="4" w:color="2E75B6"/>
        </w:pBdr>
        <w:shd w:val="clear" w:color="auto" w:fill="E3EEF9"/>
        <w:spacing w:before="200" w:after="80"/>
        <w:ind w:left="85"/>
      </w:pPr>
      <w:r>
        <w:rPr>
          <w:i w:val="0"/>
          <w:color w:val="1F3A5F"/>
          <w:sz w:val="23"/>
        </w:rPr>
        <w:t xml:space="preserve">Art. 1003</w:t>
      </w:r>
    </w:p>
    <w:p>
      <w:pPr>
        <w:pStyle w:val="FirstParagraph"/>
        <w:keepNext/>
        <w:spacing w:after="80"/>
        <w:jc w:val="both"/>
      </w:pPr>
      <w:r>
        <w:rPr>
          <w:b/>
          <w:bCs/>
        </w:rPr>
        <w:t xml:space="preserve">Art. 1003.</w:t>
      </w:r>
      <w:r>
        <w:t xml:space="preserve"> </w:t>
      </w:r>
      <w:r>
        <w:t xml:space="preserve">O prazo para interposição de recurso conta-se da data em que os advogados, a sociedade de advogados, a Advocacia Pública, a Defensoria Pública ou o Ministério Público são intimados da decisão.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685"/>
        <w:gridCol w:w="2440"/>
        <w:gridCol w:w="4229"/>
      </w:tblGrid>
      <w:tr>
        <w:trPr>
          <w:tblHeader w:val="on"/>
          <w:cantSplit/>
          <w:tblHeader/>
        </w:trPr>
        <w:tc>
          <w:tcPr>
            <w:tcW w:type="dxa" w:w="268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44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22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685"/>
          </w:tcPr>
          <w:p>
            <w:pPr>
              <w:pStyle w:val="Compact"/>
              <w:spacing w:line="276" w:lineRule="auto" w:before="40" w:after="40"/>
            </w:pPr>
            <w:r>
              <w:rPr>
                <w:rFonts w:ascii="Liberation Sans Narrow" w:hAnsi="Liberation Sans Narrow"/>
                <w:sz w:val="18"/>
              </w:rPr>
              <w:t xml:space="preserve">Caput — termo inicial do prazo do Ministério Público e da Defensoria Pública: entrega dos autos na repartição administrativa</w:t>
            </w:r>
          </w:p>
        </w:tc>
        <w:tc>
          <w:tcPr>
            <w:tcW w:type="dxa" w:w="2440"/>
          </w:tcPr>
          <w:p>
            <w:pPr>
              <w:pStyle w:val="Compact"/>
              <w:spacing w:line="276" w:lineRule="auto" w:before="40" w:after="40"/>
            </w:pPr>
            <w:r>
              <w:rPr>
                <w:rFonts w:ascii="Liberation Sans Narrow" w:hAnsi="Liberation Sans Narrow"/>
                <w:sz w:val="18"/>
              </w:rPr>
              <w:t xml:space="preserve">STJ, AgRg no REsp 2.199.508, Sexta Turma, relator Min. Rogerio Schietti Cruz</w:t>
            </w:r>
          </w:p>
        </w:tc>
        <w:tc>
          <w:tcPr>
            <w:tcW w:type="dxa" w:w="4229"/>
          </w:tcPr>
          <w:p>
            <w:pPr>
              <w:pStyle w:val="Compact"/>
              <w:spacing w:line="276" w:lineRule="auto" w:before="40" w:after="40"/>
            </w:pPr>
            <w:r>
              <w:rPr>
                <w:rFonts w:ascii="Liberation Sans Narrow" w:hAnsi="Liberation Sans Narrow"/>
                <w:sz w:val="18"/>
              </w:rPr>
              <w:t xml:space="preserve">Para o Ministério Público e para a Defensoria Pública, o termo inicial da contagem do prazo para impugnar decisão judicial é a data da entrega dos autos na repartição administrativa do órgão, sendo irrelevante que a intimação pessoal tenha se dado em audiência, em cartório ou por mandado (Tema 959), entendimento aplicável ao procedimento do Tribunal do Júri.</w:t>
            </w:r>
          </w:p>
        </w:tc>
      </w:tr>
      <w:tr>
        <w:trPr>
          <w:cantSplit/>
        </w:trPr>
        <w:tc>
          <w:tcPr>
            <w:tcW w:type="dxa" w:w="2685"/>
          </w:tcPr>
          <w:p>
            <w:pPr>
              <w:pStyle w:val="Compact"/>
              <w:spacing w:line="276" w:lineRule="auto" w:before="40" w:after="40"/>
            </w:pPr>
            <w:r>
              <w:rPr>
                <w:rFonts w:ascii="Liberation Sans Narrow" w:hAnsi="Liberation Sans Narrow"/>
                <w:sz w:val="18"/>
              </w:rPr>
              <w:t xml:space="preserve">Caput — termo inicial do prazo recursal: intimação (aplicação narrada)</w:t>
            </w:r>
          </w:p>
        </w:tc>
        <w:tc>
          <w:tcPr>
            <w:tcW w:type="dxa" w:w="2440"/>
          </w:tcPr>
          <w:p>
            <w:pPr>
              <w:pStyle w:val="Compact"/>
              <w:spacing w:line="276" w:lineRule="auto" w:before="40" w:after="40"/>
            </w:pPr>
            <w:r>
              <w:rPr>
                <w:rFonts w:ascii="Liberation Sans Narrow" w:hAnsi="Liberation Sans Narrow"/>
                <w:sz w:val="18"/>
              </w:rPr>
              <w:t xml:space="preserve">STJ, REsp 2.166.486, Terceira Turma, relator Min. Ricardo Villas Bôas Cueva, julgado em 12/08/2026</w:t>
            </w:r>
          </w:p>
        </w:tc>
        <w:tc>
          <w:tcPr>
            <w:tcW w:type="dxa" w:w="4229"/>
          </w:tcPr>
          <w:p>
            <w:pPr>
              <w:pStyle w:val="Compact"/>
              <w:spacing w:line="276" w:lineRule="auto" w:before="40" w:after="40"/>
            </w:pPr>
            <w:r>
              <w:rPr>
                <w:rFonts w:ascii="Liberation Sans Narrow" w:hAnsi="Liberation Sans Narrow"/>
                <w:sz w:val="18"/>
              </w:rPr>
              <w:t xml:space="preserve">No processo eletrônico, o prazo recursal conta-se da intimação formal, presumindo-se a ciência de todo o conteúdo do processo; a juntada de substabelecimento não equivale à ciência da decisão nem deflagra o prazo. Trecho: “No processo eletrônico, a ciência pessoal de todo o conteúdo do processo é presumida com a intimação formal, somente sendo excepcionada na hipótese de juntada de petição cujo conteúdo revele a indispensável ciência de todo o conteúdo decisório.”</w:t>
            </w:r>
          </w:p>
        </w:tc>
      </w:tr>
    </w:tbl>
    <w:p>
      <w:pPr>
        <w:pStyle w:val="BodyText"/>
        <w:spacing w:after="80"/>
        <w:jc w:val="both"/>
      </w:pPr>
      <w:r>
        <w:t xml:space="preserve">§ 1º Os sujeitos previstos no caput considerar-se-ão intimados em audiência quando nesta for proferida a decisão.</w:t>
      </w:r>
    </w:p>
    <w:p>
      <w:pPr>
        <w:pStyle w:val="BodyText"/>
        <w:spacing w:after="80"/>
        <w:jc w:val="both"/>
      </w:pPr>
      <w:r>
        <w:t xml:space="preserve">§ 2º Aplica-se o disposto no art. 231, incisos I a VI, ao prazo de interposição de recurso pelo réu contra decisão proferida anteriormente à citação.</w:t>
      </w:r>
    </w:p>
    <w:p>
      <w:pPr>
        <w:pStyle w:val="BodyText"/>
        <w:spacing w:after="80"/>
        <w:jc w:val="both"/>
      </w:pPr>
      <w:r>
        <w:t xml:space="preserve">§ 3º No prazo para interposição de recurso, a petição será protocolada em cartório ou conforme as normas de organização judiciária, ressalvado o disposto em regra especial.</w:t>
      </w:r>
    </w:p>
    <w:p>
      <w:pPr>
        <w:pStyle w:val="BodyText"/>
        <w:spacing w:after="80"/>
        <w:jc w:val="both"/>
      </w:pPr>
      <w:r>
        <w:t xml:space="preserve">§ 4º Para aferição da tempestividade do recurso remetido pelo correio, será considerada como data de interposição a data de postagem.</w:t>
      </w:r>
    </w:p>
    <w:p>
      <w:pPr>
        <w:pStyle w:val="BodyText"/>
        <w:spacing w:after="80"/>
        <w:jc w:val="both"/>
      </w:pPr>
      <w:r>
        <w:t xml:space="preserve">§ 5º Excetuados os embargos de declaração, o prazo para interpor os recursos e para responder-lhes é de 15 (quinze) dias.</w:t>
      </w:r>
    </w:p>
    <w:p>
      <w:pPr>
        <w:pStyle w:val="BodyText"/>
        <w:spacing w:after="80"/>
        <w:jc w:val="both"/>
      </w:pPr>
      <w:r>
        <w:t xml:space="preserve">§ 6º O recorrente comprovará a ocorrência de feriado local no ato de interposição do recurso, e, se não o fizer, o tribunal determinará a correção do vício formal, ou poderá desconsiderá-lo caso a informação já conste do processo eletrônico. (Redação dada pela Lei nº 14.939, de 2024)</w:t>
      </w:r>
    </w:p>
    <w:bookmarkEnd w:id="835"/>
    <w:bookmarkStart w:id="836" w:name="art.-1004"/>
    <w:p>
      <w:pPr>
        <w:pStyle w:val="Heading6"/>
        <w:pBdr>
          <w:left w:val="single" w:sz="36" w:space="4" w:color="2E75B6"/>
        </w:pBdr>
        <w:shd w:val="clear" w:color="auto" w:fill="E3EEF9"/>
        <w:spacing w:before="200" w:after="80"/>
        <w:ind w:left="85"/>
      </w:pPr>
      <w:r>
        <w:rPr>
          <w:i w:val="0"/>
          <w:color w:val="1F3A5F"/>
          <w:sz w:val="23"/>
        </w:rPr>
        <w:t xml:space="preserve">Art. 1004</w:t>
      </w:r>
    </w:p>
    <w:p>
      <w:pPr>
        <w:pStyle w:val="FirstParagraph"/>
        <w:spacing w:after="80"/>
        <w:jc w:val="both"/>
      </w:pPr>
      <w:r>
        <w:rPr>
          <w:b/>
          <w:bCs/>
        </w:rPr>
        <w:t xml:space="preserve">Art. 1004.</w:t>
      </w:r>
      <w:r>
        <w:t xml:space="preserve"> </w:t>
      </w:r>
      <w:r>
        <w:t xml:space="preserve">Se, durante o prazo para a interposição do recurso, sobrevier o falecimento da parte ou de seu advogado ou ocorrer motivo de força maior que suspenda o curso do processo, será tal prazo restituído em proveito da parte, do herdeiro ou do sucessor, contra quem começará a correr novamente depois da intimação.</w:t>
      </w:r>
    </w:p>
    <w:bookmarkEnd w:id="836"/>
    <w:bookmarkStart w:id="837" w:name="art.-1005"/>
    <w:p>
      <w:pPr>
        <w:pStyle w:val="Heading6"/>
        <w:pBdr>
          <w:left w:val="single" w:sz="36" w:space="4" w:color="2E75B6"/>
        </w:pBdr>
        <w:shd w:val="clear" w:color="auto" w:fill="E3EEF9"/>
        <w:spacing w:before="200" w:after="80"/>
        <w:ind w:left="85"/>
      </w:pPr>
      <w:r>
        <w:rPr>
          <w:i w:val="0"/>
          <w:color w:val="1F3A5F"/>
          <w:sz w:val="23"/>
        </w:rPr>
        <w:t xml:space="preserve">Art. 1005</w:t>
      </w:r>
    </w:p>
    <w:p>
      <w:pPr>
        <w:pStyle w:val="FirstParagraph"/>
        <w:spacing w:after="80"/>
        <w:jc w:val="both"/>
      </w:pPr>
      <w:r>
        <w:rPr>
          <w:b/>
          <w:bCs/>
        </w:rPr>
        <w:t xml:space="preserve">Art. 1005.</w:t>
      </w:r>
      <w:r>
        <w:t xml:space="preserve"> </w:t>
      </w:r>
      <w:r>
        <w:t xml:space="preserve">O recurso interposto por um dos litisconsortes a todos aproveita, salvo se distintos ou opostos os seus interesses.</w:t>
      </w:r>
    </w:p>
    <w:p>
      <w:pPr>
        <w:pStyle w:val="BodyText"/>
        <w:spacing w:after="80"/>
        <w:jc w:val="both"/>
      </w:pPr>
      <w:r>
        <w:t xml:space="preserve">Parágrafo único. Havendo solidariedade passiva, o recurso interposto por um devedor aproveitará aos outros quando as defesas opostas ao credor lhes forem comuns.</w:t>
      </w:r>
    </w:p>
    <w:bookmarkEnd w:id="837"/>
    <w:bookmarkStart w:id="838" w:name="art.-1006"/>
    <w:p>
      <w:pPr>
        <w:pStyle w:val="Heading6"/>
        <w:pBdr>
          <w:left w:val="single" w:sz="36" w:space="4" w:color="2E75B6"/>
        </w:pBdr>
        <w:shd w:val="clear" w:color="auto" w:fill="E3EEF9"/>
        <w:spacing w:before="200" w:after="80"/>
        <w:ind w:left="85"/>
      </w:pPr>
      <w:r>
        <w:rPr>
          <w:i w:val="0"/>
          <w:color w:val="1F3A5F"/>
          <w:sz w:val="23"/>
        </w:rPr>
        <w:t xml:space="preserve">Art. 1006</w:t>
      </w:r>
    </w:p>
    <w:p>
      <w:pPr>
        <w:pStyle w:val="FirstParagraph"/>
        <w:keepNext/>
        <w:spacing w:after="80"/>
        <w:jc w:val="both"/>
      </w:pPr>
      <w:r>
        <w:rPr>
          <w:b/>
          <w:bCs/>
        </w:rPr>
        <w:t xml:space="preserve">Art. 1006.</w:t>
      </w:r>
      <w:r>
        <w:t xml:space="preserve"> </w:t>
      </w:r>
      <w:r>
        <w:t xml:space="preserve">Certificado o trânsito em julgado, com menção expressa da data de sua ocorrência, o escrivão ou o chefe de secretaria, independentemente de despacho, providenciará a baixa dos autos ao juízo de origem, no prazo de 5 (cinco) dias.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457"/>
        <w:gridCol w:w="2480"/>
        <w:gridCol w:w="4417"/>
      </w:tblGrid>
      <w:tr>
        <w:trPr>
          <w:tblHeader w:val="on"/>
          <w:cantSplit/>
          <w:tblHeader/>
        </w:trPr>
        <w:tc>
          <w:tcPr>
            <w:tcW w:type="dxa" w:w="2457"/>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48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417"/>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457"/>
          </w:tcPr>
          <w:p>
            <w:pPr>
              <w:pStyle w:val="Compact"/>
              <w:spacing w:line="276" w:lineRule="auto" w:before="40" w:after="40"/>
            </w:pPr>
            <w:r>
              <w:rPr>
                <w:rFonts w:ascii="Liberation Sans Narrow" w:hAnsi="Liberation Sans Narrow"/>
                <w:sz w:val="18"/>
              </w:rPr>
              <w:t xml:space="preserve">Caput — certificado o trânsito em julgado, não se conhece de recurso interposto depois</w:t>
            </w:r>
          </w:p>
        </w:tc>
        <w:tc>
          <w:tcPr>
            <w:tcW w:type="dxa" w:w="2480"/>
          </w:tcPr>
          <w:p>
            <w:pPr>
              <w:pStyle w:val="Compact"/>
              <w:spacing w:line="276" w:lineRule="auto" w:before="40" w:after="40"/>
            </w:pPr>
            <w:r>
              <w:rPr>
                <w:rFonts w:ascii="Liberation Sans Narrow" w:hAnsi="Liberation Sans Narrow"/>
                <w:sz w:val="18"/>
              </w:rPr>
              <w:t xml:space="preserve">STJ, AgInt no AREsp 2.560.051, Segunda Turma, relator Min. Mauro Campbell Marques</w:t>
            </w:r>
          </w:p>
        </w:tc>
        <w:tc>
          <w:tcPr>
            <w:tcW w:type="dxa" w:w="4417"/>
          </w:tcPr>
          <w:p>
            <w:pPr>
              <w:pStyle w:val="Compact"/>
              <w:spacing w:line="276" w:lineRule="auto" w:before="40" w:after="40"/>
            </w:pPr>
            <w:r>
              <w:rPr>
                <w:rFonts w:ascii="Liberation Sans Narrow" w:hAnsi="Liberation Sans Narrow"/>
                <w:sz w:val="18"/>
              </w:rPr>
              <w:t xml:space="preserve">Não é possível conhecer do agravo interno interposto em momento posterior à certidão de trânsito em julgado da decisão monocrática que não conheceu do agravo em recurso especial.</w:t>
            </w:r>
          </w:p>
        </w:tc>
      </w:tr>
      <w:tr>
        <w:trPr>
          <w:cantSplit/>
        </w:trPr>
        <w:tc>
          <w:tcPr>
            <w:tcW w:type="dxa" w:w="2457"/>
          </w:tcPr>
          <w:p>
            <w:pPr>
              <w:pStyle w:val="Compact"/>
              <w:spacing w:line="276" w:lineRule="auto" w:before="40" w:after="40"/>
            </w:pPr>
            <w:r>
              <w:rPr>
                <w:rFonts w:ascii="Liberation Sans Narrow" w:hAnsi="Liberation Sans Narrow"/>
                <w:sz w:val="18"/>
              </w:rPr>
              <w:t xml:space="preserve">Caput — certidão de trânsito em julgado e baixa dos autos (aplicação narrada)</w:t>
            </w:r>
          </w:p>
        </w:tc>
        <w:tc>
          <w:tcPr>
            <w:tcW w:type="dxa" w:w="2480"/>
          </w:tcPr>
          <w:p>
            <w:pPr>
              <w:pStyle w:val="Compact"/>
              <w:spacing w:line="276" w:lineRule="auto" w:before="40" w:after="40"/>
            </w:pPr>
            <w:r>
              <w:rPr>
                <w:rFonts w:ascii="Liberation Sans Narrow" w:hAnsi="Liberation Sans Narrow"/>
                <w:sz w:val="18"/>
              </w:rPr>
              <w:t xml:space="preserve">STJ, AREsp 3.165.006, Terceira Turma, relator Min. Moura Ribeiro, julgado em 22/06/2026</w:t>
            </w:r>
          </w:p>
        </w:tc>
        <w:tc>
          <w:tcPr>
            <w:tcW w:type="dxa" w:w="4417"/>
          </w:tcPr>
          <w:p>
            <w:pPr>
              <w:pStyle w:val="Compact"/>
              <w:spacing w:line="276" w:lineRule="auto" w:before="40" w:after="40"/>
            </w:pPr>
            <w:r>
              <w:rPr>
                <w:rFonts w:ascii="Liberation Sans Narrow" w:hAnsi="Liberation Sans Narrow"/>
                <w:sz w:val="18"/>
              </w:rPr>
              <w:t xml:space="preserve">A certidão de trânsito em julgado expedida com data equivocada pelo cartório judicial induz a parte a erro e não pode prejudicá-la: o erro da máquina judiciária não faz correr contra o exequente de boa-fé o prazo prescricional contado da data real. Trecho: “O tribunal de origem afastou a prescrição da pretensão executória ao reconhecer que a certidão expedida pelo cartório judicial atestou data de trânsito em julgado posterior à real, induzindo o exequente a erro quanto ao termo inicial do prazo quinquenal.”</w:t>
            </w:r>
          </w:p>
        </w:tc>
      </w:tr>
    </w:tbl>
    <w:bookmarkEnd w:id="838"/>
    <w:bookmarkStart w:id="839" w:name="art.-1007"/>
    <w:p>
      <w:pPr>
        <w:pStyle w:val="Heading6"/>
        <w:pBdr>
          <w:left w:val="single" w:sz="36" w:space="4" w:color="2E75B6"/>
        </w:pBdr>
        <w:shd w:val="clear" w:color="auto" w:fill="E3EEF9"/>
        <w:spacing w:before="200" w:after="80"/>
        <w:ind w:left="85"/>
      </w:pPr>
      <w:r>
        <w:rPr>
          <w:i w:val="0"/>
          <w:color w:val="1F3A5F"/>
          <w:sz w:val="23"/>
        </w:rPr>
        <w:t xml:space="preserve">Art. 1007</w:t>
      </w:r>
    </w:p>
    <w:p>
      <w:pPr>
        <w:pStyle w:val="FirstParagraph"/>
        <w:keepNext/>
        <w:spacing w:after="80"/>
        <w:jc w:val="both"/>
      </w:pPr>
      <w:r>
        <w:rPr>
          <w:b/>
          <w:bCs/>
        </w:rPr>
        <w:t xml:space="preserve">Art. 1007.</w:t>
      </w:r>
      <w:r>
        <w:t xml:space="preserve"> </w:t>
      </w:r>
      <w:r>
        <w:t xml:space="preserve">No ato de interposição do recurso, o recorrente comprovará, quando exigido pela legislação pertinente, o respectivo preparo, inclusive porte de remessa e de retorno, sob pena de deserção.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874"/>
        <w:gridCol w:w="2400"/>
        <w:gridCol w:w="5080"/>
      </w:tblGrid>
      <w:tr>
        <w:trPr>
          <w:tblHeader w:val="on"/>
          <w:cantSplit/>
          <w:tblHeader/>
        </w:trPr>
        <w:tc>
          <w:tcPr>
            <w:tcW w:type="dxa" w:w="1874"/>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40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08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874"/>
          </w:tcPr>
          <w:p>
            <w:pPr>
              <w:pStyle w:val="Compact"/>
              <w:spacing w:line="276" w:lineRule="auto" w:before="40" w:after="40"/>
            </w:pPr>
            <w:r>
              <w:rPr>
                <w:rFonts w:ascii="Liberation Sans Narrow" w:hAnsi="Liberation Sans Narrow"/>
                <w:sz w:val="18"/>
              </w:rPr>
              <w:t xml:space="preserve">Caput — preparo em recurso que discute a própria gratuidade</w:t>
            </w:r>
          </w:p>
        </w:tc>
        <w:tc>
          <w:tcPr>
            <w:tcW w:type="dxa" w:w="2400"/>
          </w:tcPr>
          <w:p>
            <w:pPr>
              <w:pStyle w:val="Compact"/>
              <w:spacing w:line="276" w:lineRule="auto" w:before="40" w:after="40"/>
            </w:pPr>
            <w:r>
              <w:rPr>
                <w:rFonts w:ascii="Liberation Sans Narrow" w:hAnsi="Liberation Sans Narrow"/>
                <w:sz w:val="18"/>
              </w:rPr>
              <w:t xml:space="preserve">STJ, AREsp 3.126.952, Terceira Turma, relator Min. Moura Ribeiro, julgado em 18/05/2026</w:t>
            </w:r>
          </w:p>
        </w:tc>
        <w:tc>
          <w:tcPr>
            <w:tcW w:type="dxa" w:w="5080"/>
          </w:tcPr>
          <w:p>
            <w:pPr>
              <w:pStyle w:val="Compact"/>
              <w:spacing w:line="276" w:lineRule="auto" w:before="40" w:after="40"/>
            </w:pPr>
            <w:r>
              <w:rPr>
                <w:rFonts w:ascii="Liberation Sans Narrow" w:hAnsi="Liberation Sans Narrow"/>
                <w:sz w:val="18"/>
              </w:rPr>
              <w:t xml:space="preserve">É desnecessário o recolhimento do preparo para a interposição de recurso que tenha como objeto a própria concessão da gratuidade de justiça, pois exigir o pagamento de quem alega não poder suportá-lo inviabiliza o acesso ao Poder Judiciário.</w:t>
            </w:r>
          </w:p>
        </w:tc>
      </w:tr>
    </w:tbl>
    <w:p>
      <w:pPr>
        <w:pStyle w:val="BodyText"/>
        <w:spacing w:after="80"/>
        <w:jc w:val="both"/>
      </w:pPr>
      <w:r>
        <w:t xml:space="preserve">§ 1º São dispensados de preparo, inclusive porte de remessa e de retorno, os recursos interpostos pelo Ministério Público, pela União, pelo Distrito Federal, pelos Estados, pelos Municípios, e respectivas autarquias, e pelos que gozam de isenção legal.</w:t>
      </w:r>
    </w:p>
    <w:p>
      <w:pPr>
        <w:pStyle w:val="BodyText"/>
        <w:keepNext/>
        <w:spacing w:after="80"/>
        <w:jc w:val="both"/>
      </w:pPr>
      <w:r>
        <w:t xml:space="preserve">§ 2º A insuficiência no valor do preparo, inclusive porte de remessa e de retorno, implicará deserção se o recorrente, intimado na pessoa de seu advogado, não vier a supri-lo no prazo de 5 (cinco) dias.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2493"/>
        <w:gridCol w:w="4957"/>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49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957"/>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 2º — insuficiência do preparo e intimação para complementar</w:t>
            </w:r>
          </w:p>
        </w:tc>
        <w:tc>
          <w:tcPr>
            <w:tcW w:type="dxa" w:w="2493"/>
          </w:tcPr>
          <w:p>
            <w:pPr>
              <w:pStyle w:val="Compact"/>
              <w:spacing w:line="276" w:lineRule="auto" w:before="40" w:after="40"/>
            </w:pPr>
            <w:r>
              <w:rPr>
                <w:rFonts w:ascii="Liberation Sans Narrow" w:hAnsi="Liberation Sans Narrow"/>
                <w:sz w:val="18"/>
              </w:rPr>
              <w:t xml:space="preserve">STJ, AgInt no REsp 2.164.298, Terceira Turma, relator Min. Moura Ribeiro, julgado em 16/03/2026</w:t>
            </w:r>
          </w:p>
        </w:tc>
        <w:tc>
          <w:tcPr>
            <w:tcW w:type="dxa" w:w="4957"/>
          </w:tcPr>
          <w:p>
            <w:pPr>
              <w:pStyle w:val="Compact"/>
              <w:spacing w:line="276" w:lineRule="auto" w:before="40" w:after="40"/>
            </w:pPr>
            <w:r>
              <w:rPr>
                <w:rFonts w:ascii="Liberation Sans Narrow" w:hAnsi="Liberation Sans Narrow"/>
                <w:sz w:val="18"/>
              </w:rPr>
              <w:t xml:space="preserve">A insuficiência no valor do preparo, inclusive porte de remessa e de retorno, implica deserção apenas se o recorrente, intimado na pessoa de seu advogado, não vier a supri-lo no prazo de cinco dias; o art. 101, § 2º, do CPC não afasta essa intimação.</w:t>
            </w:r>
          </w:p>
        </w:tc>
      </w:tr>
    </w:tbl>
    <w:p>
      <w:pPr>
        <w:pStyle w:val="BodyText"/>
        <w:keepNext/>
        <w:spacing w:after="80"/>
        <w:jc w:val="both"/>
      </w:pPr>
      <w:r>
        <w:t xml:space="preserve">§ 3º É dispensado o recolhimento do porte de remessa e de retorno no processo em autos eletrônicos.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44"/>
        <w:gridCol w:w="2817"/>
        <w:gridCol w:w="4293"/>
      </w:tblGrid>
      <w:tr>
        <w:trPr>
          <w:tblHeader w:val="on"/>
          <w:cantSplit/>
          <w:tblHeader/>
        </w:trPr>
        <w:tc>
          <w:tcPr>
            <w:tcW w:type="dxa" w:w="2244"/>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1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29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44"/>
          </w:tcPr>
          <w:p>
            <w:pPr>
              <w:pStyle w:val="Compact"/>
              <w:spacing w:line="276" w:lineRule="auto" w:before="40" w:after="40"/>
            </w:pPr>
            <w:r>
              <w:rPr>
                <w:rFonts w:ascii="Liberation Sans Narrow" w:hAnsi="Liberation Sans Narrow"/>
                <w:sz w:val="18"/>
              </w:rPr>
              <w:t xml:space="preserve">§ 3º — dispensa do porte de remessa e retorno em autos eletrônicos</w:t>
            </w:r>
          </w:p>
        </w:tc>
        <w:tc>
          <w:tcPr>
            <w:tcW w:type="dxa" w:w="2817"/>
          </w:tcPr>
          <w:p>
            <w:pPr>
              <w:pStyle w:val="Compact"/>
              <w:spacing w:line="276" w:lineRule="auto" w:before="40" w:after="40"/>
            </w:pPr>
            <w:r>
              <w:rPr>
                <w:rFonts w:ascii="Liberation Sans Narrow" w:hAnsi="Liberation Sans Narrow"/>
                <w:sz w:val="18"/>
              </w:rPr>
              <w:t xml:space="preserve">STJ, AREsp 2.664.432, Quarta Turma, relator Min. João Otávio de Noronha, julgado em 09/02/2026</w:t>
            </w:r>
          </w:p>
        </w:tc>
        <w:tc>
          <w:tcPr>
            <w:tcW w:type="dxa" w:w="4293"/>
          </w:tcPr>
          <w:p>
            <w:pPr>
              <w:pStyle w:val="Compact"/>
              <w:spacing w:line="276" w:lineRule="auto" w:before="40" w:after="40"/>
            </w:pPr>
            <w:r>
              <w:rPr>
                <w:rFonts w:ascii="Liberation Sans Narrow" w:hAnsi="Liberation Sans Narrow"/>
                <w:sz w:val="18"/>
              </w:rPr>
              <w:t xml:space="preserve">Em autos eletrônicos é dispensado o porte de remessa e retorno, conforme o art. 1.007, § 3º, do CPC, e a matéria não interfere na admissibilidade do recurso especial.</w:t>
            </w:r>
          </w:p>
        </w:tc>
      </w:tr>
    </w:tbl>
    <w:p>
      <w:pPr>
        <w:pStyle w:val="BodyText"/>
        <w:spacing w:after="80"/>
        <w:jc w:val="both"/>
      </w:pPr>
      <w:r>
        <w:t xml:space="preserve">§ 4º O recorrente que não comprovar, no ato de interposição do recurso, o recolhimento do preparo, inclusive porte de remessa e de retorno, será intimado, na pessoa de seu advogado, para realizar o recolhimento em dobro, sob pena de deserção.</w:t>
      </w:r>
    </w:p>
    <w:p>
      <w:pPr>
        <w:pStyle w:val="BodyText"/>
        <w:spacing w:after="80"/>
        <w:jc w:val="both"/>
      </w:pPr>
      <w:r>
        <w:t xml:space="preserve">§ 5º É vedada a complementação se houver insuficiência parcial do preparo, inclusive porte de remessa e de retorno, no recolhimento realizado na forma do § 4º.</w:t>
      </w:r>
    </w:p>
    <w:p>
      <w:pPr>
        <w:pStyle w:val="BodyText"/>
        <w:spacing w:after="80"/>
        <w:jc w:val="both"/>
      </w:pPr>
      <w:r>
        <w:t xml:space="preserve">§ 6º Provando o recorrente justo impedimento, o relator relevará a pena de deserção, por decisão irrecorrível, fixando-lhe prazo de 5 (cinco) dias para efetuar o preparo.</w:t>
      </w:r>
    </w:p>
    <w:p>
      <w:pPr>
        <w:pStyle w:val="BodyText"/>
        <w:spacing w:after="80"/>
        <w:jc w:val="both"/>
      </w:pPr>
      <w:r>
        <w:t xml:space="preserve">§ 7º O equívoco no preenchimento da guia de custas não implicará a aplicação da pena de deserção, cabendo ao relator, na hipótese de dúvida quanto ao recolhimento, intimar o recorrente para sanar o vício no prazo de 5 (cinco) dias.</w:t>
      </w:r>
    </w:p>
    <w:bookmarkEnd w:id="839"/>
    <w:bookmarkStart w:id="840" w:name="art.-1008"/>
    <w:p>
      <w:pPr>
        <w:pStyle w:val="Heading6"/>
        <w:pBdr>
          <w:left w:val="single" w:sz="36" w:space="4" w:color="2E75B6"/>
        </w:pBdr>
        <w:shd w:val="clear" w:color="auto" w:fill="E3EEF9"/>
        <w:spacing w:before="200" w:after="80"/>
        <w:ind w:left="85"/>
      </w:pPr>
      <w:r>
        <w:rPr>
          <w:i w:val="0"/>
          <w:color w:val="1F3A5F"/>
          <w:sz w:val="23"/>
        </w:rPr>
        <w:t xml:space="preserve">Art. 1008</w:t>
      </w:r>
    </w:p>
    <w:p>
      <w:pPr>
        <w:pStyle w:val="FirstParagraph"/>
        <w:spacing w:after="80"/>
        <w:jc w:val="both"/>
      </w:pPr>
      <w:r>
        <w:rPr>
          <w:b/>
          <w:bCs/>
        </w:rPr>
        <w:t xml:space="preserve">Art. 1008.</w:t>
      </w:r>
      <w:r>
        <w:t xml:space="preserve"> </w:t>
      </w:r>
      <w:r>
        <w:t xml:space="preserve">O julgamento proferido pelo tribunal substituirá a decisão impugnada no que tiver sido objeto de recurso.</w:t>
      </w:r>
    </w:p>
    <w:bookmarkEnd w:id="840"/>
    <w:bookmarkEnd w:id="841"/>
    <w:bookmarkStart w:id="847" w:name="X099c0d22a5e8b9ef257a980f4c33b745d6c37b7"/>
    <w:p>
      <w:pPr>
        <w:pStyle w:val="Heading4"/>
        <w:spacing w:before="160" w:after="40"/>
      </w:pPr>
      <w:r>
        <w:rPr>
          <w:smallCaps/>
          <w:color w:val="2E75B6"/>
        </w:rPr>
        <w:t xml:space="preserve">Capítulo II: da apelação (arts. 1010 a 1014)</w:t>
      </w:r>
    </w:p>
    <w:bookmarkStart w:id="842" w:name="art.-1010"/>
    <w:p>
      <w:pPr>
        <w:pStyle w:val="Heading6"/>
        <w:pBdr>
          <w:left w:val="single" w:sz="36" w:space="4" w:color="2E75B6"/>
        </w:pBdr>
        <w:shd w:val="clear" w:color="auto" w:fill="E3EEF9"/>
        <w:spacing w:before="200" w:after="80"/>
        <w:ind w:left="85"/>
      </w:pPr>
      <w:r>
        <w:rPr>
          <w:i w:val="0"/>
          <w:color w:val="1F3A5F"/>
          <w:sz w:val="23"/>
        </w:rPr>
        <w:t xml:space="preserve">Art. 1010</w:t>
      </w:r>
    </w:p>
    <w:p>
      <w:pPr>
        <w:pStyle w:val="FirstParagraph"/>
        <w:spacing w:after="80"/>
        <w:jc w:val="both"/>
      </w:pPr>
      <w:r>
        <w:rPr>
          <w:b/>
          <w:bCs/>
        </w:rPr>
        <w:t xml:space="preserve">Art. 1010.</w:t>
      </w:r>
      <w:r>
        <w:t xml:space="preserve"> </w:t>
      </w:r>
      <w:r>
        <w:t xml:space="preserve">A apelação, interposta por petição dirigida ao juízo de primeiro grau, conterá:</w:t>
      </w:r>
    </w:p>
    <w:p>
      <w:pPr>
        <w:pStyle w:val="BodyText"/>
        <w:spacing w:after="80"/>
        <w:jc w:val="both"/>
      </w:pPr>
      <w:r>
        <w:t xml:space="preserve">I - os nomes e a qualificação das partes;</w:t>
      </w:r>
    </w:p>
    <w:p>
      <w:pPr>
        <w:pStyle w:val="BodyText"/>
        <w:spacing w:after="80"/>
        <w:jc w:val="both"/>
      </w:pPr>
      <w:r>
        <w:t xml:space="preserve">II - a exposição do fato e do direito;</w:t>
      </w:r>
    </w:p>
    <w:p>
      <w:pPr>
        <w:pStyle w:val="BodyText"/>
        <w:spacing w:after="80"/>
        <w:jc w:val="both"/>
      </w:pPr>
      <w:r>
        <w:t xml:space="preserve">III - as razões do pedido de reforma ou de decretação de nulidade;</w:t>
      </w:r>
    </w:p>
    <w:p>
      <w:pPr>
        <w:pStyle w:val="BodyText"/>
        <w:spacing w:after="80"/>
        <w:jc w:val="both"/>
      </w:pPr>
      <w:r>
        <w:t xml:space="preserve">IV - o pedido de nova decisão.</w:t>
      </w:r>
    </w:p>
    <w:p>
      <w:pPr>
        <w:pStyle w:val="BodyText"/>
        <w:spacing w:after="80"/>
        <w:jc w:val="both"/>
      </w:pPr>
      <w:r>
        <w:t xml:space="preserve">§ 1º O apelado será intimado para apresentar contrarrazões no prazo de 15 (quinze) dias.</w:t>
      </w:r>
    </w:p>
    <w:p>
      <w:pPr>
        <w:pStyle w:val="BodyText"/>
        <w:spacing w:after="80"/>
        <w:jc w:val="both"/>
      </w:pPr>
      <w:r>
        <w:t xml:space="preserve">§ 2º Se o apelado interpuser apelação adesiva, o juiz intimará o apelante para apresentar contrarrazões.</w:t>
      </w:r>
    </w:p>
    <w:p>
      <w:pPr>
        <w:pStyle w:val="BodyText"/>
        <w:spacing w:after="80"/>
        <w:jc w:val="both"/>
      </w:pPr>
      <w:r>
        <w:t xml:space="preserve">§ 3º Após as formalidades previstas nos §§ 1º e 2º, os autos serão remetidos ao tribunal pelo juiz, independentemente de juízo de admissibilidade.</w:t>
      </w:r>
    </w:p>
    <w:bookmarkEnd w:id="842"/>
    <w:bookmarkStart w:id="843" w:name="art.-1011"/>
    <w:p>
      <w:pPr>
        <w:pStyle w:val="Heading6"/>
        <w:pBdr>
          <w:left w:val="single" w:sz="36" w:space="4" w:color="2E75B6"/>
        </w:pBdr>
        <w:shd w:val="clear" w:color="auto" w:fill="E3EEF9"/>
        <w:spacing w:before="200" w:after="80"/>
        <w:ind w:left="85"/>
      </w:pPr>
      <w:r>
        <w:rPr>
          <w:i w:val="0"/>
          <w:color w:val="1F3A5F"/>
          <w:sz w:val="23"/>
        </w:rPr>
        <w:t xml:space="preserve">Art. 1011</w:t>
      </w:r>
    </w:p>
    <w:p>
      <w:pPr>
        <w:pStyle w:val="FirstParagraph"/>
        <w:spacing w:after="80"/>
        <w:jc w:val="both"/>
      </w:pPr>
      <w:r>
        <w:rPr>
          <w:b/>
          <w:bCs/>
        </w:rPr>
        <w:t xml:space="preserve">Art. 1011.</w:t>
      </w:r>
      <w:r>
        <w:t xml:space="preserve"> </w:t>
      </w:r>
      <w:r>
        <w:t xml:space="preserve">Recebido o recurso de apelação no tribunal e distribuído imediatamente, o relator:</w:t>
      </w:r>
    </w:p>
    <w:p>
      <w:pPr>
        <w:pStyle w:val="BodyText"/>
        <w:spacing w:after="80"/>
        <w:jc w:val="both"/>
      </w:pPr>
      <w:r>
        <w:t xml:space="preserve">I - decidi-lo-á monocraticamente apenas nas hipóteses do art. 932, incisos III a V;</w:t>
      </w:r>
    </w:p>
    <w:p>
      <w:pPr>
        <w:pStyle w:val="BodyText"/>
        <w:spacing w:after="80"/>
        <w:jc w:val="both"/>
      </w:pPr>
      <w:r>
        <w:t xml:space="preserve">II - se não for o caso de decisão monocrática, elaborará seu voto para julgamento do recurso pelo órgão colegiado.</w:t>
      </w:r>
    </w:p>
    <w:bookmarkEnd w:id="843"/>
    <w:bookmarkStart w:id="844" w:name="art.-1012"/>
    <w:p>
      <w:pPr>
        <w:pStyle w:val="Heading6"/>
        <w:pBdr>
          <w:left w:val="single" w:sz="36" w:space="4" w:color="2E75B6"/>
        </w:pBdr>
        <w:shd w:val="clear" w:color="auto" w:fill="E3EEF9"/>
        <w:spacing w:before="200" w:after="80"/>
        <w:ind w:left="85"/>
      </w:pPr>
      <w:r>
        <w:rPr>
          <w:i w:val="0"/>
          <w:color w:val="1F3A5F"/>
          <w:sz w:val="23"/>
        </w:rPr>
        <w:t xml:space="preserve">Art. 1012</w:t>
      </w:r>
    </w:p>
    <w:p>
      <w:pPr>
        <w:pStyle w:val="FirstParagraph"/>
        <w:keepNext/>
        <w:spacing w:after="80"/>
        <w:jc w:val="both"/>
      </w:pPr>
      <w:r>
        <w:rPr>
          <w:b/>
          <w:bCs/>
        </w:rPr>
        <w:t xml:space="preserve">Art. 1012.</w:t>
      </w:r>
      <w:r>
        <w:t xml:space="preserve"> </w:t>
      </w:r>
      <w:r>
        <w:t xml:space="preserve">A apelação terá efeito suspensivo.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40"/>
        <w:gridCol w:w="2372"/>
        <w:gridCol w:w="4742"/>
      </w:tblGrid>
      <w:tr>
        <w:trPr>
          <w:tblHeader w:val="on"/>
          <w:cantSplit/>
          <w:tblHeader/>
        </w:trPr>
        <w:tc>
          <w:tcPr>
            <w:tcW w:type="dxa" w:w="2240"/>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37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4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40"/>
          </w:tcPr>
          <w:p>
            <w:pPr>
              <w:pStyle w:val="Compact"/>
              <w:spacing w:line="276" w:lineRule="auto" w:before="40" w:after="40"/>
            </w:pPr>
            <w:r>
              <w:rPr>
                <w:rFonts w:ascii="Liberation Sans Narrow" w:hAnsi="Liberation Sans Narrow"/>
                <w:sz w:val="18"/>
              </w:rPr>
              <w:t xml:space="preserve">Caput — o efeito suspensivo da apelação não impede medidas cautelares assecuratórias</w:t>
            </w:r>
          </w:p>
        </w:tc>
        <w:tc>
          <w:tcPr>
            <w:tcW w:type="dxa" w:w="2373"/>
          </w:tcPr>
          <w:p>
            <w:pPr>
              <w:pStyle w:val="Compact"/>
              <w:spacing w:line="276" w:lineRule="auto" w:before="40" w:after="40"/>
            </w:pPr>
            <w:r>
              <w:rPr>
                <w:rFonts w:ascii="Liberation Sans Narrow" w:hAnsi="Liberation Sans Narrow"/>
                <w:sz w:val="18"/>
              </w:rPr>
              <w:t xml:space="preserve">STJ, AREsp 2.505.336, Quarta Turma, relator Min. João Otávio de Noronha, julgado em 04/05/2026</w:t>
            </w:r>
          </w:p>
        </w:tc>
        <w:tc>
          <w:tcPr>
            <w:tcW w:type="dxa" w:w="4742"/>
          </w:tcPr>
          <w:p>
            <w:pPr>
              <w:pStyle w:val="Compact"/>
              <w:spacing w:line="276" w:lineRule="auto" w:before="40" w:after="40"/>
            </w:pPr>
            <w:r>
              <w:rPr>
                <w:rFonts w:ascii="Liberation Sans Narrow" w:hAnsi="Liberation Sans Narrow"/>
                <w:sz w:val="18"/>
              </w:rPr>
              <w:t xml:space="preserve">O efeito suspensivo da apelação não torna ilegais as medidas cautelares assecuratórias determinadas com fundamento no poder geral de cautela durante a pendência do recurso, quando presentes os seus requisitos; a providência não configura ofensa ao art. 1.012 do Código de Processo Civil.</w:t>
            </w:r>
          </w:p>
        </w:tc>
      </w:tr>
    </w:tbl>
    <w:p>
      <w:pPr>
        <w:pStyle w:val="BodyText"/>
        <w:spacing w:after="80"/>
        <w:jc w:val="both"/>
      </w:pPr>
      <w:r>
        <w:t xml:space="preserve">§ 1º Além de outras hipóteses previstas em lei, começa a produzir efeitos imediatamente após a sua publicação a sentença que:</w:t>
      </w:r>
    </w:p>
    <w:p>
      <w:pPr>
        <w:pStyle w:val="BodyText"/>
        <w:spacing w:after="80"/>
        <w:jc w:val="both"/>
      </w:pPr>
      <w:r>
        <w:t xml:space="preserve">I - homologa divisão ou demarcação de terras;</w:t>
      </w:r>
    </w:p>
    <w:p>
      <w:pPr>
        <w:pStyle w:val="BodyText"/>
        <w:spacing w:after="80"/>
        <w:jc w:val="both"/>
      </w:pPr>
      <w:r>
        <w:t xml:space="preserve">II - condena a pagar alimentos;</w:t>
      </w:r>
    </w:p>
    <w:p>
      <w:pPr>
        <w:pStyle w:val="BodyText"/>
        <w:spacing w:after="80"/>
        <w:jc w:val="both"/>
      </w:pPr>
      <w:r>
        <w:t xml:space="preserve">III - extingue sem resolução do mérito ou julga improcedentes os embargos do executado;</w:t>
      </w:r>
    </w:p>
    <w:p>
      <w:pPr>
        <w:pStyle w:val="BodyText"/>
        <w:spacing w:after="80"/>
        <w:jc w:val="both"/>
      </w:pPr>
      <w:r>
        <w:t xml:space="preserve">IV - julga procedente o pedido de instituição de arbitragem;</w:t>
      </w:r>
    </w:p>
    <w:p>
      <w:pPr>
        <w:pStyle w:val="BodyText"/>
        <w:keepNext/>
        <w:spacing w:after="80"/>
        <w:jc w:val="both"/>
      </w:pPr>
      <w:r>
        <w:t xml:space="preserve">V - confirma, concede ou revoga tutela provisória;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97"/>
        <w:gridCol w:w="2353"/>
        <w:gridCol w:w="4704"/>
      </w:tblGrid>
      <w:tr>
        <w:trPr>
          <w:tblHeader w:val="on"/>
          <w:cantSplit/>
          <w:tblHeader/>
        </w:trPr>
        <w:tc>
          <w:tcPr>
            <w:tcW w:type="dxa" w:w="2297"/>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35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0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97"/>
          </w:tcPr>
          <w:p>
            <w:pPr>
              <w:pStyle w:val="Compact"/>
              <w:spacing w:line="276" w:lineRule="auto" w:before="40" w:after="40"/>
            </w:pPr>
            <w:r>
              <w:rPr>
                <w:rFonts w:ascii="Liberation Sans Narrow" w:hAnsi="Liberation Sans Narrow"/>
                <w:sz w:val="18"/>
              </w:rPr>
              <w:t xml:space="preserve">§ 1º, V — sentença que confirma, concede ou revoga tutela provisória (aplicação narrada)</w:t>
            </w:r>
          </w:p>
        </w:tc>
        <w:tc>
          <w:tcPr>
            <w:tcW w:type="dxa" w:w="2353"/>
          </w:tcPr>
          <w:p>
            <w:pPr>
              <w:pStyle w:val="Compact"/>
              <w:spacing w:line="276" w:lineRule="auto" w:before="40" w:after="40"/>
            </w:pPr>
            <w:r>
              <w:rPr>
                <w:rFonts w:ascii="Liberation Sans Narrow" w:hAnsi="Liberation Sans Narrow"/>
                <w:sz w:val="18"/>
              </w:rPr>
              <w:t xml:space="preserve">STJ, AREsp 3.048.882, Quarta Turma, relator Min. João Otávio de Noronha, julgado em 30/06/2026</w:t>
            </w:r>
          </w:p>
        </w:tc>
        <w:tc>
          <w:tcPr>
            <w:tcW w:type="dxa" w:w="4703"/>
          </w:tcPr>
          <w:p>
            <w:pPr>
              <w:pStyle w:val="Compact"/>
              <w:spacing w:line="276" w:lineRule="auto" w:before="40" w:after="40"/>
            </w:pPr>
            <w:r>
              <w:rPr>
                <w:rFonts w:ascii="Liberation Sans Narrow" w:hAnsi="Liberation Sans Narrow"/>
                <w:sz w:val="18"/>
              </w:rPr>
              <w:t xml:space="preserve">A apelação contra decisão que fixa astreintes em tutela provisória não autoriza o cumprimento provisório da multa antes da sentença de mérito: as astreintes somente podem ser executadas provisoriamente após a confirmação por sentença (Tema 743 e EAREsp 1.883.876/RS). Trecho: “A Corte de origem negou provimento ao agravo de instrumento e manteve o cumprimento provisório da multa cominatória fixada em tutela de urgência, afirmando a viabilidade da execução provisória das astreintes, sem efeito suspensivo dos recursos especial e extraordinário, e reconhecendo a natureza extraconcursal do crédito.”</w:t>
            </w:r>
          </w:p>
        </w:tc>
      </w:tr>
    </w:tbl>
    <w:p>
      <w:pPr>
        <w:pStyle w:val="BodyText"/>
        <w:spacing w:after="80"/>
        <w:jc w:val="both"/>
      </w:pPr>
      <w:r>
        <w:t xml:space="preserve">VI - decreta a interdição.</w:t>
      </w:r>
    </w:p>
    <w:p>
      <w:pPr>
        <w:pStyle w:val="BodyText"/>
        <w:spacing w:after="80"/>
        <w:jc w:val="both"/>
      </w:pPr>
      <w:r>
        <w:t xml:space="preserve">§ 2º Nos casos do § 1º, o apelado poderá promover o pedido de cumprimento provisório depois de publicada a sentença.</w:t>
      </w:r>
    </w:p>
    <w:p>
      <w:pPr>
        <w:pStyle w:val="BodyText"/>
        <w:spacing w:after="80"/>
        <w:jc w:val="both"/>
      </w:pPr>
      <w:r>
        <w:t xml:space="preserve">§ 3º O pedido de concessão de efeito suspensivo nas hipóteses do § 1º poderá ser formulado por requerimento dirigido ao:</w:t>
      </w:r>
    </w:p>
    <w:p>
      <w:pPr>
        <w:pStyle w:val="BodyText"/>
        <w:spacing w:after="80"/>
        <w:jc w:val="both"/>
      </w:pPr>
      <w:r>
        <w:t xml:space="preserve">I - tribunal, no período compreendido entre a interposição da apelação e sua distribuição, ficando o relator designado para seu exame prevento para julgá-la;</w:t>
      </w:r>
    </w:p>
    <w:p>
      <w:pPr>
        <w:pStyle w:val="BodyText"/>
        <w:spacing w:after="80"/>
        <w:jc w:val="both"/>
      </w:pPr>
      <w:r>
        <w:t xml:space="preserve">II - relator, se já distribuída a apelação.</w:t>
      </w:r>
    </w:p>
    <w:p>
      <w:pPr>
        <w:pStyle w:val="BodyText"/>
        <w:spacing w:after="80"/>
        <w:jc w:val="both"/>
      </w:pPr>
      <w:r>
        <w:t xml:space="preserve">§ 4º Nas hipóteses do § 1º, a eficácia da sentença poderá ser suspensa pelo relator se o apelante demonstrar a probabilidade de provimento do recurso ou se, sendo relevante a fundamentação, houver risco de dano grave ou de difícil reparação.</w:t>
      </w:r>
    </w:p>
    <w:bookmarkEnd w:id="844"/>
    <w:bookmarkStart w:id="845" w:name="art.-1013"/>
    <w:p>
      <w:pPr>
        <w:pStyle w:val="Heading6"/>
        <w:pBdr>
          <w:left w:val="single" w:sz="36" w:space="4" w:color="2E75B6"/>
        </w:pBdr>
        <w:shd w:val="clear" w:color="auto" w:fill="E3EEF9"/>
        <w:spacing w:before="200" w:after="80"/>
        <w:ind w:left="85"/>
      </w:pPr>
      <w:r>
        <w:rPr>
          <w:i w:val="0"/>
          <w:color w:val="1F3A5F"/>
          <w:sz w:val="23"/>
        </w:rPr>
        <w:t xml:space="preserve">Art. 1013</w:t>
      </w:r>
    </w:p>
    <w:p>
      <w:pPr>
        <w:pStyle w:val="FirstParagraph"/>
        <w:keepNext/>
        <w:spacing w:after="80"/>
        <w:jc w:val="both"/>
      </w:pPr>
      <w:r>
        <w:rPr>
          <w:b/>
          <w:bCs/>
        </w:rPr>
        <w:t xml:space="preserve">Art. 1013.</w:t>
      </w:r>
      <w:r>
        <w:t xml:space="preserve"> </w:t>
      </w:r>
      <w:r>
        <w:t xml:space="preserve">A apelação devolverá ao tribunal o conhecimento da matéria impugnada.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24"/>
        <w:gridCol w:w="3093"/>
        <w:gridCol w:w="4637"/>
      </w:tblGrid>
      <w:tr>
        <w:trPr>
          <w:tblHeader w:val="on"/>
          <w:cantSplit/>
          <w:tblHeader/>
        </w:trPr>
        <w:tc>
          <w:tcPr>
            <w:tcW w:type="dxa" w:w="1624"/>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09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637"/>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24"/>
          </w:tcPr>
          <w:p>
            <w:pPr>
              <w:pStyle w:val="Compact"/>
              <w:spacing w:line="276" w:lineRule="auto" w:before="40" w:after="40"/>
            </w:pPr>
            <w:r>
              <w:rPr>
                <w:rFonts w:ascii="Liberation Sans Narrow" w:hAnsi="Liberation Sans Narrow"/>
                <w:sz w:val="18"/>
              </w:rPr>
              <w:t xml:space="preserve">Caput — extensão do efeito devolutivo</w:t>
            </w:r>
          </w:p>
        </w:tc>
        <w:tc>
          <w:tcPr>
            <w:tcW w:type="dxa" w:w="3093"/>
          </w:tcPr>
          <w:p>
            <w:pPr>
              <w:pStyle w:val="Compact"/>
              <w:spacing w:line="276" w:lineRule="auto" w:before="40" w:after="40"/>
            </w:pPr>
            <w:r>
              <w:rPr>
                <w:rFonts w:ascii="Liberation Sans Narrow" w:hAnsi="Liberation Sans Narrow"/>
                <w:sz w:val="18"/>
              </w:rPr>
              <w:t xml:space="preserve">STJ, AgInt no AREsp 2.959.641, Quarta Turma, relatora Min. Maria Isabel Gallotti, julgado em 12/08/2026, DJEN de 17/08/2026</w:t>
            </w:r>
          </w:p>
        </w:tc>
        <w:tc>
          <w:tcPr>
            <w:tcW w:type="dxa" w:w="4637"/>
          </w:tcPr>
          <w:p>
            <w:pPr>
              <w:pStyle w:val="Compact"/>
              <w:spacing w:line="276" w:lineRule="auto" w:before="40" w:after="40"/>
            </w:pPr>
            <w:r>
              <w:rPr>
                <w:rFonts w:ascii="Liberation Sans Narrow" w:hAnsi="Liberation Sans Narrow"/>
                <w:sz w:val="18"/>
              </w:rPr>
              <w:t xml:space="preserve">O efeito devolutivo da apelação autoriza o tribunal a reexaminar integralmente a questão decidida na sentença, inclusive sob perspectiva jurídica diversa, sem supressão de instância nem inovação recursal.</w:t>
            </w:r>
          </w:p>
        </w:tc>
      </w:tr>
      <w:tr>
        <w:trPr>
          <w:cantSplit/>
        </w:trPr>
        <w:tc>
          <w:tcPr>
            <w:tcW w:type="dxa" w:w="1624"/>
          </w:tcPr>
          <w:p>
            <w:pPr>
              <w:pStyle w:val="Compact"/>
              <w:spacing w:line="276" w:lineRule="auto" w:before="40" w:after="40"/>
            </w:pPr>
            <w:r>
              <w:rPr>
                <w:rFonts w:ascii="Liberation Sans Narrow" w:hAnsi="Liberation Sans Narrow"/>
                <w:sz w:val="18"/>
              </w:rPr>
              <w:t xml:space="preserve">Caput — matéria impugnada e revisão dos honorários</w:t>
            </w:r>
          </w:p>
        </w:tc>
        <w:tc>
          <w:tcPr>
            <w:tcW w:type="dxa" w:w="3093"/>
          </w:tcPr>
          <w:p>
            <w:pPr>
              <w:pStyle w:val="Compact"/>
              <w:spacing w:line="276" w:lineRule="auto" w:before="40" w:after="40"/>
            </w:pPr>
            <w:r>
              <w:rPr>
                <w:rFonts w:ascii="Liberation Sans Narrow" w:hAnsi="Liberation Sans Narrow"/>
                <w:sz w:val="18"/>
              </w:rPr>
              <w:t xml:space="preserve">STJ, AREsp 2.656.064, Terceira Turma, relator Min. Moura Ribeiro, julgado em 04/05/2026</w:t>
            </w:r>
          </w:p>
        </w:tc>
        <w:tc>
          <w:tcPr>
            <w:tcW w:type="dxa" w:w="4637"/>
          </w:tcPr>
          <w:p>
            <w:pPr>
              <w:pStyle w:val="Compact"/>
              <w:spacing w:line="276" w:lineRule="auto" w:before="40" w:after="40"/>
            </w:pPr>
            <w:r>
              <w:rPr>
                <w:rFonts w:ascii="Liberation Sans Narrow" w:hAnsi="Liberation Sans Narrow"/>
                <w:sz w:val="18"/>
              </w:rPr>
              <w:t xml:space="preserve">A apelação devolve ao tribunal o conhecimento da matéria impugnada; os honorários sucumbenciais, por serem matéria de ordem pública, podem ser revistos para a adequada aplicação do art. 85, § 2º, do CPC, sem violação do art. 507.</w:t>
            </w:r>
          </w:p>
        </w:tc>
      </w:tr>
    </w:tbl>
    <w:p>
      <w:pPr>
        <w:pStyle w:val="BodyText"/>
        <w:spacing w:after="80"/>
        <w:jc w:val="both"/>
      </w:pPr>
      <w:r>
        <w:t xml:space="preserve">§ 1º Serão, porém, objeto de apreciação e julgamento pelo tribunal todas as questões suscitadas e discutidas no processo, ainda que não tenham sido solucionadas, desde que relativas ao capítulo impugnado.</w:t>
      </w:r>
    </w:p>
    <w:p>
      <w:pPr>
        <w:pStyle w:val="BodyText"/>
        <w:spacing w:after="80"/>
        <w:jc w:val="both"/>
      </w:pPr>
      <w:r>
        <w:t xml:space="preserve">§ 2º Quando o pedido ou a defesa tiver mais de um fundamento e o juiz acolher apenas um deles, a apelação devolverá ao tribunal o conhecimento dos demais.</w:t>
      </w:r>
    </w:p>
    <w:p>
      <w:pPr>
        <w:pStyle w:val="BodyText"/>
        <w:spacing w:after="80"/>
        <w:jc w:val="both"/>
      </w:pPr>
      <w:r>
        <w:t xml:space="preserve">§ 3º Se o processo estiver em condições de imediato julgamento, o tribunal deve decidir desde logo o mérito quando:</w:t>
      </w:r>
    </w:p>
    <w:p>
      <w:pPr>
        <w:pStyle w:val="BodyText"/>
        <w:spacing w:after="80"/>
        <w:jc w:val="both"/>
      </w:pPr>
      <w:r>
        <w:t xml:space="preserve">I - reformar sentença fundada no art. 485;</w:t>
      </w:r>
    </w:p>
    <w:p>
      <w:pPr>
        <w:pStyle w:val="BodyText"/>
        <w:spacing w:after="80"/>
        <w:jc w:val="both"/>
      </w:pPr>
      <w:r>
        <w:t xml:space="preserve">II - decretar a nulidade da sentença por não ser ela congruente com os limites do pedido ou da causa de pedir;</w:t>
      </w:r>
    </w:p>
    <w:p>
      <w:pPr>
        <w:pStyle w:val="BodyText"/>
        <w:spacing w:after="80"/>
        <w:jc w:val="both"/>
      </w:pPr>
      <w:r>
        <w:t xml:space="preserve">III - constatar a omissão no exame de um dos pedidos, hipótese em que poderá julgá-lo;</w:t>
      </w:r>
    </w:p>
    <w:p>
      <w:pPr>
        <w:pStyle w:val="BodyText"/>
        <w:spacing w:after="80"/>
        <w:jc w:val="both"/>
      </w:pPr>
      <w:r>
        <w:t xml:space="preserve">IV - decretar a nulidade de sentença por falta de fundamentação.</w:t>
      </w:r>
    </w:p>
    <w:p>
      <w:pPr>
        <w:pStyle w:val="BodyText"/>
        <w:spacing w:after="80"/>
        <w:jc w:val="both"/>
      </w:pPr>
      <w:r>
        <w:t xml:space="preserve">§ 4º Quando reformar sentença que reconheça a decadência ou a prescrição, o tribunal, se possível, julgará o mérito, examinando as demais questões, sem determinar o retorno do processo ao juízo de primeiro grau.</w:t>
      </w:r>
    </w:p>
    <w:p>
      <w:pPr>
        <w:pStyle w:val="BodyText"/>
        <w:spacing w:after="80"/>
        <w:jc w:val="both"/>
      </w:pPr>
      <w:r>
        <w:t xml:space="preserve">§ 5º O capítulo da sentença que confirma, concede ou revoga a tutela provisória é impugnável na apelação.</w:t>
      </w:r>
    </w:p>
    <w:bookmarkEnd w:id="845"/>
    <w:bookmarkStart w:id="846" w:name="art.-1014"/>
    <w:p>
      <w:pPr>
        <w:pStyle w:val="Heading6"/>
        <w:pBdr>
          <w:left w:val="single" w:sz="36" w:space="4" w:color="2E75B6"/>
        </w:pBdr>
        <w:shd w:val="clear" w:color="auto" w:fill="E3EEF9"/>
        <w:spacing w:before="200" w:after="80"/>
        <w:ind w:left="85"/>
      </w:pPr>
      <w:r>
        <w:rPr>
          <w:i w:val="0"/>
          <w:color w:val="1F3A5F"/>
          <w:sz w:val="23"/>
        </w:rPr>
        <w:t xml:space="preserve">Art. 1014</w:t>
      </w:r>
    </w:p>
    <w:p>
      <w:pPr>
        <w:pStyle w:val="FirstParagraph"/>
        <w:spacing w:after="80"/>
        <w:jc w:val="both"/>
      </w:pPr>
      <w:r>
        <w:rPr>
          <w:b/>
          <w:bCs/>
        </w:rPr>
        <w:t xml:space="preserve">Art. 1014.</w:t>
      </w:r>
      <w:r>
        <w:t xml:space="preserve"> </w:t>
      </w:r>
      <w:r>
        <w:t xml:space="preserve">As questões de fato não propostas no juízo inferior poderão ser suscitadas na apelação, se a parte provar que deixou de fazê-lo por motivo de força maior.</w:t>
      </w:r>
    </w:p>
    <w:bookmarkEnd w:id="846"/>
    <w:bookmarkEnd w:id="847"/>
    <w:bookmarkStart w:id="854" w:name="X439c2db5ce87e00e723369f0b104b0c373675ca"/>
    <w:p>
      <w:pPr>
        <w:pStyle w:val="Heading4"/>
        <w:spacing w:before="160" w:after="40"/>
      </w:pPr>
      <w:r>
        <w:rPr>
          <w:smallCaps/>
          <w:color w:val="2E75B6"/>
        </w:rPr>
        <w:t xml:space="preserve">Capítulo III: do agravo de instrumento (arts. 1015 a 1020)</w:t>
      </w:r>
    </w:p>
    <w:bookmarkStart w:id="848" w:name="art.-1015"/>
    <w:p>
      <w:pPr>
        <w:pStyle w:val="Heading6"/>
        <w:pBdr>
          <w:left w:val="single" w:sz="36" w:space="4" w:color="2E75B6"/>
        </w:pBdr>
        <w:shd w:val="clear" w:color="auto" w:fill="E3EEF9"/>
        <w:spacing w:before="200" w:after="80"/>
        <w:ind w:left="85"/>
      </w:pPr>
      <w:r>
        <w:rPr>
          <w:i w:val="0"/>
          <w:color w:val="1F3A5F"/>
          <w:sz w:val="23"/>
        </w:rPr>
        <w:t xml:space="preserve">Art. 1015</w:t>
      </w:r>
    </w:p>
    <w:p>
      <w:pPr>
        <w:pStyle w:val="FirstParagraph"/>
        <w:keepNext/>
        <w:spacing w:after="80"/>
        <w:jc w:val="both"/>
      </w:pPr>
      <w:r>
        <w:rPr>
          <w:b/>
          <w:bCs/>
        </w:rPr>
        <w:t xml:space="preserve">Art. 1015.</w:t>
      </w:r>
      <w:r>
        <w:t xml:space="preserve"> </w:t>
      </w:r>
      <w:r>
        <w:t xml:space="preserve">Cabe agravo de instrumento contra as decisões interlocutórias que versarem sobre: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2584"/>
        <w:gridCol w:w="524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84"/>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23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Caput — decisões agraváveis</w:t>
            </w:r>
          </w:p>
        </w:tc>
        <w:tc>
          <w:tcPr>
            <w:tcW w:type="dxa" w:w="2584"/>
          </w:tcPr>
          <w:p>
            <w:pPr>
              <w:pStyle w:val="Compact"/>
              <w:spacing w:line="276" w:lineRule="auto" w:before="40" w:after="40"/>
            </w:pPr>
            <w:r>
              <w:rPr>
                <w:rFonts w:ascii="Liberation Sans Narrow" w:hAnsi="Liberation Sans Narrow"/>
                <w:sz w:val="18"/>
              </w:rPr>
              <w:t xml:space="preserve">STJ, AgInt no AREsp 1.775.856, Quarta Turma, relator Min. Luis Felipe Salomão, DJe de 01/12/2021</w:t>
            </w:r>
          </w:p>
        </w:tc>
        <w:tc>
          <w:tcPr>
            <w:tcW w:type="dxa" w:w="5239"/>
          </w:tcPr>
          <w:p>
            <w:pPr>
              <w:pStyle w:val="Compact"/>
              <w:spacing w:line="276" w:lineRule="auto" w:before="40" w:after="40"/>
            </w:pPr>
            <w:r>
              <w:rPr>
                <w:rFonts w:ascii="Liberation Sans Narrow" w:hAnsi="Liberation Sans Narrow"/>
                <w:sz w:val="18"/>
              </w:rPr>
              <w:t xml:space="preserve">O agravo do art. 1.015 é o recurso cabível contra as decisões interlocutórias ali previstas, e não contra a decisão de admissibilidade do recurso especial: a interposição de agravo de instrumento nessa hipótese configura erro grosseiro.</w:t>
            </w:r>
          </w:p>
        </w:tc>
      </w:tr>
    </w:tbl>
    <w:p>
      <w:pPr>
        <w:pStyle w:val="BodyText"/>
        <w:spacing w:after="80"/>
        <w:jc w:val="both"/>
      </w:pPr>
      <w:r>
        <w:t xml:space="preserve">I - tutelas provisórias;</w:t>
      </w:r>
    </w:p>
    <w:p>
      <w:pPr>
        <w:pStyle w:val="BodyText"/>
        <w:spacing w:after="80"/>
        <w:jc w:val="both"/>
      </w:pPr>
      <w:r>
        <w:t xml:space="preserve">II - mérito do processo;</w:t>
      </w:r>
    </w:p>
    <w:p>
      <w:pPr>
        <w:pStyle w:val="BodyText"/>
        <w:spacing w:after="80"/>
        <w:jc w:val="both"/>
      </w:pPr>
      <w:r>
        <w:t xml:space="preserve">III - rejeição da alegação de convenção de arbitragem;</w:t>
      </w:r>
    </w:p>
    <w:p>
      <w:pPr>
        <w:pStyle w:val="BodyText"/>
        <w:spacing w:after="80"/>
        <w:jc w:val="both"/>
      </w:pPr>
      <w:r>
        <w:t xml:space="preserve">IV - incidente de desconsideração da personalidade jurídica;</w:t>
      </w:r>
    </w:p>
    <w:p>
      <w:pPr>
        <w:pStyle w:val="BodyText"/>
        <w:spacing w:after="80"/>
        <w:jc w:val="both"/>
      </w:pPr>
      <w:r>
        <w:t xml:space="preserve">V - rejeição do pedido de gratuidade da justiça ou acolhimento do pedido de sua revogação;</w:t>
      </w:r>
    </w:p>
    <w:p>
      <w:pPr>
        <w:pStyle w:val="BodyText"/>
        <w:spacing w:after="80"/>
        <w:jc w:val="both"/>
      </w:pPr>
      <w:r>
        <w:t xml:space="preserve">VI - exibição ou posse de documento ou coisa;</w:t>
      </w:r>
    </w:p>
    <w:p>
      <w:pPr>
        <w:pStyle w:val="BodyText"/>
        <w:spacing w:after="80"/>
        <w:jc w:val="both"/>
      </w:pPr>
      <w:r>
        <w:t xml:space="preserve">VII - exclusão de litisconsorte;</w:t>
      </w:r>
    </w:p>
    <w:p>
      <w:pPr>
        <w:pStyle w:val="BodyText"/>
        <w:spacing w:after="80"/>
        <w:jc w:val="both"/>
      </w:pPr>
      <w:r>
        <w:t xml:space="preserve">VIII - rejeição do pedido de limitação do litisconsórcio;</w:t>
      </w:r>
    </w:p>
    <w:p>
      <w:pPr>
        <w:pStyle w:val="BodyText"/>
        <w:spacing w:after="80"/>
        <w:jc w:val="both"/>
      </w:pPr>
      <w:r>
        <w:t xml:space="preserve">IX - admissão ou inadmissão de intervenção de terceiros;</w:t>
      </w:r>
    </w:p>
    <w:p>
      <w:pPr>
        <w:pStyle w:val="BodyText"/>
        <w:spacing w:after="80"/>
        <w:jc w:val="both"/>
      </w:pPr>
      <w:r>
        <w:t xml:space="preserve">X - concessão, modificação ou revogação do efeito suspensivo aos embargos à execução;</w:t>
      </w:r>
    </w:p>
    <w:p>
      <w:pPr>
        <w:pStyle w:val="BodyText"/>
        <w:spacing w:after="80"/>
        <w:jc w:val="both"/>
      </w:pPr>
      <w:r>
        <w:t xml:space="preserve">XI - redistribuição do ônus da prova nos termos do art. 373, § 1º;</w:t>
      </w:r>
    </w:p>
    <w:p>
      <w:pPr>
        <w:pStyle w:val="BodyText"/>
        <w:spacing w:after="80"/>
        <w:jc w:val="both"/>
      </w:pPr>
      <w:r>
        <w:t xml:space="preserve">XII - (VETADO);</w:t>
      </w:r>
    </w:p>
    <w:p>
      <w:pPr>
        <w:pStyle w:val="BodyText"/>
        <w:spacing w:after="80"/>
        <w:jc w:val="both"/>
      </w:pPr>
      <w:r>
        <w:t xml:space="preserve">XIII - outros casos expressamente referidos em lei.</w:t>
      </w:r>
    </w:p>
    <w:p>
      <w:pPr>
        <w:pStyle w:val="BodyText"/>
        <w:keepNext/>
        <w:spacing w:after="80"/>
        <w:jc w:val="both"/>
      </w:pPr>
      <w:r>
        <w:t xml:space="preserve">Parágrafo único. Também caberá agravo de instrumento contra decisões interlocutórias proferidas na fase de liquidação de sentença ou de cumprimento de sentença, no processo de execução e no processo de inventário.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92"/>
        <w:gridCol w:w="2330"/>
        <w:gridCol w:w="4732"/>
      </w:tblGrid>
      <w:tr>
        <w:trPr>
          <w:tblHeader w:val="on"/>
          <w:cantSplit/>
          <w:tblHeader/>
        </w:trPr>
        <w:tc>
          <w:tcPr>
            <w:tcW w:type="dxa" w:w="229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33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3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292"/>
          </w:tcPr>
          <w:p>
            <w:pPr>
              <w:pStyle w:val="Compact"/>
              <w:spacing w:line="276" w:lineRule="auto" w:before="40" w:after="40"/>
            </w:pPr>
            <w:r>
              <w:rPr>
                <w:rFonts w:ascii="Liberation Sans Narrow" w:hAnsi="Liberation Sans Narrow"/>
                <w:sz w:val="18"/>
              </w:rPr>
              <w:t xml:space="preserve">Parágrafo único — recurso cabível contra decisões proferidas no cumprimento de sentença</w:t>
            </w:r>
          </w:p>
        </w:tc>
        <w:tc>
          <w:tcPr>
            <w:tcW w:type="dxa" w:w="2330"/>
          </w:tcPr>
          <w:p>
            <w:pPr>
              <w:pStyle w:val="Compact"/>
              <w:spacing w:line="276" w:lineRule="auto" w:before="40" w:after="40"/>
            </w:pPr>
            <w:r>
              <w:rPr>
                <w:rFonts w:ascii="Liberation Sans Narrow" w:hAnsi="Liberation Sans Narrow"/>
                <w:sz w:val="18"/>
              </w:rPr>
              <w:t xml:space="preserve">STJ, AgInt no AREsp 3.111.390, Quarta Turma, relator Min. Raul Araújo, julgado em 30/06/2026</w:t>
            </w:r>
          </w:p>
        </w:tc>
        <w:tc>
          <w:tcPr>
            <w:tcW w:type="dxa" w:w="4732"/>
          </w:tcPr>
          <w:p>
            <w:pPr>
              <w:pStyle w:val="Compact"/>
              <w:spacing w:line="276" w:lineRule="auto" w:before="40" w:after="40"/>
            </w:pPr>
            <w:r>
              <w:rPr>
                <w:rFonts w:ascii="Liberation Sans Narrow" w:hAnsi="Liberation Sans Narrow"/>
                <w:sz w:val="18"/>
              </w:rPr>
              <w:t xml:space="preserve">No regime do CPC/2015, a apelação é o recurso cabível contra a decisão que acolhe impugnação ao cumprimento de sentença e extingue ou esvazia a fase executiva, ao passo que o agravo de instrumento é cabível contra as decisões interlocutórias que não promovem a extinção dessa fase; a interposição de agravo de instrumento em hipótese de encerramento da fase executiva configura erro grosseiro e afasta a fungibilidade recursal.</w:t>
            </w:r>
          </w:p>
        </w:tc>
      </w:tr>
    </w:tbl>
    <w:bookmarkEnd w:id="848"/>
    <w:bookmarkStart w:id="849" w:name="art.-1016"/>
    <w:p>
      <w:pPr>
        <w:pStyle w:val="Heading6"/>
        <w:pBdr>
          <w:left w:val="single" w:sz="36" w:space="4" w:color="2E75B6"/>
        </w:pBdr>
        <w:shd w:val="clear" w:color="auto" w:fill="E3EEF9"/>
        <w:spacing w:before="200" w:after="80"/>
        <w:ind w:left="85"/>
      </w:pPr>
      <w:r>
        <w:rPr>
          <w:i w:val="0"/>
          <w:color w:val="1F3A5F"/>
          <w:sz w:val="23"/>
        </w:rPr>
        <w:t xml:space="preserve">Art. 1016</w:t>
      </w:r>
    </w:p>
    <w:p>
      <w:pPr>
        <w:pStyle w:val="FirstParagraph"/>
        <w:spacing w:after="80"/>
        <w:jc w:val="both"/>
      </w:pPr>
      <w:r>
        <w:rPr>
          <w:b/>
          <w:bCs/>
        </w:rPr>
        <w:t xml:space="preserve">Art. 1016.</w:t>
      </w:r>
      <w:r>
        <w:t xml:space="preserve"> </w:t>
      </w:r>
      <w:r>
        <w:t xml:space="preserve">O agravo de instrumento será dirigido diretamente ao tribunal competente, por meio de petição com os seguintes requisitos:</w:t>
      </w:r>
    </w:p>
    <w:p>
      <w:pPr>
        <w:pStyle w:val="BodyText"/>
        <w:spacing w:after="80"/>
        <w:jc w:val="both"/>
      </w:pPr>
      <w:r>
        <w:t xml:space="preserve">I - os nomes das partes;</w:t>
      </w:r>
    </w:p>
    <w:p>
      <w:pPr>
        <w:pStyle w:val="BodyText"/>
        <w:spacing w:after="80"/>
        <w:jc w:val="both"/>
      </w:pPr>
      <w:r>
        <w:t xml:space="preserve">II - a exposição do fato e do direito;</w:t>
      </w:r>
    </w:p>
    <w:p>
      <w:pPr>
        <w:pStyle w:val="BodyText"/>
        <w:spacing w:after="80"/>
        <w:jc w:val="both"/>
      </w:pPr>
      <w:r>
        <w:t xml:space="preserve">III - as razões do pedido de reforma ou de invalidação da decisão e o próprio pedido;</w:t>
      </w:r>
    </w:p>
    <w:p>
      <w:pPr>
        <w:pStyle w:val="BodyText"/>
        <w:spacing w:after="80"/>
        <w:jc w:val="both"/>
      </w:pPr>
      <w:r>
        <w:t xml:space="preserve">IV - o nome e o endereço completo dos advogados constantes do processo.</w:t>
      </w:r>
    </w:p>
    <w:bookmarkEnd w:id="849"/>
    <w:bookmarkStart w:id="850" w:name="art.-1017"/>
    <w:p>
      <w:pPr>
        <w:pStyle w:val="Heading6"/>
        <w:pBdr>
          <w:left w:val="single" w:sz="36" w:space="4" w:color="2E75B6"/>
        </w:pBdr>
        <w:shd w:val="clear" w:color="auto" w:fill="E3EEF9"/>
        <w:spacing w:before="200" w:after="80"/>
        <w:ind w:left="85"/>
      </w:pPr>
      <w:r>
        <w:rPr>
          <w:i w:val="0"/>
          <w:color w:val="1F3A5F"/>
          <w:sz w:val="23"/>
        </w:rPr>
        <w:t xml:space="preserve">Art. 1017</w:t>
      </w:r>
    </w:p>
    <w:p>
      <w:pPr>
        <w:pStyle w:val="FirstParagraph"/>
        <w:spacing w:after="80"/>
        <w:jc w:val="both"/>
      </w:pPr>
      <w:r>
        <w:rPr>
          <w:b/>
          <w:bCs/>
        </w:rPr>
        <w:t xml:space="preserve">Art. 1017.</w:t>
      </w:r>
      <w:r>
        <w:t xml:space="preserve"> </w:t>
      </w:r>
      <w:r>
        <w:t xml:space="preserve">A petição de agravo de instrumento será instruída:</w:t>
      </w:r>
    </w:p>
    <w:p>
      <w:pPr>
        <w:pStyle w:val="BodyText"/>
        <w:spacing w:after="80"/>
        <w:jc w:val="both"/>
      </w:pPr>
      <w:r>
        <w:t xml:space="preserve">I - obrigatoriamente, com cópias da petição inicial, da contestação, da petição que ensejou a decisão agravada, da própria decisão agravada, da certidão da respectiva intimação ou outro documento oficial que comprove a tempestividade e das procurações outorgadas aos advogados do agravante e do agravado;</w:t>
      </w:r>
    </w:p>
    <w:p>
      <w:pPr>
        <w:pStyle w:val="BodyText"/>
        <w:spacing w:after="80"/>
        <w:jc w:val="both"/>
      </w:pPr>
      <w:r>
        <w:t xml:space="preserve">II - com declaração de inexistência de qualquer dos documentos referidos no inciso I, feita pelo advogado do agravante, sob pena de sua responsabilidade pessoal;</w:t>
      </w:r>
    </w:p>
    <w:p>
      <w:pPr>
        <w:pStyle w:val="BodyText"/>
        <w:spacing w:after="80"/>
        <w:jc w:val="both"/>
      </w:pPr>
      <w:r>
        <w:t xml:space="preserve">III - facultativamente, com outras peças que o agravante reputar úteis.</w:t>
      </w:r>
    </w:p>
    <w:p>
      <w:pPr>
        <w:pStyle w:val="BodyText"/>
        <w:spacing w:after="80"/>
        <w:jc w:val="both"/>
      </w:pPr>
      <w:r>
        <w:t xml:space="preserve">§ 1º Acompanhará a petição o comprovante do pagamento das respectivas custas e do porte de retorno, quando devidos, conforme tabela publicada pelos tribunais.</w:t>
      </w:r>
    </w:p>
    <w:p>
      <w:pPr>
        <w:pStyle w:val="BodyText"/>
        <w:spacing w:after="80"/>
        <w:jc w:val="both"/>
      </w:pPr>
      <w:r>
        <w:t xml:space="preserve">§ 2º No prazo do recurso, o agravo será interposto por:</w:t>
      </w:r>
    </w:p>
    <w:p>
      <w:pPr>
        <w:pStyle w:val="BodyText"/>
        <w:spacing w:after="80"/>
        <w:jc w:val="both"/>
      </w:pPr>
      <w:r>
        <w:t xml:space="preserve">I - protocolo realizado diretamente no tribunal competente para julgá-lo;</w:t>
      </w:r>
    </w:p>
    <w:p>
      <w:pPr>
        <w:pStyle w:val="BodyText"/>
        <w:spacing w:after="80"/>
        <w:jc w:val="both"/>
      </w:pPr>
      <w:r>
        <w:t xml:space="preserve">II - protocolo realizado na própria comarca, seção ou subseção judiciárias;</w:t>
      </w:r>
    </w:p>
    <w:p>
      <w:pPr>
        <w:pStyle w:val="BodyText"/>
        <w:spacing w:after="80"/>
        <w:jc w:val="both"/>
      </w:pPr>
      <w:r>
        <w:t xml:space="preserve">III - postagem, sob registro, com aviso de recebimento;</w:t>
      </w:r>
    </w:p>
    <w:p>
      <w:pPr>
        <w:pStyle w:val="BodyText"/>
        <w:spacing w:after="80"/>
        <w:jc w:val="both"/>
      </w:pPr>
      <w:r>
        <w:t xml:space="preserve">IV - transmissão de dados tipo fac-símile, nos termos da lei;</w:t>
      </w:r>
    </w:p>
    <w:p>
      <w:pPr>
        <w:pStyle w:val="BodyText"/>
        <w:spacing w:after="80"/>
        <w:jc w:val="both"/>
      </w:pPr>
      <w:r>
        <w:t xml:space="preserve">V - outra forma prevista em lei.</w:t>
      </w:r>
    </w:p>
    <w:p>
      <w:pPr>
        <w:pStyle w:val="BodyText"/>
        <w:spacing w:after="80"/>
        <w:jc w:val="both"/>
      </w:pPr>
      <w:r>
        <w:t xml:space="preserve">§ 3º Na falta da cópia de qualquer peça ou no caso de algum outro vício que comprometa a admissibilidade do agravo de instrumento, deve o relator aplicar o disposto no art. 932, parágrafo único.</w:t>
      </w:r>
    </w:p>
    <w:p>
      <w:pPr>
        <w:pStyle w:val="BodyText"/>
        <w:spacing w:after="80"/>
        <w:jc w:val="both"/>
      </w:pPr>
      <w:r>
        <w:t xml:space="preserve">§ 4º Se o recurso for interposto por sistema de transmissão de dados tipo fac-símile ou similar, as peças devem ser juntadas no momento de protocolo da petição original.</w:t>
      </w:r>
    </w:p>
    <w:p>
      <w:pPr>
        <w:pStyle w:val="BodyText"/>
        <w:keepNext/>
        <w:spacing w:after="80"/>
        <w:jc w:val="both"/>
      </w:pPr>
      <w:r>
        <w:t xml:space="preserve">§ 5º Sendo eletrônicos os autos do processo, dispensam-se as peças referidas nos incisos I e II do caput , facultando-se ao agravante anexar outros documentos que entender úteis para a compreensão da controvérsia.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72"/>
        <w:gridCol w:w="3188"/>
        <w:gridCol w:w="4394"/>
      </w:tblGrid>
      <w:tr>
        <w:trPr>
          <w:tblHeader w:val="on"/>
          <w:cantSplit/>
          <w:tblHeader/>
        </w:trPr>
        <w:tc>
          <w:tcPr>
            <w:tcW w:type="dxa" w:w="177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18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394"/>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772"/>
          </w:tcPr>
          <w:p>
            <w:pPr>
              <w:pStyle w:val="Compact"/>
              <w:spacing w:line="276" w:lineRule="auto" w:before="40" w:after="40"/>
            </w:pPr>
            <w:r>
              <w:rPr>
                <w:rFonts w:ascii="Liberation Sans Narrow" w:hAnsi="Liberation Sans Narrow"/>
                <w:sz w:val="18"/>
              </w:rPr>
              <w:t xml:space="preserve">§ 5º — dispensa de instrução restrita ao agravo de instrumento</w:t>
            </w:r>
          </w:p>
        </w:tc>
        <w:tc>
          <w:tcPr>
            <w:tcW w:type="dxa" w:w="3188"/>
          </w:tcPr>
          <w:p>
            <w:pPr>
              <w:pStyle w:val="Compact"/>
              <w:spacing w:line="276" w:lineRule="auto" w:before="40" w:after="40"/>
            </w:pPr>
            <w:r>
              <w:rPr>
                <w:rFonts w:ascii="Liberation Sans Narrow" w:hAnsi="Liberation Sans Narrow"/>
                <w:sz w:val="18"/>
              </w:rPr>
              <w:t xml:space="preserve">STJ, AgInt nos EDcl no AREsp 3.075.656, Quarta Turma, relator Min. Luís Carlos Gambogi (Desembargador Convocado do Tjmg), julgado em 22/06/2026</w:t>
            </w:r>
          </w:p>
        </w:tc>
        <w:tc>
          <w:tcPr>
            <w:tcW w:type="dxa" w:w="4394"/>
          </w:tcPr>
          <w:p>
            <w:pPr>
              <w:pStyle w:val="Compact"/>
              <w:spacing w:line="276" w:lineRule="auto" w:before="40" w:after="40"/>
            </w:pPr>
            <w:r>
              <w:rPr>
                <w:rFonts w:ascii="Liberation Sans Narrow" w:hAnsi="Liberation Sans Narrow"/>
                <w:sz w:val="18"/>
              </w:rPr>
              <w:t xml:space="preserve">A dispensa de instrução do agravo de instrumento prevista no art. 1.017, § 5º, não se estende ao recurso especial nem ao agravo em recurso especial, cabendo ao recorrente juntar a procuração válida nos autos do recurso.</w:t>
            </w:r>
          </w:p>
        </w:tc>
      </w:tr>
    </w:tbl>
    <w:bookmarkEnd w:id="850"/>
    <w:bookmarkStart w:id="851" w:name="art.-1018"/>
    <w:p>
      <w:pPr>
        <w:pStyle w:val="Heading6"/>
        <w:pBdr>
          <w:left w:val="single" w:sz="36" w:space="4" w:color="2E75B6"/>
        </w:pBdr>
        <w:shd w:val="clear" w:color="auto" w:fill="E3EEF9"/>
        <w:spacing w:before="200" w:after="80"/>
        <w:ind w:left="85"/>
      </w:pPr>
      <w:r>
        <w:rPr>
          <w:i w:val="0"/>
          <w:color w:val="1F3A5F"/>
          <w:sz w:val="23"/>
        </w:rPr>
        <w:t xml:space="preserve">Art. 1018</w:t>
      </w:r>
    </w:p>
    <w:p>
      <w:pPr>
        <w:pStyle w:val="FirstParagraph"/>
        <w:spacing w:after="80"/>
        <w:jc w:val="both"/>
      </w:pPr>
      <w:r>
        <w:rPr>
          <w:b/>
          <w:bCs/>
        </w:rPr>
        <w:t xml:space="preserve">Art. 1018.</w:t>
      </w:r>
      <w:r>
        <w:t xml:space="preserve"> </w:t>
      </w:r>
      <w:r>
        <w:t xml:space="preserve">O agravante poderá requerer a juntada, aos autos do processo, de cópia da petição do agravo de instrumento, do comprovante de sua interposição e da relação dos documentos que instruíram o recurso.</w:t>
      </w:r>
    </w:p>
    <w:p>
      <w:pPr>
        <w:pStyle w:val="BodyText"/>
        <w:spacing w:after="80"/>
        <w:jc w:val="both"/>
      </w:pPr>
      <w:r>
        <w:t xml:space="preserve">§ 1º Se o juiz comunicar que reformou inteiramente a decisão, o relator considerará prejudicado o agravo de instrumento.</w:t>
      </w:r>
    </w:p>
    <w:p>
      <w:pPr>
        <w:pStyle w:val="BodyText"/>
        <w:spacing w:after="80"/>
        <w:jc w:val="both"/>
      </w:pPr>
      <w:r>
        <w:t xml:space="preserve">§ 2º Não sendo eletrônicos os autos, o agravante tomará a providência prevista no caput , no prazo de 3 (três) dias a contar da interposição do agravo de instrumento.</w:t>
      </w:r>
    </w:p>
    <w:p>
      <w:pPr>
        <w:pStyle w:val="BodyText"/>
        <w:spacing w:after="80"/>
        <w:jc w:val="both"/>
      </w:pPr>
      <w:r>
        <w:t xml:space="preserve">§ 3º O descumprimento da exigência de que trata o § 2º, desde que arguido e provado pelo agravado, importa inadmissibilidade do agravo de instrumento.</w:t>
      </w:r>
    </w:p>
    <w:bookmarkEnd w:id="851"/>
    <w:bookmarkStart w:id="852" w:name="art.-1019"/>
    <w:p>
      <w:pPr>
        <w:pStyle w:val="Heading6"/>
        <w:pBdr>
          <w:left w:val="single" w:sz="36" w:space="4" w:color="2E75B6"/>
        </w:pBdr>
        <w:shd w:val="clear" w:color="auto" w:fill="E3EEF9"/>
        <w:spacing w:before="200" w:after="80"/>
        <w:ind w:left="85"/>
      </w:pPr>
      <w:r>
        <w:rPr>
          <w:i w:val="0"/>
          <w:color w:val="1F3A5F"/>
          <w:sz w:val="23"/>
        </w:rPr>
        <w:t xml:space="preserve">Art. 1019</w:t>
      </w:r>
    </w:p>
    <w:p>
      <w:pPr>
        <w:pStyle w:val="FirstParagraph"/>
        <w:spacing w:after="80"/>
        <w:jc w:val="both"/>
      </w:pPr>
      <w:r>
        <w:rPr>
          <w:b/>
          <w:bCs/>
        </w:rPr>
        <w:t xml:space="preserve">Art. 1019.</w:t>
      </w:r>
      <w:r>
        <w:t xml:space="preserve"> </w:t>
      </w:r>
      <w:r>
        <w:t xml:space="preserve">Recebido o agravo de instrumento no tribunal e distribuído imediatamente, se não for o caso de aplicação do art. 932, incisos III e IV, o relator, no prazo de 5 (cinco) dias:</w:t>
      </w:r>
    </w:p>
    <w:p>
      <w:pPr>
        <w:pStyle w:val="BodyText"/>
        <w:spacing w:after="80"/>
        <w:jc w:val="both"/>
      </w:pPr>
      <w:r>
        <w:t xml:space="preserve">I - poderá atribuir efeito suspensivo ao recurso ou deferir, em antecipação de tutela, total ou parcialmente, a pretensão recursal, comunicando ao juiz sua decisão;</w:t>
      </w:r>
    </w:p>
    <w:p>
      <w:pPr>
        <w:pStyle w:val="BodyText"/>
        <w:spacing w:after="80"/>
        <w:jc w:val="both"/>
      </w:pPr>
      <w:r>
        <w:t xml:space="preserve">II - ordenará a intimação do agravado pessoalmente, por carta com aviso de recebimento, quando não tiver procurador constituído, ou pelo Diário da Justiça ou por carta com aviso de recebimento dirigida ao seu advogado, para que responda no prazo de 15 (quinze) dias, facultando-lhe juntar a documentação que entender necessária ao julgamento do recurso;</w:t>
      </w:r>
    </w:p>
    <w:p>
      <w:pPr>
        <w:pStyle w:val="BodyText"/>
        <w:spacing w:after="80"/>
        <w:jc w:val="both"/>
      </w:pPr>
      <w:r>
        <w:t xml:space="preserve">III - determinará a intimação do Ministério Público, preferencialmente por meio eletrônico, quando for o caso de sua intervenção, para que se manifeste no prazo de 15 (quinze) dias.</w:t>
      </w:r>
    </w:p>
    <w:bookmarkEnd w:id="852"/>
    <w:bookmarkStart w:id="853" w:name="art.-1020"/>
    <w:p>
      <w:pPr>
        <w:pStyle w:val="Heading6"/>
        <w:pBdr>
          <w:left w:val="single" w:sz="36" w:space="4" w:color="2E75B6"/>
        </w:pBdr>
        <w:shd w:val="clear" w:color="auto" w:fill="E3EEF9"/>
        <w:spacing w:before="200" w:after="80"/>
        <w:ind w:left="85"/>
      </w:pPr>
      <w:r>
        <w:rPr>
          <w:i w:val="0"/>
          <w:color w:val="1F3A5F"/>
          <w:sz w:val="23"/>
        </w:rPr>
        <w:t xml:space="preserve">Art. 1020</w:t>
      </w:r>
    </w:p>
    <w:p>
      <w:pPr>
        <w:pStyle w:val="FirstParagraph"/>
        <w:spacing w:after="80"/>
        <w:jc w:val="both"/>
      </w:pPr>
      <w:r>
        <w:rPr>
          <w:b/>
          <w:bCs/>
        </w:rPr>
        <w:t xml:space="preserve">Art. 1020.</w:t>
      </w:r>
      <w:r>
        <w:t xml:space="preserve"> </w:t>
      </w:r>
      <w:r>
        <w:t xml:space="preserve">O relator solicitará dia para julgamento em prazo não superior a 1 (um) mês da intimação do agravado.</w:t>
      </w:r>
    </w:p>
    <w:bookmarkEnd w:id="853"/>
    <w:bookmarkEnd w:id="854"/>
    <w:bookmarkStart w:id="856" w:name="capítulo-iv-do-agravo-interno-arts.-1021"/>
    <w:p>
      <w:pPr>
        <w:pStyle w:val="Heading4"/>
        <w:spacing w:before="160" w:after="40"/>
      </w:pPr>
      <w:r>
        <w:rPr>
          <w:smallCaps/>
          <w:color w:val="2E75B6"/>
        </w:rPr>
        <w:t xml:space="preserve">Capítulo IV: do agravo interno (arts. 1021)</w:t>
      </w:r>
    </w:p>
    <w:bookmarkStart w:id="855" w:name="art.-1021"/>
    <w:p>
      <w:pPr>
        <w:pStyle w:val="Heading6"/>
        <w:pBdr>
          <w:left w:val="single" w:sz="36" w:space="4" w:color="2E75B6"/>
        </w:pBdr>
        <w:shd w:val="clear" w:color="auto" w:fill="E3EEF9"/>
        <w:spacing w:before="200" w:after="80"/>
        <w:ind w:left="85"/>
      </w:pPr>
      <w:r>
        <w:rPr>
          <w:i w:val="0"/>
          <w:color w:val="1F3A5F"/>
          <w:sz w:val="23"/>
        </w:rPr>
        <w:t xml:space="preserve">Art. 1021</w:t>
      </w:r>
    </w:p>
    <w:p>
      <w:pPr>
        <w:pStyle w:val="FirstParagraph"/>
        <w:keepNext/>
        <w:spacing w:after="80"/>
        <w:jc w:val="both"/>
      </w:pPr>
      <w:r>
        <w:rPr>
          <w:b/>
          <w:bCs/>
        </w:rPr>
        <w:t xml:space="preserve">Art. 1021.</w:t>
      </w:r>
      <w:r>
        <w:t xml:space="preserve"> </w:t>
      </w:r>
      <w:r>
        <w:t xml:space="preserve">Contra decisão proferida pelo relator caberá agravo interno para o respectivo órgão colegiado, observadas, quanto ao processamento, as regras do regimento interno do tribunal.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3759"/>
        <w:gridCol w:w="406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75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065"/>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Caput — agravo interno</w:t>
            </w:r>
          </w:p>
        </w:tc>
        <w:tc>
          <w:tcPr>
            <w:tcW w:type="dxa" w:w="3759"/>
          </w:tcPr>
          <w:p>
            <w:pPr>
              <w:pStyle w:val="Compact"/>
              <w:spacing w:line="276" w:lineRule="auto" w:before="40" w:after="40"/>
            </w:pPr>
            <w:r>
              <w:rPr>
                <w:rFonts w:ascii="Liberation Sans Narrow" w:hAnsi="Liberation Sans Narrow"/>
                <w:sz w:val="18"/>
              </w:rPr>
              <w:t xml:space="preserve">STJ, AgInt no AREsp 1.781.701, Quarta Turma, relator Min. Marco Buzzi, julgado em 23/08/2021, DJe de 26/08/2021</w:t>
            </w:r>
          </w:p>
        </w:tc>
        <w:tc>
          <w:tcPr>
            <w:tcW w:type="dxa" w:w="4065"/>
          </w:tcPr>
          <w:p>
            <w:pPr>
              <w:pStyle w:val="Compact"/>
              <w:spacing w:line="276" w:lineRule="auto" w:before="40" w:after="40"/>
            </w:pPr>
            <w:r>
              <w:rPr>
                <w:rFonts w:ascii="Liberation Sans Narrow" w:hAnsi="Liberation Sans Narrow"/>
                <w:sz w:val="18"/>
              </w:rPr>
              <w:t xml:space="preserve">Em razão do princípio da dialeticidade, incumbe ao agravante demonstrar de modo fundamentado o desacerto da decisão agravada.</w:t>
            </w:r>
          </w:p>
        </w:tc>
      </w:tr>
    </w:tbl>
    <w:p>
      <w:pPr>
        <w:pStyle w:val="BodyText"/>
        <w:keepNext/>
        <w:spacing w:after="80"/>
        <w:jc w:val="both"/>
      </w:pPr>
      <w:r>
        <w:t xml:space="preserve">§ 1º Na petição de agravo interno, o recorrente impugnará especificadamente os fundamentos da decisão agravada.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03"/>
        <w:gridCol w:w="2303"/>
        <w:gridCol w:w="4749"/>
      </w:tblGrid>
      <w:tr>
        <w:trPr>
          <w:tblHeader w:val="on"/>
          <w:cantSplit/>
          <w:tblHeader/>
        </w:trPr>
        <w:tc>
          <w:tcPr>
            <w:tcW w:type="dxa" w:w="2303"/>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30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4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303"/>
          </w:tcPr>
          <w:p>
            <w:pPr>
              <w:pStyle w:val="Compact"/>
              <w:spacing w:line="276" w:lineRule="auto" w:before="40" w:after="40"/>
            </w:pPr>
            <w:r>
              <w:rPr>
                <w:rFonts w:ascii="Liberation Sans Narrow" w:hAnsi="Liberation Sans Narrow"/>
                <w:sz w:val="18"/>
              </w:rPr>
              <w:t xml:space="preserve">§ 1º — impugnação específica dos fundamentos da decisão agravada e Súmula 182</w:t>
            </w:r>
          </w:p>
        </w:tc>
        <w:tc>
          <w:tcPr>
            <w:tcW w:type="dxa" w:w="2303"/>
          </w:tcPr>
          <w:p>
            <w:pPr>
              <w:pStyle w:val="Compact"/>
              <w:spacing w:line="276" w:lineRule="auto" w:before="40" w:after="40"/>
            </w:pPr>
            <w:r>
              <w:rPr>
                <w:rFonts w:ascii="Liberation Sans Narrow" w:hAnsi="Liberation Sans Narrow"/>
                <w:sz w:val="18"/>
              </w:rPr>
              <w:t xml:space="preserve">STJ, AgInt no AREsp 3.204.965, Quarta Turma, relatora Min. Maria Isabel Gallotti</w:t>
            </w:r>
          </w:p>
        </w:tc>
        <w:tc>
          <w:tcPr>
            <w:tcW w:type="dxa" w:w="4749"/>
          </w:tcPr>
          <w:p>
            <w:pPr>
              <w:pStyle w:val="Compact"/>
              <w:spacing w:line="276" w:lineRule="auto" w:before="40" w:after="40"/>
            </w:pPr>
            <w:r>
              <w:rPr>
                <w:rFonts w:ascii="Liberation Sans Narrow" w:hAnsi="Liberation Sans Narrow"/>
                <w:sz w:val="18"/>
              </w:rPr>
              <w:t xml:space="preserve">Nos termos do art. 1.021, § 1º, do Código de Processo Civil e da Súmula 182 do Superior Tribunal de Justiça, não é viável o agravo interno que deixa de atacar especificamente os fundamentos da decisão agravada.</w:t>
            </w:r>
          </w:p>
        </w:tc>
      </w:tr>
    </w:tbl>
    <w:p>
      <w:pPr>
        <w:pStyle w:val="BodyText"/>
        <w:spacing w:after="80"/>
        <w:jc w:val="both"/>
      </w:pPr>
      <w:r>
        <w:t xml:space="preserve">§ 2º O agravo será dirigido ao relator, que intimará o agravado para manifestar-se sobre o recurso no prazo de 15 (quinze) dias, ao final do qual, não havendo retratação, o relator levá-lo-á a julgamento pelo órgão colegiado, com inclusão em pauta.</w:t>
      </w:r>
    </w:p>
    <w:p>
      <w:pPr>
        <w:pStyle w:val="BodyText"/>
        <w:spacing w:after="80"/>
        <w:jc w:val="both"/>
      </w:pPr>
      <w:r>
        <w:t xml:space="preserve">§ 3º É vedado ao relator limitar-se à reprodução dos fundamentos da decisão agravada para julgar improcedente o agravo interno.</w:t>
      </w:r>
    </w:p>
    <w:p>
      <w:pPr>
        <w:pStyle w:val="BodyText"/>
        <w:spacing w:after="80"/>
        <w:jc w:val="both"/>
      </w:pPr>
      <w:r>
        <w:t xml:space="preserve">§ 4º Quando o agravo interno for declarado manifestamente inadmissível ou improcedente em votação unânime, o órgão colegiado, em decisão fundamentada, condenará o agravante a pagar ao agravado multa fixada entre um e cinco por cento do valor atualizado da causa.</w:t>
      </w:r>
    </w:p>
    <w:p>
      <w:pPr>
        <w:pStyle w:val="BodyText"/>
        <w:spacing w:after="80"/>
        <w:jc w:val="both"/>
      </w:pPr>
      <w:r>
        <w:t xml:space="preserve">§ 5º A interposição de qualquer outro recurso está condicionada ao depósito prévio do valor da multa prevista no § 4º, à exceção da Fazenda Pública e do beneficiário de gratuidade da justiça, que farão o pagamento ao final.</w:t>
      </w:r>
    </w:p>
    <w:bookmarkEnd w:id="855"/>
    <w:bookmarkEnd w:id="856"/>
    <w:bookmarkStart w:id="862" w:name="Xa31214742f8bcd30515ca3206084c8c1bf4138f"/>
    <w:p>
      <w:pPr>
        <w:pStyle w:val="Heading4"/>
        <w:spacing w:before="160" w:after="40"/>
      </w:pPr>
      <w:r>
        <w:rPr>
          <w:smallCaps/>
          <w:color w:val="2E75B6"/>
        </w:rPr>
        <w:t xml:space="preserve">Capítulo V: dos embargos de declaração (arts. 1022 a 1026)</w:t>
      </w:r>
    </w:p>
    <w:bookmarkStart w:id="857" w:name="art.-1022"/>
    <w:p>
      <w:pPr>
        <w:pStyle w:val="Heading6"/>
        <w:pBdr>
          <w:left w:val="single" w:sz="36" w:space="4" w:color="2E75B6"/>
        </w:pBdr>
        <w:shd w:val="clear" w:color="auto" w:fill="E3EEF9"/>
        <w:spacing w:before="200" w:after="80"/>
        <w:ind w:left="85"/>
      </w:pPr>
      <w:r>
        <w:rPr>
          <w:i w:val="0"/>
          <w:color w:val="1F3A5F"/>
          <w:sz w:val="23"/>
        </w:rPr>
        <w:t xml:space="preserve">Art. 1022</w:t>
      </w:r>
    </w:p>
    <w:p>
      <w:pPr>
        <w:pStyle w:val="FirstParagraph"/>
        <w:keepNext/>
        <w:spacing w:after="80"/>
        <w:jc w:val="both"/>
      </w:pPr>
      <w:r>
        <w:rPr>
          <w:b/>
          <w:bCs/>
        </w:rPr>
        <w:t xml:space="preserve">Art. 1022.</w:t>
      </w:r>
      <w:r>
        <w:t xml:space="preserve"> </w:t>
      </w:r>
      <w:r>
        <w:t xml:space="preserve">Cabem embargos de declaração contra qualquer decisão judicial para: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83"/>
        <w:gridCol w:w="2550"/>
        <w:gridCol w:w="5221"/>
      </w:tblGrid>
      <w:tr>
        <w:trPr>
          <w:tblHeader w:val="on"/>
          <w:cantSplit/>
          <w:tblHeader/>
        </w:trPr>
        <w:tc>
          <w:tcPr>
            <w:tcW w:type="dxa" w:w="1583"/>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5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22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83"/>
          </w:tcPr>
          <w:p>
            <w:pPr>
              <w:pStyle w:val="Compact"/>
              <w:spacing w:line="276" w:lineRule="auto" w:before="40" w:after="40"/>
            </w:pPr>
            <w:r>
              <w:rPr>
                <w:rFonts w:ascii="Liberation Sans Narrow" w:hAnsi="Liberation Sans Narrow"/>
                <w:sz w:val="18"/>
              </w:rPr>
              <w:t xml:space="preserve">Caput — cabimento dos embargos de declaração</w:t>
            </w:r>
          </w:p>
        </w:tc>
        <w:tc>
          <w:tcPr>
            <w:tcW w:type="dxa" w:w="2550"/>
          </w:tcPr>
          <w:p>
            <w:pPr>
              <w:pStyle w:val="Compact"/>
              <w:spacing w:line="276" w:lineRule="auto" w:before="40" w:after="40"/>
            </w:pPr>
            <w:r>
              <w:rPr>
                <w:rFonts w:ascii="Liberation Sans Narrow" w:hAnsi="Liberation Sans Narrow"/>
                <w:sz w:val="18"/>
              </w:rPr>
              <w:t xml:space="preserve">STJ, EDcl no EAREsp 289.579, Segunda Seção, relatora Min. Nancy Andrighi, DJe de 25/08/2025</w:t>
            </w:r>
          </w:p>
        </w:tc>
        <w:tc>
          <w:tcPr>
            <w:tcW w:type="dxa" w:w="5221"/>
          </w:tcPr>
          <w:p>
            <w:pPr>
              <w:pStyle w:val="Compact"/>
              <w:spacing w:line="276" w:lineRule="auto" w:before="40" w:after="40"/>
            </w:pPr>
            <w:r>
              <w:rPr>
                <w:rFonts w:ascii="Liberation Sans Narrow" w:hAnsi="Liberation Sans Narrow"/>
                <w:sz w:val="18"/>
              </w:rPr>
              <w:t xml:space="preserve">Os embargos de declaração objetivam sanar obscuridade, contradição, omissão ou erro material (art. 1.022) e são inadmissíveis para rediscutir questões já tratadas e fundamentadas no acórdão embargado ou para provocar novo julgamento da lide.</w:t>
            </w:r>
          </w:p>
        </w:tc>
      </w:tr>
    </w:tbl>
    <w:p>
      <w:pPr>
        <w:pStyle w:val="BodyText"/>
        <w:spacing w:after="80"/>
        <w:jc w:val="both"/>
      </w:pPr>
      <w:r>
        <w:t xml:space="preserve">I - esclarecer obscuridade ou eliminar contradição;</w:t>
      </w:r>
    </w:p>
    <w:p>
      <w:pPr>
        <w:pStyle w:val="BodyText"/>
        <w:spacing w:after="80"/>
        <w:jc w:val="both"/>
      </w:pPr>
      <w:r>
        <w:t xml:space="preserve">II - suprir omissão de ponto ou questão sobre o qual devia se pronunciar o juiz de ofício ou a requerimento;</w:t>
      </w:r>
    </w:p>
    <w:p>
      <w:pPr>
        <w:pStyle w:val="BodyText"/>
        <w:spacing w:after="80"/>
        <w:jc w:val="both"/>
      </w:pPr>
      <w:r>
        <w:t xml:space="preserve">III - corrigir erro material.</w:t>
      </w:r>
    </w:p>
    <w:p>
      <w:pPr>
        <w:pStyle w:val="BodyText"/>
        <w:spacing w:after="80"/>
        <w:jc w:val="both"/>
      </w:pPr>
      <w:r>
        <w:t xml:space="preserve">Parágrafo único. Considera-se omissa a decisão que:</w:t>
      </w:r>
    </w:p>
    <w:p>
      <w:pPr>
        <w:pStyle w:val="BodyText"/>
        <w:spacing w:after="80"/>
        <w:jc w:val="both"/>
      </w:pPr>
      <w:r>
        <w:t xml:space="preserve">I - deixe de se manifestar sobre tese firmada em julgamento de casos repetitivos ou em incidente de assunção de competência aplicável ao caso sob julgamento;</w:t>
      </w:r>
    </w:p>
    <w:p>
      <w:pPr>
        <w:pStyle w:val="BodyText"/>
        <w:spacing w:after="80"/>
        <w:jc w:val="both"/>
      </w:pPr>
      <w:r>
        <w:t xml:space="preserve">II - incorra em qualquer das condutas descritas no art. 489, § 1º.</w:t>
      </w:r>
    </w:p>
    <w:bookmarkEnd w:id="857"/>
    <w:bookmarkStart w:id="858" w:name="art.-1023"/>
    <w:p>
      <w:pPr>
        <w:pStyle w:val="Heading6"/>
        <w:pBdr>
          <w:left w:val="single" w:sz="36" w:space="4" w:color="2E75B6"/>
        </w:pBdr>
        <w:shd w:val="clear" w:color="auto" w:fill="E3EEF9"/>
        <w:spacing w:before="200" w:after="80"/>
        <w:ind w:left="85"/>
      </w:pPr>
      <w:r>
        <w:rPr>
          <w:i w:val="0"/>
          <w:color w:val="1F3A5F"/>
          <w:sz w:val="23"/>
        </w:rPr>
        <w:t xml:space="preserve">Art. 1023</w:t>
      </w:r>
    </w:p>
    <w:p>
      <w:pPr>
        <w:pStyle w:val="FirstParagraph"/>
        <w:keepNext/>
        <w:spacing w:after="80"/>
        <w:jc w:val="both"/>
      </w:pPr>
      <w:r>
        <w:rPr>
          <w:b/>
          <w:bCs/>
        </w:rPr>
        <w:t xml:space="preserve">Art. 1023.</w:t>
      </w:r>
      <w:r>
        <w:t xml:space="preserve"> </w:t>
      </w:r>
      <w:r>
        <w:t xml:space="preserve">Os embargos serão opostos, no prazo de 5 (cinco) dias, em petição dirigida ao juiz, com indicação do erro, obscuridade, contradição ou omissão, e não se sujeitam a preparo.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70"/>
        <w:gridCol w:w="2987"/>
        <w:gridCol w:w="4397"/>
      </w:tblGrid>
      <w:tr>
        <w:trPr>
          <w:tblHeader w:val="on"/>
          <w:cantSplit/>
          <w:tblHeader/>
        </w:trPr>
        <w:tc>
          <w:tcPr>
            <w:tcW w:type="dxa" w:w="197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98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397"/>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71"/>
          </w:tcPr>
          <w:p>
            <w:pPr>
              <w:pStyle w:val="Compact"/>
              <w:spacing w:line="276" w:lineRule="auto" w:before="40" w:after="40"/>
            </w:pPr>
            <w:r>
              <w:rPr>
                <w:rFonts w:ascii="Liberation Sans Narrow" w:hAnsi="Liberation Sans Narrow"/>
                <w:sz w:val="18"/>
              </w:rPr>
              <w:t xml:space="preserve">Caput — prazo de cinco dias para os embargos de declaração (aplicação narrada)</w:t>
            </w:r>
          </w:p>
        </w:tc>
        <w:tc>
          <w:tcPr>
            <w:tcW w:type="dxa" w:w="2987"/>
          </w:tcPr>
          <w:p>
            <w:pPr>
              <w:pStyle w:val="Compact"/>
              <w:spacing w:line="276" w:lineRule="auto" w:before="40" w:after="40"/>
            </w:pPr>
            <w:r>
              <w:rPr>
                <w:rFonts w:ascii="Liberation Sans Narrow" w:hAnsi="Liberation Sans Narrow"/>
                <w:sz w:val="18"/>
              </w:rPr>
              <w:t xml:space="preserve">STJ, EDcl nos EDcl no AgInt nos EDcl no REsp 1.935.119, Segunda Turma, relator Min. Herman Benjamin, julgado em 28/03/2022, DJe de 12/04/2022</w:t>
            </w:r>
          </w:p>
        </w:tc>
        <w:tc>
          <w:tcPr>
            <w:tcW w:type="dxa" w:w="4397"/>
          </w:tcPr>
          <w:p>
            <w:pPr>
              <w:pStyle w:val="Compact"/>
              <w:spacing w:line="276" w:lineRule="auto" w:before="40" w:after="40"/>
            </w:pPr>
            <w:r>
              <w:rPr>
                <w:rFonts w:ascii="Liberation Sans Narrow" w:hAnsi="Liberation Sans Narrow"/>
                <w:sz w:val="18"/>
              </w:rPr>
              <w:t xml:space="preserve">O prazo para a oposição de embargos de declaração é de cinco dias úteis, consoante o art. 1.023 do CPC, ressalvadas as hipóteses de ampliação do prazo recursal; são intempestivos os embargos opostos após o quinquídio legal, sem causa legal de suspensão ou interrupção. Trecho: “O prazo para a oposição de Embargos de Declaração é de 5 (cinco) dias úteis, consoante dispõe o art.”</w:t>
            </w:r>
          </w:p>
        </w:tc>
      </w:tr>
    </w:tbl>
    <w:p>
      <w:pPr>
        <w:pStyle w:val="BodyText"/>
        <w:spacing w:after="80"/>
        <w:jc w:val="both"/>
      </w:pPr>
      <w:r>
        <w:t xml:space="preserve">§ 1º Aplica-se aos embargos de declaração o art. 229.</w:t>
      </w:r>
    </w:p>
    <w:p>
      <w:pPr>
        <w:pStyle w:val="BodyText"/>
        <w:keepNext/>
        <w:spacing w:after="80"/>
        <w:jc w:val="both"/>
      </w:pPr>
      <w:r>
        <w:t xml:space="preserve">§ 2º O juiz intimará o embargado para, querendo, manifestar-se, no prazo de 5 (cinco) dias, sobre os embargos opostos, caso seu eventual acolhimento implique a modificação da decisão embargada.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2450"/>
        <w:gridCol w:w="499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450"/>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99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 2º — intimação do embargado para contrarrazões (tese)</w:t>
            </w:r>
          </w:p>
        </w:tc>
        <w:tc>
          <w:tcPr>
            <w:tcW w:type="dxa" w:w="2450"/>
          </w:tcPr>
          <w:p>
            <w:pPr>
              <w:pStyle w:val="Compact"/>
              <w:spacing w:line="276" w:lineRule="auto" w:before="40" w:after="40"/>
            </w:pPr>
            <w:r>
              <w:rPr>
                <w:rFonts w:ascii="Liberation Sans Narrow" w:hAnsi="Liberation Sans Narrow"/>
                <w:sz w:val="18"/>
              </w:rPr>
              <w:t xml:space="preserve">STJ, REsp 2.228.289, Quarta Turma, relator Min. João Otávio de Noronha, julgado em 24/08/2026</w:t>
            </w:r>
          </w:p>
        </w:tc>
        <w:tc>
          <w:tcPr>
            <w:tcW w:type="dxa" w:w="4999"/>
          </w:tcPr>
          <w:p>
            <w:pPr>
              <w:pStyle w:val="Compact"/>
              <w:spacing w:line="276" w:lineRule="auto" w:before="40" w:after="40"/>
            </w:pPr>
            <w:r>
              <w:rPr>
                <w:rFonts w:ascii="Liberation Sans Narrow" w:hAnsi="Liberation Sans Narrow"/>
                <w:sz w:val="18"/>
              </w:rPr>
              <w:t xml:space="preserve">O julgamento dos embargos de declaração com efeitos modificativos, realizado sem a prévia intimação da parte embargada para apresentar contrarrazões, viola o art. 1.023, § 2º, do CPC e o contraditório substancial, impondo a nulidade do julgamento.</w:t>
            </w:r>
          </w:p>
        </w:tc>
      </w:tr>
    </w:tbl>
    <w:bookmarkEnd w:id="858"/>
    <w:bookmarkStart w:id="859" w:name="art.-1024"/>
    <w:p>
      <w:pPr>
        <w:pStyle w:val="Heading6"/>
        <w:pBdr>
          <w:left w:val="single" w:sz="36" w:space="4" w:color="2E75B6"/>
        </w:pBdr>
        <w:shd w:val="clear" w:color="auto" w:fill="E3EEF9"/>
        <w:spacing w:before="200" w:after="80"/>
        <w:ind w:left="85"/>
      </w:pPr>
      <w:r>
        <w:rPr>
          <w:i w:val="0"/>
          <w:color w:val="1F3A5F"/>
          <w:sz w:val="23"/>
        </w:rPr>
        <w:t xml:space="preserve">Art. 1024</w:t>
      </w:r>
    </w:p>
    <w:p>
      <w:pPr>
        <w:pStyle w:val="FirstParagraph"/>
        <w:spacing w:after="80"/>
        <w:jc w:val="both"/>
      </w:pPr>
      <w:r>
        <w:rPr>
          <w:b/>
          <w:bCs/>
        </w:rPr>
        <w:t xml:space="preserve">Art. 1024.</w:t>
      </w:r>
      <w:r>
        <w:t xml:space="preserve"> </w:t>
      </w:r>
      <w:r>
        <w:t xml:space="preserve">O juiz julgará os embargos em 5 (cinco) dias.</w:t>
      </w:r>
    </w:p>
    <w:p>
      <w:pPr>
        <w:pStyle w:val="BodyText"/>
        <w:spacing w:after="80"/>
        <w:jc w:val="both"/>
      </w:pPr>
      <w:r>
        <w:t xml:space="preserve">§ 1º Nos tribunais, o relator apresentará os embargos em mesa na sessão subsequente, proferindo voto, e, não havendo julgamento nessa sessão, será o recurso incluído em pauta automaticamente.</w:t>
      </w:r>
    </w:p>
    <w:p>
      <w:pPr>
        <w:pStyle w:val="BodyText"/>
        <w:spacing w:after="80"/>
        <w:jc w:val="both"/>
      </w:pPr>
      <w:r>
        <w:t xml:space="preserve">§ 2º Quando os embargos de declaração forem opostos contra decisão de relator ou outra decisão unipessoal proferida em tribunal, o órgão prolator da decisão embargada decidi-los-á monocraticamente.</w:t>
      </w:r>
    </w:p>
    <w:p>
      <w:pPr>
        <w:pStyle w:val="BodyText"/>
        <w:spacing w:after="80"/>
        <w:jc w:val="both"/>
      </w:pPr>
      <w:r>
        <w:t xml:space="preserve">§ 3º O órgão julgador conhecerá dos embargos de declaração como agravo interno se entender ser este o recurso cabível, desde que determine previamente a intimação do recorrente para, no prazo de 5 (cinco) dias, complementar as razões recursais, de modo a ajustá-las às exigências do art. 1.021, § 1º .</w:t>
      </w:r>
    </w:p>
    <w:p>
      <w:pPr>
        <w:pStyle w:val="BodyText"/>
        <w:spacing w:after="80"/>
        <w:jc w:val="both"/>
      </w:pPr>
      <w:r>
        <w:t xml:space="preserve">§ 4º Caso o acolhimento dos embargos de declaração implique modificação da decisão embargada, o embargado que já tiver interposto outro recurso contra a decisão originária tem o direito de complementar ou alterar suas razões, nos exatos limites da modificação, no prazo de 15 (quinze) dias, contado da intimação da decisão dos embargos de declaração.</w:t>
      </w:r>
    </w:p>
    <w:p>
      <w:pPr>
        <w:pStyle w:val="BodyText"/>
        <w:spacing w:after="80"/>
        <w:jc w:val="both"/>
      </w:pPr>
      <w:r>
        <w:t xml:space="preserve">§ 5º Se os embargos de declaração forem rejeitados ou não alterarem a conclusão do julgamento anterior, o recurso interposto pela outra parte antes da publicação do julgamento dos embargos de declaração será processado e julgado independentemente de ratificação.</w:t>
      </w:r>
    </w:p>
    <w:bookmarkEnd w:id="859"/>
    <w:bookmarkStart w:id="860" w:name="art.-1025"/>
    <w:p>
      <w:pPr>
        <w:pStyle w:val="Heading6"/>
        <w:pBdr>
          <w:left w:val="single" w:sz="36" w:space="4" w:color="2E75B6"/>
        </w:pBdr>
        <w:shd w:val="clear" w:color="auto" w:fill="E3EEF9"/>
        <w:spacing w:before="200" w:after="80"/>
        <w:ind w:left="85"/>
      </w:pPr>
      <w:r>
        <w:rPr>
          <w:i w:val="0"/>
          <w:color w:val="1F3A5F"/>
          <w:sz w:val="23"/>
        </w:rPr>
        <w:t xml:space="preserve">Art. 1025</w:t>
      </w:r>
    </w:p>
    <w:p>
      <w:pPr>
        <w:pStyle w:val="FirstParagraph"/>
        <w:keepNext/>
        <w:spacing w:after="80"/>
        <w:jc w:val="both"/>
      </w:pPr>
      <w:r>
        <w:rPr>
          <w:b/>
          <w:bCs/>
        </w:rPr>
        <w:t xml:space="preserve">Art. 1025.</w:t>
      </w:r>
      <w:r>
        <w:t xml:space="preserve"> </w:t>
      </w:r>
      <w:r>
        <w:t xml:space="preserve">Consideram-se incluídos no acórdão os elementos que o embargante suscitou, para fins de pré-questionamento, ainda que os embargos de declaração sejam inadmitidos ou rejeitados, caso o tribunal superior considere existentes erro, omissão, contradição ou obscuridade.</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595"/>
        <w:gridCol w:w="2520"/>
        <w:gridCol w:w="4238"/>
      </w:tblGrid>
      <w:tr>
        <w:trPr>
          <w:tblHeader w:val="on"/>
          <w:cantSplit/>
          <w:tblHeader/>
        </w:trPr>
        <w:tc>
          <w:tcPr>
            <w:tcW w:type="dxa" w:w="259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2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238"/>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595"/>
          </w:tcPr>
          <w:p>
            <w:pPr>
              <w:pStyle w:val="Compact"/>
              <w:spacing w:line="276" w:lineRule="auto" w:before="40" w:after="40"/>
            </w:pPr>
            <w:r>
              <w:rPr>
                <w:rFonts w:ascii="Liberation Sans Narrow" w:hAnsi="Liberation Sans Narrow"/>
                <w:sz w:val="18"/>
              </w:rPr>
              <w:t xml:space="preserve">Caput — o prequestionamento ficto exige a invocação da violação do art. 1.022 nas razões do recurso especial</w:t>
            </w:r>
          </w:p>
        </w:tc>
        <w:tc>
          <w:tcPr>
            <w:tcW w:type="dxa" w:w="2521"/>
          </w:tcPr>
          <w:p>
            <w:pPr>
              <w:pStyle w:val="Compact"/>
              <w:spacing w:line="276" w:lineRule="auto" w:before="40" w:after="40"/>
            </w:pPr>
            <w:r>
              <w:rPr>
                <w:rFonts w:ascii="Liberation Sans Narrow" w:hAnsi="Liberation Sans Narrow"/>
                <w:sz w:val="18"/>
              </w:rPr>
              <w:t xml:space="preserve">STJ, AgInt no EREsp 1.863.790, Primeira Turma, relator Min. Gurgel de Faria</w:t>
            </w:r>
          </w:p>
        </w:tc>
        <w:tc>
          <w:tcPr>
            <w:tcW w:type="dxa" w:w="4238"/>
          </w:tcPr>
          <w:p>
            <w:pPr>
              <w:pStyle w:val="Compact"/>
              <w:spacing w:line="276" w:lineRule="auto" w:before="40" w:after="40"/>
            </w:pPr>
            <w:r>
              <w:rPr>
                <w:rFonts w:ascii="Liberation Sans Narrow" w:hAnsi="Liberation Sans Narrow"/>
                <w:sz w:val="18"/>
              </w:rPr>
              <w:t xml:space="preserve">O reconhecimento do prequestionamento ficto previsto no art. 1.025 pressupõe que a parte recorrente, após a oposição dos embargos de declaração na origem, também suscite, nas razões do recurso especial, violação do art. 1.022, por negativa de prestação jurisdicional, pois somente assim o órgão julgador poderá verificar a existência do vício e proceder à supressão de grau.</w:t>
            </w:r>
          </w:p>
        </w:tc>
      </w:tr>
      <w:tr>
        <w:trPr>
          <w:cantSplit/>
        </w:trPr>
        <w:tc>
          <w:tcPr>
            <w:tcW w:type="dxa" w:w="2595"/>
          </w:tcPr>
          <w:p>
            <w:pPr>
              <w:pStyle w:val="Compact"/>
              <w:spacing w:line="276" w:lineRule="auto" w:before="40" w:after="40"/>
            </w:pPr>
            <w:r>
              <w:rPr>
                <w:rFonts w:ascii="Liberation Sans Narrow" w:hAnsi="Liberation Sans Narrow"/>
                <w:sz w:val="18"/>
              </w:rPr>
              <w:t xml:space="preserve">Caput — prequestionamento ficto (orientação de aplicação) (aplicação narrada)</w:t>
            </w:r>
          </w:p>
        </w:tc>
        <w:tc>
          <w:tcPr>
            <w:tcW w:type="dxa" w:w="2521"/>
          </w:tcPr>
          <w:p>
            <w:pPr>
              <w:pStyle w:val="Compact"/>
              <w:spacing w:line="276" w:lineRule="auto" w:before="40" w:after="40"/>
            </w:pPr>
            <w:r>
              <w:rPr>
                <w:rFonts w:ascii="Liberation Sans Narrow" w:hAnsi="Liberation Sans Narrow"/>
                <w:sz w:val="18"/>
              </w:rPr>
              <w:t xml:space="preserve">STJ, EDcl no AgInt no AREsp 3.072.654, Quinta Turma, relatora Min. Daniela Teixeira, julgado em 24/08/2026</w:t>
            </w:r>
          </w:p>
        </w:tc>
        <w:tc>
          <w:tcPr>
            <w:tcW w:type="dxa" w:w="4238"/>
          </w:tcPr>
          <w:p>
            <w:pPr>
              <w:pStyle w:val="Compact"/>
              <w:spacing w:line="276" w:lineRule="auto" w:before="40" w:after="40"/>
            </w:pPr>
            <w:r>
              <w:rPr>
                <w:rFonts w:ascii="Liberation Sans Narrow" w:hAnsi="Liberation Sans Narrow"/>
                <w:sz w:val="18"/>
              </w:rPr>
              <w:t xml:space="preserve">A invocação do prequestionamento ficto do art. 1.025 não afasta o fundamento formal determinante do não conhecimento do recurso, quando ausente a impugnação específica de todos os fundamentos da decisão de inadmissibilidade. Trecho: “A legislação processual e o Regimento Interno do STJ autorizam decisão monocrática do relator para não conhecer recurso inadmissível e exigem, no agravo em recurso especial, a impugnação específica de todos os fundamentos da decisão agravada (CPC, art.”</w:t>
            </w:r>
          </w:p>
        </w:tc>
      </w:tr>
    </w:tbl>
    <w:bookmarkEnd w:id="860"/>
    <w:bookmarkStart w:id="861" w:name="art.-1026"/>
    <w:p>
      <w:pPr>
        <w:pStyle w:val="Heading6"/>
        <w:pBdr>
          <w:left w:val="single" w:sz="36" w:space="4" w:color="2E75B6"/>
        </w:pBdr>
        <w:shd w:val="clear" w:color="auto" w:fill="E3EEF9"/>
        <w:spacing w:before="200" w:after="80"/>
        <w:ind w:left="85"/>
      </w:pPr>
      <w:r>
        <w:rPr>
          <w:i w:val="0"/>
          <w:color w:val="1F3A5F"/>
          <w:sz w:val="23"/>
        </w:rPr>
        <w:t xml:space="preserve">Art. 1026</w:t>
      </w:r>
    </w:p>
    <w:p>
      <w:pPr>
        <w:pStyle w:val="FirstParagraph"/>
        <w:spacing w:after="80"/>
        <w:jc w:val="both"/>
      </w:pPr>
      <w:r>
        <w:rPr>
          <w:b/>
          <w:bCs/>
        </w:rPr>
        <w:t xml:space="preserve">Art. 1026.</w:t>
      </w:r>
      <w:r>
        <w:t xml:space="preserve"> </w:t>
      </w:r>
      <w:r>
        <w:t xml:space="preserve">Os embargos de declaração não possuem efeito suspensivo e interrompem o prazo para a interposição de recurso.</w:t>
      </w:r>
    </w:p>
    <w:p>
      <w:pPr>
        <w:pStyle w:val="BodyText"/>
        <w:spacing w:after="80"/>
        <w:jc w:val="both"/>
      </w:pPr>
      <w:r>
        <w:t xml:space="preserve">§ 1º A eficácia da decisão monocrática ou colegiada poderá ser suspensa pelo respectivo juiz ou relator se demonstrada a probabilidade de provimento do recurso ou, sendo relevante a fundamentação, se houver risco de dano grave ou de difícil reparação.</w:t>
      </w:r>
    </w:p>
    <w:p>
      <w:pPr>
        <w:pStyle w:val="BodyText"/>
        <w:spacing w:after="80"/>
        <w:jc w:val="both"/>
      </w:pPr>
      <w:r>
        <w:t xml:space="preserve">§ 2º Quando manifestamente protelatórios os embargos de declaração, o juiz ou o tribunal, em decisão fundamentada, condenará o embargante a pagar ao embargado multa não excedente a dois por cento sobre o valor atualizado da causa.</w:t>
      </w:r>
    </w:p>
    <w:p>
      <w:pPr>
        <w:pStyle w:val="BodyText"/>
        <w:spacing w:after="80"/>
        <w:jc w:val="both"/>
      </w:pPr>
      <w:r>
        <w:t xml:space="preserve">§ 3º Na reiteração de embargos de declaração manifestamente protelatórios, a multa será elevada a até dez por cento sobre o valor atualizado da causa, e a interposição de qualquer recurso ficará condicionada ao depósito prévio do valor da multa, à exceção da Fazenda Pública e do beneficiário de gratuidade da justiça, que a recolherão ao final.</w:t>
      </w:r>
    </w:p>
    <w:p>
      <w:pPr>
        <w:pStyle w:val="BodyText"/>
        <w:spacing w:after="80"/>
        <w:jc w:val="both"/>
      </w:pPr>
      <w:r>
        <w:t xml:space="preserve">§ 4º Não serão admitidos novos embargos de declaração se os 2 (dois) anteriores houverem sido considerados protelatórios.</w:t>
      </w:r>
    </w:p>
    <w:bookmarkEnd w:id="861"/>
    <w:bookmarkEnd w:id="862"/>
    <w:bookmarkStart w:id="885" w:name="X2c7c1b72eb1dc5244a322a979c814d01e0d231a"/>
    <w:p>
      <w:pPr>
        <w:pStyle w:val="Heading4"/>
        <w:spacing w:before="160" w:after="40"/>
      </w:pPr>
      <w:r>
        <w:rPr>
          <w:smallCaps/>
          <w:color w:val="2E75B6"/>
        </w:rPr>
        <w:t xml:space="preserve">Capítulo VI: dos recursos para o supremo tribunal federal e para o superior tribunal de justiça (arts. 1027 a 1044)</w:t>
      </w:r>
    </w:p>
    <w:bookmarkStart w:id="865" w:name="X4f7779351e08228c5a9c6ea340807413742ee2b"/>
    <w:p>
      <w:pPr>
        <w:pStyle w:val="Heading5"/>
        <w:spacing w:before="140" w:after="20"/>
      </w:pPr>
      <w:r>
        <w:rPr>
          <w:i/>
          <w:color w:val="595959"/>
        </w:rPr>
        <w:t xml:space="preserve">Seção I: do recurso ordinário (arts. 1027 a 1028)</w:t>
      </w:r>
    </w:p>
    <w:bookmarkStart w:id="863" w:name="art.-1027"/>
    <w:p>
      <w:pPr>
        <w:pStyle w:val="Heading6"/>
        <w:pBdr>
          <w:left w:val="single" w:sz="36" w:space="4" w:color="2E75B6"/>
        </w:pBdr>
        <w:shd w:val="clear" w:color="auto" w:fill="E3EEF9"/>
        <w:spacing w:before="200" w:after="80"/>
        <w:ind w:left="85"/>
      </w:pPr>
      <w:r>
        <w:rPr>
          <w:i w:val="0"/>
          <w:color w:val="1F3A5F"/>
          <w:sz w:val="23"/>
        </w:rPr>
        <w:t xml:space="preserve">Art. 1027</w:t>
      </w:r>
    </w:p>
    <w:p>
      <w:pPr>
        <w:pStyle w:val="FirstParagraph"/>
        <w:spacing w:after="80"/>
        <w:jc w:val="both"/>
      </w:pPr>
      <w:r>
        <w:rPr>
          <w:b/>
          <w:bCs/>
        </w:rPr>
        <w:t xml:space="preserve">Art. 1027.</w:t>
      </w:r>
      <w:r>
        <w:t xml:space="preserve"> </w:t>
      </w:r>
      <w:r>
        <w:t xml:space="preserve">Serão julgados em recurso ordinário:</w:t>
      </w:r>
    </w:p>
    <w:p>
      <w:pPr>
        <w:pStyle w:val="BodyText"/>
        <w:spacing w:after="80"/>
        <w:jc w:val="both"/>
      </w:pPr>
      <w:r>
        <w:t xml:space="preserve">I - pelo Supremo Tribunal Federal, os mandados de segurança, os habeas data e os mandados de injunção decididos em única instância pelos tribunais superiores, quando denegatória a decisão;</w:t>
      </w:r>
    </w:p>
    <w:p>
      <w:pPr>
        <w:pStyle w:val="BodyText"/>
        <w:spacing w:after="80"/>
        <w:jc w:val="both"/>
      </w:pPr>
      <w:r>
        <w:t xml:space="preserve">II - pelo Superior Tribunal de Justiça:</w:t>
      </w:r>
    </w:p>
    <w:p>
      <w:pPr>
        <w:pStyle w:val="BodyText"/>
        <w:spacing w:after="80"/>
        <w:jc w:val="both"/>
      </w:pPr>
      <w:r>
        <w:t xml:space="preserve">a) os mandados de segurança decididos em única instância pelos tribunais regionais federais ou pelos tribunais de justiça dos Estados e do Distrito Federal e Territórios, quando denegatória a decisão;</w:t>
      </w:r>
    </w:p>
    <w:p>
      <w:pPr>
        <w:pStyle w:val="BodyText"/>
        <w:spacing w:after="80"/>
        <w:jc w:val="both"/>
      </w:pPr>
      <w:r>
        <w:t xml:space="preserve">b) os processos em que forem partes, de um lado, Estado estrangeiro ou organismo internacional e, de outro, Município ou pessoa residente ou domiciliada no País.</w:t>
      </w:r>
    </w:p>
    <w:p>
      <w:pPr>
        <w:pStyle w:val="BodyText"/>
        <w:spacing w:after="80"/>
        <w:jc w:val="both"/>
      </w:pPr>
      <w:r>
        <w:t xml:space="preserve">§ 1º Nos processos referidos no inciso II, alínea “b”, contra as decisões interlocutórias caberá agravo de instrumento dirigido ao Superior Tribunal de Justiça, nas hipóteses do art. 1.015.</w:t>
      </w:r>
    </w:p>
    <w:p>
      <w:pPr>
        <w:pStyle w:val="BodyText"/>
        <w:spacing w:after="80"/>
        <w:jc w:val="both"/>
      </w:pPr>
      <w:r>
        <w:t xml:space="preserve">§ 2º Aplica-se ao recurso ordinário o disposto nos arts. 1.013, § 3º, e 1.029, § 5º.</w:t>
      </w:r>
    </w:p>
    <w:bookmarkEnd w:id="863"/>
    <w:bookmarkStart w:id="864" w:name="art.-1028"/>
    <w:p>
      <w:pPr>
        <w:pStyle w:val="Heading6"/>
        <w:pBdr>
          <w:left w:val="single" w:sz="36" w:space="4" w:color="2E75B6"/>
        </w:pBdr>
        <w:shd w:val="clear" w:color="auto" w:fill="E3EEF9"/>
        <w:spacing w:before="200" w:after="80"/>
        <w:ind w:left="85"/>
      </w:pPr>
      <w:r>
        <w:rPr>
          <w:i w:val="0"/>
          <w:color w:val="1F3A5F"/>
          <w:sz w:val="23"/>
        </w:rPr>
        <w:t xml:space="preserve">Art. 1028</w:t>
      </w:r>
    </w:p>
    <w:p>
      <w:pPr>
        <w:pStyle w:val="FirstParagraph"/>
        <w:spacing w:after="80"/>
        <w:jc w:val="both"/>
      </w:pPr>
      <w:r>
        <w:rPr>
          <w:b/>
          <w:bCs/>
        </w:rPr>
        <w:t xml:space="preserve">Art. 1028.</w:t>
      </w:r>
      <w:r>
        <w:t xml:space="preserve"> </w:t>
      </w:r>
      <w:r>
        <w:t xml:space="preserve">Ao recurso mencionado no art. 1.027, inciso II, alínea “b”, aplicam-se, quanto aos requisitos de admissibilidade e ao procedimento, as disposições relativas à apelação e o Regimento Interno do Superior Tribunal de Justiça.</w:t>
      </w:r>
    </w:p>
    <w:p>
      <w:pPr>
        <w:pStyle w:val="BodyText"/>
        <w:spacing w:after="80"/>
        <w:jc w:val="both"/>
      </w:pPr>
      <w:r>
        <w:t xml:space="preserve">§ 1º Na hipótese do art. 1.027, § 1º , aplicam-se as disposições relativas ao agravo de instrumento e o Regimento Interno do Superior Tribunal de Justiça.</w:t>
      </w:r>
    </w:p>
    <w:p>
      <w:pPr>
        <w:pStyle w:val="BodyText"/>
        <w:spacing w:after="80"/>
        <w:jc w:val="both"/>
      </w:pPr>
      <w:r>
        <w:t xml:space="preserve">§ 2º O recurso previsto no art. 1.027, incisos I e II, alínea “a”, deve ser interposto perante o tribunal de origem, cabendo ao seu presidente ou vice-presidente determinar a intimação do recorrido para, em 15 (quinze) dias, apresentar as contrarrazões.</w:t>
      </w:r>
    </w:p>
    <w:p>
      <w:pPr>
        <w:pStyle w:val="BodyText"/>
        <w:spacing w:after="80"/>
        <w:jc w:val="both"/>
      </w:pPr>
      <w:r>
        <w:t xml:space="preserve">§ 3º Findo o prazo referido no § 2º, os autos serão remetidos ao respectivo tribunal superior, independentemente de juízo de admissibilidade.</w:t>
      </w:r>
    </w:p>
    <w:bookmarkEnd w:id="864"/>
    <w:bookmarkEnd w:id="865"/>
    <w:bookmarkStart w:id="879" w:name="X47e0361abfcc0c6d8ce5e71d7d4c89be9ce98ad"/>
    <w:p>
      <w:pPr>
        <w:pStyle w:val="Heading5"/>
        <w:spacing w:before="140" w:after="20"/>
      </w:pPr>
      <w:r>
        <w:rPr>
          <w:i/>
          <w:color w:val="595959"/>
        </w:rPr>
        <w:t xml:space="preserve">Seção II: do recurso extraordinário e do recurso especial (arts. 1029 a 1041)</w:t>
      </w:r>
    </w:p>
    <w:bookmarkStart w:id="866" w:name="art.-1029"/>
    <w:p>
      <w:pPr>
        <w:pStyle w:val="Heading6"/>
        <w:pBdr>
          <w:left w:val="single" w:sz="36" w:space="4" w:color="2E75B6"/>
        </w:pBdr>
        <w:shd w:val="clear" w:color="auto" w:fill="E3EEF9"/>
        <w:spacing w:before="200" w:after="80"/>
        <w:ind w:left="85"/>
      </w:pPr>
      <w:r>
        <w:rPr>
          <w:i w:val="0"/>
          <w:color w:val="1F3A5F"/>
          <w:sz w:val="23"/>
        </w:rPr>
        <w:t xml:space="preserve">Art. 1029</w:t>
      </w:r>
    </w:p>
    <w:p>
      <w:pPr>
        <w:pStyle w:val="FirstParagraph"/>
        <w:spacing w:after="80"/>
        <w:jc w:val="both"/>
      </w:pPr>
      <w:r>
        <w:rPr>
          <w:b/>
          <w:bCs/>
        </w:rPr>
        <w:t xml:space="preserve">Art. 1029.</w:t>
      </w:r>
      <w:r>
        <w:t xml:space="preserve"> </w:t>
      </w:r>
      <w:r>
        <w:t xml:space="preserve">O recurso extraordinário e o recurso especial, nos casos previstos na Constituição Federal, serão interpostos perante o presidente ou o vice-presidente do tribunal recorrido, em petições distintas que conterão:</w:t>
      </w:r>
    </w:p>
    <w:p>
      <w:pPr>
        <w:pStyle w:val="BodyText"/>
        <w:spacing w:after="80"/>
        <w:jc w:val="both"/>
      </w:pPr>
      <w:r>
        <w:t xml:space="preserve">I - a exposição do fato e do direito;</w:t>
      </w:r>
    </w:p>
    <w:p>
      <w:pPr>
        <w:pStyle w:val="BodyText"/>
        <w:spacing w:after="80"/>
        <w:jc w:val="both"/>
      </w:pPr>
      <w:r>
        <w:t xml:space="preserve">II - a demonstração do cabimento do recurso interposto;</w:t>
      </w:r>
    </w:p>
    <w:p>
      <w:pPr>
        <w:pStyle w:val="BodyText"/>
        <w:spacing w:after="80"/>
        <w:jc w:val="both"/>
      </w:pPr>
      <w:r>
        <w:t xml:space="preserve">III - as razões do pedido de reforma ou de invalidação da decisão recorrida.</w:t>
      </w:r>
    </w:p>
    <w:p>
      <w:pPr>
        <w:pStyle w:val="BodyText"/>
        <w:spacing w:after="80"/>
        <w:jc w:val="both"/>
      </w:pPr>
      <w:r>
        <w:t xml:space="preserve">§ 1º Quando o recurso fundar-se em dissídio jurisprudencial, o recorrente fará a prova da divergência com a certidão, cópia ou citação do repositório de jurisprudência, oficial ou credenciado, inclusive em mídia eletrônica, em que houver sido publicado o acórdão divergente, ou ainda com a reprodução de julgado disponível na rede mundial de computadores, com indicação da respectiva fonte, devendo-se, em qualquer caso, mencionar as circunstâncias que identifiquem ou assemelhem os casos confrontados.</w:t>
      </w:r>
    </w:p>
    <w:p>
      <w:pPr>
        <w:pStyle w:val="BodyText"/>
        <w:spacing w:after="80"/>
        <w:jc w:val="both"/>
      </w:pPr>
      <w:r>
        <w:t xml:space="preserve">§ 2º ( Revogado ). (Redação dada pela Lei nº 13.256, de 2016) (Vigência)</w:t>
      </w:r>
    </w:p>
    <w:p>
      <w:pPr>
        <w:pStyle w:val="BodyText"/>
        <w:spacing w:after="80"/>
        <w:jc w:val="both"/>
      </w:pPr>
      <w:r>
        <w:t xml:space="preserve">§ 3º O Supremo Tribunal Federal ou o Superior Tribunal de Justiça poderá desconsiderar vício formal de recurso tempestivo ou determinar sua correção, desde que não o repute grave.</w:t>
      </w:r>
    </w:p>
    <w:p>
      <w:pPr>
        <w:pStyle w:val="BodyText"/>
        <w:spacing w:after="80"/>
        <w:jc w:val="both"/>
      </w:pPr>
      <w:r>
        <w:t xml:space="preserve">§ 4º Quando, por ocasião do processamento do incidente de resolução de demandas repetitivas, o presidente do Supremo Tribunal Federal ou do Superior Tribunal de Justiça receber requerimento de suspensão de processos em que se discuta questão federal constitucional ou infraconstitucional, poderá, considerando razões de segurança jurídica ou de excepcional interesse social, estender a suspensão a todo o território nacional, até ulterior decisão do recurso extraordinário ou do recurso especial a ser interposto.</w:t>
      </w:r>
    </w:p>
    <w:p>
      <w:pPr>
        <w:pStyle w:val="BodyText"/>
        <w:spacing w:after="80"/>
        <w:jc w:val="both"/>
      </w:pPr>
      <w:r>
        <w:t xml:space="preserve">§ 5º O pedido de concessão de efeito suspensivo a recurso extraordinário ou a recurso especial poderá ser formulado por requerimento dirigido:</w:t>
      </w:r>
    </w:p>
    <w:p>
      <w:pPr>
        <w:pStyle w:val="BodyText"/>
        <w:spacing w:after="80"/>
        <w:jc w:val="both"/>
      </w:pPr>
      <w:r>
        <w:t xml:space="preserve">I – ao tribunal superior respectivo, no período compreendido entre a publicação da decisão de admissão do recurso e sua distribuição, ficando o relator designado para seu exame prevento para julgá-lo; (Redação dada pela Lei nº 13.256, de 2016) (Vigência)</w:t>
      </w:r>
    </w:p>
    <w:p>
      <w:pPr>
        <w:pStyle w:val="BodyText"/>
        <w:spacing w:after="80"/>
        <w:jc w:val="both"/>
      </w:pPr>
      <w:r>
        <w:t xml:space="preserve">II - ao relator, se já distribuído o recurso;</w:t>
      </w:r>
    </w:p>
    <w:p>
      <w:pPr>
        <w:pStyle w:val="BodyText"/>
        <w:spacing w:after="80"/>
        <w:jc w:val="both"/>
      </w:pPr>
      <w:r>
        <w:t xml:space="preserve">III – ao presidente ou ao vice-presidente do tribunal recorrido, no período compreendido entre a interposição do recurso e a publicação da decisão de admissão do recurso, assim como no caso de o recurso ter sido sobrestado, nos termos do art. 1.037. (Redação dada pela Lei nº 13.256, de 2016) (Vigência)</w:t>
      </w:r>
    </w:p>
    <w:bookmarkEnd w:id="866"/>
    <w:bookmarkStart w:id="867" w:name="art.-1030"/>
    <w:p>
      <w:pPr>
        <w:pStyle w:val="Heading6"/>
        <w:pBdr>
          <w:left w:val="single" w:sz="36" w:space="4" w:color="2E75B6"/>
        </w:pBdr>
        <w:shd w:val="clear" w:color="auto" w:fill="E3EEF9"/>
        <w:spacing w:before="200" w:after="80"/>
        <w:ind w:left="85"/>
      </w:pPr>
      <w:r>
        <w:rPr>
          <w:i w:val="0"/>
          <w:color w:val="1F3A5F"/>
          <w:sz w:val="23"/>
        </w:rPr>
        <w:t xml:space="preserve">Art. 1030</w:t>
      </w:r>
    </w:p>
    <w:p>
      <w:pPr>
        <w:pStyle w:val="FirstParagraph"/>
        <w:spacing w:after="80"/>
        <w:jc w:val="both"/>
      </w:pPr>
      <w:r>
        <w:rPr>
          <w:b/>
          <w:bCs/>
        </w:rPr>
        <w:t xml:space="preserve">Art. 1030.</w:t>
      </w:r>
      <w:r>
        <w:t xml:space="preserve"> </w:t>
      </w:r>
      <w:r>
        <w:t xml:space="preserve">Recebida a petição do recurso pela secretaria do tribunal, o recorrido será intimado para apresentar contrarrazões no prazo de 15 (quinze) dias, findo o qual os autos serão conclusos ao presidente ou ao vice-presidente do tribunal recorrido, que deverá: (Redação dada pela Lei nº 13.256, de 2016) (Vigência)</w:t>
      </w:r>
    </w:p>
    <w:p>
      <w:pPr>
        <w:pStyle w:val="BodyText"/>
        <w:keepNext/>
        <w:spacing w:after="80"/>
        <w:jc w:val="both"/>
      </w:pPr>
      <w:r>
        <w:t xml:space="preserve">I – negar seguimento: (Incluído pela Lei nº 13.256, de 2016) (Vigência)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552"/>
        <w:gridCol w:w="2502"/>
        <w:gridCol w:w="4300"/>
      </w:tblGrid>
      <w:tr>
        <w:trPr>
          <w:tblHeader w:val="on"/>
          <w:cantSplit/>
          <w:tblHeader/>
        </w:trPr>
        <w:tc>
          <w:tcPr>
            <w:tcW w:type="dxa" w:w="255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03"/>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300"/>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552"/>
          </w:tcPr>
          <w:p>
            <w:pPr>
              <w:pStyle w:val="Compact"/>
              <w:spacing w:line="276" w:lineRule="auto" w:before="40" w:after="40"/>
            </w:pPr>
            <w:r>
              <w:rPr>
                <w:rFonts w:ascii="Liberation Sans Narrow" w:hAnsi="Liberation Sans Narrow"/>
                <w:sz w:val="18"/>
              </w:rPr>
              <w:t xml:space="preserve">I, a — negativa de seguimento por ausência de repercussão geral ou conformidade com entendimento do STF (aplicação)</w:t>
            </w:r>
          </w:p>
        </w:tc>
        <w:tc>
          <w:tcPr>
            <w:tcW w:type="dxa" w:w="2503"/>
          </w:tcPr>
          <w:p>
            <w:pPr>
              <w:pStyle w:val="Compact"/>
              <w:spacing w:line="276" w:lineRule="auto" w:before="40" w:after="40"/>
            </w:pPr>
            <w:r>
              <w:rPr>
                <w:rFonts w:ascii="Liberation Sans Narrow" w:hAnsi="Liberation Sans Narrow"/>
                <w:sz w:val="18"/>
              </w:rPr>
              <w:t xml:space="preserve">STJ, AgRg no RE no AgRg no AREsp 2.959.046, Corte Especial, relator Min. Luis Felipe Salomão, julgado em 05/08/2026</w:t>
            </w:r>
          </w:p>
        </w:tc>
        <w:tc>
          <w:tcPr>
            <w:tcW w:type="dxa" w:w="4300"/>
          </w:tcPr>
          <w:p>
            <w:pPr>
              <w:pStyle w:val="Compact"/>
              <w:spacing w:line="276" w:lineRule="auto" w:before="40" w:after="40"/>
            </w:pPr>
            <w:r>
              <w:rPr>
                <w:rFonts w:ascii="Liberation Sans Narrow" w:hAnsi="Liberation Sans Narrow"/>
                <w:sz w:val="18"/>
              </w:rPr>
              <w:t xml:space="preserve">Nos termos do art. 1.030, I, “a”, do CPC, é justificada a negativa de seguimento do recurso extraordinário quando a questão controvertida não possui repercussão geral; estando o acórdão recorrido em conformidade com o Tema 339 do Supremo Tribunal Federal, impõe-se a negativa de seguimento.</w:t>
            </w:r>
          </w:p>
        </w:tc>
      </w:tr>
    </w:tbl>
    <w:p>
      <w:pPr>
        <w:pStyle w:val="BodyText"/>
        <w:spacing w:after="80"/>
        <w:jc w:val="both"/>
      </w:pPr>
      <w:r>
        <w:t xml:space="preserve">a) a recurso extraordinário que discuta questão constitucional à qual o Supremo Tribunal Federal não tenha reconhecido a existência de repercussão geral ou a recurso extraordinário interposto contra acórdão que esteja em conformidade com entendimento do Supremo Tribunal Federal exarado no regime de repercussão geral; (Incluída pela Lei nº 13.256, de 2016) (Vigência)</w:t>
      </w:r>
    </w:p>
    <w:p>
      <w:pPr>
        <w:pStyle w:val="BodyText"/>
        <w:spacing w:after="80"/>
        <w:jc w:val="both"/>
      </w:pPr>
      <w:r>
        <w:t xml:space="preserve">b) a recurso extraordinário ou a recurso especial interposto contra acórdão que esteja em conformidade com entendimento do Supremo Tribunal Federal ou do Superior Tribunal de Justiça, respectivamente, exarado no regime de julgamento de recursos repetitivos; (Incluída pela Lei nº 13.256, de 2016) (Vigência)</w:t>
      </w:r>
    </w:p>
    <w:p>
      <w:pPr>
        <w:pStyle w:val="BodyText"/>
        <w:spacing w:after="80"/>
        <w:jc w:val="both"/>
      </w:pPr>
      <w:r>
        <w:t xml:space="preserve">c) a recurso especial que discuta questão de direito federal infraconstitucional à qual o Superior Tribunal de Justiça não tenha reconhecido a existência de relevância da questão de direito federal infraconstitucional ou a recurso especial interposto contra acórdão que esteja em conformidade com entendimento do Superior Tribunal de Justiça exarado no regime de relevância; (Incluído pela Lei nº 15.484, de 2026) Vigência</w:t>
      </w:r>
    </w:p>
    <w:p>
      <w:pPr>
        <w:pStyle w:val="BodyText"/>
        <w:spacing w:after="80"/>
        <w:jc w:val="both"/>
      </w:pPr>
      <w:r>
        <w:t xml:space="preserve">II – encaminhar o processo ao órgão julgador para realização do juízo de retratação, se o acórdão recorrido divergir do entendimento do Supremo Tribunal Federal ou do Superior Tribunal de Justiça, conforme o caso, nos regimes de repercussão geral, de relevância da questão de direito federal infraconstitucional ou de recursos repetitivos; (Redação dada pela Lei nº 15.484, de 2026) Vigência</w:t>
      </w:r>
    </w:p>
    <w:p>
      <w:pPr>
        <w:pStyle w:val="BodyText"/>
        <w:spacing w:after="80"/>
        <w:jc w:val="both"/>
      </w:pPr>
      <w:r>
        <w:t xml:space="preserve">III – sobrestar o recurso que versar sobre controvérsia de caráter repetitivo ainda não decidida pelo Supremo Tribunal Federal ou pelo Superior Tribunal de Justiça, conforme se trate de matéria constitucional ou infraconstitucional; (Incluído pela Lei nº 13.256, de 2016) (Vigência)</w:t>
      </w:r>
    </w:p>
    <w:p>
      <w:pPr>
        <w:pStyle w:val="BodyText"/>
        <w:spacing w:after="80"/>
        <w:jc w:val="both"/>
      </w:pPr>
      <w:r>
        <w:t xml:space="preserve">IV – selecionar o recurso como representativo de controvérsia constitucional ou infraconstitucional, nos termos do § 6º do art. 1.036; (Incluído pela Lei nº 13.256, de 2016) (Vigência)</w:t>
      </w:r>
    </w:p>
    <w:p>
      <w:pPr>
        <w:pStyle w:val="BodyText"/>
        <w:spacing w:after="80"/>
        <w:jc w:val="both"/>
      </w:pPr>
      <w:r>
        <w:t xml:space="preserve">V – realizar o juízo de admissibilidade e, se positivo, remeter o feito ao Supremo Tribunal Federal ou ao Superior Tribunal de Justiça, desde que: (Incluído pela Lei nº 13.256, de 2016)</w:t>
      </w:r>
    </w:p>
    <w:p>
      <w:pPr>
        <w:pStyle w:val="BodyText"/>
        <w:spacing w:after="80"/>
        <w:jc w:val="both"/>
      </w:pPr>
      <w:r>
        <w:t xml:space="preserve">a) o recurso ainda não tenha sido submetido aos regimes de repercussão geral, de relevância da questão de direito federal infraconstitucional ou de julgamento de recursos repetitivos; (Redação dada pela Lei nº 15.484, de 2026) Vigência</w:t>
      </w:r>
    </w:p>
    <w:p>
      <w:pPr>
        <w:pStyle w:val="BodyText"/>
        <w:spacing w:after="80"/>
        <w:jc w:val="both"/>
      </w:pPr>
      <w:r>
        <w:t xml:space="preserve">b) o recurso tenha sido selecionado como representativo da controvérsia; ou (Incluída pela Lei nº 13.256, de 2016) (Vigência)</w:t>
      </w:r>
    </w:p>
    <w:p>
      <w:pPr>
        <w:pStyle w:val="BodyText"/>
        <w:spacing w:after="80"/>
        <w:jc w:val="both"/>
      </w:pPr>
      <w:r>
        <w:t xml:space="preserve">c) o tribunal recorrido tenha refutado o juízo de retratação. (Incluída pela Lei nº 13.256, de 2016) (Vigência)</w:t>
      </w:r>
    </w:p>
    <w:p>
      <w:pPr>
        <w:pStyle w:val="BodyText"/>
        <w:spacing w:after="80"/>
        <w:jc w:val="both"/>
      </w:pPr>
      <w:r>
        <w:t xml:space="preserve">§ 1º Da decisão de inadmissibilidade proferida com fundamento no inciso V caberá agravo ao tribunal superior, nos termos do art. 1.042. (Incluído pela Lei nº 13.256, de 2016) (Vigência)</w:t>
      </w:r>
    </w:p>
    <w:p>
      <w:pPr>
        <w:pStyle w:val="BodyText"/>
        <w:spacing w:after="80"/>
        <w:jc w:val="both"/>
      </w:pPr>
      <w:r>
        <w:t xml:space="preserve">§ 2º Da decisão proferida com fundamento nos incisos I e III caberá agravo interno, nos termos do art. 1.021. (Incluído pela Lei nº 13.256, de 2016) (Vigência)</w:t>
      </w:r>
    </w:p>
    <w:bookmarkEnd w:id="867"/>
    <w:bookmarkStart w:id="868" w:name="art.-1031"/>
    <w:p>
      <w:pPr>
        <w:pStyle w:val="Heading6"/>
        <w:pBdr>
          <w:left w:val="single" w:sz="36" w:space="4" w:color="2E75B6"/>
        </w:pBdr>
        <w:shd w:val="clear" w:color="auto" w:fill="E3EEF9"/>
        <w:spacing w:before="200" w:after="80"/>
        <w:ind w:left="85"/>
      </w:pPr>
      <w:r>
        <w:rPr>
          <w:i w:val="0"/>
          <w:color w:val="1F3A5F"/>
          <w:sz w:val="23"/>
        </w:rPr>
        <w:t xml:space="preserve">Art. 1031</w:t>
      </w:r>
    </w:p>
    <w:p>
      <w:pPr>
        <w:pStyle w:val="FirstParagraph"/>
        <w:keepNext/>
        <w:spacing w:after="80"/>
        <w:jc w:val="both"/>
      </w:pPr>
      <w:r>
        <w:rPr>
          <w:b/>
          <w:bCs/>
        </w:rPr>
        <w:t xml:space="preserve">Art. 1031.</w:t>
      </w:r>
      <w:r>
        <w:t xml:space="preserve"> </w:t>
      </w:r>
      <w:r>
        <w:t xml:space="preserve">Na hipótese de interposição conjunta de recurso extraordinário e recurso especial, os autos serão remetidos ao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34"/>
        <w:gridCol w:w="2609"/>
        <w:gridCol w:w="4711"/>
      </w:tblGrid>
      <w:tr>
        <w:trPr>
          <w:tblHeader w:val="on"/>
          <w:cantSplit/>
          <w:tblHeader/>
        </w:trPr>
        <w:tc>
          <w:tcPr>
            <w:tcW w:type="dxa" w:w="2034"/>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0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711"/>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34"/>
          </w:tcPr>
          <w:p>
            <w:pPr>
              <w:pStyle w:val="Compact"/>
              <w:spacing w:line="276" w:lineRule="auto" w:before="40" w:after="40"/>
            </w:pPr>
            <w:r>
              <w:rPr>
                <w:rFonts w:ascii="Liberation Sans Narrow" w:hAnsi="Liberation Sans Narrow"/>
                <w:sz w:val="18"/>
              </w:rPr>
              <w:t xml:space="preserve">Caput — ordem de apreciação entre extraordinário e especial</w:t>
            </w:r>
          </w:p>
        </w:tc>
        <w:tc>
          <w:tcPr>
            <w:tcW w:type="dxa" w:w="2609"/>
          </w:tcPr>
          <w:p>
            <w:pPr>
              <w:pStyle w:val="Compact"/>
              <w:spacing w:line="276" w:lineRule="auto" w:before="40" w:after="40"/>
            </w:pPr>
            <w:r>
              <w:rPr>
                <w:rFonts w:ascii="Liberation Sans Narrow" w:hAnsi="Liberation Sans Narrow"/>
                <w:sz w:val="18"/>
              </w:rPr>
              <w:t xml:space="preserve">STF, ARE 930.352, Primeira Turma, relator Min. Marco Aurélio, julgado em 29/03/2021</w:t>
            </w:r>
          </w:p>
        </w:tc>
        <w:tc>
          <w:tcPr>
            <w:tcW w:type="dxa" w:w="4711"/>
          </w:tcPr>
          <w:p>
            <w:pPr>
              <w:pStyle w:val="Compact"/>
              <w:spacing w:line="276" w:lineRule="auto" w:before="40" w:after="40"/>
            </w:pPr>
            <w:r>
              <w:rPr>
                <w:rFonts w:ascii="Liberation Sans Narrow" w:hAnsi="Liberation Sans Narrow"/>
                <w:sz w:val="18"/>
              </w:rPr>
              <w:t xml:space="preserve">Pendente a apreciação, pelo Superior Tribunal de Justiça, do ato que negou seguimento ao recurso especial, não cabe ao Supremo Tribunal Federal analisar o agravo protocolado contra a inadmissibilidade do recurso extraordinário: a ordem de apreciação impõe o exame primeiro do especial.</w:t>
            </w:r>
          </w:p>
        </w:tc>
      </w:tr>
      <w:tr>
        <w:trPr>
          <w:cantSplit/>
        </w:trPr>
        <w:tc>
          <w:tcPr>
            <w:tcW w:type="dxa" w:w="2034"/>
          </w:tcPr>
          <w:p>
            <w:pPr>
              <w:pStyle w:val="Compact"/>
              <w:spacing w:line="276" w:lineRule="auto" w:before="40" w:after="40"/>
            </w:pPr>
            <w:r>
              <w:rPr>
                <w:rFonts w:ascii="Liberation Sans Narrow" w:hAnsi="Liberation Sans Narrow"/>
                <w:sz w:val="18"/>
              </w:rPr>
              <w:t xml:space="preserve">Caput — prejuízo do extraordinário pelo êxito no especial</w:t>
            </w:r>
          </w:p>
        </w:tc>
        <w:tc>
          <w:tcPr>
            <w:tcW w:type="dxa" w:w="2609"/>
          </w:tcPr>
          <w:p>
            <w:pPr>
              <w:pStyle w:val="Compact"/>
              <w:spacing w:line="276" w:lineRule="auto" w:before="40" w:after="40"/>
            </w:pPr>
            <w:r>
              <w:rPr>
                <w:rFonts w:ascii="Liberation Sans Narrow" w:hAnsi="Liberation Sans Narrow"/>
                <w:sz w:val="18"/>
              </w:rPr>
              <w:t xml:space="preserve">STF, RE 944.491, Primeira Turma, relator Min. Marco Aurélio, julgado em 12/06/2018</w:t>
            </w:r>
          </w:p>
        </w:tc>
        <w:tc>
          <w:tcPr>
            <w:tcW w:type="dxa" w:w="4711"/>
          </w:tcPr>
          <w:p>
            <w:pPr>
              <w:pStyle w:val="Compact"/>
              <w:spacing w:line="276" w:lineRule="auto" w:before="40" w:after="40"/>
            </w:pPr>
            <w:r>
              <w:rPr>
                <w:rFonts w:ascii="Liberation Sans Narrow" w:hAnsi="Liberation Sans Narrow"/>
                <w:sz w:val="18"/>
              </w:rPr>
              <w:t xml:space="preserve">O êxito no recurso especial prejudica o recurso extraordinário interposto simultaneamente: a decisão do tribunal substitui a sentença ou o ato recorrido.</w:t>
            </w:r>
          </w:p>
        </w:tc>
      </w:tr>
    </w:tbl>
    <w:p>
      <w:pPr>
        <w:pStyle w:val="BodyText"/>
        <w:spacing w:after="80"/>
        <w:jc w:val="both"/>
      </w:pPr>
      <w:r>
        <w:t xml:space="preserve">§ 1º Concluído o julgamento do recurso especial, os autos serão remetidos ao Supremo Tribunal Federal para apreciação do recurso extraordinário, se este não estiver prejudicado.</w:t>
      </w:r>
    </w:p>
    <w:p>
      <w:pPr>
        <w:pStyle w:val="BodyText"/>
        <w:spacing w:after="80"/>
        <w:jc w:val="both"/>
      </w:pPr>
      <w:r>
        <w:t xml:space="preserve">§ 2º Se o relator do recurso especial considerar prejudicial o recurso extraordinário, em decisão irrecorrível, sobrestará o julgamento e remeterá os autos ao Supremo Tribunal Federal.</w:t>
      </w:r>
    </w:p>
    <w:p>
      <w:pPr>
        <w:pStyle w:val="BodyText"/>
        <w:spacing w:after="80"/>
        <w:jc w:val="both"/>
      </w:pPr>
      <w:r>
        <w:t xml:space="preserve">§ 3º Na hipótese do § 2º, se o relator do recurso extraordinário, em decisão irrecorrível, rejeitar a prejudicialidade, devolverá os autos ao Superior Tribunal de Justiça para o julgamento do recurso especial.</w:t>
      </w:r>
    </w:p>
    <w:bookmarkEnd w:id="868"/>
    <w:bookmarkStart w:id="869" w:name="art.-1032"/>
    <w:p>
      <w:pPr>
        <w:pStyle w:val="Heading6"/>
        <w:pBdr>
          <w:left w:val="single" w:sz="36" w:space="4" w:color="2E75B6"/>
        </w:pBdr>
        <w:shd w:val="clear" w:color="auto" w:fill="E3EEF9"/>
        <w:spacing w:before="200" w:after="80"/>
        <w:ind w:left="85"/>
      </w:pPr>
      <w:r>
        <w:rPr>
          <w:i w:val="0"/>
          <w:color w:val="1F3A5F"/>
          <w:sz w:val="23"/>
        </w:rPr>
        <w:t xml:space="preserve">Art. 1032</w:t>
      </w:r>
    </w:p>
    <w:p>
      <w:pPr>
        <w:pStyle w:val="FirstParagraph"/>
        <w:spacing w:after="80"/>
        <w:jc w:val="both"/>
      </w:pPr>
      <w:r>
        <w:rPr>
          <w:b/>
          <w:bCs/>
        </w:rPr>
        <w:t xml:space="preserve">Art. 1032.</w:t>
      </w:r>
      <w:r>
        <w:t xml:space="preserve"> </w:t>
      </w:r>
      <w:r>
        <w:t xml:space="preserve">Se o relator, no Superior Tribunal de Justiça, entender que o recurso especial versa sobre questão constitucional, deverá conceder prazo de 15 (quinze) dias para que o recorrente demonstre a existência de repercussão geral e se manifeste sobre a questão constitucional.</w:t>
      </w:r>
    </w:p>
    <w:p>
      <w:pPr>
        <w:pStyle w:val="BodyText"/>
        <w:spacing w:after="80"/>
        <w:jc w:val="both"/>
      </w:pPr>
      <w:r>
        <w:t xml:space="preserve">Parágrafo único. Cumprida a diligência de que trata o caput , o relator remeterá o recurso ao Supremo Tribunal Federal, que, em juízo de admissibilidade, poderá devolvê-lo ao Superior Tribunal de Justiça.</w:t>
      </w:r>
    </w:p>
    <w:bookmarkEnd w:id="869"/>
    <w:bookmarkStart w:id="870" w:name="art.-1033"/>
    <w:p>
      <w:pPr>
        <w:pStyle w:val="Heading6"/>
        <w:pBdr>
          <w:left w:val="single" w:sz="36" w:space="4" w:color="2E75B6"/>
        </w:pBdr>
        <w:shd w:val="clear" w:color="auto" w:fill="E3EEF9"/>
        <w:spacing w:before="200" w:after="80"/>
        <w:ind w:left="85"/>
      </w:pPr>
      <w:r>
        <w:rPr>
          <w:i w:val="0"/>
          <w:color w:val="1F3A5F"/>
          <w:sz w:val="23"/>
        </w:rPr>
        <w:t xml:space="preserve">Art. 1033</w:t>
      </w:r>
    </w:p>
    <w:p>
      <w:pPr>
        <w:pStyle w:val="FirstParagraph"/>
        <w:spacing w:after="80"/>
        <w:jc w:val="both"/>
      </w:pPr>
      <w:r>
        <w:rPr>
          <w:b/>
          <w:bCs/>
        </w:rPr>
        <w:t xml:space="preserve">Art. 1033.</w:t>
      </w:r>
      <w:r>
        <w:t xml:space="preserve"> </w:t>
      </w:r>
      <w:r>
        <w:t xml:space="preserve">Se o Supremo Tribunal Federal considerar como reflexa a ofensa à Constituição afirmada no recurso extraordinário, por pressupor a revisão da interpretação de lei federal ou de tratado, remetê-lo-á ao Superior Tribunal de Justiça para julgamento como recurso especial.</w:t>
      </w:r>
    </w:p>
    <w:bookmarkEnd w:id="870"/>
    <w:bookmarkStart w:id="871" w:name="art.-1034"/>
    <w:p>
      <w:pPr>
        <w:pStyle w:val="Heading6"/>
        <w:pBdr>
          <w:left w:val="single" w:sz="36" w:space="4" w:color="2E75B6"/>
        </w:pBdr>
        <w:shd w:val="clear" w:color="auto" w:fill="E3EEF9"/>
        <w:spacing w:before="200" w:after="80"/>
        <w:ind w:left="85"/>
      </w:pPr>
      <w:r>
        <w:rPr>
          <w:i w:val="0"/>
          <w:color w:val="1F3A5F"/>
          <w:sz w:val="23"/>
        </w:rPr>
        <w:t xml:space="preserve">Art. 1034</w:t>
      </w:r>
    </w:p>
    <w:p>
      <w:pPr>
        <w:pStyle w:val="FirstParagraph"/>
        <w:spacing w:after="80"/>
        <w:jc w:val="both"/>
      </w:pPr>
      <w:r>
        <w:rPr>
          <w:b/>
          <w:bCs/>
        </w:rPr>
        <w:t xml:space="preserve">Art. 1034.</w:t>
      </w:r>
      <w:r>
        <w:t xml:space="preserve"> </w:t>
      </w:r>
      <w:r>
        <w:t xml:space="preserve">Admitido o recurso extraordinário ou o recurso especial, o Supremo Tribunal Federal ou o Superior Tribunal de Justiça julgará o processo, aplicando o direito.</w:t>
      </w:r>
    </w:p>
    <w:p>
      <w:pPr>
        <w:pStyle w:val="BodyText"/>
        <w:spacing w:after="80"/>
        <w:jc w:val="both"/>
      </w:pPr>
      <w:r>
        <w:t xml:space="preserve">Parágrafo único. Admitido o recurso extraordinário ou o recurso especial por um fundamento, devolve-se ao tribunal superior o conhecimento dos demais fundamentos para a solução do capítulo impugnado.</w:t>
      </w:r>
    </w:p>
    <w:bookmarkEnd w:id="871"/>
    <w:bookmarkStart w:id="872" w:name="art.-1035"/>
    <w:p>
      <w:pPr>
        <w:pStyle w:val="Heading6"/>
        <w:pBdr>
          <w:left w:val="single" w:sz="36" w:space="4" w:color="2E75B6"/>
        </w:pBdr>
        <w:shd w:val="clear" w:color="auto" w:fill="E3EEF9"/>
        <w:spacing w:before="200" w:after="80"/>
        <w:ind w:left="85"/>
      </w:pPr>
      <w:r>
        <w:rPr>
          <w:i w:val="0"/>
          <w:color w:val="1F3A5F"/>
          <w:sz w:val="23"/>
        </w:rPr>
        <w:t xml:space="preserve">Art. 1035</w:t>
      </w:r>
    </w:p>
    <w:p>
      <w:pPr>
        <w:pStyle w:val="FirstParagraph"/>
        <w:spacing w:after="80"/>
        <w:jc w:val="both"/>
      </w:pPr>
      <w:r>
        <w:rPr>
          <w:b/>
          <w:bCs/>
        </w:rPr>
        <w:t xml:space="preserve">Art. 1035.</w:t>
      </w:r>
      <w:r>
        <w:t xml:space="preserve"> </w:t>
      </w:r>
      <w:r>
        <w:t xml:space="preserve">O Supremo Tribunal Federal, em decisão irrecorrível, não conhecerá do recurso extraordinário quando a questão constitucional nele versada não tiver repercussão geral, nos termos deste artigo.</w:t>
      </w:r>
    </w:p>
    <w:p>
      <w:pPr>
        <w:pStyle w:val="BodyText"/>
        <w:spacing w:after="80"/>
        <w:jc w:val="both"/>
      </w:pPr>
      <w:r>
        <w:t xml:space="preserve">§ 1º Para efeito de repercussão geral, será considerada a existência ou não de questões relevantes do ponto de vista econômico, político, social ou jurídico que ultrapassem os interesses subjetivos do processo.</w:t>
      </w:r>
    </w:p>
    <w:p>
      <w:pPr>
        <w:pStyle w:val="BodyText"/>
        <w:spacing w:after="80"/>
        <w:jc w:val="both"/>
      </w:pPr>
      <w:r>
        <w:t xml:space="preserve">§ 2º O recorrente deverá demonstrar a existência de repercussão geral para apreciação exclusiva pelo Supremo Tribunal Federal.</w:t>
      </w:r>
    </w:p>
    <w:p>
      <w:pPr>
        <w:pStyle w:val="BodyText"/>
        <w:spacing w:after="80"/>
        <w:jc w:val="both"/>
      </w:pPr>
      <w:r>
        <w:t xml:space="preserve">§ 3º Haverá repercussão geral sempre que o recurso impugnar acórdão que:</w:t>
      </w:r>
    </w:p>
    <w:p>
      <w:pPr>
        <w:pStyle w:val="BodyText"/>
        <w:spacing w:after="80"/>
        <w:jc w:val="both"/>
      </w:pPr>
      <w:r>
        <w:t xml:space="preserve">I - contrarie súmula ou jurisprudência dominante do Supremo Tribunal Federal;</w:t>
      </w:r>
    </w:p>
    <w:p>
      <w:pPr>
        <w:pStyle w:val="BodyText"/>
        <w:spacing w:after="80"/>
        <w:jc w:val="both"/>
      </w:pPr>
      <w:r>
        <w:t xml:space="preserve">II – ( Revogado ); (Redação dada pela Lei nº 13.256, de 2016) (Vigência)</w:t>
      </w:r>
    </w:p>
    <w:p>
      <w:pPr>
        <w:pStyle w:val="BodyText"/>
        <w:spacing w:after="80"/>
        <w:jc w:val="both"/>
      </w:pPr>
      <w:r>
        <w:t xml:space="preserve">III - tenha reconhecido a inconstitucionalidade de tratado ou de lei federal, nos termos do art. 97 da Constituição Federal.</w:t>
      </w:r>
    </w:p>
    <w:p>
      <w:pPr>
        <w:pStyle w:val="BodyText"/>
        <w:spacing w:after="80"/>
        <w:jc w:val="both"/>
      </w:pPr>
      <w:r>
        <w:t xml:space="preserve">§ 4º O relator poderá admitir, na análise da repercussão geral, a manifestação de terceiros, subscrita por procurador habilitado, nos termos do Regimento Interno do Supremo Tribunal Federal.</w:t>
      </w:r>
    </w:p>
    <w:p>
      <w:pPr>
        <w:pStyle w:val="BodyText"/>
        <w:spacing w:after="80"/>
        <w:jc w:val="both"/>
      </w:pPr>
      <w:r>
        <w:t xml:space="preserve">§ 5º Reconhecida a repercussão geral, o relator no Supremo Tribunal Federal determinará a suspensão do processamento de todos os processos pendentes, individuais ou coletivos, que versem sobre a questão e tramitem no território nacional.</w:t>
      </w:r>
    </w:p>
    <w:p>
      <w:pPr>
        <w:pStyle w:val="BodyText"/>
        <w:spacing w:after="80"/>
        <w:jc w:val="both"/>
      </w:pPr>
      <w:r>
        <w:t xml:space="preserve">§ 6º O interessado pode requerer, ao presidente ou ao vice-presidente do tribunal de origem, que exclua da decisão de sobrestamento e inadmita o recurso extraordinário que tenha sido interposto intempestivamente, tendo o recorrente o prazo de 5 (cinco) dias para manifestar-se sobre esse requerimento.</w:t>
      </w:r>
    </w:p>
    <w:p>
      <w:pPr>
        <w:pStyle w:val="BodyText"/>
        <w:spacing w:after="80"/>
        <w:jc w:val="both"/>
      </w:pPr>
      <w:r>
        <w:t xml:space="preserve">§ 7º Da decisão que indeferir o requerimento referido no § 6º ou que aplicar entendimento firmado em regime de repercussão geral ou em julgamento de recursos repetitivos caberá agravo interno. (Redação dada pela Lei nº 13.256, de 2016) (Vigência)</w:t>
      </w:r>
    </w:p>
    <w:p>
      <w:pPr>
        <w:pStyle w:val="BodyText"/>
        <w:spacing w:after="80"/>
        <w:jc w:val="both"/>
      </w:pPr>
      <w:r>
        <w:t xml:space="preserve">§ 8º Negada a repercussão geral, o presidente ou o vice-presidente do tribunal de origem negará seguimento aos recursos extraordinários sobrestados na origem que versem sobre matéria idêntica.</w:t>
      </w:r>
    </w:p>
    <w:p>
      <w:pPr>
        <w:pStyle w:val="BodyText"/>
        <w:spacing w:after="80"/>
        <w:jc w:val="both"/>
      </w:pPr>
      <w:r>
        <w:t xml:space="preserve">§ 9º O recurso que tiver a repercussão geral reconhecida deverá ser julgado no prazo de 1 (um) ano e terá preferência sobre os demais feitos, ressalvados os que envolvam réu preso e os pedidos de habeas corpus .</w:t>
      </w:r>
    </w:p>
    <w:p>
      <w:pPr>
        <w:pStyle w:val="BodyText"/>
        <w:spacing w:after="80"/>
        <w:jc w:val="both"/>
      </w:pPr>
      <w:r>
        <w:t xml:space="preserve">§ 10. ( Revogado ). (Redação dada pela Lei nº 13.256, de 2016)</w:t>
      </w:r>
    </w:p>
    <w:p>
      <w:pPr>
        <w:pStyle w:val="BodyText"/>
        <w:spacing w:after="80"/>
        <w:jc w:val="both"/>
      </w:pPr>
      <w:r>
        <w:t xml:space="preserve">§ 11. A súmula da decisão sobre a repercussão geral constará de ata, que será publicada no diário oficial e valerá como acórdão.</w:t>
      </w:r>
    </w:p>
    <w:bookmarkEnd w:id="872"/>
    <w:bookmarkStart w:id="873" w:name="art.-1036"/>
    <w:p>
      <w:pPr>
        <w:pStyle w:val="Heading6"/>
        <w:pBdr>
          <w:left w:val="single" w:sz="36" w:space="4" w:color="2E75B6"/>
        </w:pBdr>
        <w:shd w:val="clear" w:color="auto" w:fill="E3EEF9"/>
        <w:spacing w:before="200" w:after="80"/>
        <w:ind w:left="85"/>
      </w:pPr>
      <w:r>
        <w:rPr>
          <w:i w:val="0"/>
          <w:color w:val="1F3A5F"/>
          <w:sz w:val="23"/>
        </w:rPr>
        <w:t xml:space="preserve">Art. 1036</w:t>
      </w:r>
    </w:p>
    <w:p>
      <w:pPr>
        <w:pStyle w:val="FirstParagraph"/>
        <w:spacing w:after="80"/>
        <w:jc w:val="both"/>
      </w:pPr>
      <w:r>
        <w:rPr>
          <w:b/>
          <w:bCs/>
        </w:rPr>
        <w:t xml:space="preserve">Art. 1036.</w:t>
      </w:r>
      <w:r>
        <w:t xml:space="preserve"> </w:t>
      </w:r>
      <w:r>
        <w:t xml:space="preserve">Sempre que houver multiplicidade de recursos extraordinários ou especiais com fundamento em idêntica questão de direito, haverá afetação para julgamento de acordo com as disposições desta Subseção, observado o disposto no Regimento Interno do Supremo Tribunal Federal e no do Superior Tribunal de Justiça.</w:t>
      </w:r>
    </w:p>
    <w:p>
      <w:pPr>
        <w:pStyle w:val="BodyText"/>
        <w:spacing w:after="80"/>
        <w:jc w:val="both"/>
      </w:pPr>
      <w:r>
        <w:t xml:space="preserve">§ 1º O presidente ou o vice-presidente de tribunal de justiça ou de tribunal regional federal selecionará 2 (dois) ou mais recursos representativos da controvérsia, que serão encaminhados ao Supremo Tribunal Federal ou ao Superior Tribunal de Justiça para fins de afetação, determinando a suspensão do trâmite de todos os processos pendentes, individuais ou coletivos, que tramitem no Estado ou na região, conforme o caso.</w:t>
      </w:r>
    </w:p>
    <w:p>
      <w:pPr>
        <w:pStyle w:val="BodyText"/>
        <w:spacing w:after="80"/>
        <w:jc w:val="both"/>
      </w:pPr>
      <w:r>
        <w:t xml:space="preserve">§ 2º O interessado pode requerer, ao presidente ou ao vice-presidente, que exclua da decisão de sobrestamento e inadmita o recurso especial ou o recurso extraordinário que tenha sido interposto intempestivamente, tendo o recorrente o prazo de 5 (cinco) dias para manifestar-se sobre esse requerimento.</w:t>
      </w:r>
    </w:p>
    <w:p>
      <w:pPr>
        <w:pStyle w:val="BodyText"/>
        <w:spacing w:after="80"/>
        <w:jc w:val="both"/>
      </w:pPr>
      <w:r>
        <w:t xml:space="preserve">§ 3º Da decisão que indeferir o requerimento referido no § 2º caberá apenas agravo interno. (Redação dada pela Lei nº 13.256, de 2016)</w:t>
      </w:r>
    </w:p>
    <w:p>
      <w:pPr>
        <w:pStyle w:val="BodyText"/>
        <w:spacing w:after="80"/>
        <w:jc w:val="both"/>
      </w:pPr>
      <w:r>
        <w:t xml:space="preserve">§ 4º A escolha feita pelo presidente ou vice-presidente do tribunal de justiça ou do tribunal regional federal não vinculará o relator no tribunal superior, que poderá selecionar outros recursos representativos da controvérsia.</w:t>
      </w:r>
    </w:p>
    <w:p>
      <w:pPr>
        <w:pStyle w:val="BodyText"/>
        <w:spacing w:after="80"/>
        <w:jc w:val="both"/>
      </w:pPr>
      <w:r>
        <w:t xml:space="preserve">§ 5º O relator em tribunal superior também poderá selecionar 2 (dois) ou mais recursos representativos da controvérsia para julgamento da questão de direito independentemente da iniciativa do presidente ou do vice-presidente do tribunal de origem.</w:t>
      </w:r>
    </w:p>
    <w:p>
      <w:pPr>
        <w:pStyle w:val="BodyText"/>
        <w:spacing w:after="80"/>
        <w:jc w:val="both"/>
      </w:pPr>
      <w:r>
        <w:t xml:space="preserve">§ 6º Somente podem ser selecionados recursos admissíveis que contenham abrangente argumentação e discussão a respeito da questão a ser decidida.</w:t>
      </w:r>
    </w:p>
    <w:bookmarkEnd w:id="873"/>
    <w:bookmarkStart w:id="874" w:name="art.-1037"/>
    <w:p>
      <w:pPr>
        <w:pStyle w:val="Heading6"/>
        <w:pBdr>
          <w:left w:val="single" w:sz="36" w:space="4" w:color="2E75B6"/>
        </w:pBdr>
        <w:shd w:val="clear" w:color="auto" w:fill="E3EEF9"/>
        <w:spacing w:before="200" w:after="80"/>
        <w:ind w:left="85"/>
      </w:pPr>
      <w:r>
        <w:rPr>
          <w:i w:val="0"/>
          <w:color w:val="1F3A5F"/>
          <w:sz w:val="23"/>
        </w:rPr>
        <w:t xml:space="preserve">Art. 1037</w:t>
      </w:r>
    </w:p>
    <w:p>
      <w:pPr>
        <w:pStyle w:val="FirstParagraph"/>
        <w:spacing w:after="80"/>
        <w:jc w:val="both"/>
      </w:pPr>
      <w:r>
        <w:rPr>
          <w:b/>
          <w:bCs/>
        </w:rPr>
        <w:t xml:space="preserve">Art. 1037.</w:t>
      </w:r>
      <w:r>
        <w:t xml:space="preserve"> </w:t>
      </w:r>
      <w:r>
        <w:t xml:space="preserve">Selecionados os recursos, o relator, no tribunal superior, constatando a presença do pressuposto do caput do art. 1.036, proferirá decisão de afetação, na qual:</w:t>
      </w:r>
    </w:p>
    <w:p>
      <w:pPr>
        <w:pStyle w:val="BodyText"/>
        <w:spacing w:after="80"/>
        <w:jc w:val="both"/>
      </w:pPr>
      <w:r>
        <w:t xml:space="preserve">I - identificará com precisão a questão a ser submetida a julgamento;</w:t>
      </w:r>
    </w:p>
    <w:p>
      <w:pPr>
        <w:pStyle w:val="BodyText"/>
        <w:keepNext/>
        <w:spacing w:after="80"/>
        <w:jc w:val="both"/>
      </w:pPr>
      <w:r>
        <w:t xml:space="preserve">II - determinará a suspensão do processamento de todos os processos pendentes, individuais ou coletivos, que versem sobre a questão e tramitem no território nacional;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2631"/>
        <w:gridCol w:w="4818"/>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631"/>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818"/>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II — o sobrestamento pressupõe o conhecimento do recurso</w:t>
            </w:r>
          </w:p>
        </w:tc>
        <w:tc>
          <w:tcPr>
            <w:tcW w:type="dxa" w:w="2631"/>
          </w:tcPr>
          <w:p>
            <w:pPr>
              <w:pStyle w:val="Compact"/>
              <w:spacing w:line="276" w:lineRule="auto" w:before="40" w:after="40"/>
            </w:pPr>
            <w:r>
              <w:rPr>
                <w:rFonts w:ascii="Liberation Sans Narrow" w:hAnsi="Liberation Sans Narrow"/>
                <w:sz w:val="18"/>
              </w:rPr>
              <w:t xml:space="preserve">STJ, AgInt no AREsp 2.751.494, Quarta Turma, relator Min. Marco Buzzi</w:t>
            </w:r>
          </w:p>
        </w:tc>
        <w:tc>
          <w:tcPr>
            <w:tcW w:type="dxa" w:w="4818"/>
          </w:tcPr>
          <w:p>
            <w:pPr>
              <w:pStyle w:val="Compact"/>
              <w:spacing w:line="276" w:lineRule="auto" w:before="40" w:after="40"/>
            </w:pPr>
            <w:r>
              <w:rPr>
                <w:rFonts w:ascii="Liberation Sans Narrow" w:hAnsi="Liberation Sans Narrow"/>
                <w:sz w:val="18"/>
              </w:rPr>
              <w:t xml:space="preserve">Não há falar em sobrestamento do recurso, por força de suspensão determinada em decisão de afetação de tema para julgamento sob o rito dos recursos repetitivos, quando não ultrapassado o seu conhecimento.</w:t>
            </w:r>
          </w:p>
        </w:tc>
      </w:tr>
      <w:tr>
        <w:trPr>
          <w:cantSplit/>
        </w:trPr>
        <w:tc>
          <w:tcPr>
            <w:tcW w:type="dxa" w:w="1905"/>
          </w:tcPr>
          <w:p>
            <w:pPr>
              <w:pStyle w:val="Compact"/>
              <w:spacing w:line="276" w:lineRule="auto" w:before="40" w:after="40"/>
            </w:pPr>
            <w:r>
              <w:rPr>
                <w:rFonts w:ascii="Liberation Sans Narrow" w:hAnsi="Liberation Sans Narrow"/>
                <w:sz w:val="18"/>
              </w:rPr>
              <w:t xml:space="preserve">II — suspensão do processo após a afetação</w:t>
            </w:r>
          </w:p>
        </w:tc>
        <w:tc>
          <w:tcPr>
            <w:tcW w:type="dxa" w:w="2631"/>
          </w:tcPr>
          <w:p>
            <w:pPr>
              <w:pStyle w:val="Compact"/>
              <w:spacing w:line="276" w:lineRule="auto" w:before="40" w:after="40"/>
            </w:pPr>
            <w:r>
              <w:rPr>
                <w:rFonts w:ascii="Liberation Sans Narrow" w:hAnsi="Liberation Sans Narrow"/>
                <w:sz w:val="18"/>
              </w:rPr>
              <w:t xml:space="preserve">STJ, EDcl no REsp 2.165.111, Terceira Turma, relator Min. Moura Ribeiro, julgado em 04/05/2026</w:t>
            </w:r>
          </w:p>
        </w:tc>
        <w:tc>
          <w:tcPr>
            <w:tcW w:type="dxa" w:w="4818"/>
          </w:tcPr>
          <w:p>
            <w:pPr>
              <w:pStyle w:val="Compact"/>
              <w:spacing w:line="276" w:lineRule="auto" w:before="40" w:after="40"/>
            </w:pPr>
            <w:r>
              <w:rPr>
                <w:rFonts w:ascii="Liberation Sans Narrow" w:hAnsi="Liberation Sans Narrow"/>
                <w:sz w:val="18"/>
              </w:rPr>
              <w:t xml:space="preserve">Publicada a decisão de afetação de tema repetitivo, impõe-se a devolução dos autos ao tribunal estadual para a suspensão do processo, sendo o ato de sobrestamento e devolução desprovido de carga decisória e irrecorrível.</w:t>
            </w:r>
          </w:p>
        </w:tc>
      </w:tr>
    </w:tbl>
    <w:p>
      <w:pPr>
        <w:pStyle w:val="BodyText"/>
        <w:spacing w:after="80"/>
        <w:jc w:val="both"/>
      </w:pPr>
      <w:r>
        <w:t xml:space="preserve">III - poderá requisitar aos presidentes ou aos vice-presidentes dos tribunais de justiça ou dos tribunais regionais federais a remessa de um recurso representativo da controvérsia.</w:t>
      </w:r>
    </w:p>
    <w:p>
      <w:pPr>
        <w:pStyle w:val="BodyText"/>
        <w:spacing w:after="80"/>
        <w:jc w:val="both"/>
      </w:pPr>
      <w:r>
        <w:t xml:space="preserve">§ 1º Se, após receber os recursos selecionados pelo presidente ou pelo vice-presidente de tribunal de justiça ou de tribunal regional federal, não se proceder à afetação, o relator, no tribunal superior, comunicará o fato ao presidente ou ao vice-presidente que os houver enviado, para que seja revogada a decisão de suspensão referida no art. 1.036, § 1º.</w:t>
      </w:r>
    </w:p>
    <w:p>
      <w:pPr>
        <w:pStyle w:val="BodyText"/>
        <w:spacing w:after="80"/>
        <w:jc w:val="both"/>
      </w:pPr>
      <w:r>
        <w:t xml:space="preserve">§ 2º (Revogado pela Lei nº 13.256, de 2016)</w:t>
      </w:r>
    </w:p>
    <w:p>
      <w:pPr>
        <w:pStyle w:val="BodyText"/>
        <w:spacing w:after="80"/>
        <w:jc w:val="both"/>
      </w:pPr>
      <w:r>
        <w:t xml:space="preserve">§ 3º Havendo mais de uma afetação, será prevento o relator que primeiro tiver proferido a decisão a que se refere o inciso I do caput .</w:t>
      </w:r>
    </w:p>
    <w:p>
      <w:pPr>
        <w:pStyle w:val="BodyText"/>
        <w:spacing w:after="80"/>
        <w:jc w:val="both"/>
      </w:pPr>
      <w:r>
        <w:t xml:space="preserve">§ 4º Os recursos afetados deverão ser julgados no prazo de 1 (um) ano e terão preferência sobre os demais feitos, ressalvados os que envolvam réu preso e os pedidos de habeas corpus .</w:t>
      </w:r>
    </w:p>
    <w:p>
      <w:pPr>
        <w:pStyle w:val="BodyText"/>
        <w:spacing w:after="80"/>
        <w:jc w:val="both"/>
      </w:pPr>
      <w:r>
        <w:t xml:space="preserve">§ 5º (Revogado pela Lei nº 13.256, de 2016)</w:t>
      </w:r>
    </w:p>
    <w:p>
      <w:pPr>
        <w:pStyle w:val="BodyText"/>
        <w:spacing w:after="80"/>
        <w:jc w:val="both"/>
      </w:pPr>
      <w:r>
        <w:t xml:space="preserve">§ 6º Ocorrendo a hipótese do § 5º, é permitido a outro relator do respectivo tribunal superior afetar 2 (dois) ou mais recursos representativos da controvérsia na forma do art. 1.036.</w:t>
      </w:r>
    </w:p>
    <w:p>
      <w:pPr>
        <w:pStyle w:val="BodyText"/>
        <w:spacing w:after="80"/>
        <w:jc w:val="both"/>
      </w:pPr>
      <w:r>
        <w:t xml:space="preserve">§ 7º Quando os recursos requisitados na forma do inciso III do caput contiverem outras questões além daquela que é objeto da afetação, caberá ao tribunal decidir esta em primeiro lugar e depois as demais, em acórdão específico para cada processo.</w:t>
      </w:r>
    </w:p>
    <w:p>
      <w:pPr>
        <w:pStyle w:val="BodyText"/>
        <w:spacing w:after="80"/>
        <w:jc w:val="both"/>
      </w:pPr>
      <w:r>
        <w:t xml:space="preserve">§ 8º As partes deverão ser intimadas da decisão de suspensão de seu processo, a ser proferida pelo respectivo juiz ou relator quando informado da decisão a que se refere o inciso II do caput .</w:t>
      </w:r>
    </w:p>
    <w:p>
      <w:pPr>
        <w:pStyle w:val="BodyText"/>
        <w:spacing w:after="80"/>
        <w:jc w:val="both"/>
      </w:pPr>
      <w:r>
        <w:t xml:space="preserve">§ 9º Demonstrando distinção entre a questão a ser decidida no processo e aquela a ser julgada no recurso especial ou extraordinário afetado, a parte poderá requerer o prosseguimento do seu processo.</w:t>
      </w:r>
    </w:p>
    <w:p>
      <w:pPr>
        <w:pStyle w:val="BodyText"/>
        <w:spacing w:after="80"/>
        <w:jc w:val="both"/>
      </w:pPr>
      <w:r>
        <w:t xml:space="preserve">§ 10. O requerimento a que se refere o § 9º será dirigido:</w:t>
      </w:r>
    </w:p>
    <w:p>
      <w:pPr>
        <w:pStyle w:val="BodyText"/>
        <w:spacing w:after="80"/>
        <w:jc w:val="both"/>
      </w:pPr>
      <w:r>
        <w:t xml:space="preserve">I - ao juiz, se o processo sobrestado estiver em primeiro grau;</w:t>
      </w:r>
    </w:p>
    <w:p>
      <w:pPr>
        <w:pStyle w:val="BodyText"/>
        <w:spacing w:after="80"/>
        <w:jc w:val="both"/>
      </w:pPr>
      <w:r>
        <w:t xml:space="preserve">II - ao relator, se o processo sobrestado estiver no tribunal de origem;</w:t>
      </w:r>
    </w:p>
    <w:p>
      <w:pPr>
        <w:pStyle w:val="BodyText"/>
        <w:spacing w:after="80"/>
        <w:jc w:val="both"/>
      </w:pPr>
      <w:r>
        <w:t xml:space="preserve">III - ao relator do acórdão recorrido, se for sobrestado recurso especial ou recurso extraordinário no tribunal de origem;</w:t>
      </w:r>
    </w:p>
    <w:p>
      <w:pPr>
        <w:pStyle w:val="BodyText"/>
        <w:spacing w:after="80"/>
        <w:jc w:val="both"/>
      </w:pPr>
      <w:r>
        <w:t xml:space="preserve">IV - ao relator, no tribunal superior, de recurso especial ou de recurso extraordinário cujo processamento houver sido sobrestado.</w:t>
      </w:r>
    </w:p>
    <w:p>
      <w:pPr>
        <w:pStyle w:val="BodyText"/>
        <w:spacing w:after="80"/>
        <w:jc w:val="both"/>
      </w:pPr>
      <w:r>
        <w:t xml:space="preserve">§ 11. A outra parte deverá ser ouvida sobre o requerimento a que se refere o § 9º, no prazo de 5 (cinco) dias.</w:t>
      </w:r>
    </w:p>
    <w:p>
      <w:pPr>
        <w:pStyle w:val="BodyText"/>
        <w:spacing w:after="80"/>
        <w:jc w:val="both"/>
      </w:pPr>
      <w:r>
        <w:t xml:space="preserve">§ 12. Reconhecida a distinção no caso:</w:t>
      </w:r>
    </w:p>
    <w:p>
      <w:pPr>
        <w:pStyle w:val="BodyText"/>
        <w:spacing w:after="80"/>
        <w:jc w:val="both"/>
      </w:pPr>
      <w:r>
        <w:t xml:space="preserve">I - dos incisos I, II e IV do § 10, o próprio juiz ou relator dará prosseguimento ao processo;</w:t>
      </w:r>
    </w:p>
    <w:p>
      <w:pPr>
        <w:pStyle w:val="BodyText"/>
        <w:spacing w:after="80"/>
        <w:jc w:val="both"/>
      </w:pPr>
      <w:r>
        <w:t xml:space="preserve">II - do inciso III do § 10, o relator comunicará a decisão ao presidente ou ao vice-presidente que houver determinado o sobrestamento, para que o recurso especial ou o recurso extraordinário seja encaminhado ao respectivo tribunal superior, na forma do art. 1.030, parágrafo único.</w:t>
      </w:r>
    </w:p>
    <w:p>
      <w:pPr>
        <w:pStyle w:val="BodyText"/>
        <w:spacing w:after="80"/>
        <w:jc w:val="both"/>
      </w:pPr>
      <w:r>
        <w:t xml:space="preserve">§ 13. Da decisão que resolver o requerimento a que se refere o § 9º caberá:</w:t>
      </w:r>
    </w:p>
    <w:p>
      <w:pPr>
        <w:pStyle w:val="BodyText"/>
        <w:spacing w:after="80"/>
        <w:jc w:val="both"/>
      </w:pPr>
      <w:r>
        <w:t xml:space="preserve">I - agravo de instrumento, se o processo estiver em primeiro grau;</w:t>
      </w:r>
    </w:p>
    <w:p>
      <w:pPr>
        <w:pStyle w:val="BodyText"/>
        <w:spacing w:after="80"/>
        <w:jc w:val="both"/>
      </w:pPr>
      <w:r>
        <w:t xml:space="preserve">II - agravo interno, se a decisão for de relator.</w:t>
      </w:r>
    </w:p>
    <w:bookmarkEnd w:id="874"/>
    <w:bookmarkStart w:id="875" w:name="art.-1038"/>
    <w:p>
      <w:pPr>
        <w:pStyle w:val="Heading6"/>
        <w:pBdr>
          <w:left w:val="single" w:sz="36" w:space="4" w:color="2E75B6"/>
        </w:pBdr>
        <w:shd w:val="clear" w:color="auto" w:fill="E3EEF9"/>
        <w:spacing w:before="200" w:after="80"/>
        <w:ind w:left="85"/>
      </w:pPr>
      <w:r>
        <w:rPr>
          <w:i w:val="0"/>
          <w:color w:val="1F3A5F"/>
          <w:sz w:val="23"/>
        </w:rPr>
        <w:t xml:space="preserve">Art. 1038</w:t>
      </w:r>
    </w:p>
    <w:p>
      <w:pPr>
        <w:pStyle w:val="FirstParagraph"/>
        <w:spacing w:after="80"/>
        <w:jc w:val="both"/>
      </w:pPr>
      <w:r>
        <w:rPr>
          <w:b/>
          <w:bCs/>
        </w:rPr>
        <w:t xml:space="preserve">Art. 1038.</w:t>
      </w:r>
      <w:r>
        <w:t xml:space="preserve"> </w:t>
      </w:r>
      <w:r>
        <w:t xml:space="preserve">O relator poderá:</w:t>
      </w:r>
    </w:p>
    <w:p>
      <w:pPr>
        <w:pStyle w:val="BodyText"/>
        <w:spacing w:after="80"/>
        <w:jc w:val="both"/>
      </w:pPr>
      <w:r>
        <w:t xml:space="preserve">I - solicitar ou admitir manifestação de pessoas, órgãos ou entidades com interesse na controvérsia, considerando a relevância da matéria e consoante dispuser o regimento interno;</w:t>
      </w:r>
    </w:p>
    <w:p>
      <w:pPr>
        <w:pStyle w:val="BodyText"/>
        <w:spacing w:after="80"/>
        <w:jc w:val="both"/>
      </w:pPr>
      <w:r>
        <w:t xml:space="preserve">II - fixar data para, em audiência pública, ouvir depoimentos de pessoas com experiência e conhecimento na matéria, com a finalidade de instruir o procedimento;</w:t>
      </w:r>
    </w:p>
    <w:p>
      <w:pPr>
        <w:pStyle w:val="BodyText"/>
        <w:spacing w:after="80"/>
        <w:jc w:val="both"/>
      </w:pPr>
      <w:r>
        <w:t xml:space="preserve">III - requisitar informações aos tribunais inferiores a respeito da controvérsia e, cumprida a diligência, intimará o Ministério Público para manifestar-se.</w:t>
      </w:r>
    </w:p>
    <w:p>
      <w:pPr>
        <w:pStyle w:val="BodyText"/>
        <w:spacing w:after="80"/>
        <w:jc w:val="both"/>
      </w:pPr>
      <w:r>
        <w:t xml:space="preserve">§ 1º No caso do inciso III, os prazos respectivos são de 15 (quinze) dias, e os atos serão praticados, sempre que possível, por meio eletrônico.</w:t>
      </w:r>
    </w:p>
    <w:p>
      <w:pPr>
        <w:pStyle w:val="BodyText"/>
        <w:spacing w:after="80"/>
        <w:jc w:val="both"/>
      </w:pPr>
      <w:r>
        <w:t xml:space="preserve">§ 2º Transcorrido o prazo para o Ministério Público e remetida cópia do relatório aos demais ministros, haverá inclusão em pauta, devendo ocorrer o julgamento com preferência sobre os demais feitos, ressalvados os que envolvam réu preso e os pedidos de habeas corpus .</w:t>
      </w:r>
    </w:p>
    <w:p>
      <w:pPr>
        <w:pStyle w:val="BodyText"/>
        <w:spacing w:after="80"/>
        <w:jc w:val="both"/>
      </w:pPr>
      <w:r>
        <w:t xml:space="preserve">§ 3º O conteúdo do acórdão abrangerá a análise dos fundamentos relevantes da tese jurídica discutida. (Redação dada pela Lei nº 13.256, de 2016)</w:t>
      </w:r>
    </w:p>
    <w:bookmarkEnd w:id="875"/>
    <w:bookmarkStart w:id="876" w:name="art.-1039"/>
    <w:p>
      <w:pPr>
        <w:pStyle w:val="Heading6"/>
        <w:pBdr>
          <w:left w:val="single" w:sz="36" w:space="4" w:color="2E75B6"/>
        </w:pBdr>
        <w:shd w:val="clear" w:color="auto" w:fill="E3EEF9"/>
        <w:spacing w:before="200" w:after="80"/>
        <w:ind w:left="85"/>
      </w:pPr>
      <w:r>
        <w:rPr>
          <w:i w:val="0"/>
          <w:color w:val="1F3A5F"/>
          <w:sz w:val="23"/>
        </w:rPr>
        <w:t xml:space="preserve">Art. 1039</w:t>
      </w:r>
    </w:p>
    <w:p>
      <w:pPr>
        <w:pStyle w:val="FirstParagraph"/>
        <w:spacing w:after="80"/>
        <w:jc w:val="both"/>
      </w:pPr>
      <w:r>
        <w:rPr>
          <w:b/>
          <w:bCs/>
        </w:rPr>
        <w:t xml:space="preserve">Art. 1039.</w:t>
      </w:r>
      <w:r>
        <w:t xml:space="preserve"> </w:t>
      </w:r>
      <w:r>
        <w:t xml:space="preserve">Decididos os recursos afetados, os órgãos colegiados declararão prejudicados os demais recursos versando sobre idêntica controvérsia ou os decidirão aplicando a tese firmada.</w:t>
      </w:r>
    </w:p>
    <w:p>
      <w:pPr>
        <w:pStyle w:val="BodyText"/>
        <w:spacing w:after="80"/>
        <w:jc w:val="both"/>
      </w:pPr>
      <w:r>
        <w:t xml:space="preserve">Parágrafo único. Negada a existência de repercussão geral ou de relevância da questão de direito federal infraconstitucional, respectivamente, no recurso extraordinário ou especial afetado, serão considerados automaticamente inadmitidos os recursos extraordinários ou os recursos especiais cujo processamento tenha sido sobrestado. (Redação dada pela Lei nº 15.484, de 2026) Vigência</w:t>
      </w:r>
    </w:p>
    <w:bookmarkEnd w:id="876"/>
    <w:bookmarkStart w:id="877" w:name="art.-1040"/>
    <w:p>
      <w:pPr>
        <w:pStyle w:val="Heading6"/>
        <w:pBdr>
          <w:left w:val="single" w:sz="36" w:space="4" w:color="2E75B6"/>
        </w:pBdr>
        <w:shd w:val="clear" w:color="auto" w:fill="E3EEF9"/>
        <w:spacing w:before="200" w:after="80"/>
        <w:ind w:left="85"/>
      </w:pPr>
      <w:r>
        <w:rPr>
          <w:i w:val="0"/>
          <w:color w:val="1F3A5F"/>
          <w:sz w:val="23"/>
        </w:rPr>
        <w:t xml:space="preserve">Art. 1040</w:t>
      </w:r>
    </w:p>
    <w:p>
      <w:pPr>
        <w:pStyle w:val="FirstParagraph"/>
        <w:spacing w:after="80"/>
        <w:jc w:val="both"/>
      </w:pPr>
      <w:r>
        <w:rPr>
          <w:b/>
          <w:bCs/>
        </w:rPr>
        <w:t xml:space="preserve">Art. 1040.</w:t>
      </w:r>
      <w:r>
        <w:t xml:space="preserve"> </w:t>
      </w:r>
      <w:r>
        <w:t xml:space="preserve">Publicado o acórdão paradigma:</w:t>
      </w:r>
    </w:p>
    <w:p>
      <w:pPr>
        <w:pStyle w:val="BodyText"/>
        <w:spacing w:after="80"/>
        <w:jc w:val="both"/>
      </w:pPr>
      <w:r>
        <w:t xml:space="preserve">I - o presidente ou o vice-presidente do tribunal de origem negará seguimento aos recursos especiais ou extraordinários sobrestados na origem, se o acórdão recorrido coincidir com a orientação do tribunal superior;</w:t>
      </w:r>
    </w:p>
    <w:p>
      <w:pPr>
        <w:pStyle w:val="BodyText"/>
        <w:spacing w:after="80"/>
        <w:jc w:val="both"/>
      </w:pPr>
      <w:r>
        <w:t xml:space="preserve">II - o órgão que proferiu o acórdão recorrido, na origem, reexaminará o processo de competência originária, a remessa necessária ou o recurso anteriormente julgado, se o acórdão recorrido contrariar a orientação do tribunal superior;</w:t>
      </w:r>
    </w:p>
    <w:p>
      <w:pPr>
        <w:pStyle w:val="BodyText"/>
        <w:spacing w:after="80"/>
        <w:jc w:val="both"/>
      </w:pPr>
      <w:r>
        <w:t xml:space="preserve">III - os processos suspensos em primeiro e segundo graus de jurisdição retomarão o curso para julgamento e aplicação da tese firmada pelo tribunal superior;</w:t>
      </w:r>
    </w:p>
    <w:p>
      <w:pPr>
        <w:pStyle w:val="BodyText"/>
        <w:spacing w:after="80"/>
        <w:jc w:val="both"/>
      </w:pPr>
      <w:r>
        <w:t xml:space="preserve">IV - se os recursos versarem sobre questão relativa a prestação de serviço público objeto de concessão, permissão ou autorização, o resultado do julgamento será comunicado ao órgão, ao ente ou à agência reguladora competente para fiscalização da efetiva aplicação, por parte dos entes sujeitos a regulação, da tese adotada.</w:t>
      </w:r>
    </w:p>
    <w:p>
      <w:pPr>
        <w:pStyle w:val="BodyText"/>
        <w:spacing w:after="80"/>
        <w:jc w:val="both"/>
      </w:pPr>
      <w:r>
        <w:t xml:space="preserve">§ 1º A parte poderá desistir da ação em curso no primeiro grau de jurisdição, antes de proferida a sentença, se a questão nela discutida for idêntica à resolvida pelo recurso representativo da controvérsia.</w:t>
      </w:r>
    </w:p>
    <w:p>
      <w:pPr>
        <w:pStyle w:val="BodyText"/>
        <w:spacing w:after="80"/>
        <w:jc w:val="both"/>
      </w:pPr>
      <w:r>
        <w:t xml:space="preserve">§ 2º Se a desistência ocorrer antes de oferecida contestação, a parte ficará isenta do pagamento de custas e de honorários de sucumbência.</w:t>
      </w:r>
    </w:p>
    <w:p>
      <w:pPr>
        <w:pStyle w:val="BodyText"/>
        <w:spacing w:after="80"/>
        <w:jc w:val="both"/>
      </w:pPr>
      <w:r>
        <w:t xml:space="preserve">§ 3º A desistência apresentada nos termos do § 1º independe de consentimento do réu, ainda que apresentada contestação.</w:t>
      </w:r>
    </w:p>
    <w:bookmarkEnd w:id="877"/>
    <w:bookmarkStart w:id="878" w:name="art.-1041"/>
    <w:p>
      <w:pPr>
        <w:pStyle w:val="Heading6"/>
        <w:pBdr>
          <w:left w:val="single" w:sz="36" w:space="4" w:color="2E75B6"/>
        </w:pBdr>
        <w:shd w:val="clear" w:color="auto" w:fill="E3EEF9"/>
        <w:spacing w:before="200" w:after="80"/>
        <w:ind w:left="85"/>
      </w:pPr>
      <w:r>
        <w:rPr>
          <w:i w:val="0"/>
          <w:color w:val="1F3A5F"/>
          <w:sz w:val="23"/>
        </w:rPr>
        <w:t xml:space="preserve">Art. 1041</w:t>
      </w:r>
    </w:p>
    <w:p>
      <w:pPr>
        <w:pStyle w:val="FirstParagraph"/>
        <w:spacing w:after="80"/>
        <w:jc w:val="both"/>
      </w:pPr>
      <w:r>
        <w:rPr>
          <w:b/>
          <w:bCs/>
        </w:rPr>
        <w:t xml:space="preserve">Art. 1041.</w:t>
      </w:r>
      <w:r>
        <w:t xml:space="preserve"> </w:t>
      </w:r>
      <w:r>
        <w:t xml:space="preserve">Mantido o acórdão divergente pelo tribunal de origem, o recurso especial ou extraordinário será remetido ao respectivo tribunal superior, na forma do art. 1.036, § 1º.</w:t>
      </w:r>
    </w:p>
    <w:p>
      <w:pPr>
        <w:pStyle w:val="BodyText"/>
        <w:spacing w:after="80"/>
        <w:jc w:val="both"/>
      </w:pPr>
      <w:r>
        <w:t xml:space="preserve">§ 1º Realizado o juízo de retratação, com alteração do acórdão divergente, o tribunal de origem, se for o caso, decidirá as demais questões ainda não decididas cujo enfrentamento se tornou necessário em decorrência da alteração.</w:t>
      </w:r>
    </w:p>
    <w:p>
      <w:pPr>
        <w:pStyle w:val="BodyText"/>
        <w:spacing w:after="80"/>
        <w:jc w:val="both"/>
      </w:pPr>
      <w:r>
        <w:t xml:space="preserve">§ 2º A petição de agravo será dirigida ao presidente ou ao vice-presidente do tribunal de origem e independe do pagamento de custas e despesas postais, aplicando-se a ela o regime de repercussão geral, de relevância da questão de direito federal infraconstitucional e de recursos repetitivos, inclusive quanto à possibilidade de sobrestamento e do juízo de retratação. (Redação dada pela Lei nº 15.484, de 2026) Vigência</w:t>
      </w:r>
    </w:p>
    <w:bookmarkEnd w:id="878"/>
    <w:bookmarkEnd w:id="879"/>
    <w:bookmarkStart w:id="881" w:name="X332d1761fab1bff2f1c398958a70baad3f67094"/>
    <w:p>
      <w:pPr>
        <w:pStyle w:val="Heading5"/>
        <w:spacing w:before="140" w:after="20"/>
      </w:pPr>
      <w:r>
        <w:rPr>
          <w:i/>
          <w:color w:val="595959"/>
        </w:rPr>
        <w:t xml:space="preserve">Seção III: do agravo em recurso especial e em recurso extraordinário (arts. 1042)</w:t>
      </w:r>
    </w:p>
    <w:bookmarkStart w:id="880" w:name="art.-1042"/>
    <w:p>
      <w:pPr>
        <w:pStyle w:val="Heading6"/>
        <w:pBdr>
          <w:left w:val="single" w:sz="36" w:space="4" w:color="2E75B6"/>
        </w:pBdr>
        <w:shd w:val="clear" w:color="auto" w:fill="E3EEF9"/>
        <w:spacing w:before="200" w:after="80"/>
        <w:ind w:left="85"/>
      </w:pPr>
      <w:r>
        <w:rPr>
          <w:i w:val="0"/>
          <w:color w:val="1F3A5F"/>
          <w:sz w:val="23"/>
        </w:rPr>
        <w:t xml:space="preserve">Art. 1042</w:t>
      </w:r>
    </w:p>
    <w:p>
      <w:pPr>
        <w:pStyle w:val="FirstParagraph"/>
        <w:keepNext/>
        <w:spacing w:after="80"/>
        <w:jc w:val="both"/>
      </w:pPr>
      <w:r>
        <w:rPr>
          <w:b/>
          <w:bCs/>
        </w:rPr>
        <w:t xml:space="preserve">Art. 1042.</w:t>
      </w:r>
      <w:r>
        <w:t xml:space="preserve"> </w:t>
      </w:r>
      <w:r>
        <w:t xml:space="preserve">Cabe agravo contra decisão do presidente ou do vice-presidente do tribunal recorrido que inadmitir recurso extraordinário ou recurso especial, salvo quando fundada na aplicação de entendimento firmado em regimes de repercussão geral, de relevância da questão de direito federal infraconstitucional ou de julgamento de recursos repetitivos. (Redação dada pela Lei nº 15.484, de 2026) Vigência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653"/>
        <w:gridCol w:w="3088"/>
        <w:gridCol w:w="3613"/>
      </w:tblGrid>
      <w:tr>
        <w:trPr>
          <w:tblHeader w:val="on"/>
          <w:cantSplit/>
          <w:tblHeader/>
        </w:trPr>
        <w:tc>
          <w:tcPr>
            <w:tcW w:type="dxa" w:w="2653"/>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3088"/>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3613"/>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653"/>
          </w:tcPr>
          <w:p>
            <w:pPr>
              <w:pStyle w:val="Compact"/>
              <w:spacing w:line="276" w:lineRule="auto" w:before="40" w:after="40"/>
            </w:pPr>
            <w:r>
              <w:rPr>
                <w:rFonts w:ascii="Liberation Sans Narrow" w:hAnsi="Liberation Sans Narrow"/>
                <w:sz w:val="18"/>
              </w:rPr>
              <w:t xml:space="preserve">Caput — cabimento do agravo contra a inadmissão do recurso (aplicação narrada)</w:t>
            </w:r>
          </w:p>
        </w:tc>
        <w:tc>
          <w:tcPr>
            <w:tcW w:type="dxa" w:w="3088"/>
          </w:tcPr>
          <w:p>
            <w:pPr>
              <w:pStyle w:val="Compact"/>
              <w:spacing w:line="276" w:lineRule="auto" w:before="40" w:after="40"/>
            </w:pPr>
            <w:r>
              <w:rPr>
                <w:rFonts w:ascii="Liberation Sans Narrow" w:hAnsi="Liberation Sans Narrow"/>
                <w:sz w:val="18"/>
              </w:rPr>
              <w:t xml:space="preserve">STJ, ARE no RE no AgInt no AREsp 1.948.309, Corte Especial, relatora Min. Maria Thereza de Assis Moura, julgado em 22/11/2022, DJe de 28/11/2022</w:t>
            </w:r>
          </w:p>
        </w:tc>
        <w:tc>
          <w:tcPr>
            <w:tcW w:type="dxa" w:w="3613"/>
          </w:tcPr>
          <w:p>
            <w:pPr>
              <w:pStyle w:val="Compact"/>
              <w:spacing w:line="276" w:lineRule="auto" w:before="40" w:after="40"/>
            </w:pPr>
            <w:r>
              <w:rPr>
                <w:rFonts w:ascii="Liberation Sans Narrow" w:hAnsi="Liberation Sans Narrow"/>
                <w:sz w:val="18"/>
              </w:rPr>
              <w:t xml:space="preserve">Contra a decisão que nega seguimento ao recurso extraordinário na sistemática da repercussão geral cabe agravo interno, e não agravo em recurso extraordinário; a interposição deste configura erro grosseiro, insuscetível de fungibilidade. Trecho: “A interposição de agravo em recurso extraordinário nesses casos configura erro grosseiro, impedindo a aplicação do princípio da fungibilidade.”</w:t>
            </w:r>
          </w:p>
        </w:tc>
      </w:tr>
      <w:tr>
        <w:trPr>
          <w:cantSplit/>
        </w:trPr>
        <w:tc>
          <w:tcPr>
            <w:tcW w:type="dxa" w:w="2653"/>
          </w:tcPr>
          <w:p>
            <w:pPr>
              <w:pStyle w:val="Compact"/>
              <w:spacing w:line="276" w:lineRule="auto" w:before="40" w:after="40"/>
            </w:pPr>
            <w:r>
              <w:rPr>
                <w:rFonts w:ascii="Liberation Sans Narrow" w:hAnsi="Liberation Sans Narrow"/>
                <w:sz w:val="18"/>
              </w:rPr>
              <w:t xml:space="preserve">Caput — unirrecorribilidade e preclusão consumativa</w:t>
            </w:r>
          </w:p>
        </w:tc>
        <w:tc>
          <w:tcPr>
            <w:tcW w:type="dxa" w:w="3088"/>
          </w:tcPr>
          <w:p>
            <w:pPr>
              <w:pStyle w:val="Compact"/>
              <w:spacing w:line="276" w:lineRule="auto" w:before="40" w:after="40"/>
            </w:pPr>
            <w:r>
              <w:rPr>
                <w:rFonts w:ascii="Liberation Sans Narrow" w:hAnsi="Liberation Sans Narrow"/>
                <w:sz w:val="18"/>
              </w:rPr>
              <w:t xml:space="preserve">STJ, ARE no RE nos EDcl no AgRg no REsp 1.791.589, Corte Especial, relatora Min. Maria Thereza de Assis Moura, julgado em 12/05/2020, DJe de 15/05/2020</w:t>
            </w:r>
          </w:p>
        </w:tc>
        <w:tc>
          <w:tcPr>
            <w:tcW w:type="dxa" w:w="3613"/>
          </w:tcPr>
          <w:p>
            <w:pPr>
              <w:pStyle w:val="Compact"/>
              <w:spacing w:line="276" w:lineRule="auto" w:before="40" w:after="40"/>
            </w:pPr>
            <w:r>
              <w:rPr>
                <w:rFonts w:ascii="Liberation Sans Narrow" w:hAnsi="Liberation Sans Narrow"/>
                <w:sz w:val="18"/>
              </w:rPr>
              <w:t xml:space="preserve">É manifestamente incabível o segundo recurso interposto pelas mesmas partes contra a mesma decisão, em razão da preclusão consumativa e do princípio da unirrecorribilidade; interpostos agravo interno e agravo em recurso extraordinário contra a decisão que negou seguimento ao extraordinário, não se conhece do segundo.</w:t>
            </w:r>
          </w:p>
        </w:tc>
      </w:tr>
    </w:tbl>
    <w:p>
      <w:pPr>
        <w:pStyle w:val="BodyText"/>
        <w:spacing w:after="80"/>
        <w:jc w:val="both"/>
      </w:pPr>
      <w:r>
        <w:t xml:space="preserve">I – ( Revogado ); (Redação dada pela Lei nº 13.256, de 2016)</w:t>
      </w:r>
    </w:p>
    <w:p>
      <w:pPr>
        <w:pStyle w:val="BodyText"/>
        <w:spacing w:after="80"/>
        <w:jc w:val="both"/>
      </w:pPr>
      <w:r>
        <w:t xml:space="preserve">II – ( Revogado ); (Redação dada pela Lei nº 13.256, de 2016)</w:t>
      </w:r>
    </w:p>
    <w:p>
      <w:pPr>
        <w:pStyle w:val="BodyText"/>
        <w:spacing w:after="80"/>
        <w:jc w:val="both"/>
      </w:pPr>
      <w:r>
        <w:t xml:space="preserve">III – ( Revogado ). (Redação dada pela Lei nº 13.256, de 2016)</w:t>
      </w:r>
    </w:p>
    <w:p>
      <w:pPr>
        <w:pStyle w:val="BodyText"/>
        <w:spacing w:after="80"/>
        <w:jc w:val="both"/>
      </w:pPr>
      <w:r>
        <w:t xml:space="preserve">§ 1º ( Revogado ): (Redação dada pela Lei nº 13.256, de 2016)</w:t>
      </w:r>
    </w:p>
    <w:p>
      <w:pPr>
        <w:pStyle w:val="BodyText"/>
        <w:spacing w:after="80"/>
        <w:jc w:val="both"/>
      </w:pPr>
      <w:r>
        <w:t xml:space="preserve">I – ( Revogado ); (Redação dada pela Lei nº 13.256, de 2016)</w:t>
      </w:r>
    </w:p>
    <w:p>
      <w:pPr>
        <w:pStyle w:val="BodyText"/>
        <w:spacing w:after="80"/>
        <w:jc w:val="both"/>
      </w:pPr>
      <w:r>
        <w:t xml:space="preserve">II – ( Revogado ): (Redação dada pela Lei nº 13.256, de 2016)</w:t>
      </w:r>
    </w:p>
    <w:p>
      <w:pPr>
        <w:pStyle w:val="BodyText"/>
        <w:spacing w:after="80"/>
        <w:jc w:val="both"/>
      </w:pPr>
      <w:r>
        <w:t xml:space="preserve">a) ( Revogada ); (Redação dada pela Lei nº 13.256, de 2016)</w:t>
      </w:r>
    </w:p>
    <w:p>
      <w:pPr>
        <w:pStyle w:val="BodyText"/>
        <w:spacing w:after="80"/>
        <w:jc w:val="both"/>
      </w:pPr>
      <w:r>
        <w:t xml:space="preserve">b) ( Revogada ). (Redação dada pela Lei nº 13.256, de 2016)</w:t>
      </w:r>
    </w:p>
    <w:p>
      <w:pPr>
        <w:pStyle w:val="BodyText"/>
        <w:spacing w:after="80"/>
        <w:jc w:val="both"/>
      </w:pPr>
      <w:r>
        <w:t xml:space="preserve">§ 2º A petição de agravo será dirigida ao presidente ou ao vice-presidente do tribunal de origem e independe do pagamento de custas e despesas postais, aplicando-se a ela o regime de repercussão geral, de relevância da questão de direito federal infraconstitucional e de recursos repetitivos, inclusive quanto à possibilidade de sobrestamento e do juízo de retratação. (Redação dada pela Lei nº 15.484, de 2026) Vigência</w:t>
      </w:r>
    </w:p>
    <w:p>
      <w:pPr>
        <w:pStyle w:val="BodyText"/>
        <w:spacing w:after="80"/>
        <w:jc w:val="both"/>
      </w:pPr>
      <w:r>
        <w:t xml:space="preserve">§ 3º O agravado será intimado, de imediato, para oferecer resposta no prazo de 15 (quinze) dias.</w:t>
      </w:r>
    </w:p>
    <w:p>
      <w:pPr>
        <w:pStyle w:val="BodyText"/>
        <w:spacing w:after="80"/>
        <w:jc w:val="both"/>
      </w:pPr>
      <w:r>
        <w:t xml:space="preserve">§ 4º Após o prazo de resposta, não havendo retratação, o agravo será remetido ao tribunal superior competente.</w:t>
      </w:r>
    </w:p>
    <w:p>
      <w:pPr>
        <w:pStyle w:val="BodyText"/>
        <w:spacing w:after="80"/>
        <w:jc w:val="both"/>
      </w:pPr>
      <w:r>
        <w:t xml:space="preserve">§ 5º O agravo poderá ser julgado, conforme o caso, conjuntamente com o recurso especial ou extraordinário, assegurada, neste caso, sustentação oral, observando-se, ainda, o disposto no regimento interno do tribunal respectivo.</w:t>
      </w:r>
    </w:p>
    <w:p>
      <w:pPr>
        <w:pStyle w:val="BodyText"/>
        <w:spacing w:after="80"/>
        <w:jc w:val="both"/>
      </w:pPr>
      <w:r>
        <w:t xml:space="preserve">§ 6º Na hipótese de interposição conjunta de recursos extraordinário e especial, o agravante deverá interpor um agravo para cada recurso não admitido.</w:t>
      </w:r>
    </w:p>
    <w:p>
      <w:pPr>
        <w:pStyle w:val="BodyText"/>
        <w:spacing w:after="80"/>
        <w:jc w:val="both"/>
      </w:pPr>
      <w:r>
        <w:t xml:space="preserve">§ 7º Havendo apenas um agravo, o recurso será remetido ao tribunal competente, e, havendo interposição conjunta, os autos serão remetidos ao Superior Tribunal de Justiça.</w:t>
      </w:r>
    </w:p>
    <w:p>
      <w:pPr>
        <w:pStyle w:val="BodyText"/>
        <w:spacing w:after="80"/>
        <w:jc w:val="both"/>
      </w:pPr>
      <w:r>
        <w:t xml:space="preserve">§ 8º Concluído o julgamento do agravo pelo Superior Tribunal de Justiça e, se for o caso, do recurso especial, independentemente de pedido, os autos serão remetidos ao Supremo Tribunal Federal para apreciação do agravo a ele dirigido, salvo se estiver prejudicado.</w:t>
      </w:r>
    </w:p>
    <w:bookmarkEnd w:id="880"/>
    <w:bookmarkEnd w:id="881"/>
    <w:bookmarkStart w:id="884" w:name="Xd62c9ee4f1a4bfec00478fd948fd7c597783fb2"/>
    <w:p>
      <w:pPr>
        <w:pStyle w:val="Heading5"/>
        <w:spacing w:before="140" w:after="20"/>
      </w:pPr>
      <w:r>
        <w:rPr>
          <w:i/>
          <w:color w:val="595959"/>
        </w:rPr>
        <w:t xml:space="preserve">Seção IV: dos embargos de divergência (arts. 1043 a 1044)</w:t>
      </w:r>
    </w:p>
    <w:bookmarkStart w:id="882" w:name="art.-1043"/>
    <w:p>
      <w:pPr>
        <w:pStyle w:val="Heading6"/>
        <w:pBdr>
          <w:left w:val="single" w:sz="36" w:space="4" w:color="2E75B6"/>
        </w:pBdr>
        <w:shd w:val="clear" w:color="auto" w:fill="E3EEF9"/>
        <w:spacing w:before="200" w:after="80"/>
        <w:ind w:left="85"/>
      </w:pPr>
      <w:r>
        <w:rPr>
          <w:i w:val="0"/>
          <w:color w:val="1F3A5F"/>
          <w:sz w:val="23"/>
        </w:rPr>
        <w:t xml:space="preserve">Art. 1043</w:t>
      </w:r>
    </w:p>
    <w:p>
      <w:pPr>
        <w:pStyle w:val="FirstParagraph"/>
        <w:spacing w:after="80"/>
        <w:jc w:val="both"/>
      </w:pPr>
      <w:r>
        <w:rPr>
          <w:b/>
          <w:bCs/>
        </w:rPr>
        <w:t xml:space="preserve">Art. 1043.</w:t>
      </w:r>
      <w:r>
        <w:t xml:space="preserve"> </w:t>
      </w:r>
      <w:r>
        <w:t xml:space="preserve">É embargável o acórdão de órgão fracionário que:</w:t>
      </w:r>
    </w:p>
    <w:p>
      <w:pPr>
        <w:pStyle w:val="BodyText"/>
        <w:keepNext/>
        <w:spacing w:after="80"/>
        <w:jc w:val="both"/>
      </w:pPr>
      <w:r>
        <w:t xml:space="preserve">I - em recurso extraordinário ou em recurso especial, divergir do julgamento de qualquer outro órgão do mesmo tribunal, sendo os acórdãos, embargado e paradigma, de mérito;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530"/>
        <w:gridCol w:w="2787"/>
        <w:gridCol w:w="5037"/>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8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036"/>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531"/>
          </w:tcPr>
          <w:p>
            <w:pPr>
              <w:pStyle w:val="Compact"/>
              <w:spacing w:line="276" w:lineRule="auto" w:before="40" w:after="40"/>
            </w:pPr>
            <w:r>
              <w:rPr>
                <w:rFonts w:ascii="Liberation Sans Narrow" w:hAnsi="Liberation Sans Narrow"/>
                <w:sz w:val="18"/>
              </w:rPr>
              <w:t xml:space="preserve">I — exigência de acórdão de mérito</w:t>
            </w:r>
          </w:p>
        </w:tc>
        <w:tc>
          <w:tcPr>
            <w:tcW w:type="dxa" w:w="2787"/>
          </w:tcPr>
          <w:p>
            <w:pPr>
              <w:pStyle w:val="Compact"/>
              <w:spacing w:line="276" w:lineRule="auto" w:before="40" w:after="40"/>
            </w:pPr>
            <w:r>
              <w:rPr>
                <w:rFonts w:ascii="Liberation Sans Narrow" w:hAnsi="Liberation Sans Narrow"/>
                <w:sz w:val="18"/>
              </w:rPr>
              <w:t xml:space="preserve">STJ, AgRg nos EAREsp 3.111.286, Corte Especial, relator Min. Luis Felipe Salomão, julgado em 18/08/2026</w:t>
            </w:r>
          </w:p>
        </w:tc>
        <w:tc>
          <w:tcPr>
            <w:tcW w:type="dxa" w:w="5036"/>
          </w:tcPr>
          <w:p>
            <w:pPr>
              <w:pStyle w:val="Compact"/>
              <w:spacing w:line="276" w:lineRule="auto" w:before="40" w:after="40"/>
            </w:pPr>
            <w:r>
              <w:rPr>
                <w:rFonts w:ascii="Liberation Sans Narrow" w:hAnsi="Liberation Sans Narrow"/>
                <w:sz w:val="18"/>
              </w:rPr>
              <w:t xml:space="preserve">Os embargos de divergência exigem dissenso interpretativo entre órgãos fracionários do tribunal sobre matéria de mérito do recurso especial e não servem ao reexame de regras técnicas de admissibilidade (Súmula 315 do STJ).</w:t>
            </w:r>
          </w:p>
        </w:tc>
      </w:tr>
    </w:tbl>
    <w:p>
      <w:pPr>
        <w:pStyle w:val="BodyText"/>
        <w:spacing w:after="80"/>
        <w:jc w:val="both"/>
      </w:pPr>
      <w:r>
        <w:t xml:space="preserve">II - (Revogado pela Lei nº 13.256, de 2016)</w:t>
      </w:r>
    </w:p>
    <w:p>
      <w:pPr>
        <w:pStyle w:val="BodyText"/>
        <w:spacing w:after="80"/>
        <w:jc w:val="both"/>
      </w:pPr>
      <w:r>
        <w:t xml:space="preserve">III - em recurso extraordinário ou em recurso especial, divergir do julgamento de qualquer outro órgão do mesmo tribunal, sendo um acórdão de mérito e outro que não tenha conhecido do recurso, embora tenha apreciado a controvérsia;</w:t>
      </w:r>
    </w:p>
    <w:p>
      <w:pPr>
        <w:pStyle w:val="BodyText"/>
        <w:spacing w:after="80"/>
        <w:jc w:val="both"/>
      </w:pPr>
      <w:r>
        <w:t xml:space="preserve">IV - (Revogado pela Lei nº 13.256, de 2016)</w:t>
      </w:r>
    </w:p>
    <w:p>
      <w:pPr>
        <w:pStyle w:val="BodyText"/>
        <w:spacing w:after="80"/>
        <w:jc w:val="both"/>
      </w:pPr>
      <w:r>
        <w:t xml:space="preserve">§ 1º Poderão ser confrontadas teses jurídicas contidas em julgamentos de recursos e de ações de competência originária.</w:t>
      </w:r>
    </w:p>
    <w:p>
      <w:pPr>
        <w:pStyle w:val="BodyText"/>
        <w:spacing w:after="80"/>
        <w:jc w:val="both"/>
      </w:pPr>
      <w:r>
        <w:t xml:space="preserve">§ 2º A divergência que autoriza a interposição de embargos de divergência pode verificar-se na aplicação do direito material ou do direito processual.</w:t>
      </w:r>
    </w:p>
    <w:p>
      <w:pPr>
        <w:pStyle w:val="BodyText"/>
        <w:spacing w:after="80"/>
        <w:jc w:val="both"/>
      </w:pPr>
      <w:r>
        <w:t xml:space="preserve">§ 3º Cabem embargos de divergência quando o acórdão paradigma for da mesma turma que proferiu a decisão embargada, desde que sua composição tenha sofrido alteração em mais da metade de seus membros.</w:t>
      </w:r>
    </w:p>
    <w:p>
      <w:pPr>
        <w:pStyle w:val="BodyText"/>
        <w:keepNext/>
        <w:spacing w:after="80"/>
        <w:jc w:val="both"/>
      </w:pPr>
      <w:r>
        <w:t xml:space="preserve">§ 4º O recorrente provará a divergência com certidão, cópia ou citação de repositório oficial ou credenciado de jurisprudência, inclusive em mídia eletrônica, onde foi publicado o acórdão divergente, ou com a reprodução de julgado disponível na rede mundial de computadores, indicando a respectiva fonte, e mencionará as circunstâncias que identificam ou assemelham os casos confrontados.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2519"/>
        <w:gridCol w:w="5180"/>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519"/>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5179"/>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655"/>
          </w:tcPr>
          <w:p>
            <w:pPr>
              <w:pStyle w:val="Compact"/>
              <w:spacing w:line="276" w:lineRule="auto" w:before="40" w:after="40"/>
            </w:pPr>
            <w:r>
              <w:rPr>
                <w:rFonts w:ascii="Liberation Sans Narrow" w:hAnsi="Liberation Sans Narrow"/>
                <w:sz w:val="18"/>
              </w:rPr>
              <w:t xml:space="preserve">§ 4º — prova da divergência</w:t>
            </w:r>
          </w:p>
        </w:tc>
        <w:tc>
          <w:tcPr>
            <w:tcW w:type="dxa" w:w="2519"/>
          </w:tcPr>
          <w:p>
            <w:pPr>
              <w:pStyle w:val="Compact"/>
              <w:spacing w:line="276" w:lineRule="auto" w:before="40" w:after="40"/>
            </w:pPr>
            <w:r>
              <w:rPr>
                <w:rFonts w:ascii="Liberation Sans Narrow" w:hAnsi="Liberation Sans Narrow"/>
                <w:sz w:val="18"/>
              </w:rPr>
              <w:t xml:space="preserve">STJ, AgRg nos EAREsp 3.109.991, Corte Especial, relator Min. Raul Araújo, julgado em 23/06/2026</w:t>
            </w:r>
          </w:p>
        </w:tc>
        <w:tc>
          <w:tcPr>
            <w:tcW w:type="dxa" w:w="5179"/>
          </w:tcPr>
          <w:p>
            <w:pPr>
              <w:pStyle w:val="Compact"/>
              <w:spacing w:line="276" w:lineRule="auto" w:before="40" w:after="40"/>
            </w:pPr>
            <w:r>
              <w:rPr>
                <w:rFonts w:ascii="Liberation Sans Narrow" w:hAnsi="Liberation Sans Narrow"/>
                <w:sz w:val="18"/>
              </w:rPr>
              <w:t xml:space="preserve">O dissídio autorizador dos embargos de divergência há de ser comprovado na forma do art. 266, § 4º, do RISTJ, c/c os arts. 1.043, § 4º, e 1.044 do CPC, inclusive mediante o indispensável cotejo analítico entre o acórdão embargado e os paradigmas.</w:t>
            </w:r>
          </w:p>
        </w:tc>
      </w:tr>
    </w:tbl>
    <w:p>
      <w:pPr>
        <w:pStyle w:val="BodyText"/>
        <w:spacing w:after="80"/>
        <w:jc w:val="both"/>
      </w:pPr>
      <w:r>
        <w:t xml:space="preserve">§ 5º (Revogado pela Lei nº 13.256, de 2016)</w:t>
      </w:r>
    </w:p>
    <w:bookmarkEnd w:id="882"/>
    <w:bookmarkStart w:id="883" w:name="art.-1044"/>
    <w:p>
      <w:pPr>
        <w:pStyle w:val="Heading6"/>
        <w:pBdr>
          <w:left w:val="single" w:sz="36" w:space="4" w:color="2E75B6"/>
        </w:pBdr>
        <w:shd w:val="clear" w:color="auto" w:fill="E3EEF9"/>
        <w:spacing w:before="200" w:after="80"/>
        <w:ind w:left="85"/>
      </w:pPr>
      <w:r>
        <w:rPr>
          <w:i w:val="0"/>
          <w:color w:val="1F3A5F"/>
          <w:sz w:val="23"/>
        </w:rPr>
        <w:t xml:space="preserve">Art. 1044</w:t>
      </w:r>
    </w:p>
    <w:p>
      <w:pPr>
        <w:pStyle w:val="FirstParagraph"/>
        <w:spacing w:after="80"/>
        <w:jc w:val="both"/>
      </w:pPr>
      <w:r>
        <w:rPr>
          <w:b/>
          <w:bCs/>
        </w:rPr>
        <w:t xml:space="preserve">Art. 1044.</w:t>
      </w:r>
      <w:r>
        <w:t xml:space="preserve"> </w:t>
      </w:r>
      <w:r>
        <w:t xml:space="preserve">No recurso de embargos de divergência, será observado o procedimento estabelecido no regimento interno do respectivo tribunal superior.</w:t>
      </w:r>
    </w:p>
    <w:p>
      <w:pPr>
        <w:pStyle w:val="BodyText"/>
        <w:spacing w:after="80"/>
        <w:jc w:val="both"/>
      </w:pPr>
      <w:r>
        <w:t xml:space="preserve">§ 1º A interposição de embargos de divergência no Superior Tribunal de Justiça interrompe o prazo para interposição de recurso extraordinário por qualquer das partes.</w:t>
      </w:r>
    </w:p>
    <w:p>
      <w:pPr>
        <w:pStyle w:val="BodyText"/>
        <w:spacing w:after="80"/>
        <w:jc w:val="both"/>
      </w:pPr>
      <w:r>
        <w:t xml:space="preserve">§ 2º Se os embargos de divergência forem desprovidos ou não alterarem a conclusão do julgamento anterior, o recurso extraordinário interposto pela outra parte antes da publicação do julgamento dos embargos de divergência será processado e julgado independentemente de ratificação.</w:t>
      </w:r>
    </w:p>
    <w:bookmarkEnd w:id="883"/>
    <w:bookmarkEnd w:id="884"/>
    <w:bookmarkEnd w:id="885"/>
    <w:bookmarkEnd w:id="886"/>
    <w:bookmarkEnd w:id="887"/>
    <w:bookmarkStart w:id="917" w:name="X1573266528f64c0b1e4ccd308baedcf511fde88"/>
    <w:p>
      <w:pPr>
        <w:spacing w:before="0" w:after="0" w:line="20" w:lineRule="exact"/>
        <w:sectPr>
          <w:headerReference w:type="default" r:id="rId12"/>
          <w:footnotePr>
            <w:numRestart w:val="eachSect"/>
          </w:footnotePr>
          <w:pgSz w:w="11906" w:h="16838"/>
          <w:pgMar w:top="1417" w:left="1417" w:bottom="1134" w:right="1134"/>
          <w:cols w:num="1" w:space="340"/>
        </w:sectPr>
      </w:pPr>
    </w:p>
    <w:p>
      <w:pPr>
        <w:pStyle w:val="Heading2"/>
        <w:shd w:val="clear" w:color="auto" w:fill="1F3A5F"/>
        <w:spacing w:before="0" w:after="100"/>
        <w:ind w:left="113"/>
      </w:pPr>
      <w:r>
        <w:rPr>
          <w:color w:val="FFFFFF"/>
          <w:sz w:val="28"/>
        </w:rPr>
        <w:t xml:space="preserve">Livro Complementar: disposições finais e transitórias (arts. 1.045 a 1.072)</w:t>
      </w:r>
    </w:p>
    <w:bookmarkStart w:id="916" w:name="disposições-arts.-1045-a-1072"/>
    <w:p>
      <w:pPr>
        <w:pStyle w:val="Heading3"/>
        <w:pBdr>
          <w:bottom w:val="single" w:sz="8" w:space="2" w:color="2E75B6"/>
        </w:pBdr>
        <w:spacing w:before="200" w:after="80"/>
      </w:pPr>
      <w:r>
        <w:rPr>
          <w:sz w:val="24"/>
        </w:rPr>
        <w:t xml:space="preserve">Disposições (arts. 1045 a 1072)</w:t>
      </w:r>
    </w:p>
    <w:bookmarkStart w:id="888" w:name="art.-1045"/>
    <w:p>
      <w:pPr>
        <w:pStyle w:val="Heading6"/>
        <w:pBdr>
          <w:left w:val="single" w:sz="36" w:space="4" w:color="2E75B6"/>
        </w:pBdr>
        <w:shd w:val="clear" w:color="auto" w:fill="E3EEF9"/>
        <w:spacing w:before="200" w:after="80"/>
        <w:ind w:left="85"/>
      </w:pPr>
      <w:r>
        <w:rPr>
          <w:i w:val="0"/>
          <w:color w:val="1F3A5F"/>
          <w:sz w:val="23"/>
        </w:rPr>
        <w:t xml:space="preserve">Art. 1045</w:t>
      </w:r>
    </w:p>
    <w:p>
      <w:pPr>
        <w:pStyle w:val="FirstParagraph"/>
        <w:spacing w:after="80"/>
        <w:jc w:val="both"/>
      </w:pPr>
      <w:r>
        <w:rPr>
          <w:b/>
          <w:bCs/>
        </w:rPr>
        <w:t xml:space="preserve">Art. 1045.</w:t>
      </w:r>
      <w:r>
        <w:t xml:space="preserve"> </w:t>
      </w:r>
      <w:r>
        <w:t xml:space="preserve">Este Código entra em vigor após decorrido 1 (um) ano da data de sua publicação oficial.</w:t>
      </w:r>
    </w:p>
    <w:bookmarkEnd w:id="888"/>
    <w:bookmarkStart w:id="889" w:name="art.-1046"/>
    <w:p>
      <w:pPr>
        <w:pStyle w:val="Heading6"/>
        <w:pBdr>
          <w:left w:val="single" w:sz="36" w:space="4" w:color="2E75B6"/>
        </w:pBdr>
        <w:shd w:val="clear" w:color="auto" w:fill="E3EEF9"/>
        <w:spacing w:before="200" w:after="80"/>
        <w:ind w:left="85"/>
      </w:pPr>
      <w:r>
        <w:rPr>
          <w:i w:val="0"/>
          <w:color w:val="1F3A5F"/>
          <w:sz w:val="23"/>
        </w:rPr>
        <w:t xml:space="preserve">Art. 1046</w:t>
      </w:r>
    </w:p>
    <w:p>
      <w:pPr>
        <w:pStyle w:val="FirstParagraph"/>
        <w:spacing w:after="80"/>
        <w:jc w:val="both"/>
      </w:pPr>
      <w:r>
        <w:rPr>
          <w:b/>
          <w:bCs/>
        </w:rPr>
        <w:t xml:space="preserve">Art. 1046.</w:t>
      </w:r>
      <w:r>
        <w:t xml:space="preserve"> </w:t>
      </w:r>
      <w:r>
        <w:t xml:space="preserve">Ao entrar em vigor este Código, suas disposições se aplicarão desde logo aos processos pendentes, ficando revogada a Lei nº 5.869, de 11 de janeiro de 1973.</w:t>
      </w:r>
    </w:p>
    <w:p>
      <w:pPr>
        <w:pStyle w:val="BodyText"/>
        <w:spacing w:after="80"/>
        <w:jc w:val="both"/>
      </w:pPr>
      <w:r>
        <w:t xml:space="preserve">§ 1º As disposições da Lei nº 5.869, de 11 de janeiro de 1973, relativas ao procedimento sumário e aos procedimentos especiais que forem revogadas aplicar-se-ão às ações propostas e não sentenciadas até o início da vigência deste Código.</w:t>
      </w:r>
    </w:p>
    <w:p>
      <w:pPr>
        <w:pStyle w:val="BodyText"/>
        <w:spacing w:after="80"/>
        <w:jc w:val="both"/>
      </w:pPr>
      <w:r>
        <w:t xml:space="preserve">§ 2º Permanecem em vigor as disposições especiais dos procedimentos regulados em outras leis, aos quais se aplicará supletivamente este Código.</w:t>
      </w:r>
    </w:p>
    <w:p>
      <w:pPr>
        <w:pStyle w:val="BodyText"/>
        <w:spacing w:after="80"/>
        <w:jc w:val="both"/>
      </w:pPr>
      <w:r>
        <w:t xml:space="preserve">§ 3º Os processos mencionados no art. 1.218 da Lei nº 5.869, de 11 de janeiro de 1973, cujo procedimento ainda não tenha sido incorporado por lei submetem-se ao procedimento comum previsto neste Código.</w:t>
      </w:r>
    </w:p>
    <w:p>
      <w:pPr>
        <w:pStyle w:val="BodyText"/>
        <w:spacing w:after="80"/>
        <w:jc w:val="both"/>
      </w:pPr>
      <w:r>
        <w:t xml:space="preserve">§ 4º As remissões a disposições do Código de Processo Civil revogado, existentes em outras leis, passam a referir-se às que lhes são correspondentes neste Código.</w:t>
      </w:r>
    </w:p>
    <w:p>
      <w:pPr>
        <w:pStyle w:val="BodyText"/>
        <w:spacing w:after="80"/>
        <w:jc w:val="both"/>
      </w:pPr>
      <w:r>
        <w:t xml:space="preserve">§ 5º A primeira lista de processos para julgamento em ordem cronológica observará a antiguidade da distribuição entre os já conclusos na data da entrada em vigor deste Código.</w:t>
      </w:r>
    </w:p>
    <w:bookmarkEnd w:id="889"/>
    <w:bookmarkStart w:id="890" w:name="art.-1047"/>
    <w:p>
      <w:pPr>
        <w:pStyle w:val="Heading6"/>
        <w:pBdr>
          <w:left w:val="single" w:sz="36" w:space="4" w:color="2E75B6"/>
        </w:pBdr>
        <w:shd w:val="clear" w:color="auto" w:fill="E3EEF9"/>
        <w:spacing w:before="200" w:after="80"/>
        <w:ind w:left="85"/>
      </w:pPr>
      <w:r>
        <w:rPr>
          <w:i w:val="0"/>
          <w:color w:val="1F3A5F"/>
          <w:sz w:val="23"/>
        </w:rPr>
        <w:t xml:space="preserve">Art. 1047</w:t>
      </w:r>
    </w:p>
    <w:p>
      <w:pPr>
        <w:pStyle w:val="FirstParagraph"/>
        <w:spacing w:after="80"/>
        <w:jc w:val="both"/>
      </w:pPr>
      <w:r>
        <w:rPr>
          <w:b/>
          <w:bCs/>
        </w:rPr>
        <w:t xml:space="preserve">Art. 1047.</w:t>
      </w:r>
      <w:r>
        <w:t xml:space="preserve"> </w:t>
      </w:r>
      <w:r>
        <w:t xml:space="preserve">As disposições de direito probatório adotadas neste Código aplicam-se apenas às provas requeridas ou determinadas de ofício a partir da data de início de sua vigência.</w:t>
      </w:r>
    </w:p>
    <w:bookmarkEnd w:id="890"/>
    <w:bookmarkStart w:id="891" w:name="art.-1048"/>
    <w:p>
      <w:pPr>
        <w:pStyle w:val="Heading6"/>
        <w:pBdr>
          <w:left w:val="single" w:sz="36" w:space="4" w:color="2E75B6"/>
        </w:pBdr>
        <w:shd w:val="clear" w:color="auto" w:fill="E3EEF9"/>
        <w:spacing w:before="200" w:after="80"/>
        <w:ind w:left="85"/>
      </w:pPr>
      <w:r>
        <w:rPr>
          <w:i w:val="0"/>
          <w:color w:val="1F3A5F"/>
          <w:sz w:val="23"/>
        </w:rPr>
        <w:t xml:space="preserve">Art. 1048</w:t>
      </w:r>
    </w:p>
    <w:p>
      <w:pPr>
        <w:pStyle w:val="FirstParagraph"/>
        <w:spacing w:after="80"/>
        <w:jc w:val="both"/>
      </w:pPr>
      <w:r>
        <w:rPr>
          <w:b/>
          <w:bCs/>
        </w:rPr>
        <w:t xml:space="preserve">Art. 1048.</w:t>
      </w:r>
      <w:r>
        <w:t xml:space="preserve"> </w:t>
      </w:r>
      <w:r>
        <w:t xml:space="preserve">Terão prioridade de tramitação, em qualquer juízo ou tribunal, os procedimentos judiciais:</w:t>
      </w:r>
    </w:p>
    <w:p>
      <w:pPr>
        <w:pStyle w:val="BodyText"/>
        <w:spacing w:after="80"/>
        <w:jc w:val="both"/>
      </w:pPr>
      <w:r>
        <w:t xml:space="preserve">I - em que figure como parte ou interessado pessoa com idade igual ou superior a 60 (sessenta) anos ou portadora de doença grave, assim compreendida qualquer das enumeradas no art. 6º, inciso XIV, da Lei nº 7.713, de 22 de dezembro de 1988;</w:t>
      </w:r>
    </w:p>
    <w:p>
      <w:pPr>
        <w:pStyle w:val="BodyText"/>
        <w:spacing w:after="80"/>
        <w:jc w:val="both"/>
      </w:pPr>
      <w:r>
        <w:t xml:space="preserve">II - regulados pela Lei nº 8.069, de 13 de julho de 1990 (Estatuto da Criança e do Adolescente) .</w:t>
      </w:r>
    </w:p>
    <w:p>
      <w:pPr>
        <w:pStyle w:val="BodyText"/>
        <w:spacing w:after="80"/>
        <w:jc w:val="both"/>
      </w:pPr>
      <w:r>
        <w:t xml:space="preserve">III - em que figure como parte a vítima de violência doméstica e familiar, nos termos da Lei nº 11.340, de 7 de agosto de 2006 (Lei Maria da Penha). (Incluído pela Lei nº 13.894, de 2019)</w:t>
      </w:r>
    </w:p>
    <w:p>
      <w:pPr>
        <w:pStyle w:val="BodyText"/>
        <w:spacing w:after="80"/>
        <w:jc w:val="both"/>
      </w:pPr>
      <w:r>
        <w:t xml:space="preserve">IV - em que se discuta a aplicação do disposto nas normas gerais de licitação e contratação a que se refere o inciso XXVII do caput do art. 22 da Constituição Federal. (Incluído pela Lei nº 14.133, de 2021)</w:t>
      </w:r>
    </w:p>
    <w:p>
      <w:pPr>
        <w:pStyle w:val="BodyText"/>
        <w:spacing w:after="80"/>
        <w:jc w:val="both"/>
      </w:pPr>
      <w:r>
        <w:t xml:space="preserve">§ 1º A pessoa interessada na obtenção do benefício, juntando prova de sua condição, deverá requerê-lo à autoridade judiciária competente para decidir o feito, que determinará ao cartório do juízo as providências a serem cumpridas.</w:t>
      </w:r>
    </w:p>
    <w:p>
      <w:pPr>
        <w:pStyle w:val="BodyText"/>
        <w:spacing w:after="80"/>
        <w:jc w:val="both"/>
      </w:pPr>
      <w:r>
        <w:t xml:space="preserve">§ 2º Deferida a prioridade, os autos receberão identificação própria que evidencie o regime de tramitação prioritária.</w:t>
      </w:r>
    </w:p>
    <w:p>
      <w:pPr>
        <w:pStyle w:val="BodyText"/>
        <w:spacing w:after="80"/>
        <w:jc w:val="both"/>
      </w:pPr>
      <w:r>
        <w:t xml:space="preserve">§ 3º Concedida a prioridade, essa não cessará com a morte do beneficiado, estendendo-se em favor do cônjuge supérstite ou do companheiro em união estável.</w:t>
      </w:r>
    </w:p>
    <w:p>
      <w:pPr>
        <w:pStyle w:val="BodyText"/>
        <w:spacing w:after="80"/>
        <w:jc w:val="both"/>
      </w:pPr>
      <w:r>
        <w:t xml:space="preserve">§ 4º A tramitação prioritária independe de deferimento pelo órgão jurisdicional e deverá ser imediatamente concedida diante da prova da condição de beneficiário.</w:t>
      </w:r>
    </w:p>
    <w:bookmarkEnd w:id="891"/>
    <w:bookmarkStart w:id="892" w:name="art.-1049"/>
    <w:p>
      <w:pPr>
        <w:pStyle w:val="Heading6"/>
        <w:pBdr>
          <w:left w:val="single" w:sz="36" w:space="4" w:color="2E75B6"/>
        </w:pBdr>
        <w:shd w:val="clear" w:color="auto" w:fill="E3EEF9"/>
        <w:spacing w:before="200" w:after="80"/>
        <w:ind w:left="85"/>
      </w:pPr>
      <w:r>
        <w:rPr>
          <w:i w:val="0"/>
          <w:color w:val="1F3A5F"/>
          <w:sz w:val="23"/>
        </w:rPr>
        <w:t xml:space="preserve">Art. 1049</w:t>
      </w:r>
    </w:p>
    <w:p>
      <w:pPr>
        <w:pStyle w:val="FirstParagraph"/>
        <w:spacing w:after="80"/>
        <w:jc w:val="both"/>
      </w:pPr>
      <w:r>
        <w:rPr>
          <w:b/>
          <w:bCs/>
        </w:rPr>
        <w:t xml:space="preserve">Art. 1049.</w:t>
      </w:r>
      <w:r>
        <w:t xml:space="preserve"> </w:t>
      </w:r>
      <w:r>
        <w:t xml:space="preserve">Sempre que a lei remeter a procedimento previsto na lei processual sem especificá-lo, será observado o procedimento comum previsto neste Código.</w:t>
      </w:r>
    </w:p>
    <w:p>
      <w:pPr>
        <w:pStyle w:val="BodyText"/>
        <w:spacing w:after="80"/>
        <w:jc w:val="both"/>
      </w:pPr>
      <w:r>
        <w:t xml:space="preserve">Parágrafo único. Na hipótese de a lei remeter ao procedimento sumário, será observado o procedimento comum previsto neste Código, com as modificações previstas na própria lei especial, se houver.</w:t>
      </w:r>
    </w:p>
    <w:bookmarkEnd w:id="892"/>
    <w:bookmarkStart w:id="893" w:name="art.-1050"/>
    <w:p>
      <w:pPr>
        <w:pStyle w:val="Heading6"/>
        <w:pBdr>
          <w:left w:val="single" w:sz="36" w:space="4" w:color="2E75B6"/>
        </w:pBdr>
        <w:shd w:val="clear" w:color="auto" w:fill="E3EEF9"/>
        <w:spacing w:before="200" w:after="80"/>
        <w:ind w:left="85"/>
      </w:pPr>
      <w:r>
        <w:rPr>
          <w:i w:val="0"/>
          <w:color w:val="1F3A5F"/>
          <w:sz w:val="23"/>
        </w:rPr>
        <w:t xml:space="preserve">Art. 1050</w:t>
      </w:r>
    </w:p>
    <w:p>
      <w:pPr>
        <w:pStyle w:val="FirstParagraph"/>
        <w:spacing w:after="80"/>
        <w:jc w:val="both"/>
      </w:pPr>
      <w:r>
        <w:rPr>
          <w:b/>
          <w:bCs/>
        </w:rPr>
        <w:t xml:space="preserve">Art. 1050.</w:t>
      </w:r>
      <w:r>
        <w:t xml:space="preserve"> </w:t>
      </w:r>
      <w:r>
        <w:t xml:space="preserve">A União, os Estados, o Distrito Federal, os Municípios, suas respectivas entidades da administração indireta, o Ministério Público, a Defensoria Pública e a Advocacia Pública, no prazo de 30 (trinta) dias a contar da data da entrada em vigor deste Código , deverão se cadastrar perante a administração do tribunal no qual atuem para cumprimento do disposto nos arts. 246, § 2º, e 270, parágrafo único.</w:t>
      </w:r>
    </w:p>
    <w:bookmarkEnd w:id="893"/>
    <w:bookmarkStart w:id="894" w:name="art.-1051"/>
    <w:p>
      <w:pPr>
        <w:pStyle w:val="Heading6"/>
        <w:pBdr>
          <w:left w:val="single" w:sz="36" w:space="4" w:color="2E75B6"/>
        </w:pBdr>
        <w:shd w:val="clear" w:color="auto" w:fill="E3EEF9"/>
        <w:spacing w:before="200" w:after="80"/>
        <w:ind w:left="85"/>
      </w:pPr>
      <w:r>
        <w:rPr>
          <w:i w:val="0"/>
          <w:color w:val="1F3A5F"/>
          <w:sz w:val="23"/>
        </w:rPr>
        <w:t xml:space="preserve">Art. 1051</w:t>
      </w:r>
    </w:p>
    <w:p>
      <w:pPr>
        <w:pStyle w:val="FirstParagraph"/>
        <w:spacing w:after="80"/>
        <w:jc w:val="both"/>
      </w:pPr>
      <w:r>
        <w:rPr>
          <w:b/>
          <w:bCs/>
        </w:rPr>
        <w:t xml:space="preserve">Art. 1051.</w:t>
      </w:r>
      <w:r>
        <w:t xml:space="preserve"> </w:t>
      </w:r>
      <w:r>
        <w:t xml:space="preserve">As empresas públicas e privadas devem cumprir o disposto no art. 246, § 1º, no prazo de 30 (trinta) dias, a contar da data de inscrição do ato constitutivo da pessoa jurídica, perante o juízo onde tenham sede ou filial.</w:t>
      </w:r>
    </w:p>
    <w:p>
      <w:pPr>
        <w:pStyle w:val="BodyText"/>
        <w:spacing w:after="80"/>
        <w:jc w:val="both"/>
      </w:pPr>
      <w:r>
        <w:t xml:space="preserve">Parágrafo único. O disposto no caput não se aplica às microempresas e às empresas de pequeno porte.</w:t>
      </w:r>
    </w:p>
    <w:bookmarkEnd w:id="894"/>
    <w:bookmarkStart w:id="895" w:name="art.-1052"/>
    <w:p>
      <w:pPr>
        <w:pStyle w:val="Heading6"/>
        <w:pBdr>
          <w:left w:val="single" w:sz="36" w:space="4" w:color="2E75B6"/>
        </w:pBdr>
        <w:shd w:val="clear" w:color="auto" w:fill="E3EEF9"/>
        <w:spacing w:before="200" w:after="80"/>
        <w:ind w:left="85"/>
      </w:pPr>
      <w:r>
        <w:rPr>
          <w:i w:val="0"/>
          <w:color w:val="1F3A5F"/>
          <w:sz w:val="23"/>
        </w:rPr>
        <w:t xml:space="preserve">Art. 1052</w:t>
      </w:r>
    </w:p>
    <w:p>
      <w:pPr>
        <w:pStyle w:val="FirstParagraph"/>
        <w:keepNext/>
        <w:spacing w:after="80"/>
        <w:jc w:val="both"/>
      </w:pPr>
      <w:r>
        <w:rPr>
          <w:b/>
          <w:bCs/>
        </w:rPr>
        <w:t xml:space="preserve">Art. 1052.</w:t>
      </w:r>
      <w:r>
        <w:t xml:space="preserve"> </w:t>
      </w:r>
      <w:r>
        <w:t xml:space="preserve">Até a edição de lei específica, as execuções contra devedor insolvente, em curso ou que venham a ser propostas, permanecem reguladas pelo Livro II, Título IV, da Lei nº 5.869, de 11 de janeiro de 1973.</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44"/>
        <w:gridCol w:w="2877"/>
        <w:gridCol w:w="4532"/>
      </w:tblGrid>
      <w:tr>
        <w:trPr>
          <w:tblHeader w:val="on"/>
          <w:cantSplit/>
          <w:tblHeader/>
        </w:trPr>
        <w:tc>
          <w:tcPr>
            <w:tcW w:type="dxa" w:w="1945"/>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877"/>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532"/>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1945"/>
          </w:tcPr>
          <w:p>
            <w:pPr>
              <w:pStyle w:val="Compact"/>
              <w:spacing w:line="276" w:lineRule="auto" w:before="40" w:after="40"/>
            </w:pPr>
            <w:r>
              <w:rPr>
                <w:rFonts w:ascii="Liberation Sans Narrow" w:hAnsi="Liberation Sans Narrow"/>
                <w:sz w:val="18"/>
              </w:rPr>
              <w:t xml:space="preserve">Caput — insolvência civil regida pelo CPC de 1973</w:t>
            </w:r>
          </w:p>
        </w:tc>
        <w:tc>
          <w:tcPr>
            <w:tcW w:type="dxa" w:w="2877"/>
          </w:tcPr>
          <w:p>
            <w:pPr>
              <w:pStyle w:val="Compact"/>
              <w:spacing w:line="276" w:lineRule="auto" w:before="40" w:after="40"/>
            </w:pPr>
            <w:r>
              <w:rPr>
                <w:rFonts w:ascii="Liberation Sans Narrow" w:hAnsi="Liberation Sans Narrow"/>
                <w:sz w:val="18"/>
              </w:rPr>
              <w:t xml:space="preserve">STJ, REsp 2.258.692, Terceira Turma, relatora Min. Nancy Andrighi, julgado em 04/08/2026</w:t>
            </w:r>
          </w:p>
        </w:tc>
        <w:tc>
          <w:tcPr>
            <w:tcW w:type="dxa" w:w="4532"/>
          </w:tcPr>
          <w:p>
            <w:pPr>
              <w:pStyle w:val="Compact"/>
              <w:spacing w:line="276" w:lineRule="auto" w:before="40" w:after="40"/>
            </w:pPr>
            <w:r>
              <w:rPr>
                <w:rFonts w:ascii="Liberation Sans Narrow" w:hAnsi="Liberation Sans Narrow"/>
                <w:sz w:val="18"/>
              </w:rPr>
              <w:t xml:space="preserve">Nos termos do art. 1.052 do CPC de 2015, até a edição de lei específica o procedimento de declaração de insolvência civil permanece disciplinado pelo CPC de 1973, em rito bifásico: fase cognitiva encerrada com a declaração de insolvência e fase de arrecadação, concurso e expropriação.</w:t>
            </w:r>
          </w:p>
        </w:tc>
      </w:tr>
      <w:tr>
        <w:trPr>
          <w:cantSplit/>
        </w:trPr>
        <w:tc>
          <w:tcPr>
            <w:tcW w:type="dxa" w:w="1945"/>
          </w:tcPr>
          <w:p>
            <w:pPr>
              <w:pStyle w:val="Compact"/>
              <w:spacing w:line="276" w:lineRule="auto" w:before="40" w:after="40"/>
            </w:pPr>
            <w:r>
              <w:rPr>
                <w:rFonts w:ascii="Liberation Sans Narrow" w:hAnsi="Liberation Sans Narrow"/>
                <w:sz w:val="18"/>
              </w:rPr>
              <w:t xml:space="preserve">Caput — remissão ao CPC de 1973 e prazo de extinção das obrigações</w:t>
            </w:r>
          </w:p>
        </w:tc>
        <w:tc>
          <w:tcPr>
            <w:tcW w:type="dxa" w:w="2877"/>
          </w:tcPr>
          <w:p>
            <w:pPr>
              <w:pStyle w:val="Compact"/>
              <w:spacing w:line="276" w:lineRule="auto" w:before="40" w:after="40"/>
            </w:pPr>
            <w:r>
              <w:rPr>
                <w:rFonts w:ascii="Liberation Sans Narrow" w:hAnsi="Liberation Sans Narrow"/>
                <w:sz w:val="18"/>
              </w:rPr>
              <w:t xml:space="preserve">STJ, REsp 2.189.144, Terceira Turma, relator Min. Humberto Martins, julgado em 09/03/2026, DJEN de 12/03/2026</w:t>
            </w:r>
          </w:p>
        </w:tc>
        <w:tc>
          <w:tcPr>
            <w:tcW w:type="dxa" w:w="4532"/>
          </w:tcPr>
          <w:p>
            <w:pPr>
              <w:pStyle w:val="Compact"/>
              <w:spacing w:line="276" w:lineRule="auto" w:before="40" w:after="40"/>
            </w:pPr>
            <w:r>
              <w:rPr>
                <w:rFonts w:ascii="Liberation Sans Narrow" w:hAnsi="Liberation Sans Narrow"/>
                <w:sz w:val="18"/>
              </w:rPr>
              <w:t xml:space="preserve">Em razão do art. 1.052 do CPC de 2015 e da ausência de lei específica, a insolvência civil continua regida pelos arts. 748 a 786-A do CPC de 1973, e as obrigações do devedor extinguem-se após cinco anos contados do encerramento do processo (art. 778 do CPC de 1973).</w:t>
            </w:r>
          </w:p>
        </w:tc>
      </w:tr>
    </w:tbl>
    <w:bookmarkEnd w:id="895"/>
    <w:bookmarkStart w:id="896" w:name="art.-1053"/>
    <w:p>
      <w:pPr>
        <w:pStyle w:val="Heading6"/>
        <w:pBdr>
          <w:left w:val="single" w:sz="36" w:space="4" w:color="2E75B6"/>
        </w:pBdr>
        <w:shd w:val="clear" w:color="auto" w:fill="E3EEF9"/>
        <w:spacing w:before="200" w:after="80"/>
        <w:ind w:left="85"/>
      </w:pPr>
      <w:r>
        <w:rPr>
          <w:i w:val="0"/>
          <w:color w:val="1F3A5F"/>
          <w:sz w:val="23"/>
        </w:rPr>
        <w:t xml:space="preserve">Art. 1053</w:t>
      </w:r>
    </w:p>
    <w:p>
      <w:pPr>
        <w:pStyle w:val="FirstParagraph"/>
        <w:spacing w:after="80"/>
        <w:jc w:val="both"/>
      </w:pPr>
      <w:r>
        <w:rPr>
          <w:b/>
          <w:bCs/>
        </w:rPr>
        <w:t xml:space="preserve">Art. 1053.</w:t>
      </w:r>
      <w:r>
        <w:t xml:space="preserve"> </w:t>
      </w:r>
      <w:r>
        <w:t xml:space="preserve">Os atos processuais praticados por meio eletrônico até a transição definitiva para certificação digital ficam convalidados, ainda que não tenham observado os requisitos mínimos estabelecidos por este Código, desde que tenham atingido sua finalidade e não tenha havido prejuízo à defesa de qualquer das partes.</w:t>
      </w:r>
    </w:p>
    <w:bookmarkEnd w:id="896"/>
    <w:bookmarkStart w:id="897" w:name="art.-1054"/>
    <w:p>
      <w:pPr>
        <w:pStyle w:val="Heading6"/>
        <w:pBdr>
          <w:left w:val="single" w:sz="36" w:space="4" w:color="2E75B6"/>
        </w:pBdr>
        <w:shd w:val="clear" w:color="auto" w:fill="E3EEF9"/>
        <w:spacing w:before="200" w:after="80"/>
        <w:ind w:left="85"/>
      </w:pPr>
      <w:r>
        <w:rPr>
          <w:i w:val="0"/>
          <w:color w:val="1F3A5F"/>
          <w:sz w:val="23"/>
        </w:rPr>
        <w:t xml:space="preserve">Art. 1054</w:t>
      </w:r>
    </w:p>
    <w:p>
      <w:pPr>
        <w:pStyle w:val="FirstParagraph"/>
        <w:spacing w:after="80"/>
        <w:jc w:val="both"/>
      </w:pPr>
      <w:r>
        <w:rPr>
          <w:b/>
          <w:bCs/>
        </w:rPr>
        <w:t xml:space="preserve">Art. 1054.</w:t>
      </w:r>
      <w:r>
        <w:t xml:space="preserve"> </w:t>
      </w:r>
      <w:r>
        <w:t xml:space="preserve">O disposto no art. 503, § 1º, somente se aplica aos processos iniciados após a vigência deste Código, aplicando-se aos anteriores o disposto nos arts. 5º , 325 e 470 da Lei nº 5.869, de 11 de janeiro de 1973.</w:t>
      </w:r>
    </w:p>
    <w:bookmarkEnd w:id="897"/>
    <w:bookmarkStart w:id="898" w:name="art.-1055"/>
    <w:p>
      <w:pPr>
        <w:pStyle w:val="Heading6"/>
        <w:pBdr>
          <w:left w:val="single" w:sz="36" w:space="4" w:color="2E75B6"/>
        </w:pBdr>
        <w:shd w:val="clear" w:color="auto" w:fill="E3EEF9"/>
        <w:spacing w:before="200" w:after="80"/>
        <w:ind w:left="85"/>
      </w:pPr>
      <w:r>
        <w:rPr>
          <w:i w:val="0"/>
          <w:color w:val="1F3A5F"/>
          <w:sz w:val="23"/>
        </w:rPr>
        <w:t xml:space="preserve">Art. 1055</w:t>
      </w:r>
    </w:p>
    <w:p>
      <w:pPr>
        <w:pStyle w:val="FirstParagraph"/>
        <w:spacing w:after="80"/>
        <w:jc w:val="both"/>
      </w:pPr>
      <w:r>
        <w:rPr>
          <w:b/>
          <w:bCs/>
        </w:rPr>
        <w:t xml:space="preserve">Art. 1055.</w:t>
      </w:r>
      <w:r>
        <w:t xml:space="preserve"> </w:t>
      </w:r>
      <w:r>
        <w:t xml:space="preserve">(VETADO).</w:t>
      </w:r>
    </w:p>
    <w:bookmarkEnd w:id="898"/>
    <w:bookmarkStart w:id="899" w:name="art.-1056"/>
    <w:p>
      <w:pPr>
        <w:pStyle w:val="Heading6"/>
        <w:pBdr>
          <w:left w:val="single" w:sz="36" w:space="4" w:color="2E75B6"/>
        </w:pBdr>
        <w:shd w:val="clear" w:color="auto" w:fill="E3EEF9"/>
        <w:spacing w:before="200" w:after="80"/>
        <w:ind w:left="85"/>
      </w:pPr>
      <w:r>
        <w:rPr>
          <w:i w:val="0"/>
          <w:color w:val="1F3A5F"/>
          <w:sz w:val="23"/>
        </w:rPr>
        <w:t xml:space="preserve">Art. 1056</w:t>
      </w:r>
    </w:p>
    <w:p>
      <w:pPr>
        <w:pStyle w:val="FirstParagraph"/>
        <w:spacing w:after="80"/>
        <w:jc w:val="both"/>
      </w:pPr>
      <w:r>
        <w:rPr>
          <w:b/>
          <w:bCs/>
        </w:rPr>
        <w:t xml:space="preserve">Art. 1056.</w:t>
      </w:r>
      <w:r>
        <w:t xml:space="preserve"> </w:t>
      </w:r>
      <w:r>
        <w:t xml:space="preserve">Considerar-se-á como termo inicial do prazo da prescrição prevista no art. 924, inciso V, inclusive para as execuções em curso, a data de vigência deste Código.</w:t>
      </w:r>
    </w:p>
    <w:bookmarkEnd w:id="899"/>
    <w:bookmarkStart w:id="900" w:name="art.-1057"/>
    <w:p>
      <w:pPr>
        <w:pStyle w:val="Heading6"/>
        <w:pBdr>
          <w:left w:val="single" w:sz="36" w:space="4" w:color="2E75B6"/>
        </w:pBdr>
        <w:shd w:val="clear" w:color="auto" w:fill="E3EEF9"/>
        <w:spacing w:before="200" w:after="80"/>
        <w:ind w:left="85"/>
      </w:pPr>
      <w:r>
        <w:rPr>
          <w:i w:val="0"/>
          <w:color w:val="1F3A5F"/>
          <w:sz w:val="23"/>
        </w:rPr>
        <w:t xml:space="preserve">Art. 1057</w:t>
      </w:r>
    </w:p>
    <w:p>
      <w:pPr>
        <w:pStyle w:val="FirstParagraph"/>
        <w:spacing w:after="80"/>
        <w:jc w:val="both"/>
      </w:pPr>
      <w:r>
        <w:rPr>
          <w:b/>
          <w:bCs/>
        </w:rPr>
        <w:t xml:space="preserve">Art. 1057.</w:t>
      </w:r>
      <w:r>
        <w:t xml:space="preserve"> </w:t>
      </w:r>
      <w:r>
        <w:t xml:space="preserve">O disposto no art. 525, §§ 14 e 15, e no art. 535, §§ 7º e 8º, aplica-se às decisões transitadas em julgado após a entrada em vigor deste Código, e, às decisões transitadas em julgado anteriormente, aplica-se o disposto no art. 475-L, § 1º, e no art. 741, parágrafo único, da Lei nº 5.869, de 11 de janeiro de 1973.</w:t>
      </w:r>
    </w:p>
    <w:bookmarkEnd w:id="900"/>
    <w:bookmarkStart w:id="901" w:name="art.-1058"/>
    <w:p>
      <w:pPr>
        <w:pStyle w:val="Heading6"/>
        <w:pBdr>
          <w:left w:val="single" w:sz="36" w:space="4" w:color="2E75B6"/>
        </w:pBdr>
        <w:shd w:val="clear" w:color="auto" w:fill="E3EEF9"/>
        <w:spacing w:before="200" w:after="80"/>
        <w:ind w:left="85"/>
      </w:pPr>
      <w:r>
        <w:rPr>
          <w:i w:val="0"/>
          <w:color w:val="1F3A5F"/>
          <w:sz w:val="23"/>
        </w:rPr>
        <w:t xml:space="preserve">Art. 1058</w:t>
      </w:r>
    </w:p>
    <w:p>
      <w:pPr>
        <w:pStyle w:val="FirstParagraph"/>
        <w:spacing w:after="80"/>
        <w:jc w:val="both"/>
      </w:pPr>
      <w:r>
        <w:rPr>
          <w:b/>
          <w:bCs/>
        </w:rPr>
        <w:t xml:space="preserve">Art. 1058.</w:t>
      </w:r>
      <w:r>
        <w:t xml:space="preserve"> </w:t>
      </w:r>
      <w:r>
        <w:t xml:space="preserve">Em todos os casos em que houver recolhimento de importância em dinheiro, esta será depositada em nome da parte ou do interessado, em conta especial movimentada por ordem do juiz, nos termos do art. 840, inciso I.</w:t>
      </w:r>
    </w:p>
    <w:bookmarkEnd w:id="901"/>
    <w:bookmarkStart w:id="902" w:name="art.-1059"/>
    <w:p>
      <w:pPr>
        <w:pStyle w:val="Heading6"/>
        <w:pBdr>
          <w:left w:val="single" w:sz="36" w:space="4" w:color="2E75B6"/>
        </w:pBdr>
        <w:shd w:val="clear" w:color="auto" w:fill="E3EEF9"/>
        <w:spacing w:before="200" w:after="80"/>
        <w:ind w:left="85"/>
      </w:pPr>
      <w:r>
        <w:rPr>
          <w:i w:val="0"/>
          <w:color w:val="1F3A5F"/>
          <w:sz w:val="23"/>
        </w:rPr>
        <w:t xml:space="preserve">Art. 1059</w:t>
      </w:r>
    </w:p>
    <w:p>
      <w:pPr>
        <w:pStyle w:val="FirstParagraph"/>
        <w:keepNext/>
        <w:spacing w:after="80"/>
        <w:jc w:val="both"/>
      </w:pPr>
      <w:r>
        <w:rPr>
          <w:b/>
          <w:bCs/>
        </w:rPr>
        <w:t xml:space="preserve">Art. 1059.</w:t>
      </w:r>
      <w:r>
        <w:t xml:space="preserve"> </w:t>
      </w:r>
      <w:r>
        <w:t xml:space="preserve">À tutela provisória requerida contra a Fazenda Pública aplica-se o disposto nos arts. 1º a 4º da Lei nº 8.437, de 30 de junho de 1992, e no art. 7º, § 2º, da Lei nº 12.016, de 7 de agosto de 2009.</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31"/>
        <w:gridCol w:w="2705"/>
        <w:gridCol w:w="4618"/>
      </w:tblGrid>
      <w:tr>
        <w:trPr>
          <w:tblHeader w:val="on"/>
          <w:cantSplit/>
          <w:tblHeader/>
        </w:trPr>
        <w:tc>
          <w:tcPr>
            <w:tcW w:type="dxa" w:w="2032"/>
            <w:shd w:val="clear" w:color="auto" w:fill="DCE6F2"/>
          </w:tcPr>
          <w:p>
            <w:pPr>
              <w:pStyle w:val="Compact"/>
              <w:keepNext/>
              <w:spacing w:line="276" w:lineRule="auto" w:before="40" w:after="40"/>
            </w:pPr>
            <w:r>
              <w:rPr>
                <w:rFonts w:ascii="Liberation Sans Narrow" w:hAnsi="Liberation Sans Narrow"/>
                <w:b/>
                <w:sz w:val="18"/>
              </w:rPr>
              <w:t xml:space="preserve">Fundamento</w:t>
            </w:r>
          </w:p>
        </w:tc>
        <w:tc>
          <w:tcPr>
            <w:tcW w:type="dxa" w:w="2705"/>
            <w:shd w:val="clear" w:color="auto" w:fill="DCE6F2"/>
          </w:tcPr>
          <w:p>
            <w:pPr>
              <w:pStyle w:val="Compact"/>
              <w:keepNext/>
              <w:spacing w:line="276" w:lineRule="auto" w:before="40" w:after="40"/>
            </w:pPr>
            <w:r>
              <w:rPr>
                <w:rFonts w:ascii="Liberation Sans Narrow" w:hAnsi="Liberation Sans Narrow"/>
                <w:b/>
                <w:sz w:val="18"/>
              </w:rPr>
              <w:t xml:space="preserve">Julgado</w:t>
            </w:r>
          </w:p>
        </w:tc>
        <w:tc>
          <w:tcPr>
            <w:tcW w:type="dxa" w:w="4618"/>
            <w:shd w:val="clear" w:color="auto" w:fill="DCE6F2"/>
          </w:tcPr>
          <w:p>
            <w:pPr>
              <w:pStyle w:val="Compact"/>
              <w:keepNext/>
              <w:spacing w:line="276" w:lineRule="auto" w:before="40" w:after="40"/>
            </w:pPr>
            <w:r>
              <w:rPr>
                <w:rFonts w:ascii="Liberation Sans Narrow" w:hAnsi="Liberation Sans Narrow"/>
                <w:b/>
                <w:sz w:val="18"/>
              </w:rPr>
              <w:t xml:space="preserve">Ratio</w:t>
            </w:r>
          </w:p>
        </w:tc>
      </w:tr>
      <w:tr>
        <w:trPr>
          <w:cantSplit/>
        </w:trPr>
        <w:tc>
          <w:tcPr>
            <w:tcW w:type="dxa" w:w="2032"/>
          </w:tcPr>
          <w:p>
            <w:pPr>
              <w:pStyle w:val="Compact"/>
              <w:spacing w:line="276" w:lineRule="auto" w:before="40" w:after="40"/>
            </w:pPr>
            <w:r>
              <w:rPr>
                <w:rFonts w:ascii="Liberation Sans Narrow" w:hAnsi="Liberation Sans Narrow"/>
                <w:sz w:val="18"/>
              </w:rPr>
              <w:t xml:space="preserve">Caput — tutela provisória contra a Fazenda Pública (orientação de aplicação)</w:t>
            </w:r>
          </w:p>
        </w:tc>
        <w:tc>
          <w:tcPr>
            <w:tcW w:type="dxa" w:w="2705"/>
          </w:tcPr>
          <w:p>
            <w:pPr>
              <w:pStyle w:val="Compact"/>
              <w:spacing w:line="276" w:lineRule="auto" w:before="40" w:after="40"/>
            </w:pPr>
            <w:r>
              <w:rPr>
                <w:rFonts w:ascii="Liberation Sans Narrow" w:hAnsi="Liberation Sans Narrow"/>
                <w:sz w:val="18"/>
              </w:rPr>
              <w:t xml:space="preserve">STJ, AgInt no REsp 2.037.199, Primeira Turma, relator Min. Gurgel de Faria, julgado em 14/08/2023, DJe de 18/08/2023</w:t>
            </w:r>
          </w:p>
        </w:tc>
        <w:tc>
          <w:tcPr>
            <w:tcW w:type="dxa" w:w="4618"/>
          </w:tcPr>
          <w:p>
            <w:pPr>
              <w:pStyle w:val="Compact"/>
              <w:spacing w:line="276" w:lineRule="auto" w:before="40" w:after="40"/>
            </w:pPr>
            <w:r>
              <w:rPr>
                <w:rFonts w:ascii="Liberation Sans Narrow" w:hAnsi="Liberation Sans Narrow"/>
                <w:sz w:val="18"/>
              </w:rPr>
              <w:t xml:space="preserve">As vedações à execução provisória de sentença ou de liminar contra a Fazenda Pública, na legislação que o art. 1.059 manda aplicar (Leis ns. 8.437/1992, 9.494/1997 e 12.016/2009), comportam interpretação restritiva, adstrita às hipóteses expressamente definidas na norma.</w:t>
            </w:r>
          </w:p>
        </w:tc>
      </w:tr>
    </w:tbl>
    <w:bookmarkEnd w:id="902"/>
    <w:bookmarkStart w:id="903" w:name="art.-1060"/>
    <w:p>
      <w:pPr>
        <w:pStyle w:val="Heading6"/>
        <w:pBdr>
          <w:left w:val="single" w:sz="36" w:space="4" w:color="2E75B6"/>
        </w:pBdr>
        <w:shd w:val="clear" w:color="auto" w:fill="E3EEF9"/>
        <w:spacing w:before="200" w:after="80"/>
        <w:ind w:left="85"/>
      </w:pPr>
      <w:r>
        <w:rPr>
          <w:i w:val="0"/>
          <w:color w:val="1F3A5F"/>
          <w:sz w:val="23"/>
        </w:rPr>
        <w:t xml:space="preserve">Art. 1060</w:t>
      </w:r>
    </w:p>
    <w:p>
      <w:pPr>
        <w:pStyle w:val="FirstParagraph"/>
        <w:spacing w:after="80"/>
        <w:jc w:val="both"/>
      </w:pPr>
      <w:r>
        <w:rPr>
          <w:b/>
          <w:bCs/>
        </w:rPr>
        <w:t xml:space="preserve">Art. 1060.</w:t>
      </w:r>
      <w:r>
        <w:t xml:space="preserve"> </w:t>
      </w:r>
      <w:r>
        <w:t xml:space="preserve">O inciso II do art. 14 da Lei nº 9.289, de 4 de julho de 1996, passa a vigorar com a seguinte redação: (Vigência)</w:t>
      </w:r>
    </w:p>
    <w:p>
      <w:pPr>
        <w:pStyle w:val="BodyText"/>
        <w:spacing w:after="80"/>
        <w:jc w:val="both"/>
      </w:pPr>
      <w:r>
        <w:t xml:space="preserve">“Art. 14. …………………………………………………………..</w:t>
      </w:r>
    </w:p>
    <w:p>
      <w:pPr>
        <w:pStyle w:val="BodyText"/>
        <w:spacing w:after="80"/>
        <w:jc w:val="both"/>
      </w:pPr>
      <w:r>
        <w:t xml:space="preserve">………………………………………………………………………………</w:t>
      </w:r>
    </w:p>
    <w:p>
      <w:pPr>
        <w:pStyle w:val="BodyText"/>
        <w:spacing w:after="80"/>
        <w:jc w:val="both"/>
      </w:pPr>
      <w:r>
        <w:t xml:space="preserve">II - aquele que recorrer da sentença adiantará a outra metade das custas, comprovando o adiantamento no ato de interposição do recurso, sob pena de deserção, observado o disposto nos §§ 1º a 7º do art. 1.007 do Código de Processo Civil;</w:t>
      </w:r>
    </w:p>
    <w:p>
      <w:pPr>
        <w:pStyle w:val="BodyText"/>
        <w:spacing w:after="80"/>
        <w:jc w:val="both"/>
      </w:pPr>
      <w:r>
        <w:t xml:space="preserve">………………………………………………………………………..” (NR)</w:t>
      </w:r>
    </w:p>
    <w:bookmarkEnd w:id="903"/>
    <w:bookmarkStart w:id="904" w:name="art.-1061"/>
    <w:p>
      <w:pPr>
        <w:pStyle w:val="Heading6"/>
        <w:pBdr>
          <w:left w:val="single" w:sz="36" w:space="4" w:color="2E75B6"/>
        </w:pBdr>
        <w:shd w:val="clear" w:color="auto" w:fill="E3EEF9"/>
        <w:spacing w:before="200" w:after="80"/>
        <w:ind w:left="85"/>
      </w:pPr>
      <w:r>
        <w:rPr>
          <w:i w:val="0"/>
          <w:color w:val="1F3A5F"/>
          <w:sz w:val="23"/>
        </w:rPr>
        <w:t xml:space="preserve">Art. 1061</w:t>
      </w:r>
    </w:p>
    <w:p>
      <w:pPr>
        <w:pStyle w:val="FirstParagraph"/>
        <w:spacing w:after="80"/>
        <w:jc w:val="both"/>
      </w:pPr>
      <w:r>
        <w:rPr>
          <w:b/>
          <w:bCs/>
        </w:rPr>
        <w:t xml:space="preserve">Art. 1061.</w:t>
      </w:r>
      <w:r>
        <w:t xml:space="preserve"> </w:t>
      </w:r>
      <w:r>
        <w:t xml:space="preserve">O § 3º do art. 33 da Lei nº 9.307, de 23 de setembro de 1996 (Lei de Arbitragem), passa a vigorar com a seguinte redação: (Vigência)</w:t>
      </w:r>
    </w:p>
    <w:p>
      <w:pPr>
        <w:pStyle w:val="BodyText"/>
        <w:spacing w:after="80"/>
        <w:jc w:val="both"/>
      </w:pPr>
      <w:r>
        <w:t xml:space="preserve">“Art. 33. …………………………………………………………….</w:t>
      </w:r>
    </w:p>
    <w:p>
      <w:pPr>
        <w:pStyle w:val="BodyText"/>
        <w:spacing w:after="80"/>
        <w:jc w:val="both"/>
      </w:pPr>
      <w:r>
        <w:t xml:space="preserve">…………………………………………………………………………………</w:t>
      </w:r>
    </w:p>
    <w:p>
      <w:pPr>
        <w:pStyle w:val="BodyText"/>
        <w:spacing w:after="80"/>
        <w:jc w:val="both"/>
      </w:pPr>
      <w:r>
        <w:t xml:space="preserve">§ 3º A decretação da nulidade da sentença arbitral também poderá ser requerida na impugnação ao cumprimento da sentença, nos termos dos arts. 525 e seguintes do Código de Processo Civil, se houver execução judicial.” (NR)</w:t>
      </w:r>
    </w:p>
    <w:bookmarkEnd w:id="904"/>
    <w:bookmarkStart w:id="905" w:name="art.-1062"/>
    <w:p>
      <w:pPr>
        <w:pStyle w:val="Heading6"/>
        <w:pBdr>
          <w:left w:val="single" w:sz="36" w:space="4" w:color="2E75B6"/>
        </w:pBdr>
        <w:shd w:val="clear" w:color="auto" w:fill="E3EEF9"/>
        <w:spacing w:before="200" w:after="80"/>
        <w:ind w:left="85"/>
      </w:pPr>
      <w:r>
        <w:rPr>
          <w:i w:val="0"/>
          <w:color w:val="1F3A5F"/>
          <w:sz w:val="23"/>
        </w:rPr>
        <w:t xml:space="preserve">Art. 1062</w:t>
      </w:r>
    </w:p>
    <w:p>
      <w:pPr>
        <w:pStyle w:val="FirstParagraph"/>
        <w:spacing w:after="80"/>
        <w:jc w:val="both"/>
      </w:pPr>
      <w:r>
        <w:rPr>
          <w:b/>
          <w:bCs/>
        </w:rPr>
        <w:t xml:space="preserve">Art. 1062.</w:t>
      </w:r>
      <w:r>
        <w:t xml:space="preserve"> </w:t>
      </w:r>
      <w:r>
        <w:t xml:space="preserve">O incidente de desconsideração da personalidade jurídica aplica-se ao processo de competência dos juizados especiais.</w:t>
      </w:r>
    </w:p>
    <w:bookmarkEnd w:id="905"/>
    <w:bookmarkStart w:id="906" w:name="art.-1063"/>
    <w:p>
      <w:pPr>
        <w:pStyle w:val="Heading6"/>
        <w:pBdr>
          <w:left w:val="single" w:sz="36" w:space="4" w:color="2E75B6"/>
        </w:pBdr>
        <w:shd w:val="clear" w:color="auto" w:fill="E3EEF9"/>
        <w:spacing w:before="200" w:after="80"/>
        <w:ind w:left="85"/>
      </w:pPr>
      <w:r>
        <w:rPr>
          <w:i w:val="0"/>
          <w:color w:val="1F3A5F"/>
          <w:sz w:val="23"/>
        </w:rPr>
        <w:t xml:space="preserve">Art. 1063</w:t>
      </w:r>
    </w:p>
    <w:p>
      <w:pPr>
        <w:pStyle w:val="FirstParagraph"/>
        <w:spacing w:after="80"/>
        <w:jc w:val="both"/>
      </w:pPr>
      <w:r>
        <w:rPr>
          <w:b/>
          <w:bCs/>
        </w:rPr>
        <w:t xml:space="preserve">Art. 1063.</w:t>
      </w:r>
      <w:r>
        <w:t xml:space="preserve"> </w:t>
      </w:r>
      <w:r>
        <w:t xml:space="preserve">Os juizados especiais cíveis previstos na Lei nº 9.099, de 26 de setembro de 1995, continuam competentes para o processamento e o julgamento das causas previstas no inciso II do art. 275 da Lei nº 5.869, de 11 de janeiro de 1973. (Redação dada pela Lei nº 14.976, de 2024)</w:t>
      </w:r>
    </w:p>
    <w:bookmarkEnd w:id="906"/>
    <w:bookmarkStart w:id="907" w:name="art.-1064"/>
    <w:p>
      <w:pPr>
        <w:pStyle w:val="Heading6"/>
        <w:pBdr>
          <w:left w:val="single" w:sz="36" w:space="4" w:color="2E75B6"/>
        </w:pBdr>
        <w:shd w:val="clear" w:color="auto" w:fill="E3EEF9"/>
        <w:spacing w:before="200" w:after="80"/>
        <w:ind w:left="85"/>
      </w:pPr>
      <w:r>
        <w:rPr>
          <w:i w:val="0"/>
          <w:color w:val="1F3A5F"/>
          <w:sz w:val="23"/>
        </w:rPr>
        <w:t xml:space="preserve">Art. 1064</w:t>
      </w:r>
    </w:p>
    <w:p>
      <w:pPr>
        <w:pStyle w:val="FirstParagraph"/>
        <w:spacing w:after="80"/>
        <w:jc w:val="both"/>
      </w:pPr>
      <w:r>
        <w:rPr>
          <w:b/>
          <w:bCs/>
        </w:rPr>
        <w:t xml:space="preserve">Art. 1064.</w:t>
      </w:r>
      <w:r>
        <w:t xml:space="preserve"> </w:t>
      </w:r>
      <w:r>
        <w:t xml:space="preserve">O caput do art. 48 da Lei nº 9.099, de 26 de setembro de 1995, passa a vigorar com a seguinte redação: (Vigência)</w:t>
      </w:r>
    </w:p>
    <w:p>
      <w:pPr>
        <w:pStyle w:val="BodyText"/>
        <w:spacing w:after="80"/>
        <w:jc w:val="both"/>
      </w:pPr>
      <w:r>
        <w:t xml:space="preserve">“ Art. 48. Caberão embargos de declaração contra sentença ou acórdão nos casos previstos no Código de Processo Civil.</w:t>
      </w:r>
    </w:p>
    <w:p>
      <w:pPr>
        <w:pStyle w:val="BodyText"/>
        <w:spacing w:after="80"/>
        <w:jc w:val="both"/>
      </w:pPr>
      <w:r>
        <w:t xml:space="preserve">………………………………………………………………………..” (NR)</w:t>
      </w:r>
    </w:p>
    <w:bookmarkEnd w:id="907"/>
    <w:bookmarkStart w:id="908" w:name="art.-1065"/>
    <w:p>
      <w:pPr>
        <w:pStyle w:val="Heading6"/>
        <w:pBdr>
          <w:left w:val="single" w:sz="36" w:space="4" w:color="2E75B6"/>
        </w:pBdr>
        <w:shd w:val="clear" w:color="auto" w:fill="E3EEF9"/>
        <w:spacing w:before="200" w:after="80"/>
        <w:ind w:left="85"/>
      </w:pPr>
      <w:r>
        <w:rPr>
          <w:i w:val="0"/>
          <w:color w:val="1F3A5F"/>
          <w:sz w:val="23"/>
        </w:rPr>
        <w:t xml:space="preserve">Art. 1065</w:t>
      </w:r>
    </w:p>
    <w:p>
      <w:pPr>
        <w:pStyle w:val="FirstParagraph"/>
        <w:spacing w:after="80"/>
        <w:jc w:val="both"/>
      </w:pPr>
      <w:r>
        <w:rPr>
          <w:b/>
          <w:bCs/>
        </w:rPr>
        <w:t xml:space="preserve">Art. 1065.</w:t>
      </w:r>
      <w:r>
        <w:t xml:space="preserve"> </w:t>
      </w:r>
      <w:r>
        <w:t xml:space="preserve">O art. 50 da Lei nº 9.099, de 26 de setembro de 1995, passa a vigorar com a seguinte redação: (Vigência)</w:t>
      </w:r>
    </w:p>
    <w:p>
      <w:pPr>
        <w:pStyle w:val="BodyText"/>
        <w:spacing w:after="80"/>
        <w:jc w:val="both"/>
      </w:pPr>
      <w:r>
        <w:t xml:space="preserve">“ Art. 50. Os embargos de declaração interrompem o prazo para a interposição de recurso.” (NR)</w:t>
      </w:r>
    </w:p>
    <w:bookmarkEnd w:id="908"/>
    <w:bookmarkStart w:id="909" w:name="art.-1066"/>
    <w:p>
      <w:pPr>
        <w:pStyle w:val="Heading6"/>
        <w:pBdr>
          <w:left w:val="single" w:sz="36" w:space="4" w:color="2E75B6"/>
        </w:pBdr>
        <w:shd w:val="clear" w:color="auto" w:fill="E3EEF9"/>
        <w:spacing w:before="200" w:after="80"/>
        <w:ind w:left="85"/>
      </w:pPr>
      <w:r>
        <w:rPr>
          <w:i w:val="0"/>
          <w:color w:val="1F3A5F"/>
          <w:sz w:val="23"/>
        </w:rPr>
        <w:t xml:space="preserve">Art. 1066</w:t>
      </w:r>
    </w:p>
    <w:p>
      <w:pPr>
        <w:pStyle w:val="FirstParagraph"/>
        <w:spacing w:after="80"/>
        <w:jc w:val="both"/>
      </w:pPr>
      <w:r>
        <w:rPr>
          <w:b/>
          <w:bCs/>
        </w:rPr>
        <w:t xml:space="preserve">Art. 1066.</w:t>
      </w:r>
      <w:r>
        <w:t xml:space="preserve"> </w:t>
      </w:r>
      <w:r>
        <w:t xml:space="preserve">O art. 83 da Lei nº 9.099, de 26 de setembro de 1995, passam a vigorar com a seguinte redação: (Vigência)</w:t>
      </w:r>
    </w:p>
    <w:p>
      <w:pPr>
        <w:pStyle w:val="BodyText"/>
        <w:spacing w:after="80"/>
        <w:jc w:val="both"/>
      </w:pPr>
      <w:r>
        <w:t xml:space="preserve">“ Art. 83. Cabem embargos de declaração quando, em sentença ou acórdão, houver obscuridade, contradição ou omissão.</w:t>
      </w:r>
    </w:p>
    <w:p>
      <w:pPr>
        <w:pStyle w:val="BodyText"/>
        <w:spacing w:after="80"/>
        <w:jc w:val="both"/>
      </w:pPr>
      <w:r>
        <w:t xml:space="preserve">…………………………………………………………………………………</w:t>
      </w:r>
    </w:p>
    <w:p>
      <w:pPr>
        <w:pStyle w:val="BodyText"/>
        <w:spacing w:after="80"/>
        <w:jc w:val="both"/>
      </w:pPr>
      <w:r>
        <w:t xml:space="preserve">§ 2º Os embargos de declaração interrompem o prazo para a interposição de recurso.</w:t>
      </w:r>
    </w:p>
    <w:p>
      <w:pPr>
        <w:pStyle w:val="BodyText"/>
        <w:spacing w:after="80"/>
        <w:jc w:val="both"/>
      </w:pPr>
      <w:r>
        <w:t xml:space="preserve">………………………………………………………………………..” (NR)</w:t>
      </w:r>
    </w:p>
    <w:bookmarkEnd w:id="909"/>
    <w:bookmarkStart w:id="910" w:name="art.-1067"/>
    <w:p>
      <w:pPr>
        <w:pStyle w:val="Heading6"/>
        <w:pBdr>
          <w:left w:val="single" w:sz="36" w:space="4" w:color="2E75B6"/>
        </w:pBdr>
        <w:shd w:val="clear" w:color="auto" w:fill="E3EEF9"/>
        <w:spacing w:before="200" w:after="80"/>
        <w:ind w:left="85"/>
      </w:pPr>
      <w:r>
        <w:rPr>
          <w:i w:val="0"/>
          <w:color w:val="1F3A5F"/>
          <w:sz w:val="23"/>
        </w:rPr>
        <w:t xml:space="preserve">Art. 1067</w:t>
      </w:r>
    </w:p>
    <w:p>
      <w:pPr>
        <w:pStyle w:val="FirstParagraph"/>
        <w:spacing w:after="80"/>
        <w:jc w:val="both"/>
      </w:pPr>
      <w:r>
        <w:rPr>
          <w:b/>
          <w:bCs/>
        </w:rPr>
        <w:t xml:space="preserve">Art. 1067.</w:t>
      </w:r>
      <w:r>
        <w:t xml:space="preserve"> </w:t>
      </w:r>
      <w:r>
        <w:t xml:space="preserve">O art. 275 da Lei nº 4.737, de 15 de julho de 1965 (Código Eleitoral), passa a vigorar com a seguinte redação: (Vigência)</w:t>
      </w:r>
    </w:p>
    <w:p>
      <w:pPr>
        <w:pStyle w:val="BodyText"/>
        <w:spacing w:after="80"/>
        <w:jc w:val="both"/>
      </w:pPr>
      <w:r>
        <w:t xml:space="preserve">“ Art. 275. São admissíveis embargos de declaração nas hipóteses previstas no Código de Processo Civil.</w:t>
      </w:r>
    </w:p>
    <w:p>
      <w:pPr>
        <w:pStyle w:val="BodyText"/>
        <w:spacing w:after="80"/>
        <w:jc w:val="both"/>
      </w:pPr>
      <w:r>
        <w:t xml:space="preserve">§ 1º Os embargos de declaração serão opostos no prazo de 3 (três) dias, contado da data de publicação da decisão embargada, em petição dirigida ao juiz ou relator, com a indicação do ponto que lhes deu causa.</w:t>
      </w:r>
    </w:p>
    <w:p>
      <w:pPr>
        <w:pStyle w:val="BodyText"/>
        <w:spacing w:after="80"/>
        <w:jc w:val="both"/>
      </w:pPr>
      <w:r>
        <w:t xml:space="preserve">§ 2º Os embargos de declaração não estão sujeitos a preparo.</w:t>
      </w:r>
    </w:p>
    <w:p>
      <w:pPr>
        <w:pStyle w:val="BodyText"/>
        <w:spacing w:after="80"/>
        <w:jc w:val="both"/>
      </w:pPr>
      <w:r>
        <w:t xml:space="preserve">§ 3º O juiz julgará os embargos em 5 (cinco) dias.</w:t>
      </w:r>
    </w:p>
    <w:p>
      <w:pPr>
        <w:pStyle w:val="BodyText"/>
        <w:spacing w:after="80"/>
        <w:jc w:val="both"/>
      </w:pPr>
      <w:r>
        <w:t xml:space="preserve">§ 4º Nos tribunais:</w:t>
      </w:r>
    </w:p>
    <w:p>
      <w:pPr>
        <w:pStyle w:val="BodyText"/>
        <w:spacing w:after="80"/>
        <w:jc w:val="both"/>
      </w:pPr>
      <w:r>
        <w:t xml:space="preserve">I - o relator apresentará os embargos em mesa na sessão subsequente, proferindo voto;</w:t>
      </w:r>
    </w:p>
    <w:p>
      <w:pPr>
        <w:pStyle w:val="BodyText"/>
        <w:spacing w:after="80"/>
        <w:jc w:val="both"/>
      </w:pPr>
      <w:r>
        <w:t xml:space="preserve">II - não havendo julgamento na sessão referida no inciso I, será o recurso incluído em pauta;</w:t>
      </w:r>
    </w:p>
    <w:p>
      <w:pPr>
        <w:pStyle w:val="BodyText"/>
        <w:spacing w:after="80"/>
        <w:jc w:val="both"/>
      </w:pPr>
      <w:r>
        <w:t xml:space="preserve">III - vencido o relator, outro será designado para lavrar o acórdão.</w:t>
      </w:r>
    </w:p>
    <w:p>
      <w:pPr>
        <w:pStyle w:val="BodyText"/>
        <w:spacing w:after="80"/>
        <w:jc w:val="both"/>
      </w:pPr>
      <w:r>
        <w:t xml:space="preserve">§ 5º Os embargos de declaração interrompem o prazo para a interposição de recurso.</w:t>
      </w:r>
    </w:p>
    <w:p>
      <w:pPr>
        <w:pStyle w:val="BodyText"/>
        <w:spacing w:after="80"/>
        <w:jc w:val="both"/>
      </w:pPr>
      <w:r>
        <w:t xml:space="preserve">§ 6º Quando manifestamente protelatórios os embargos de declaração, o juiz ou o tribunal, em decisão fundamentada, condenará o embargante a pagar ao embargado multa não excedente a 2 (dois) salários-mínimos.</w:t>
      </w:r>
    </w:p>
    <w:p>
      <w:pPr>
        <w:pStyle w:val="BodyText"/>
        <w:spacing w:after="80"/>
        <w:jc w:val="both"/>
      </w:pPr>
      <w:r>
        <w:t xml:space="preserve">§ 7º Na reiteração de embargos de declaração manifestamente protelatórios, a multa será elevada a até 10 (dez) salários-mínimos.” (NR)</w:t>
      </w:r>
    </w:p>
    <w:bookmarkEnd w:id="910"/>
    <w:bookmarkStart w:id="911" w:name="art.-1068"/>
    <w:p>
      <w:pPr>
        <w:pStyle w:val="Heading6"/>
        <w:pBdr>
          <w:left w:val="single" w:sz="36" w:space="4" w:color="2E75B6"/>
        </w:pBdr>
        <w:shd w:val="clear" w:color="auto" w:fill="E3EEF9"/>
        <w:spacing w:before="200" w:after="80"/>
        <w:ind w:left="85"/>
      </w:pPr>
      <w:r>
        <w:rPr>
          <w:i w:val="0"/>
          <w:color w:val="1F3A5F"/>
          <w:sz w:val="23"/>
        </w:rPr>
        <w:t xml:space="preserve">Art. 1068</w:t>
      </w:r>
    </w:p>
    <w:p>
      <w:pPr>
        <w:pStyle w:val="FirstParagraph"/>
        <w:spacing w:after="80"/>
        <w:jc w:val="both"/>
      </w:pPr>
      <w:r>
        <w:rPr>
          <w:b/>
          <w:bCs/>
        </w:rPr>
        <w:t xml:space="preserve">Art. 1068.</w:t>
      </w:r>
      <w:r>
        <w:t xml:space="preserve"> </w:t>
      </w:r>
      <w:r>
        <w:t xml:space="preserve">O art. 274 e o caput do art. 2.027 da Lei nº 10.406, de 10 de janeiro de 2002 (Código Civil), passam a vigorar com a seguinte redação: (Vigência)</w:t>
      </w:r>
    </w:p>
    <w:p>
      <w:pPr>
        <w:pStyle w:val="BodyText"/>
        <w:spacing w:after="80"/>
        <w:jc w:val="both"/>
      </w:pPr>
      <w:r>
        <w:t xml:space="preserve">“Art. 274. O julgamento contrário a um dos credores solidários não atinge os demais, mas o julgamento favorável aproveita-lhes, sem prejuízo de exceção pessoal que o devedor tenha direito de invocar em relação a qualquer deles.” (NR)</w:t>
      </w:r>
    </w:p>
    <w:p>
      <w:pPr>
        <w:pStyle w:val="BodyText"/>
        <w:spacing w:after="80"/>
        <w:jc w:val="both"/>
      </w:pPr>
      <w:r>
        <w:t xml:space="preserve">“Art. 2.027. A partilha é anulável pelos vícios e defeitos que invalidam, em geral, os negócios jurídicos.</w:t>
      </w:r>
    </w:p>
    <w:p>
      <w:pPr>
        <w:pStyle w:val="BodyText"/>
        <w:spacing w:after="80"/>
        <w:jc w:val="both"/>
      </w:pPr>
      <w:r>
        <w:t xml:space="preserve">………………………………………………………………………..” (NR)</w:t>
      </w:r>
    </w:p>
    <w:bookmarkEnd w:id="911"/>
    <w:bookmarkStart w:id="912" w:name="art.-1069"/>
    <w:p>
      <w:pPr>
        <w:pStyle w:val="Heading6"/>
        <w:pBdr>
          <w:left w:val="single" w:sz="36" w:space="4" w:color="2E75B6"/>
        </w:pBdr>
        <w:shd w:val="clear" w:color="auto" w:fill="E3EEF9"/>
        <w:spacing w:before="200" w:after="80"/>
        <w:ind w:left="85"/>
      </w:pPr>
      <w:r>
        <w:rPr>
          <w:i w:val="0"/>
          <w:color w:val="1F3A5F"/>
          <w:sz w:val="23"/>
        </w:rPr>
        <w:t xml:space="preserve">Art. 1069</w:t>
      </w:r>
    </w:p>
    <w:p>
      <w:pPr>
        <w:pStyle w:val="FirstParagraph"/>
        <w:spacing w:after="80"/>
        <w:jc w:val="both"/>
      </w:pPr>
      <w:r>
        <w:rPr>
          <w:b/>
          <w:bCs/>
        </w:rPr>
        <w:t xml:space="preserve">Art. 1069.</w:t>
      </w:r>
      <w:r>
        <w:t xml:space="preserve"> </w:t>
      </w:r>
      <w:r>
        <w:t xml:space="preserve">O Conselho Nacional de Justiça promoverá, periodicamente, pesquisas estatísticas para avaliação da efetividade das normas previstas neste Código.</w:t>
      </w:r>
    </w:p>
    <w:bookmarkEnd w:id="912"/>
    <w:bookmarkStart w:id="913" w:name="art.-1070"/>
    <w:p>
      <w:pPr>
        <w:pStyle w:val="Heading6"/>
        <w:pBdr>
          <w:left w:val="single" w:sz="36" w:space="4" w:color="2E75B6"/>
        </w:pBdr>
        <w:shd w:val="clear" w:color="auto" w:fill="E3EEF9"/>
        <w:spacing w:before="200" w:after="80"/>
        <w:ind w:left="85"/>
      </w:pPr>
      <w:r>
        <w:rPr>
          <w:i w:val="0"/>
          <w:color w:val="1F3A5F"/>
          <w:sz w:val="23"/>
        </w:rPr>
        <w:t xml:space="preserve">Art. 1070</w:t>
      </w:r>
    </w:p>
    <w:p>
      <w:pPr>
        <w:pStyle w:val="FirstParagraph"/>
        <w:spacing w:after="80"/>
        <w:jc w:val="both"/>
      </w:pPr>
      <w:r>
        <w:rPr>
          <w:b/>
          <w:bCs/>
        </w:rPr>
        <w:t xml:space="preserve">Art. 1070.</w:t>
      </w:r>
      <w:r>
        <w:t xml:space="preserve"> </w:t>
      </w:r>
      <w:r>
        <w:t xml:space="preserve">É de 15 (quinze) dias o prazo para a interposição de qualquer agravo, previsto em lei ou em regimento interno de tribunal, contra decisão de relator ou outra decisão unipessoal proferida em tribunal.</w:t>
      </w:r>
    </w:p>
    <w:bookmarkEnd w:id="913"/>
    <w:bookmarkStart w:id="914" w:name="art.-1071"/>
    <w:p>
      <w:pPr>
        <w:pStyle w:val="Heading6"/>
        <w:pBdr>
          <w:left w:val="single" w:sz="36" w:space="4" w:color="2E75B6"/>
        </w:pBdr>
        <w:shd w:val="clear" w:color="auto" w:fill="E3EEF9"/>
        <w:spacing w:before="200" w:after="80"/>
        <w:ind w:left="85"/>
      </w:pPr>
      <w:r>
        <w:rPr>
          <w:i w:val="0"/>
          <w:color w:val="1F3A5F"/>
          <w:sz w:val="23"/>
        </w:rPr>
        <w:t xml:space="preserve">Art. 1071</w:t>
      </w:r>
    </w:p>
    <w:p>
      <w:pPr>
        <w:pStyle w:val="FirstParagraph"/>
        <w:spacing w:after="80"/>
        <w:jc w:val="both"/>
      </w:pPr>
      <w:r>
        <w:rPr>
          <w:b/>
          <w:bCs/>
        </w:rPr>
        <w:t xml:space="preserve">Art. 1071.</w:t>
      </w:r>
      <w:r>
        <w:t xml:space="preserve"> </w:t>
      </w:r>
      <w:r>
        <w:t xml:space="preserve">O Capítulo III do Título V da Lei nº 6.015, de 31 de dezembro de 1973 (Lei de Registros Públicos), passa a vigorar acrescida do seguinte art. 216-A: (Vigência)</w:t>
      </w:r>
    </w:p>
    <w:p>
      <w:pPr>
        <w:pStyle w:val="BodyText"/>
        <w:spacing w:after="80"/>
        <w:jc w:val="both"/>
      </w:pPr>
      <w:r>
        <w:t xml:space="preserve">“Art. 216-A. Sem prejuízo da via jurisdicional, é admitido o pedido de reconhecimento extrajudicial de usucapião, que será processado diretamente perante o cartório do registro de imóveis da comarca em que estiver situado o imóvel usucapiendo, a requerimento do interessado, representado por advogado, instruído com:</w:t>
      </w:r>
    </w:p>
    <w:p>
      <w:pPr>
        <w:pStyle w:val="BodyText"/>
        <w:spacing w:after="80"/>
        <w:jc w:val="both"/>
      </w:pPr>
      <w:r>
        <w:t xml:space="preserve">I - ata notarial lavrada pelo tabelião, atestando o tempo de posse do requerente e seus antecessores, conforme o caso e suas circunstâncias;</w:t>
      </w:r>
    </w:p>
    <w:p>
      <w:pPr>
        <w:pStyle w:val="BodyText"/>
        <w:spacing w:after="80"/>
        <w:jc w:val="both"/>
      </w:pPr>
      <w:r>
        <w:t xml:space="preserve">II - planta e memorial descritivo assinado por profissional legalmente habilitado, com prova de anotação de responsabilidade técnica no respectivo conselho de fiscalização profissional, e pelos titulares de direitos reais e de outros direitos registrados ou averbados na matrícula do imóvel usucapiendo e na matrícula dos imóveis confinantes;</w:t>
      </w:r>
    </w:p>
    <w:p>
      <w:pPr>
        <w:pStyle w:val="BodyText"/>
        <w:spacing w:after="80"/>
        <w:jc w:val="both"/>
      </w:pPr>
      <w:r>
        <w:t xml:space="preserve">III - certidões negativas dos distribuidores da comarca da situação do imóvel e do domicílio do requerente;</w:t>
      </w:r>
    </w:p>
    <w:p>
      <w:pPr>
        <w:pStyle w:val="BodyText"/>
        <w:spacing w:after="80"/>
        <w:jc w:val="both"/>
      </w:pPr>
      <w:r>
        <w:t xml:space="preserve">IV - justo título ou quaisquer outros documentos que demonstrem a origem, a continuidade, a natureza e o tempo da posse, tais como o pagamento dos impostos e das taxas que incidirem sobre o imóvel.</w:t>
      </w:r>
    </w:p>
    <w:p>
      <w:pPr>
        <w:pStyle w:val="BodyText"/>
        <w:spacing w:after="80"/>
        <w:jc w:val="both"/>
      </w:pPr>
      <w:r>
        <w:t xml:space="preserve">§ 1º O pedido será autuado pelo registrador, prorrogando-se o prazo da prenotação até o acolhimento ou a rejeição do pedido.</w:t>
      </w:r>
    </w:p>
    <w:p>
      <w:pPr>
        <w:pStyle w:val="BodyText"/>
        <w:spacing w:after="80"/>
        <w:jc w:val="both"/>
      </w:pPr>
      <w:r>
        <w:t xml:space="preserve">§ 2º Se a planta não contiver a assinatura de qualquer um dos titulares de direitos reais e de outros direitos registrados ou averbados na matrícula do imóvel usucapiendo e na matrícula dos imóveis confinantes, esse será notificado pelo registrador competente, pessoalmente ou pelo correio com aviso de recebimento, para manifestar seu consentimento expresso em 15 (quinze) dias, interpretado o seu silêncio como discordância.</w:t>
      </w:r>
    </w:p>
    <w:p>
      <w:pPr>
        <w:pStyle w:val="BodyText"/>
        <w:spacing w:after="80"/>
        <w:jc w:val="both"/>
      </w:pPr>
      <w:r>
        <w:t xml:space="preserve">§ 3º O oficial de registro de imóveis dará ciência à União, ao Estado, ao Distrito Federal e ao Município, pessoalmente, por intermédio do oficial de registro de títulos e documentos, ou pelo correio com aviso de recebimento, para que se manifestem, em 15 (quinze) dias, sobre o pedido.</w:t>
      </w:r>
    </w:p>
    <w:p>
      <w:pPr>
        <w:pStyle w:val="BodyText"/>
        <w:spacing w:after="80"/>
        <w:jc w:val="both"/>
      </w:pPr>
      <w:r>
        <w:t xml:space="preserve">§ 4º O oficial de registro de imóveis promoverá a publicação de edital em jornal de grande circulação, onde houver, para a ciência de terceiros eventualmente interessados, que poderão se manifestar em 15 (quinze) dias.</w:t>
      </w:r>
    </w:p>
    <w:p>
      <w:pPr>
        <w:pStyle w:val="BodyText"/>
        <w:spacing w:after="80"/>
        <w:jc w:val="both"/>
      </w:pPr>
      <w:r>
        <w:t xml:space="preserve">§ 5º Para a elucidação de qualquer ponto de dúvida, poderão ser solicitadas ou realizadas diligências pelo oficial de registro de imóveis.</w:t>
      </w:r>
    </w:p>
    <w:p>
      <w:pPr>
        <w:pStyle w:val="BodyText"/>
        <w:spacing w:after="80"/>
        <w:jc w:val="both"/>
      </w:pPr>
      <w:r>
        <w:t xml:space="preserve">§ 6º Transcorrido o prazo de que trata o § 4º deste artigo, sem pendência de diligências na forma do § 5º deste artigo e achando-se em ordem a documentação, com inclusão da concordância expressa dos titulares de direitos reais e de outros direitos registrados ou averbados na matrícula do imóvel usucapiendo e na matrícula dos imóveis confinantes, o oficial de registro de imóveis registrará a aquisição do imóvel com as descrições apresentadas, sendo permitida a abertura de matrícula, se for o caso.</w:t>
      </w:r>
    </w:p>
    <w:p>
      <w:pPr>
        <w:pStyle w:val="BodyText"/>
        <w:spacing w:after="80"/>
        <w:jc w:val="both"/>
      </w:pPr>
      <w:r>
        <w:t xml:space="preserve">§ 7º Em qualquer caso, é lícito ao interessado suscitar o procedimento de dúvida, nos termos desta Lei.</w:t>
      </w:r>
    </w:p>
    <w:p>
      <w:pPr>
        <w:pStyle w:val="BodyText"/>
        <w:spacing w:after="80"/>
        <w:jc w:val="both"/>
      </w:pPr>
      <w:r>
        <w:t xml:space="preserve">§ 8º Ao final das diligências, se a documentação não estiver em ordem, o oficial de registro de imóveis rejeitará o pedido.</w:t>
      </w:r>
    </w:p>
    <w:p>
      <w:pPr>
        <w:pStyle w:val="BodyText"/>
        <w:spacing w:after="80"/>
        <w:jc w:val="both"/>
      </w:pPr>
      <w:r>
        <w:t xml:space="preserve">§ 9º A rejeição do pedido extrajudicial não impede o ajuizamento de ação de usucapião.</w:t>
      </w:r>
    </w:p>
    <w:p>
      <w:pPr>
        <w:pStyle w:val="BodyText"/>
        <w:spacing w:after="80"/>
        <w:jc w:val="both"/>
      </w:pPr>
      <w:r>
        <w:t xml:space="preserve">§ 10. Em caso de impugnação do pedido de reconhecimento extrajudicial de usucapião, apresentada por qualquer um dos titulares de direito reais e de outros direitos registrados ou averbados na matrícula do imóvel usucapiendo e na matrícula dos imóveis confinantes, por algum dos entes públicos ou por algum terceiro interessado, o oficial de registro de imóveis remeterá os autos ao juízo competente da comarca da situação do imóvel, cabendo ao requerente emendar a petição inicial para adequá-la ao procedimento comum.”</w:t>
      </w:r>
    </w:p>
    <w:bookmarkEnd w:id="914"/>
    <w:bookmarkStart w:id="915" w:name="art.-1072"/>
    <w:p>
      <w:pPr>
        <w:pStyle w:val="Heading6"/>
        <w:pBdr>
          <w:left w:val="single" w:sz="36" w:space="4" w:color="2E75B6"/>
        </w:pBdr>
        <w:shd w:val="clear" w:color="auto" w:fill="E3EEF9"/>
        <w:spacing w:before="200" w:after="80"/>
        <w:ind w:left="85"/>
      </w:pPr>
      <w:r>
        <w:rPr>
          <w:i w:val="0"/>
          <w:color w:val="1F3A5F"/>
          <w:sz w:val="23"/>
        </w:rPr>
        <w:t xml:space="preserve">Art. 1072</w:t>
      </w:r>
    </w:p>
    <w:p>
      <w:pPr>
        <w:pStyle w:val="FirstParagraph"/>
        <w:spacing w:after="80"/>
        <w:jc w:val="both"/>
      </w:pPr>
      <w:r>
        <w:rPr>
          <w:b/>
          <w:bCs/>
        </w:rPr>
        <w:t xml:space="preserve">Art. 1072.</w:t>
      </w:r>
      <w:r>
        <w:t xml:space="preserve"> </w:t>
      </w:r>
      <w:r>
        <w:t xml:space="preserve">Revogam-se: (Vigência)</w:t>
      </w:r>
    </w:p>
    <w:p>
      <w:pPr>
        <w:pStyle w:val="BodyText"/>
        <w:spacing w:after="80"/>
        <w:jc w:val="both"/>
      </w:pPr>
      <w:r>
        <w:t xml:space="preserve">I - o art. 22 do Decreto-Lei nº 25, de 30 de novembro de 1937;</w:t>
      </w:r>
    </w:p>
    <w:p>
      <w:pPr>
        <w:pStyle w:val="BodyText"/>
        <w:spacing w:after="80"/>
        <w:jc w:val="both"/>
      </w:pPr>
      <w:r>
        <w:t xml:space="preserve">II - os arts. 227, caput, 229, 230, 456, 1.482, 1.483 e 1.768 a 1.773 da Lei nº 10.406, de 10 de janeiro de 2002 (Código Civil);</w:t>
      </w:r>
    </w:p>
    <w:p>
      <w:pPr>
        <w:pStyle w:val="BodyText"/>
        <w:spacing w:after="80"/>
        <w:jc w:val="both"/>
      </w:pPr>
      <w:r>
        <w:t xml:space="preserve">III - os arts. 2º, 3º, 4º, 6º, 7º, 11, 12 e 17 da Lei nº 1.060, de 5 de fevereiro de 1950;</w:t>
      </w:r>
    </w:p>
    <w:p>
      <w:pPr>
        <w:pStyle w:val="BodyText"/>
        <w:spacing w:after="80"/>
        <w:jc w:val="both"/>
      </w:pPr>
      <w:r>
        <w:t xml:space="preserve">IV - os arts. 13 a 18, 26 a 29 e 38 da Lei nº 8.038, de 28 de maio de 1990;</w:t>
      </w:r>
    </w:p>
    <w:p>
      <w:pPr>
        <w:pStyle w:val="BodyText"/>
        <w:spacing w:after="80"/>
        <w:jc w:val="both"/>
      </w:pPr>
      <w:r>
        <w:t xml:space="preserve">V - os arts. 16 a 18 da Lei nº 5.478, de 25 de julho de 1968; e</w:t>
      </w:r>
    </w:p>
    <w:p>
      <w:pPr>
        <w:pStyle w:val="BodyText"/>
        <w:spacing w:after="80"/>
        <w:jc w:val="both"/>
      </w:pPr>
      <w:r>
        <w:t xml:space="preserve">VI - o art. 98, § 4º, da Lei nº 12.529, de 30 de novembro de 2011.</w:t>
      </w:r>
    </w:p>
    <w:bookmarkEnd w:id="915"/>
    <w:bookmarkEnd w:id="916"/>
    <w:bookmarkEnd w:id="917"/>
    <w:bookmarkEnd w:id="918"/>
    <w:bookmarkStart w:id="925" w:name="X43a95e2aaa971cc4b236067f8a9cef338b30787"/>
    <w:p>
      <w:pPr>
        <w:spacing w:before="0" w:after="0" w:line="20" w:lineRule="exact"/>
        <w:sectPr>
          <w:headerReference w:type="default" r:id="rId13"/>
          <w:footnotePr>
            <w:numRestart w:val="eachSect"/>
          </w:footnotePr>
          <w:pgSz w:w="11906" w:h="16838"/>
          <w:pgMar w:top="1417" w:left="1417" w:bottom="1134" w:right="1134"/>
          <w:cols w:num="1" w:space="340"/>
        </w:sectPr>
      </w:pPr>
    </w:p>
    <w:p>
      <w:pPr>
        <w:pStyle w:val="Heading1"/>
        <w:pBdr>
          <w:left w:val="single" w:sz="48" w:space="8" w:color="1F3A5F"/>
        </w:pBdr>
        <w:shd w:val="clear" w:color="auto" w:fill="DCE6F2"/>
        <w:spacing w:before="200" w:after="100"/>
        <w:ind w:left="142"/>
      </w:pPr>
      <w:r>
        <w:t xml:space="preserve">6 Divergências, superações e temas pendentes</w:t>
      </w:r>
    </w:p>
    <w:bookmarkStart w:id="919" w:name="título-i-do-procedimento-comum"/>
    <w:p>
      <w:pPr>
        <w:pStyle w:val="Heading2"/>
      </w:pPr>
      <w:r>
        <w:t xml:space="preserve">6.1 Título I: do procedimento comum</w:t>
      </w:r>
    </w:p>
    <w:p>
      <w:pPr>
        <w:pStyle w:val="FirstParagraph"/>
        <w:spacing w:after="80"/>
        <w:jc w:val="both"/>
      </w:pPr>
      <w:r>
        <w:rPr>
          <w:b/>
          <w:bCs/>
        </w:rPr>
        <w:t xml:space="preserve">Art. 382, § 4º (produção antecipada de prova).</w:t>
      </w:r>
      <w:r>
        <w:t xml:space="preserve"> </w:t>
      </w:r>
      <w:r>
        <w:t xml:space="preserve">A Quarta Turma admitiu afastar a limitação de recorribilidade quando a parte atingida questiona os próprios requisitos da ação (REsp 2.043.440, 29/11/2023). A Terceira Turma, em acórdão posterior, aplicou o § 4º conforme a letra: a impugnação só cabe contra a decisão que denega a prova (AREsp 2.962.979, 17/11/2025). Os dois entendimentos coexistem nos acervos consultados.</w:t>
      </w:r>
    </w:p>
    <w:p>
      <w:pPr>
        <w:pStyle w:val="BodyText"/>
        <w:spacing w:after="80"/>
        <w:jc w:val="both"/>
      </w:pPr>
      <w:r>
        <w:rPr>
          <w:b/>
          <w:bCs/>
        </w:rPr>
        <w:t xml:space="preserve">Art. 371 e 479 (limites do livre convencimento).</w:t>
      </w:r>
      <w:r>
        <w:t xml:space="preserve"> </w:t>
      </w:r>
      <w:r>
        <w:t xml:space="preserve">A linha reiterada das Turmas submete a valoração da prova pericial à Súmula 7/STJ (por exemplo, AgInt no AREsp 2.229.945, Quarta Turma, 2023; AREsp 3.135.885, Terceira Turma, 2026; AREsp 3.160.766, Quarta Turma, 2026). No AgInt no AREsp 2.773.143 (Quarta Turma, 14/04/2026), a mesma Turma proveu o agravo interno e reconheceu ofensa aos arts. 375 e 479 na desconsideração de laudo pericial em matéria de alta complexidade, sem contraprova técnica nem fundamentação idônea, afastando ali a Súmula 7. No mesmo sentido, admite-se o afastamento motivado do laudo por erro de cálculo do perito (AgInt no AREsp 2.951.852, Segunda Turma, 19/08/2026) e a valoração que indica documentos clínicos contemporâneos para reputar insuficiente a conclusão pericial (AREsp 3.137.546, Quarta Turma, 15/06/2026).</w:t>
      </w:r>
    </w:p>
    <w:bookmarkEnd w:id="919"/>
    <w:bookmarkStart w:id="920" w:name="título-ii-do-cumprimento-da-sentença"/>
    <w:p>
      <w:pPr>
        <w:pStyle w:val="Heading2"/>
      </w:pPr>
      <w:r>
        <w:t xml:space="preserve">6.2 Título II: do cumprimento da sentença</w:t>
      </w:r>
    </w:p>
    <w:p>
      <w:pPr>
        <w:pStyle w:val="FirstParagraph"/>
        <w:spacing w:after="80"/>
        <w:jc w:val="both"/>
      </w:pPr>
      <w:r>
        <w:rPr>
          <w:b/>
          <w:bCs/>
        </w:rPr>
        <w:t xml:space="preserve">Art. 537, § 1º (multa vencida).</w:t>
      </w:r>
      <w:r>
        <w:t xml:space="preserve"> </w:t>
      </w:r>
      <w:r>
        <w:t xml:space="preserve">Turmas do STJ chegaram a admitir a revisão do valor acumulado da multa cominatória a qualquer tempo (AgInt no AREsp 1.500.279, Quarta Turma, 07/06/2021). A Corte Especial fixou, depois, que só a multa vincenda pode ser modificada (EAREsp 1.479.019, 07/05/2025), e a Terceira Turma o aplicou (REsp 2.013.922, 11/11/2025). A Quarta Turma ressalva que a restrição não alcança multa vencida sob o CPC/1973 (AgInt no REsp 1.769.265, 12/08/2026).</w:t>
      </w:r>
    </w:p>
    <w:p>
      <w:pPr>
        <w:pStyle w:val="BodyText"/>
        <w:spacing w:after="80"/>
        <w:jc w:val="both"/>
      </w:pPr>
      <w:r>
        <w:rPr>
          <w:b/>
          <w:bCs/>
        </w:rPr>
        <w:t xml:space="preserve">Art. 526 (depósito e juros).</w:t>
      </w:r>
      <w:r>
        <w:t xml:space="preserve"> </w:t>
      </w:r>
      <w:r>
        <w:t xml:space="preserve">A Quarta Turma entendeu, em 2018, que o depósito em garantia afasta novos juros moratórios (AgInt no AREsp 1.271.421, 20/09/2018). O Tema 677, revisto pela Corte Especial em 19/10/2022, fixou que o depósito não isenta o devedor dos consectários da mora.</w:t>
      </w:r>
    </w:p>
    <w:p>
      <w:pPr>
        <w:pStyle w:val="BodyText"/>
        <w:spacing w:after="80"/>
        <w:jc w:val="both"/>
      </w:pPr>
      <w:r>
        <w:rPr>
          <w:b/>
          <w:bCs/>
        </w:rPr>
        <w:t xml:space="preserve">ADI 5492 e ADI 5534 (datas).</w:t>
      </w:r>
      <w:r>
        <w:t xml:space="preserve"> </w:t>
      </w:r>
      <w:r>
        <w:t xml:space="preserve">O informativo da curadoria interna do STF (Informativo 1092) indica o encerramento da sessão virtual da ADI 5492 em 24/04/2023, e o da ADI 5534 (Informativo 1003) em 19/12/2020; o repositório externo trazia 25/04/2023 e 21/12/2020. Prevaleceu a data da curadoria interna, que consta das anotações dos arts. 535 e 525.</w:t>
      </w:r>
    </w:p>
    <w:bookmarkEnd w:id="920"/>
    <w:bookmarkStart w:id="921" w:name="título-iii-dos-procedimentos-especiais"/>
    <w:p>
      <w:pPr>
        <w:pStyle w:val="Heading2"/>
      </w:pPr>
      <w:r>
        <w:t xml:space="preserve">6.3 Título III: dos procedimentos especiais</w:t>
      </w:r>
    </w:p>
    <w:p>
      <w:pPr>
        <w:pStyle w:val="FirstParagraph"/>
        <w:spacing w:after="80"/>
        <w:jc w:val="both"/>
      </w:pPr>
      <w:r>
        <w:rPr>
          <w:b/>
          <w:bCs/>
        </w:rPr>
        <w:t xml:space="preserve">Embargos de terceiro e promessa de compra e venda não inscrita.</w:t>
      </w:r>
      <w:r>
        <w:t xml:space="preserve"> </w:t>
      </w:r>
      <w:r>
        <w:t xml:space="preserve">A Súmula 621 do STF diz que a promessa não inscrita no registro de imóveis não enseja embargos de terceiro, enquanto a Súmula 84 do STJ admite os embargos fundados na posse advinda do compromisso, ainda que sem registro. O STJ aplica a sua súmula (REsp 2.202.047, 2025), e a oposição entre os enunciados deve ser conferida na fonte.</w:t>
      </w:r>
    </w:p>
    <w:p>
      <w:pPr>
        <w:pStyle w:val="BodyText"/>
        <w:spacing w:after="80"/>
        <w:jc w:val="both"/>
      </w:pPr>
      <w:r>
        <w:rPr>
          <w:b/>
          <w:bCs/>
        </w:rPr>
        <w:t xml:space="preserve">Tema 243/STJ.</w:t>
      </w:r>
      <w:r>
        <w:t xml:space="preserve"> </w:t>
      </w:r>
      <w:r>
        <w:t xml:space="preserve">O acórdão paradigma é de 20/08/2014, anterior ao recorte da pesquisa; mantém-se por ser o marco vigente da fraude à execução (Súmula 375), com a data de origem declarada.</w:t>
      </w:r>
    </w:p>
    <w:bookmarkEnd w:id="921"/>
    <w:bookmarkStart w:id="922" w:name="livro-ii-do-processo-de-execução"/>
    <w:p>
      <w:pPr>
        <w:pStyle w:val="Heading2"/>
      </w:pPr>
      <w:r>
        <w:t xml:space="preserve">6.4 Livro II: do processo de execução</w:t>
      </w:r>
    </w:p>
    <w:p>
      <w:pPr>
        <w:pStyle w:val="FirstParagraph"/>
        <w:spacing w:after="80"/>
        <w:jc w:val="both"/>
      </w:pPr>
      <w:r>
        <w:t xml:space="preserve">Não localizadas nas bases consultadas.</w:t>
      </w:r>
    </w:p>
    <w:bookmarkEnd w:id="922"/>
    <w:bookmarkStart w:id="923" w:name="X73006239c0a78a7db38a81b820dfa972eb9e1d1"/>
    <w:p>
      <w:pPr>
        <w:pStyle w:val="Heading2"/>
      </w:pPr>
      <w:r>
        <w:t xml:space="preserve">6.5 Livro III: dos processos nos tribunais e dos meios de impugnação das decisões judiciais</w:t>
      </w:r>
    </w:p>
    <w:p>
      <w:pPr>
        <w:pStyle w:val="FirstParagraph"/>
        <w:spacing w:after="80"/>
        <w:jc w:val="both"/>
      </w:pPr>
      <w:r>
        <w:t xml:space="preserve">Não localizadas nas bases consultadas.</w:t>
      </w:r>
    </w:p>
    <w:bookmarkEnd w:id="923"/>
    <w:bookmarkStart w:id="924" w:name="X2a6dc0edcc7da1c7801f92eaf19c3361a8f927a"/>
    <w:p>
      <w:pPr>
        <w:pStyle w:val="Heading2"/>
      </w:pPr>
      <w:r>
        <w:t xml:space="preserve">6.6 Livro Complementar: disposições finais e transitórias</w:t>
      </w:r>
    </w:p>
    <w:p>
      <w:pPr>
        <w:pStyle w:val="FirstParagraph"/>
        <w:spacing w:after="80"/>
        <w:jc w:val="both"/>
      </w:pPr>
      <w:r>
        <w:t xml:space="preserve">Não localizadas nas bases consultadas.</w:t>
      </w:r>
    </w:p>
    <w:bookmarkEnd w:id="924"/>
    <w:bookmarkEnd w:id="925"/>
    <w:bookmarkStart w:id="932" w:name="pendências-de-verificação"/>
    <w:p>
      <w:pPr>
        <w:pStyle w:val="Heading1"/>
        <w:pBdr>
          <w:left w:val="single" w:sz="48" w:space="8" w:color="1F3A5F"/>
        </w:pBdr>
        <w:shd w:val="clear" w:color="auto" w:fill="DCE6F2"/>
        <w:spacing w:before="200" w:after="100"/>
        <w:ind w:left="142"/>
      </w:pPr>
      <w:r>
        <w:t xml:space="preserve">7 Pendências de verificação</w:t>
      </w:r>
    </w:p>
    <w:bookmarkStart w:id="926" w:name="título-i-do-procedimento-comum-1"/>
    <w:p>
      <w:pPr>
        <w:pStyle w:val="Heading2"/>
      </w:pPr>
      <w:r>
        <w:t xml:space="preserve">7.1 Título I: do procedimento comum</w:t>
      </w:r>
    </w:p>
    <w:p>
      <w:pPr>
        <w:pStyle w:val="Compact"/>
        <w:numPr>
          <w:ilvl w:val="0"/>
          <w:numId w:val="1003"/>
        </w:numPr>
        <w:spacing w:after="80"/>
        <w:jc w:val="both"/>
      </w:pPr>
      <w:r>
        <w:rPr>
          <w:b/>
          <w:bCs/>
        </w:rPr>
        <w:t xml:space="preserve">Alcance da busca.</w:t>
      </w:r>
      <w:r>
        <w:t xml:space="preserve"> </w:t>
      </w:r>
      <w:r>
        <w:t xml:space="preserve">Colheita sistemática de 1º/01/2016 a 18/10/2026,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03"/>
        </w:numPr>
        <w:spacing w:after="80"/>
        <w:jc w:val="both"/>
      </w:pPr>
      <w:r>
        <w:rPr>
          <w:b/>
          <w:bCs/>
        </w:rPr>
        <w:t xml:space="preserve">Arts. 325, 328, 333, 340, 347 a 348, 352 a 353, 358 a 361, 363, 365 a 368, 377, 379, 383 a 384, 386 a 388, 393 a 395, 398, 404, 406 a 407, 409 a 410, 412 a 424, 426 a 428, 432 a 433, 438, 441, 445 a 446, 448 a 449, 451 a 452, 454 a 456, 458 a 463, 474 a 476, 478, 486, 488, 490, 495, 498, 501 a 502, 512.</w:t>
      </w:r>
      <w:r>
        <w:t xml:space="preserve"> </w:t>
      </w:r>
      <w:r>
        <w:t xml:space="preserve">Sem acórdão com tese própria ou orientação de aplicação nos acervos consultados além dos citados.</w:t>
      </w:r>
    </w:p>
    <w:p>
      <w:pPr>
        <w:pStyle w:val="Compact"/>
        <w:numPr>
          <w:ilvl w:val="0"/>
          <w:numId w:val="1003"/>
        </w:numPr>
        <w:spacing w:after="80"/>
        <w:jc w:val="both"/>
      </w:pPr>
      <w:r>
        <w:rPr>
          <w:b/>
          <w:bCs/>
        </w:rPr>
        <w:t xml:space="preserve">Repositório externo.</w:t>
      </w:r>
      <w:r>
        <w:t xml:space="preserve"> </w:t>
      </w:r>
      <w:r>
        <w:t xml:space="preserve">As referências marcadas provêm de repositório de terceiros; relator e data devem ser conferidos no portal do STF.</w:t>
      </w:r>
    </w:p>
    <w:p>
      <w:pPr>
        <w:pStyle w:val="Compact"/>
        <w:numPr>
          <w:ilvl w:val="0"/>
          <w:numId w:val="1003"/>
        </w:numPr>
        <w:spacing w:after="80"/>
        <w:jc w:val="both"/>
      </w:pPr>
      <w:r>
        <w:rPr>
          <w:b/>
          <w:bCs/>
        </w:rPr>
        <w:t xml:space="preserve">Art. 497 (AgInt no REsp 2.216.332).</w:t>
      </w:r>
      <w:r>
        <w:t xml:space="preserve"> </w:t>
      </w:r>
      <w:r>
        <w:t xml:space="preserve">O acórdão só aplica os óbices das Súmulas 283/STF e 83/STJ, sem tese sobre o art. 497; descartado da anotação.</w:t>
      </w:r>
    </w:p>
    <w:bookmarkEnd w:id="926"/>
    <w:bookmarkStart w:id="927" w:name="título-ii-do-cumprimento-da-sentença-1"/>
    <w:p>
      <w:pPr>
        <w:pStyle w:val="Heading2"/>
      </w:pPr>
      <w:r>
        <w:t xml:space="preserve">7.2 Título II: do cumprimento da sentença</w:t>
      </w:r>
    </w:p>
    <w:p>
      <w:pPr>
        <w:pStyle w:val="Compact"/>
        <w:numPr>
          <w:ilvl w:val="0"/>
          <w:numId w:val="1004"/>
        </w:numPr>
        <w:spacing w:after="80"/>
        <w:jc w:val="both"/>
      </w:pPr>
      <w:r>
        <w:rPr>
          <w:b/>
          <w:bCs/>
        </w:rPr>
        <w:t xml:space="preserve">Alcance da busca.</w:t>
      </w:r>
      <w:r>
        <w:t xml:space="preserve"> </w:t>
      </w:r>
      <w:r>
        <w:t xml:space="preserve">Colheita sistemática de 1º/01/2016 a 18/10/2026,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04"/>
        </w:numPr>
        <w:spacing w:after="80"/>
        <w:jc w:val="both"/>
      </w:pPr>
      <w:r>
        <w:rPr>
          <w:b/>
          <w:bCs/>
        </w:rPr>
        <w:t xml:space="preserve">Arts. 514, 517 a 519, 522, 524, 529 a 530, 532 a 533, 538.</w:t>
      </w:r>
      <w:r>
        <w:t xml:space="preserve"> </w:t>
      </w:r>
      <w:r>
        <w:t xml:space="preserve">Sem acórdão com tese própria ou orientação de aplicação nos acervos consultados além dos citados.</w:t>
      </w:r>
    </w:p>
    <w:p>
      <w:pPr>
        <w:pStyle w:val="Compact"/>
        <w:numPr>
          <w:ilvl w:val="0"/>
          <w:numId w:val="1004"/>
        </w:numPr>
        <w:spacing w:after="80"/>
        <w:jc w:val="both"/>
      </w:pPr>
      <w:r>
        <w:rPr>
          <w:b/>
          <w:bCs/>
        </w:rPr>
        <w:t xml:space="preserve">Repositório externo.</w:t>
      </w:r>
      <w:r>
        <w:t xml:space="preserve"> </w:t>
      </w:r>
      <w:r>
        <w:t xml:space="preserve">As referências marcadas provêm de repositório de terceiros; relator e data devem ser conferidos no portal do STF.</w:t>
      </w:r>
    </w:p>
    <w:p>
      <w:pPr>
        <w:pStyle w:val="Compact"/>
        <w:numPr>
          <w:ilvl w:val="0"/>
          <w:numId w:val="1004"/>
        </w:numPr>
        <w:spacing w:after="80"/>
        <w:jc w:val="both"/>
      </w:pPr>
      <w:r>
        <w:rPr>
          <w:b/>
          <w:bCs/>
        </w:rPr>
        <w:t xml:space="preserve">AR 2876.</w:t>
      </w:r>
      <w:r>
        <w:t xml:space="preserve"> </w:t>
      </w:r>
      <w:r>
        <w:t xml:space="preserve">A remissão dos arts. 525, §§ 14 e 15, e 535, §§ 7º e 8º não foi localizada no controle concentrado do STF (curadoria interna), na busca híbrida do STF nem no repositório externo (consulta por classe e número). Conferir no portal do STF.</w:t>
      </w:r>
    </w:p>
    <w:p>
      <w:pPr>
        <w:pStyle w:val="Compact"/>
        <w:numPr>
          <w:ilvl w:val="0"/>
          <w:numId w:val="1004"/>
        </w:numPr>
        <w:spacing w:after="80"/>
        <w:jc w:val="both"/>
      </w:pPr>
      <w:r>
        <w:rPr>
          <w:b/>
          <w:bCs/>
        </w:rPr>
        <w:t xml:space="preserve">Tema 677.</w:t>
      </w:r>
      <w:r>
        <w:t xml:space="preserve"> </w:t>
      </w:r>
      <w:r>
        <w:t xml:space="preserve">O acervo traz duas datas de publicação para o acórdão de 19/10/2022 (15 e 16/12/2022); a data de publicação foi omitida na citação. Conferir no portal do STJ.</w:t>
      </w:r>
    </w:p>
    <w:bookmarkEnd w:id="927"/>
    <w:bookmarkStart w:id="928" w:name="título-iii-dos-procedimentos-especiais-1"/>
    <w:p>
      <w:pPr>
        <w:pStyle w:val="Heading2"/>
      </w:pPr>
      <w:r>
        <w:t xml:space="preserve">7.3 Título III: dos procedimentos especiais</w:t>
      </w:r>
    </w:p>
    <w:p>
      <w:pPr>
        <w:pStyle w:val="Compact"/>
        <w:numPr>
          <w:ilvl w:val="0"/>
          <w:numId w:val="1005"/>
        </w:numPr>
        <w:spacing w:after="80"/>
        <w:jc w:val="both"/>
      </w:pPr>
      <w:r>
        <w:rPr>
          <w:b/>
          <w:bCs/>
        </w:rPr>
        <w:t xml:space="preserve">Alcance da busca.</w:t>
      </w:r>
      <w:r>
        <w:t xml:space="preserve"> </w:t>
      </w:r>
      <w:r>
        <w:t xml:space="preserve">Colheita sistemática de 1º/01/2016 a 18/10/2026,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05"/>
        </w:numPr>
        <w:spacing w:after="80"/>
        <w:jc w:val="both"/>
      </w:pPr>
      <w:r>
        <w:rPr>
          <w:b/>
          <w:bCs/>
        </w:rPr>
        <w:t xml:space="preserve">Arts. 539 a 544, 546 a 549, 552, 555 a 556, 558 a 561, 563 a 564, 566 a 598, 601 a 602, 607 a 609, 614 a 615, 618, 621, 624 a 641, 644 a 658, 660 a 673, 676 a 684, 686 a 699, 703 a 711, 713, 715 a 718, 720 a 725, 727 a 729, 732 a 736, 738 a 746, 748 a 749, 751 a 770.</w:t>
      </w:r>
      <w:r>
        <w:t xml:space="preserve"> </w:t>
      </w:r>
      <w:r>
        <w:t xml:space="preserve">Sem acórdão com tese própria ou orientação de aplicação nos acervos consultados além dos citados.</w:t>
      </w:r>
    </w:p>
    <w:p>
      <w:pPr>
        <w:pStyle w:val="Compact"/>
        <w:numPr>
          <w:ilvl w:val="0"/>
          <w:numId w:val="1005"/>
        </w:numPr>
        <w:spacing w:after="80"/>
        <w:jc w:val="both"/>
      </w:pPr>
      <w:r>
        <w:rPr>
          <w:b/>
          <w:bCs/>
        </w:rPr>
        <w:t xml:space="preserve">Repositório externo.</w:t>
      </w:r>
      <w:r>
        <w:t xml:space="preserve"> </w:t>
      </w:r>
      <w:r>
        <w:t xml:space="preserve">As referências marcadas provêm de repositório de terceiros; relator e data devem ser conferidos no portal do STF.</w:t>
      </w:r>
    </w:p>
    <w:p>
      <w:pPr>
        <w:pStyle w:val="Compact"/>
        <w:numPr>
          <w:ilvl w:val="0"/>
          <w:numId w:val="1005"/>
        </w:numPr>
        <w:spacing w:after="80"/>
        <w:jc w:val="both"/>
      </w:pPr>
      <w:r>
        <w:rPr>
          <w:b/>
          <w:bCs/>
        </w:rPr>
        <w:t xml:space="preserve">Súmulas.</w:t>
      </w:r>
      <w:r>
        <w:t xml:space="preserve"> </w:t>
      </w:r>
      <w:r>
        <w:t xml:space="preserve">O acervo não informa a data de aprovação das súmulas citadas; conferir no portal do tribunal.</w:t>
      </w:r>
    </w:p>
    <w:p>
      <w:pPr>
        <w:pStyle w:val="Compact"/>
        <w:numPr>
          <w:ilvl w:val="0"/>
          <w:numId w:val="1005"/>
        </w:numPr>
        <w:spacing w:after="80"/>
        <w:jc w:val="both"/>
      </w:pPr>
      <w:r>
        <w:rPr>
          <w:b/>
          <w:bCs/>
        </w:rPr>
        <w:t xml:space="preserve">Tema 243.</w:t>
      </w:r>
      <w:r>
        <w:t xml:space="preserve"> </w:t>
      </w:r>
      <w:r>
        <w:t xml:space="preserve">O acervo indica como relatora a Min. Nancy Andrighi; acórdão posterior do STJ (REsp 2.183.157, 2026) menciona o Min. João Otávio de Noronha como relator para o acórdão. Conferir a relatoria no portal do STJ.</w:t>
      </w:r>
    </w:p>
    <w:bookmarkEnd w:id="928"/>
    <w:bookmarkStart w:id="929" w:name="livro-ii-do-processo-de-execução-1"/>
    <w:p>
      <w:pPr>
        <w:pStyle w:val="Heading2"/>
      </w:pPr>
      <w:r>
        <w:t xml:space="preserve">7.4 Livro II: do processo de execução</w:t>
      </w:r>
    </w:p>
    <w:p>
      <w:pPr>
        <w:pStyle w:val="Compact"/>
        <w:numPr>
          <w:ilvl w:val="0"/>
          <w:numId w:val="1006"/>
        </w:numPr>
        <w:spacing w:after="80"/>
        <w:jc w:val="both"/>
      </w:pPr>
      <w:r>
        <w:rPr>
          <w:b/>
          <w:bCs/>
        </w:rPr>
        <w:t xml:space="preserve">Alcance da busca.</w:t>
      </w:r>
      <w:r>
        <w:t xml:space="preserve"> </w:t>
      </w:r>
      <w:r>
        <w:t xml:space="preserve">Colheita sistemática de 1º/01/2016 a 18/10/2026,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06"/>
        </w:numPr>
        <w:spacing w:after="80"/>
        <w:jc w:val="both"/>
      </w:pPr>
      <w:r>
        <w:rPr>
          <w:b/>
          <w:bCs/>
        </w:rPr>
        <w:t xml:space="preserve">Arts. 771 a 773, 777, 780, 782, 785 a 788, 790 a 791, 793 a 796, 798 a 800, 802, 804, 806 a 814, 816, 818 a 829, 831 a 832, 834, 836 a 842, 845 a 848, 850, 852 a 853, 856, 858 a 860, 862 a 866, 868 a 870, 872, 874 a 875, 877 a 879, 881, 883 a 902, 904 a 907, 909, 912, 914 a 916, 918, 920, 922 a 923, 925.</w:t>
      </w:r>
      <w:r>
        <w:t xml:space="preserve"> </w:t>
      </w:r>
      <w:r>
        <w:t xml:space="preserve">Sem acórdão com tese própria ou orientação de aplicação nos acervos consultados além dos citados.</w:t>
      </w:r>
    </w:p>
    <w:p>
      <w:pPr>
        <w:pStyle w:val="Compact"/>
        <w:numPr>
          <w:ilvl w:val="0"/>
          <w:numId w:val="1006"/>
        </w:numPr>
        <w:spacing w:after="80"/>
        <w:jc w:val="both"/>
      </w:pPr>
      <w:r>
        <w:rPr>
          <w:b/>
          <w:bCs/>
        </w:rPr>
        <w:t xml:space="preserve">Repositório externo.</w:t>
      </w:r>
      <w:r>
        <w:t xml:space="preserve"> </w:t>
      </w:r>
      <w:r>
        <w:t xml:space="preserve">As referências marcadas provêm de repositório de terceiros; relator e data devem ser conferidos no portal do STF.</w:t>
      </w:r>
    </w:p>
    <w:p>
      <w:pPr>
        <w:pStyle w:val="Compact"/>
        <w:numPr>
          <w:ilvl w:val="0"/>
          <w:numId w:val="1006"/>
        </w:numPr>
        <w:spacing w:after="80"/>
        <w:jc w:val="both"/>
      </w:pPr>
      <w:r>
        <w:rPr>
          <w:b/>
          <w:bCs/>
        </w:rPr>
        <w:t xml:space="preserve">Art. 1.009.</w:t>
      </w:r>
      <w:r>
        <w:t xml:space="preserve"> </w:t>
      </w:r>
      <w:r>
        <w:t xml:space="preserve">O texto do art. 1.009 não consta do texto compilado do acervo local (responde</w:t>
      </w:r>
      <w:r>
        <w:t xml:space="preserve"> </w:t>
      </w:r>
      <w:r>
        <w:t xml:space="preserve">“inexistente ou suprimido”</w:t>
      </w:r>
      <w:r>
        <w:t xml:space="preserve">), embora a numeração do Código seja contínua: o dispositivo fica sem texto legal neste bloco, à espera de conferência no portal do Planalto.</w:t>
      </w:r>
    </w:p>
    <w:bookmarkEnd w:id="929"/>
    <w:bookmarkStart w:id="930" w:name="Xf2434898f891c48903d95177aa97b5c9b9faa3c"/>
    <w:p>
      <w:pPr>
        <w:pStyle w:val="Heading2"/>
      </w:pPr>
      <w:r>
        <w:t xml:space="preserve">7.5 Livro III: dos processos nos tribunais e dos meios de impugnação das decisões judiciais</w:t>
      </w:r>
    </w:p>
    <w:p>
      <w:pPr>
        <w:pStyle w:val="Compact"/>
        <w:numPr>
          <w:ilvl w:val="0"/>
          <w:numId w:val="1007"/>
        </w:numPr>
        <w:spacing w:after="80"/>
        <w:jc w:val="both"/>
      </w:pPr>
      <w:r>
        <w:rPr>
          <w:b/>
          <w:bCs/>
        </w:rPr>
        <w:t xml:space="preserve">Alcance da busca.</w:t>
      </w:r>
      <w:r>
        <w:t xml:space="preserve"> </w:t>
      </w:r>
      <w:r>
        <w:t xml:space="preserve">Colheita sistemática de 1º/01/2016 a 18/10/2026,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07"/>
        </w:numPr>
        <w:spacing w:after="80"/>
        <w:jc w:val="both"/>
      </w:pPr>
      <w:r>
        <w:rPr>
          <w:b/>
          <w:bCs/>
        </w:rPr>
        <w:t xml:space="preserve">Arts. 926, 929 a 931, 933, 935 a 936, 938 a 941, 943 a 965, 967 a 987, 989 a 995, 997, 1000, 1002 a 1014, 1016 a 1020, 1023 a 1044.</w:t>
      </w:r>
      <w:r>
        <w:t xml:space="preserve"> </w:t>
      </w:r>
      <w:r>
        <w:t xml:space="preserve">Sem acórdão com tese própria ou orientação de aplicação nos acervos consultados além dos citados.</w:t>
      </w:r>
    </w:p>
    <w:p>
      <w:pPr>
        <w:pStyle w:val="Compact"/>
        <w:numPr>
          <w:ilvl w:val="0"/>
          <w:numId w:val="1007"/>
        </w:numPr>
        <w:spacing w:after="80"/>
        <w:jc w:val="both"/>
      </w:pPr>
      <w:r>
        <w:rPr>
          <w:b/>
          <w:bCs/>
        </w:rPr>
        <w:t xml:space="preserve">Repositório externo.</w:t>
      </w:r>
      <w:r>
        <w:t xml:space="preserve"> </w:t>
      </w:r>
      <w:r>
        <w:t xml:space="preserve">As referências marcadas provêm de repositório de terceiros; relator e data devem ser conferidos no portal do STF.</w:t>
      </w:r>
    </w:p>
    <w:p>
      <w:pPr>
        <w:pStyle w:val="Compact"/>
        <w:numPr>
          <w:ilvl w:val="0"/>
          <w:numId w:val="1007"/>
        </w:numPr>
        <w:spacing w:after="80"/>
        <w:jc w:val="both"/>
      </w:pPr>
      <w:r>
        <w:rPr>
          <w:b/>
          <w:bCs/>
        </w:rPr>
        <w:t xml:space="preserve">Art. 1.009.</w:t>
      </w:r>
      <w:r>
        <w:t xml:space="preserve"> </w:t>
      </w:r>
      <w:r>
        <w:t xml:space="preserve">O texto do art. 1.009 não consta do texto compilado do acervo local, embora a numeração seja contínua; o dispositivo fica sem texto legal, à espera de conferência no portal do Planalto.</w:t>
      </w:r>
    </w:p>
    <w:p>
      <w:pPr>
        <w:pStyle w:val="Compact"/>
        <w:numPr>
          <w:ilvl w:val="0"/>
          <w:numId w:val="1007"/>
        </w:numPr>
        <w:spacing w:after="80"/>
        <w:jc w:val="both"/>
      </w:pPr>
      <w:r>
        <w:rPr>
          <w:b/>
          <w:bCs/>
        </w:rPr>
        <w:t xml:space="preserve">Art. 945.</w:t>
      </w:r>
      <w:r>
        <w:t xml:space="preserve"> </w:t>
      </w:r>
      <w:r>
        <w:t xml:space="preserve">Dispositivo revogado pela Lei nº 13.256/2016; permanece no texto legal apenas a marca de revogação.</w:t>
      </w:r>
    </w:p>
    <w:bookmarkEnd w:id="930"/>
    <w:bookmarkStart w:id="931" w:name="X153332e778b7426cb9eab18b0467c160b470f9c"/>
    <w:p>
      <w:pPr>
        <w:pStyle w:val="Heading2"/>
      </w:pPr>
      <w:r>
        <w:t xml:space="preserve">7.6 Livro Complementar: disposições finais e transitórias</w:t>
      </w:r>
    </w:p>
    <w:p>
      <w:pPr>
        <w:pStyle w:val="Compact"/>
        <w:numPr>
          <w:ilvl w:val="0"/>
          <w:numId w:val="1008"/>
        </w:numPr>
        <w:spacing w:after="80"/>
        <w:jc w:val="both"/>
      </w:pPr>
      <w:r>
        <w:rPr>
          <w:b/>
          <w:bCs/>
        </w:rPr>
        <w:t xml:space="preserve">Alcance da busca.</w:t>
      </w:r>
      <w:r>
        <w:t xml:space="preserve"> </w:t>
      </w:r>
      <w:r>
        <w:t xml:space="preserve">Colheita sistemática de 1º/01/2016 a 18/10/2026,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08"/>
        </w:numPr>
        <w:spacing w:after="80"/>
        <w:jc w:val="both"/>
      </w:pPr>
      <w:r>
        <w:rPr>
          <w:b/>
          <w:bCs/>
        </w:rPr>
        <w:t xml:space="preserve">Arts. 1045 a 1072.</w:t>
      </w:r>
      <w:r>
        <w:t xml:space="preserve"> </w:t>
      </w:r>
      <w:r>
        <w:t xml:space="preserve">Sem acórdão com tese própria ou orientação de aplicação nos acervos consultados além dos citados.</w:t>
      </w:r>
    </w:p>
    <w:p>
      <w:pPr>
        <w:pStyle w:val="Compact"/>
        <w:numPr>
          <w:ilvl w:val="0"/>
          <w:numId w:val="1008"/>
        </w:numPr>
        <w:spacing w:after="80"/>
        <w:jc w:val="both"/>
      </w:pPr>
      <w:r>
        <w:rPr>
          <w:b/>
          <w:bCs/>
        </w:rPr>
        <w:t xml:space="preserve">Repositório externo.</w:t>
      </w:r>
      <w:r>
        <w:t xml:space="preserve"> </w:t>
      </w:r>
      <w:r>
        <w:t xml:space="preserve">As referências marcadas provêm de repositório de terceiros; relator e data devem ser conferidos no portal do STF.</w:t>
      </w:r>
    </w:p>
    <w:p>
      <w:pPr>
        <w:pStyle w:val="Compact"/>
        <w:numPr>
          <w:ilvl w:val="0"/>
          <w:numId w:val="1008"/>
        </w:numPr>
        <w:spacing w:after="80"/>
        <w:jc w:val="both"/>
      </w:pPr>
      <w:r>
        <w:rPr>
          <w:b/>
          <w:bCs/>
        </w:rPr>
        <w:t xml:space="preserve">Art. 1.055.</w:t>
      </w:r>
      <w:r>
        <w:t xml:space="preserve"> </w:t>
      </w:r>
      <w:r>
        <w:t xml:space="preserve">Dispositivo vetado: o texto legal traz apenas a marca de veto.</w:t>
      </w:r>
    </w:p>
    <w:bookmarkEnd w:id="931"/>
    <w:bookmarkEnd w:id="932"/>
    <w:bookmarkStart w:id="936" w:name="referências"/>
    <w:p>
      <w:pPr>
        <w:pStyle w:val="Heading1"/>
        <w:pBdr>
          <w:left w:val="single" w:sz="48" w:space="8" w:color="1F3A5F"/>
        </w:pBdr>
        <w:shd w:val="clear" w:color="auto" w:fill="DCE6F2"/>
        <w:spacing w:before="200" w:after="100"/>
        <w:ind w:left="142"/>
      </w:pPr>
      <w:r>
        <w:t xml:space="preserve">Referências</w:t>
      </w:r>
    </w:p>
    <w:bookmarkStart w:id="933" w:name="Xf8b68f7228c1e15f02a4fee547a16a632b500bd"/>
    <w:p>
      <w:pPr>
        <w:pStyle w:val="Heading2"/>
      </w:pPr>
      <w:r>
        <w:t xml:space="preserve">Supremo Tribunal Federal (curadoria interna)</w:t>
      </w:r>
    </w:p>
    <w:p>
      <w:pPr>
        <w:pStyle w:val="FirstParagraph"/>
        <w:spacing w:after="80"/>
        <w:jc w:val="both"/>
      </w:pPr>
      <w:r>
        <w:t xml:space="preserve">BRASIL. Supremo Tribunal Federal. Tribunal Pleno. Ação Direta de Inconstitucionalidade 5.941. Relator: Min. Luiz Fux. Julgado em 9 fev. 2023.</w:t>
      </w:r>
    </w:p>
    <w:p>
      <w:pPr>
        <w:pStyle w:val="BodyText"/>
        <w:spacing w:after="80"/>
        <w:jc w:val="both"/>
      </w:pPr>
      <w:r>
        <w:t xml:space="preserve">BRASIL. Supremo Tribunal Federal. Tribunal Pleno. Ação Direta de Inconstitucionalidade 5.492. Relator: Min. Dias Toffoli. Julgado em 24 abr. 2023.</w:t>
      </w:r>
    </w:p>
    <w:p>
      <w:pPr>
        <w:pStyle w:val="BodyText"/>
        <w:spacing w:after="80"/>
        <w:jc w:val="both"/>
      </w:pPr>
      <w:r>
        <w:t xml:space="preserve">BRASIL. Supremo Tribunal Federal. Tribunal Pleno. Ação Direta de Inconstitucionalidade 5.534. Relator: Min. Dias Toffoli. Julgado em 19 dez. 2020.</w:t>
      </w:r>
    </w:p>
    <w:p>
      <w:pPr>
        <w:pStyle w:val="BodyText"/>
        <w:spacing w:after="80"/>
        <w:jc w:val="both"/>
      </w:pPr>
      <w:r>
        <w:t xml:space="preserve">BRASIL. Supremo Tribunal Federal. Súmula 265.</w:t>
      </w:r>
    </w:p>
    <w:p>
      <w:pPr>
        <w:pStyle w:val="BodyText"/>
        <w:spacing w:after="80"/>
        <w:jc w:val="both"/>
      </w:pPr>
      <w:r>
        <w:t xml:space="preserve">BRASIL. Supremo Tribunal Federal. Súmula 621.</w:t>
      </w:r>
    </w:p>
    <w:p>
      <w:pPr>
        <w:pStyle w:val="BodyText"/>
        <w:spacing w:after="80"/>
        <w:jc w:val="both"/>
      </w:pPr>
      <w:r>
        <w:t xml:space="preserve">BRASIL. Supremo Tribunal Federal. Tribunal Pleno. Arguição de Descumprimento de Preceito Fundamental 828. Relator: Min. Roberto Barroso. Julgado em 2 nov. 2022.</w:t>
      </w:r>
    </w:p>
    <w:p>
      <w:pPr>
        <w:pStyle w:val="BodyText"/>
        <w:spacing w:after="80"/>
        <w:jc w:val="both"/>
      </w:pPr>
      <w:r>
        <w:t xml:space="preserve">BRASIL. Supremo Tribunal Federal. Tribunal Pleno. Ação Direta de Inconstitucionalidade 5.894. Relator: Min. André Mendonça. Julgado em 24 abr. 2025. Informativo 1174.</w:t>
      </w:r>
    </w:p>
    <w:p>
      <w:pPr>
        <w:pStyle w:val="BodyText"/>
        <w:spacing w:after="80"/>
        <w:jc w:val="both"/>
      </w:pPr>
      <w:r>
        <w:t xml:space="preserve">BRASIL. Supremo Tribunal Federal. Primeira Turma. Agravo em Recurso Extraordinário 930.352. Relator: Min. Marco Aurélio. Julgado em 29 mar. 2021.</w:t>
      </w:r>
    </w:p>
    <w:p>
      <w:pPr>
        <w:pStyle w:val="BodyText"/>
        <w:spacing w:after="80"/>
        <w:jc w:val="both"/>
      </w:pPr>
      <w:r>
        <w:t xml:space="preserve">BRASIL. Supremo Tribunal Federal. Primeira Turma. Recurso Extraordinário 944.491. Relator: Min. Marco Aurélio. Julgado em 12 jun. 2018.</w:t>
      </w:r>
    </w:p>
    <w:p>
      <w:pPr>
        <w:pStyle w:val="BodyText"/>
        <w:spacing w:after="80"/>
        <w:jc w:val="both"/>
      </w:pPr>
      <w:r>
        <w:t xml:space="preserve">BRASIL. Supremo Tribunal Federal. Segunda Turma. Reclamação 60.872. Relator: Min. Nunes Marques. Julgado em 24 jun. 2024.</w:t>
      </w:r>
    </w:p>
    <w:p>
      <w:pPr>
        <w:pStyle w:val="BodyText"/>
        <w:spacing w:after="80"/>
        <w:jc w:val="both"/>
      </w:pPr>
      <w:r>
        <w:t xml:space="preserve">BRASIL. Supremo Tribunal Federal. Tribunal Pleno. Ação Rescisória 2.973. Relator: Min. Luiz Fux. Julgado em 26 fev. 2024.</w:t>
      </w:r>
    </w:p>
    <w:bookmarkEnd w:id="933"/>
    <w:bookmarkStart w:id="934" w:name="X2d274fe146e06e48a177b3b765750449e14348a"/>
    <w:p>
      <w:pPr>
        <w:pStyle w:val="Heading2"/>
      </w:pPr>
      <w:r>
        <w:t xml:space="preserve">Supremo Tribunal Federal (repositório externo)</w:t>
      </w:r>
    </w:p>
    <w:p>
      <w:pPr>
        <w:pStyle w:val="FirstParagraph"/>
        <w:spacing w:after="80"/>
        <w:jc w:val="both"/>
      </w:pPr>
      <w:r>
        <w:t xml:space="preserve">BRASIL. Supremo Tribunal Federal. Primeira Turma. Ação Originária 2.511. Relator: Min. Alexandre de Moraes. Julgado em 8 abr. 2021. [Repositório externo].</w:t>
      </w:r>
    </w:p>
    <w:p>
      <w:pPr>
        <w:pStyle w:val="BodyText"/>
        <w:spacing w:after="80"/>
        <w:jc w:val="both"/>
      </w:pPr>
      <w:r>
        <w:t xml:space="preserve">BRASIL. Supremo Tribunal Federal. Primeira Turma. Reclamação 74.610. Relator: Min. Luiz Fux. Julgado em 5 mar. 2025. [Repositório externo].</w:t>
      </w:r>
    </w:p>
    <w:p>
      <w:pPr>
        <w:pStyle w:val="BodyText"/>
        <w:spacing w:after="80"/>
        <w:jc w:val="both"/>
      </w:pPr>
      <w:r>
        <w:t xml:space="preserve">BRASIL. Supremo Tribunal Federal. Segunda Turma. Reclamação 75.525. Relator: Min. André Mendonça. Julgado em 2 dez. 2025. [Repositório externo].</w:t>
      </w:r>
    </w:p>
    <w:p>
      <w:pPr>
        <w:pStyle w:val="BodyText"/>
        <w:spacing w:after="80"/>
        <w:jc w:val="both"/>
      </w:pPr>
      <w:r>
        <w:t xml:space="preserve">BRASIL. Supremo Tribunal Federal. Tribunal Pleno. Ação Cível Originária 3.568. Relator: Min. Ricardo Lewandowski. Julgado em 17 mar. 2023. [Repositório externo].</w:t>
      </w:r>
    </w:p>
    <w:p>
      <w:pPr>
        <w:pStyle w:val="BodyText"/>
        <w:spacing w:after="80"/>
        <w:jc w:val="both"/>
      </w:pPr>
      <w:r>
        <w:t xml:space="preserve">BRASIL. Supremo Tribunal Federal. Tribunal Pleno. Recurso Extraordinário 949.297. Relator: Min. Edson Fachin. Julgado em 8 fev. 2023. [Repositório externo].</w:t>
      </w:r>
    </w:p>
    <w:p>
      <w:pPr>
        <w:pStyle w:val="BodyText"/>
        <w:spacing w:after="80"/>
        <w:jc w:val="both"/>
      </w:pPr>
      <w:r>
        <w:t xml:space="preserve">BRASIL. Supremo Tribunal Federal. Tribunal Pleno. Recurso Extraordinário 955.227. Relator: Min. Luís Roberto Barroso. Julgado em 8 fev. 2023. [Repositório externo].</w:t>
      </w:r>
    </w:p>
    <w:p>
      <w:pPr>
        <w:pStyle w:val="BodyText"/>
        <w:spacing w:after="80"/>
        <w:jc w:val="both"/>
      </w:pPr>
      <w:r>
        <w:t xml:space="preserve">BRASIL. Supremo Tribunal Federal. Tribunal Pleno. Ação Cível Originária 1.051. Relator: Min. Nunes Marques. Julgado em 26 ago. 2024. [Repositório externo].</w:t>
      </w:r>
    </w:p>
    <w:p>
      <w:pPr>
        <w:pStyle w:val="BodyText"/>
        <w:spacing w:after="80"/>
        <w:jc w:val="both"/>
      </w:pPr>
      <w:r>
        <w:t xml:space="preserve">BRASIL. Supremo Tribunal Federal. Tribunal Pleno. Ação Rescisória 3.213. Relator: Min. Flávio Dino. Julgado em 9 mar. 2026. [Repositório externo].</w:t>
      </w:r>
    </w:p>
    <w:p>
      <w:pPr>
        <w:pStyle w:val="BodyText"/>
        <w:spacing w:after="80"/>
        <w:jc w:val="both"/>
      </w:pPr>
      <w:r>
        <w:t xml:space="preserve">BRASIL. Supremo Tribunal Federal. Tribunal Pleno. Suspensão de Tutela Provisória 924. Relatora: Min. Rosa Weber. Julgado em 13 abr. 2023. [Repositório externo].</w:t>
      </w:r>
    </w:p>
    <w:bookmarkEnd w:id="934"/>
    <w:bookmarkStart w:id="935" w:name="X04b0aca0bc2cde18c70fa1141bce67da4e7e112"/>
    <w:p>
      <w:pPr>
        <w:pStyle w:val="Heading2"/>
      </w:pPr>
      <w:r>
        <w:t xml:space="preserve">Superior Tribunal de Justiça (curadoria interna)</w:t>
      </w:r>
    </w:p>
    <w:p>
      <w:pPr>
        <w:pStyle w:val="FirstParagraph"/>
        <w:spacing w:after="80"/>
        <w:jc w:val="both"/>
      </w:pPr>
      <w:r>
        <w:t xml:space="preserve">BRASIL. Superior Tribunal de Justiça. Corte Especial. Agravo Interno na CR 14.548. Relator: Min. João Otávio de Noronha. Julgado em 7 abr. 2020. DJe 16 abr. 2020.</w:t>
      </w:r>
    </w:p>
    <w:p>
      <w:pPr>
        <w:pStyle w:val="BodyText"/>
        <w:spacing w:after="80"/>
        <w:jc w:val="both"/>
      </w:pPr>
      <w:r>
        <w:t xml:space="preserve">BRASIL. Superior Tribunal de Justiça. Corte Especial. Agravo Interno no Agravo em Recurso Especial 1.636.832. Relator: Min. Raul Araújo. DJe 25 jun. 2021.</w:t>
      </w:r>
    </w:p>
    <w:p>
      <w:pPr>
        <w:pStyle w:val="BodyText"/>
        <w:spacing w:after="80"/>
        <w:jc w:val="both"/>
      </w:pPr>
      <w:r>
        <w:t xml:space="preserve">BRASIL. Superior Tribunal de Justiça. Corte Especial. Agravo Interno no Agravo em Recurso Especial 2.029.503. Relator: Min. Raul Araújo. DJe 17 out. 2023.</w:t>
      </w:r>
    </w:p>
    <w:p>
      <w:pPr>
        <w:pStyle w:val="BodyText"/>
        <w:spacing w:after="80"/>
        <w:jc w:val="both"/>
      </w:pPr>
      <w:r>
        <w:t xml:space="preserve">BRASIL. Superior Tribunal de Justiça. Corte Especial. Agravo Interno no Embargos de Divergência em Recurso Especial 2.041.210. Relator: Min. Og Fernandes. DJe 14 jun. 2024.</w:t>
      </w:r>
    </w:p>
    <w:p>
      <w:pPr>
        <w:pStyle w:val="BodyText"/>
        <w:spacing w:after="80"/>
        <w:jc w:val="both"/>
      </w:pPr>
      <w:r>
        <w:t xml:space="preserve">BRASIL. Superior Tribunal de Justiça. Corte Especial. Agravo Interno no Homologação de Decisão Estrangeira 7.132. Relator: Min. Mauro Campbell Marques. DJe 26 maio 2025.</w:t>
      </w:r>
    </w:p>
    <w:p>
      <w:pPr>
        <w:pStyle w:val="BodyText"/>
        <w:spacing w:after="80"/>
        <w:jc w:val="both"/>
      </w:pPr>
      <w:r>
        <w:t xml:space="preserve">BRASIL. Superior Tribunal de Justiça. Corte Especial. Recurso Especial 1.882.236. Relator: Min. Og Fernandes. Julgado em 4 fev. 2026. DJEN 12 fev. 2026.</w:t>
      </w:r>
    </w:p>
    <w:p>
      <w:pPr>
        <w:pStyle w:val="BodyText"/>
        <w:spacing w:after="80"/>
        <w:jc w:val="both"/>
      </w:pPr>
      <w:r>
        <w:t xml:space="preserve">BRASIL. Superior Tribunal de Justiça. Corte Especial. Recurso Especial 2.021.665. Relator: Min. Moura Ribeiro. Julgado em 13 mar. 2025. DJEN 11 jun. 2026.</w:t>
      </w:r>
    </w:p>
    <w:p>
      <w:pPr>
        <w:pStyle w:val="BodyText"/>
        <w:spacing w:after="80"/>
        <w:jc w:val="both"/>
      </w:pPr>
      <w:r>
        <w:t xml:space="preserve">BRASIL. Superior Tribunal de Justiça. Corte Especial. Recurso Especial 2.148.059. Relator: Min. Luis Felipe Salomão. Julgado em 20 ago. 2025. DJEN 5 set. 2025.</w:t>
      </w:r>
    </w:p>
    <w:p>
      <w:pPr>
        <w:pStyle w:val="BodyText"/>
        <w:spacing w:after="80"/>
        <w:jc w:val="both"/>
      </w:pPr>
      <w:r>
        <w:t xml:space="preserve">BRASIL. Superior Tribunal de Justiça. Primeira Seção. Conflito de Competência 196.664. Relator: Min. Francisco Falcão. DJe 12 nov. 2023.</w:t>
      </w:r>
    </w:p>
    <w:p>
      <w:pPr>
        <w:pStyle w:val="BodyText"/>
        <w:spacing w:after="80"/>
        <w:jc w:val="both"/>
      </w:pPr>
      <w:r>
        <w:t xml:space="preserve">BRASIL. Superior Tribunal de Justiça. Primeira Seção. Mandado de Segurança 22.280. Relator: Min. Gurgel de Faria. DJe 25 nov. 2021.</w:t>
      </w:r>
    </w:p>
    <w:p>
      <w:pPr>
        <w:pStyle w:val="BodyText"/>
        <w:spacing w:after="80"/>
        <w:jc w:val="both"/>
      </w:pPr>
      <w:r>
        <w:t xml:space="preserve">BRASIL. Superior Tribunal de Justiça. Primeira Seção. Recurso Especial 1.727.063. Relator: Min. Mauro Campbell Marques. Julgado em 23 out. 2019. DJe 2 dez. 2019.</w:t>
      </w:r>
    </w:p>
    <w:p>
      <w:pPr>
        <w:pStyle w:val="BodyText"/>
        <w:spacing w:after="80"/>
        <w:jc w:val="both"/>
      </w:pPr>
      <w:r>
        <w:t xml:space="preserve">BRASIL. Superior Tribunal de Justiça. Primeira Seção. Recurso Especial 1.978.629. Relator: Min. Benedito Gonçalves. Julgado em 7 maio 2026. DJEN 1 jun. 2026.</w:t>
      </w:r>
    </w:p>
    <w:p>
      <w:pPr>
        <w:pStyle w:val="BodyText"/>
        <w:spacing w:after="80"/>
        <w:jc w:val="both"/>
      </w:pPr>
      <w:r>
        <w:t xml:space="preserve">BRASIL. Superior Tribunal de Justiça. Primeira Turma. Agravo Interno no Recurso Especial 2.195.778. Relator: Min. Gurgel de Faria. DJe 20 out. 2025.</w:t>
      </w:r>
    </w:p>
    <w:p>
      <w:pPr>
        <w:pStyle w:val="BodyText"/>
        <w:spacing w:after="80"/>
        <w:jc w:val="both"/>
      </w:pPr>
      <w:r>
        <w:t xml:space="preserve">BRASIL. Superior Tribunal de Justiça. Primeira Turma. Recurso Especial 2.106.717. Relator: Min. Gurgel de Faria. Julgado em 17 set. 2024. DJe 25 set. 2024.</w:t>
      </w:r>
    </w:p>
    <w:p>
      <w:pPr>
        <w:pStyle w:val="BodyText"/>
        <w:spacing w:after="80"/>
        <w:jc w:val="both"/>
      </w:pPr>
      <w:r>
        <w:t xml:space="preserve">BRASIL. Superior Tribunal de Justiça. Quarta Turma. Agravo em Recurso Especial 1.980.949. Relator: Min. Raul Araújo. Julgado em 9 mar. 2026. DJEN 16 mar. 2026.</w:t>
      </w:r>
    </w:p>
    <w:p>
      <w:pPr>
        <w:pStyle w:val="BodyText"/>
        <w:spacing w:after="80"/>
        <w:jc w:val="both"/>
      </w:pPr>
      <w:r>
        <w:t xml:space="preserve">BRASIL. Superior Tribunal de Justiça. Quarta Turma. Agravo em Recurso Especial 2.249.352. Relator: Min. Raul Araújo. Julgado em 13 out. 2025. DJEN 20 out. 2025.</w:t>
      </w:r>
    </w:p>
    <w:p>
      <w:pPr>
        <w:pStyle w:val="BodyText"/>
        <w:spacing w:after="80"/>
        <w:jc w:val="both"/>
      </w:pPr>
      <w:r>
        <w:t xml:space="preserve">BRASIL. Superior Tribunal de Justiça. Quarta Turma. Agravo em Recurso Especial 2.454.286. Relator: Min. João Otávio de Noronha. DJe 22 dez. 2025.</w:t>
      </w:r>
    </w:p>
    <w:p>
      <w:pPr>
        <w:pStyle w:val="BodyText"/>
        <w:spacing w:after="80"/>
        <w:jc w:val="both"/>
      </w:pPr>
      <w:r>
        <w:t xml:space="preserve">BRASIL. Superior Tribunal de Justiça. Quarta Turma. Agravo em Recurso Especial 2.459.998. Relator: Min. Raul Araújo. Julgado em 2 mar. 2026. DJEN 11 mar. 2026.</w:t>
      </w:r>
    </w:p>
    <w:p>
      <w:pPr>
        <w:pStyle w:val="BodyText"/>
        <w:spacing w:after="80"/>
        <w:jc w:val="both"/>
      </w:pPr>
      <w:r>
        <w:t xml:space="preserve">BRASIL. Superior Tribunal de Justiça. Quarta Turma. Agravo em Recurso Especial 2.471.590. Relator: Min. Raul Araújo. Julgado em 16 mar. 2026. DJEN 23 mar. 2026.</w:t>
      </w:r>
    </w:p>
    <w:p>
      <w:pPr>
        <w:pStyle w:val="BodyText"/>
        <w:spacing w:after="80"/>
        <w:jc w:val="both"/>
      </w:pPr>
      <w:r>
        <w:t xml:space="preserve">BRASIL. Superior Tribunal de Justiça. Quarta Turma. Agravo em Recurso Especial 2.489.481. Relator: Min. João Otávio de Noronha. Julgado em 16 mar. 2026. DJEN 19 mar. 2026.</w:t>
      </w:r>
    </w:p>
    <w:p>
      <w:pPr>
        <w:pStyle w:val="BodyText"/>
        <w:spacing w:after="80"/>
        <w:jc w:val="both"/>
      </w:pPr>
      <w:r>
        <w:t xml:space="preserve">BRASIL. Superior Tribunal de Justiça. Quarta Turma. Agravo em Recurso Especial 2.547.573. Relator: Min. João Otávio de Noronha. DJe 22 dez. 2025.</w:t>
      </w:r>
    </w:p>
    <w:p>
      <w:pPr>
        <w:pStyle w:val="BodyText"/>
        <w:spacing w:after="80"/>
        <w:jc w:val="both"/>
      </w:pPr>
      <w:r>
        <w:t xml:space="preserve">BRASIL. Superior Tribunal de Justiça. Quarta Turma. Agravo em Recurso Especial 2.580.345. Relator: Min. João Otávio de Noronha. Julgado em 30 jun. 2026. DJEN 6 jul. 2026.</w:t>
      </w:r>
    </w:p>
    <w:p>
      <w:pPr>
        <w:pStyle w:val="BodyText"/>
        <w:spacing w:after="80"/>
        <w:jc w:val="both"/>
      </w:pPr>
      <w:r>
        <w:t xml:space="preserve">BRASIL. Superior Tribunal de Justiça. Quarta Turma. Agravo em Recurso Especial 2.626.022. Relator: Min. João Otávio de Noronha. Julgado em 4 maio 2026. DJEN 7 maio 2026.</w:t>
      </w:r>
    </w:p>
    <w:p>
      <w:pPr>
        <w:pStyle w:val="BodyText"/>
        <w:spacing w:after="80"/>
        <w:jc w:val="both"/>
      </w:pPr>
      <w:r>
        <w:t xml:space="preserve">BRASIL. Superior Tribunal de Justiça. Quarta Turma. Agravo em Recurso Especial 2.679.825. Relator: Min. João Otávio de Noronha. Julgado em 9 fev. 2026. DJEN 13 fev. 2026.</w:t>
      </w:r>
    </w:p>
    <w:p>
      <w:pPr>
        <w:pStyle w:val="BodyText"/>
        <w:spacing w:after="80"/>
        <w:jc w:val="both"/>
      </w:pPr>
      <w:r>
        <w:t xml:space="preserve">BRASIL. Superior Tribunal de Justiça. Quarta Turma. Agravo em Recurso Especial 2.726.055. Relator: Min. Raul Araújo. Julgado em 9 mar. 2026. DJEN 16 mar. 2026.</w:t>
      </w:r>
    </w:p>
    <w:p>
      <w:pPr>
        <w:pStyle w:val="BodyText"/>
        <w:spacing w:after="80"/>
        <w:jc w:val="both"/>
      </w:pPr>
      <w:r>
        <w:t xml:space="preserve">BRASIL. Superior Tribunal de Justiça. Quarta Turma. Agravo em Recurso Especial 2.739.264. Relator: Min. Raul Araújo. Julgado em 2 mar. 2026. DJEN 11 mar. 2026.</w:t>
      </w:r>
    </w:p>
    <w:p>
      <w:pPr>
        <w:pStyle w:val="BodyText"/>
        <w:spacing w:after="80"/>
        <w:jc w:val="both"/>
      </w:pPr>
      <w:r>
        <w:t xml:space="preserve">BRASIL. Superior Tribunal de Justiça. Quarta Turma. Agravo em Recurso Especial 2.742.161. Relator: Min. Raul Araújo. DJe 29 out. 2025.</w:t>
      </w:r>
    </w:p>
    <w:p>
      <w:pPr>
        <w:pStyle w:val="BodyText"/>
        <w:spacing w:after="80"/>
        <w:jc w:val="both"/>
      </w:pPr>
      <w:r>
        <w:t xml:space="preserve">BRASIL. Superior Tribunal de Justiça. Quarta Turma. Agravo em Recurso Especial 2.749.084. Relator: Min. Raul Araújo. Julgado em 4 maio 2026. DJEN 12 maio 2026.</w:t>
      </w:r>
    </w:p>
    <w:p>
      <w:pPr>
        <w:pStyle w:val="BodyText"/>
        <w:spacing w:after="80"/>
        <w:jc w:val="both"/>
      </w:pPr>
      <w:r>
        <w:t xml:space="preserve">BRASIL. Superior Tribunal de Justiça. Quarta Turma. Agravo em Recurso Especial 2.766.779. Relator: Min. João Otávio de Noronha. Julgado em 16 mar. 2026. DJEN 19 mar. 2026.</w:t>
      </w:r>
    </w:p>
    <w:p>
      <w:pPr>
        <w:pStyle w:val="BodyText"/>
        <w:spacing w:after="80"/>
        <w:jc w:val="both"/>
      </w:pPr>
      <w:r>
        <w:t xml:space="preserve">BRASIL. Superior Tribunal de Justiça. Quarta Turma. Agravo em Recurso Especial 2.770.186. Relator: Min. Raul Araújo. Julgado em 2 mar. 2026. DJEN 11 mar. 2026.</w:t>
      </w:r>
    </w:p>
    <w:p>
      <w:pPr>
        <w:pStyle w:val="BodyText"/>
        <w:spacing w:after="80"/>
        <w:jc w:val="both"/>
      </w:pPr>
      <w:r>
        <w:t xml:space="preserve">BRASIL. Superior Tribunal de Justiça. Quarta Turma. Agravo em Recurso Especial 2.786.129. Relator: Min. João Otávio de Noronha. Julgado em 9 fev. 2026. DJEN 13 fev. 2026.</w:t>
      </w:r>
    </w:p>
    <w:p>
      <w:pPr>
        <w:pStyle w:val="BodyText"/>
        <w:spacing w:after="80"/>
        <w:jc w:val="both"/>
      </w:pPr>
      <w:r>
        <w:t xml:space="preserve">BRASIL. Superior Tribunal de Justiça. Quarta Turma. Agravo em Recurso Especial 2.814.141. Relator: Min. João Otávio de Noronha. Julgado em 30 mar. 2026.</w:t>
      </w:r>
    </w:p>
    <w:p>
      <w:pPr>
        <w:pStyle w:val="BodyText"/>
        <w:spacing w:after="80"/>
        <w:jc w:val="both"/>
      </w:pPr>
      <w:r>
        <w:t xml:space="preserve">BRASIL. Superior Tribunal de Justiça. Quarta Turma. Agravo em Recurso Especial 2.840.956. Relator: Min. João Otávio de Noronha. Julgado em 16 mar. 2026. DJEN 19 mar. 2026.</w:t>
      </w:r>
    </w:p>
    <w:p>
      <w:pPr>
        <w:pStyle w:val="BodyText"/>
        <w:spacing w:after="80"/>
        <w:jc w:val="both"/>
      </w:pPr>
      <w:r>
        <w:t xml:space="preserve">BRASIL. Superior Tribunal de Justiça. Quarta Turma. Agravo em Recurso Especial 2.929.120. Relator: Min. João Otávio de Noronha. Julgado em 9 mar. 2026. DJEN 12 mar. 2026.</w:t>
      </w:r>
    </w:p>
    <w:p>
      <w:pPr>
        <w:pStyle w:val="BodyText"/>
        <w:spacing w:after="80"/>
        <w:jc w:val="both"/>
      </w:pPr>
      <w:r>
        <w:t xml:space="preserve">BRASIL. Superior Tribunal de Justiça. Quarta Turma. Agravo em Recurso Especial 2.947.779. Relator: Min. Antonio Carlos Ferreira. Julgado em 30 jun. 2026. DJEN 3 jul. 2026.</w:t>
      </w:r>
    </w:p>
    <w:p>
      <w:pPr>
        <w:pStyle w:val="BodyText"/>
        <w:spacing w:after="80"/>
        <w:jc w:val="both"/>
      </w:pPr>
      <w:r>
        <w:t xml:space="preserve">BRASIL. Superior Tribunal de Justiça. Quarta Turma. Agravo em Recurso Especial 2.972.657. Relator: Min. Raul Araújo. Julgado em 16 mar. 2026. DJEN 23 mar. 2026.</w:t>
      </w:r>
    </w:p>
    <w:p>
      <w:pPr>
        <w:pStyle w:val="BodyText"/>
        <w:spacing w:after="80"/>
        <w:jc w:val="both"/>
      </w:pPr>
      <w:r>
        <w:t xml:space="preserve">BRASIL. Superior Tribunal de Justiça. Quarta Turma. Agravo em Recurso Especial 3.016.018. Relator: Min. Raul Araújo. DJe 29 out. 2025.</w:t>
      </w:r>
    </w:p>
    <w:p>
      <w:pPr>
        <w:pStyle w:val="BodyText"/>
        <w:spacing w:after="80"/>
        <w:jc w:val="both"/>
      </w:pPr>
      <w:r>
        <w:t xml:space="preserve">BRASIL. Superior Tribunal de Justiça. Quarta Turma. Agravo em Recurso Especial 3.029.971. Relator: Min. João Otávio de Noronha. Julgado em 9 fev. 2026. DJEN 13 fev. 2026.</w:t>
      </w:r>
    </w:p>
    <w:p>
      <w:pPr>
        <w:pStyle w:val="BodyText"/>
        <w:spacing w:after="80"/>
        <w:jc w:val="both"/>
      </w:pPr>
      <w:r>
        <w:t xml:space="preserve">BRASIL. Superior Tribunal de Justiça. Quarta Turma. Agravo em Recurso Especial 3.068.085. Relator: Min. Raul Araújo. Julgado em 9 mar. 2026. DJEN 16 mar. 2026.</w:t>
      </w:r>
    </w:p>
    <w:p>
      <w:pPr>
        <w:pStyle w:val="BodyText"/>
        <w:spacing w:after="80"/>
        <w:jc w:val="both"/>
      </w:pPr>
      <w:r>
        <w:t xml:space="preserve">BRASIL. Superior Tribunal de Justiça. Quarta Turma. Agravo em Recurso Especial 3.075.807. Relator: Min. Raul Araújo. Julgado em 1 jun. 2026. DJEN 9 jun. 2026.</w:t>
      </w:r>
    </w:p>
    <w:p>
      <w:pPr>
        <w:pStyle w:val="BodyText"/>
        <w:spacing w:after="80"/>
        <w:jc w:val="both"/>
      </w:pPr>
      <w:r>
        <w:t xml:space="preserve">BRASIL. Superior Tribunal de Justiça. Quarta Turma. Agravo em Recurso Especial 3.089.012. Relator: Min. Raul Araújo. Julgado em 13 abr. 2026. DJEN 22 abr. 2026.</w:t>
      </w:r>
    </w:p>
    <w:p>
      <w:pPr>
        <w:pStyle w:val="BodyText"/>
        <w:spacing w:after="80"/>
        <w:jc w:val="both"/>
      </w:pPr>
      <w:r>
        <w:t xml:space="preserve">BRASIL. Superior Tribunal de Justiça. Quarta Turma. Agravo em Recurso Especial 3.101.329. Relator: Min. João Otávio de Noronha. DJe 27 abr. 2026.</w:t>
      </w:r>
    </w:p>
    <w:p>
      <w:pPr>
        <w:pStyle w:val="BodyText"/>
        <w:spacing w:after="80"/>
        <w:jc w:val="both"/>
      </w:pPr>
      <w:r>
        <w:t xml:space="preserve">BRASIL. Superior Tribunal de Justiça. Quarta Turma. Agravo em Recurso Especial 3.137.546. Relator: Min. Raul Araújo. Julgado em 15 jun. 2026. DJEN 19 jun. 2026.</w:t>
      </w:r>
    </w:p>
    <w:p>
      <w:pPr>
        <w:pStyle w:val="BodyText"/>
        <w:spacing w:after="80"/>
        <w:jc w:val="both"/>
      </w:pPr>
      <w:r>
        <w:t xml:space="preserve">BRASIL. Superior Tribunal de Justiça. Quarta Turma. Agravo em Recurso Especial 3.145.151. Relator: Min. João Otávio de Noronha. DJe 2 out. 2026.</w:t>
      </w:r>
    </w:p>
    <w:p>
      <w:pPr>
        <w:pStyle w:val="BodyText"/>
        <w:spacing w:after="80"/>
        <w:jc w:val="both"/>
      </w:pPr>
      <w:r>
        <w:t xml:space="preserve">BRASIL. Superior Tribunal de Justiça. Quarta Turma. Agravo em Recurso Especial 3.155.087. Relator: Min. Raul Araújo. DJe 30 abr. 2026.</w:t>
      </w:r>
    </w:p>
    <w:p>
      <w:pPr>
        <w:pStyle w:val="BodyText"/>
        <w:spacing w:after="80"/>
        <w:jc w:val="both"/>
      </w:pPr>
      <w:r>
        <w:t xml:space="preserve">BRASIL. Superior Tribunal de Justiça. Quarta Turma. Agravo em Recurso Especial 3.160.766. Relator: Min. João Otávio de Noronha. Julgado em 24 ago. 2026. DJEN 27 ago. 2026.</w:t>
      </w:r>
    </w:p>
    <w:p>
      <w:pPr>
        <w:pStyle w:val="BodyText"/>
        <w:spacing w:after="80"/>
        <w:jc w:val="both"/>
      </w:pPr>
      <w:r>
        <w:t xml:space="preserve">BRASIL. Superior Tribunal de Justiça. Quarta Turma. Agravo Interno no Agravo em Recurso Especial 1.615.812. Relatora: Min. Maria Isabel Gallotti. DJe 13 dez. 2024.</w:t>
      </w:r>
    </w:p>
    <w:p>
      <w:pPr>
        <w:pStyle w:val="BodyText"/>
        <w:spacing w:after="80"/>
        <w:jc w:val="both"/>
      </w:pPr>
      <w:r>
        <w:t xml:space="preserve">BRASIL. Superior Tribunal de Justiça. Quarta Turma. Agravo Interno no Agravo em Recurso Especial 1.823.350. Relator: Min. Luis Felipe Salomão. DJe 15 dez. 2021.</w:t>
      </w:r>
    </w:p>
    <w:p>
      <w:pPr>
        <w:pStyle w:val="BodyText"/>
        <w:spacing w:after="80"/>
        <w:jc w:val="both"/>
      </w:pPr>
      <w:r>
        <w:t xml:space="preserve">BRASIL. Superior Tribunal de Justiça. Quarta Turma. Agravo Interno no Agravo em Recurso Especial 2.018.658. Relatora: Min. Maria Isabel Gallotti. DJe 23 mar. 2023.</w:t>
      </w:r>
    </w:p>
    <w:p>
      <w:pPr>
        <w:pStyle w:val="BodyText"/>
        <w:spacing w:after="80"/>
        <w:jc w:val="both"/>
      </w:pPr>
      <w:r>
        <w:t xml:space="preserve">BRASIL. Superior Tribunal de Justiça. Quarta Turma. Agravo Interno no Agravo em Recurso Especial 2.038.411. Relatora: Min. Maria Isabel Gallotti. DJe 13 dez. 2024.</w:t>
      </w:r>
    </w:p>
    <w:p>
      <w:pPr>
        <w:pStyle w:val="BodyText"/>
        <w:spacing w:after="80"/>
        <w:jc w:val="both"/>
      </w:pPr>
      <w:r>
        <w:t xml:space="preserve">BRASIL. Superior Tribunal de Justiça. Quarta Turma. Agravo Interno no Agravo em Recurso Especial 2.229.945. Relatora: Min. Maria Isabel Gallotti. DJe 16 out. 2023.</w:t>
      </w:r>
    </w:p>
    <w:p>
      <w:pPr>
        <w:pStyle w:val="BodyText"/>
        <w:spacing w:after="80"/>
        <w:jc w:val="both"/>
      </w:pPr>
      <w:r>
        <w:t xml:space="preserve">BRASIL. Superior Tribunal de Justiça. Quarta Turma. Agravo Interno no Agravo em Recurso Especial 2.406.675. Relatora: Min. Maria Isabel Gallotti. DJe 3 jul. 2024.</w:t>
      </w:r>
    </w:p>
    <w:p>
      <w:pPr>
        <w:pStyle w:val="BodyText"/>
        <w:spacing w:after="80"/>
        <w:jc w:val="both"/>
      </w:pPr>
      <w:r>
        <w:t xml:space="preserve">BRASIL. Superior Tribunal de Justiça. Quarta Turma. Agravo Interno no Agravo em Recurso Especial 2.419.237. Relatora: Min. Maria Isabel Gallotti. DJe 25 nov. 2025.</w:t>
      </w:r>
    </w:p>
    <w:p>
      <w:pPr>
        <w:pStyle w:val="BodyText"/>
        <w:spacing w:after="80"/>
        <w:jc w:val="both"/>
      </w:pPr>
      <w:r>
        <w:t xml:space="preserve">BRASIL. Superior Tribunal de Justiça. Quarta Turma. Agravo Interno no Agravo em Recurso Especial 2.546.739. Relator: Min. João Otávio de Noronha. DJe 8 jul. 2024.</w:t>
      </w:r>
    </w:p>
    <w:p>
      <w:pPr>
        <w:pStyle w:val="BodyText"/>
        <w:spacing w:after="80"/>
        <w:jc w:val="both"/>
      </w:pPr>
      <w:r>
        <w:t xml:space="preserve">BRASIL. Superior Tribunal de Justiça. Quarta Turma. Agravo Interno no Agravo em Recurso Especial 2.566.952. Relator: Min. Raul Araújo. DJe 2 set. 2024.</w:t>
      </w:r>
    </w:p>
    <w:p>
      <w:pPr>
        <w:pStyle w:val="BodyText"/>
        <w:spacing w:after="80"/>
        <w:jc w:val="both"/>
      </w:pPr>
      <w:r>
        <w:t xml:space="preserve">BRASIL. Superior Tribunal de Justiça. Quarta Turma. Agravo Interno no Agravo em Recurso Especial 2.581.366. Relator: Min. Raul Araújo. DJe 10 abr. 2025.</w:t>
      </w:r>
    </w:p>
    <w:p>
      <w:pPr>
        <w:pStyle w:val="BodyText"/>
        <w:spacing w:after="80"/>
        <w:jc w:val="both"/>
      </w:pPr>
      <w:r>
        <w:t xml:space="preserve">BRASIL. Superior Tribunal de Justiça. Quarta Turma. Agravo Interno no Agravo em Recurso Especial 2.648.107. Relator: Min. Raul Araújo. DJe 9 dez. 2025.</w:t>
      </w:r>
    </w:p>
    <w:p>
      <w:pPr>
        <w:pStyle w:val="BodyText"/>
        <w:spacing w:after="80"/>
        <w:jc w:val="both"/>
      </w:pPr>
      <w:r>
        <w:t xml:space="preserve">BRASIL. Superior Tribunal de Justiça. Quarta Turma. Agravo Interno no Agravo em Recurso Especial 2.750.701. Relator: Min. Antonio Carlos Ferreira. Julgado em 1 jun. 2026. DJEN 9 jun. 2026.</w:t>
      </w:r>
    </w:p>
    <w:p>
      <w:pPr>
        <w:pStyle w:val="BodyText"/>
        <w:spacing w:after="80"/>
        <w:jc w:val="both"/>
      </w:pPr>
      <w:r>
        <w:t xml:space="preserve">BRASIL. Superior Tribunal de Justiça. Quarta Turma. Agravo Interno no Agravo em Recurso Especial 2.773.143. Relator: Min. João Otávio de Noronha. Julgado em 14 abr. 2026. DJEN 24 abr. 2026.</w:t>
      </w:r>
    </w:p>
    <w:p>
      <w:pPr>
        <w:pStyle w:val="BodyText"/>
        <w:spacing w:after="80"/>
        <w:jc w:val="both"/>
      </w:pPr>
      <w:r>
        <w:t xml:space="preserve">BRASIL. Superior Tribunal de Justiça. Quarta Turma. Agravo Interno no Agravo em Recurso Especial 2.905.519. Relator: Min. Raul Araújo. Julgado em 8 jun. 2026. DJEN 12 jun. 2026.</w:t>
      </w:r>
    </w:p>
    <w:p>
      <w:pPr>
        <w:pStyle w:val="BodyText"/>
        <w:spacing w:after="80"/>
        <w:jc w:val="both"/>
      </w:pPr>
      <w:r>
        <w:t xml:space="preserve">BRASIL. Superior Tribunal de Justiça. Quarta Turma. Agravo Interno no Agravo em Recurso Especial 2.940.126. Relatora: Min. Maria Isabel Gallotti. Julgado em 1 jun. 2026. DJEN 8 jun. 2026.</w:t>
      </w:r>
    </w:p>
    <w:p>
      <w:pPr>
        <w:pStyle w:val="BodyText"/>
        <w:spacing w:after="80"/>
        <w:jc w:val="both"/>
      </w:pPr>
      <w:r>
        <w:t xml:space="preserve">BRASIL. Superior Tribunal de Justiça. Quarta Turma. Agravo Interno no Agravo em Recurso Especial 2.954.640. Relator: Min. Raul Araújo. Julgado em 22 jun. 2026. DJEN 29 jun. 2026.</w:t>
      </w:r>
    </w:p>
    <w:p>
      <w:pPr>
        <w:pStyle w:val="BodyText"/>
        <w:spacing w:after="80"/>
        <w:jc w:val="both"/>
      </w:pPr>
      <w:r>
        <w:t xml:space="preserve">BRASIL. Superior Tribunal de Justiça. Quarta Turma. Agravo Interno no Agravo em Recurso Especial 2.957.383. Relator: Min. Antonio Carlos Ferreira. Julgado em 30 mar. 2026. DJEN 7 abr. 2026.</w:t>
      </w:r>
    </w:p>
    <w:p>
      <w:pPr>
        <w:pStyle w:val="BodyText"/>
        <w:spacing w:after="80"/>
        <w:jc w:val="both"/>
      </w:pPr>
      <w:r>
        <w:t xml:space="preserve">BRASIL. Superior Tribunal de Justiça. Quarta Turma. Agravo Interno no Agravo em Recurso Especial 2.959.518. Relator: Min. João Otávio de Noronha. DJe 24 out. 2025.</w:t>
      </w:r>
    </w:p>
    <w:p>
      <w:pPr>
        <w:pStyle w:val="BodyText"/>
        <w:spacing w:after="80"/>
        <w:jc w:val="both"/>
      </w:pPr>
      <w:r>
        <w:t xml:space="preserve">BRASIL. Superior Tribunal de Justiça. Quarta Turma. Agravo Interno no Agravo em Recurso Especial 2.993.026. Relator: Min. Luís Carlos Gambogi (Desembargador Convocado do Tjmg). Julgado em 1 jun. 2026. DJEN 8 jun. 2026.</w:t>
      </w:r>
    </w:p>
    <w:p>
      <w:pPr>
        <w:pStyle w:val="BodyText"/>
        <w:spacing w:after="80"/>
        <w:jc w:val="both"/>
      </w:pPr>
      <w:r>
        <w:t xml:space="preserve">BRASIL. Superior Tribunal de Justiça. Quarta Turma. Agravo Interno no Agravo em Recurso Especial 2.996.755. Relatora: Min. Maria Isabel Gallotti. Julgado em 22 jun. 2026. DJEN 26 jun. 2026.</w:t>
      </w:r>
    </w:p>
    <w:p>
      <w:pPr>
        <w:pStyle w:val="BodyText"/>
        <w:spacing w:after="80"/>
        <w:jc w:val="both"/>
      </w:pPr>
      <w:r>
        <w:t xml:space="preserve">BRASIL. Superior Tribunal de Justiça. Quarta Turma. Agravo Interno no Agravo em Recurso Especial 3.023.137. Relator: Min. Raul Araújo. DJe 8 abr. 2026.</w:t>
      </w:r>
    </w:p>
    <w:p>
      <w:pPr>
        <w:pStyle w:val="BodyText"/>
        <w:spacing w:after="80"/>
        <w:jc w:val="both"/>
      </w:pPr>
      <w:r>
        <w:t xml:space="preserve">BRASIL. Superior Tribunal de Justiça. Quarta Turma. Agravo Interno no Agravo em Recurso Especial 3.052.217. Relator: Min. Luís Carlos Gambogi (Desembargador Convocado do Tjmg). Julgado em 1 jun. 2026. DJEN 8 jun. 2026.</w:t>
      </w:r>
    </w:p>
    <w:p>
      <w:pPr>
        <w:pStyle w:val="BodyText"/>
        <w:spacing w:after="80"/>
        <w:jc w:val="both"/>
      </w:pPr>
      <w:r>
        <w:t xml:space="preserve">BRASIL. Superior Tribunal de Justiça. Quarta Turma. Agravo Interno no Agravo em Recurso Especial 3.086.128. Relator: Min. Raul Araújo. Julgado em 8 jun. 2026. DJEN 12 jun. 2026.</w:t>
      </w:r>
    </w:p>
    <w:p>
      <w:pPr>
        <w:pStyle w:val="BodyText"/>
        <w:spacing w:after="80"/>
        <w:jc w:val="both"/>
      </w:pPr>
      <w:r>
        <w:t xml:space="preserve">BRASIL. Superior Tribunal de Justiça. Quarta Turma. Agravo Interno no Agravo em Recurso Especial 3.097.599. Relatora: Min. Maria Isabel Gallotti. DJe 25 set. 2026.</w:t>
      </w:r>
    </w:p>
    <w:p>
      <w:pPr>
        <w:pStyle w:val="BodyText"/>
        <w:spacing w:after="80"/>
        <w:jc w:val="both"/>
      </w:pPr>
      <w:r>
        <w:t xml:space="preserve">BRASIL. Superior Tribunal de Justiça. Quarta Turma. Agravo Interno no Agravo em Recurso Especial 3.149.164. Relator: Min. Luís Carlos Gambogi (Desembargador Convocado do Tjmg). Julgado em 8 jun. 2026. DJEN 16 jun. 2026.</w:t>
      </w:r>
    </w:p>
    <w:p>
      <w:pPr>
        <w:pStyle w:val="BodyText"/>
        <w:spacing w:after="80"/>
        <w:jc w:val="both"/>
      </w:pPr>
      <w:r>
        <w:t xml:space="preserve">BRASIL. Superior Tribunal de Justiça. Quarta Turma. Agravo Interno no Agravo Interno no Agravo em Recurso Especial 2.507.194. Relatora: Min. Maria Isabel Gallotti. Julgado em 1 jun. 2026. DJEN 8 jun. 2026.</w:t>
      </w:r>
    </w:p>
    <w:p>
      <w:pPr>
        <w:pStyle w:val="BodyText"/>
        <w:spacing w:after="80"/>
        <w:jc w:val="both"/>
      </w:pPr>
      <w:r>
        <w:t xml:space="preserve">BRASIL. Superior Tribunal de Justiça. Quarta Turma. Agravo Interno no Recurso em Mandado de Segurança 56.422. Relator: Min. Raul Araújo. Julgado em 8 jun. 2021. DJe 16 jun. 2021.</w:t>
      </w:r>
    </w:p>
    <w:p>
      <w:pPr>
        <w:pStyle w:val="BodyText"/>
        <w:spacing w:after="80"/>
        <w:jc w:val="both"/>
      </w:pPr>
      <w:r>
        <w:t xml:space="preserve">BRASIL. Superior Tribunal de Justiça. Quarta Turma. Agravo Interno no Recurso Especial 1.578.352. Relatora: Min. Maria Isabel Gallotti. DJe 12 set. 2025.</w:t>
      </w:r>
    </w:p>
    <w:p>
      <w:pPr>
        <w:pStyle w:val="BodyText"/>
        <w:spacing w:after="80"/>
        <w:jc w:val="both"/>
      </w:pPr>
      <w:r>
        <w:t xml:space="preserve">BRASIL. Superior Tribunal de Justiça. Quarta Turma. Agravo Interno no Recurso Especial 1.776.415. Relator: Min. Raul Araújo. Julgado em 13 abr. 2026. DJEN 22 abr. 2026.</w:t>
      </w:r>
    </w:p>
    <w:p>
      <w:pPr>
        <w:pStyle w:val="BodyText"/>
        <w:spacing w:after="80"/>
        <w:jc w:val="both"/>
      </w:pPr>
      <w:r>
        <w:t xml:space="preserve">BRASIL. Superior Tribunal de Justiça. Quarta Turma. Agravo Interno no Recurso Especial 1.796.125. Relator: Min. Raul Araújo.</w:t>
      </w:r>
    </w:p>
    <w:p>
      <w:pPr>
        <w:pStyle w:val="BodyText"/>
        <w:spacing w:after="80"/>
        <w:jc w:val="both"/>
      </w:pPr>
      <w:r>
        <w:t xml:space="preserve">BRASIL. Superior Tribunal de Justiça. Quarta Turma. Agravo Interno no Recurso Especial 1.839.804. Relatora: Min. Maria Isabel Gallotti. DJe 19 dez. 2025.</w:t>
      </w:r>
    </w:p>
    <w:p>
      <w:pPr>
        <w:pStyle w:val="BodyText"/>
        <w:spacing w:after="80"/>
        <w:jc w:val="both"/>
      </w:pPr>
      <w:r>
        <w:t xml:space="preserve">BRASIL. Superior Tribunal de Justiça. Quarta Turma. Agravo Interno no Recurso Especial 1.924.583. Relator: Min. Antonio Carlos Ferreira. DJe 30 set. 2022.</w:t>
      </w:r>
    </w:p>
    <w:p>
      <w:pPr>
        <w:pStyle w:val="BodyText"/>
        <w:spacing w:after="80"/>
        <w:jc w:val="both"/>
      </w:pPr>
      <w:r>
        <w:t xml:space="preserve">BRASIL. Superior Tribunal de Justiça. Quarta Turma. Agravo Interno no Recurso Especial 1.932.383. Relator: Min. Antonio Carlos Ferreira. DJe 19 dez. 2025.</w:t>
      </w:r>
    </w:p>
    <w:p>
      <w:pPr>
        <w:pStyle w:val="BodyText"/>
        <w:spacing w:after="80"/>
        <w:jc w:val="both"/>
      </w:pPr>
      <w:r>
        <w:t xml:space="preserve">BRASIL. Superior Tribunal de Justiça. Quarta Turma. Agravo Interno no Recurso Especial 2.040.456. Relator: Min. Raul Araújo. DJe 1 set. 2023.</w:t>
      </w:r>
    </w:p>
    <w:p>
      <w:pPr>
        <w:pStyle w:val="BodyText"/>
        <w:spacing w:after="80"/>
        <w:jc w:val="both"/>
      </w:pPr>
      <w:r>
        <w:t xml:space="preserve">BRASIL. Superior Tribunal de Justiça. Quarta Turma. Agravo Interno no Recurso Especial 2.102.610. Relator: Min. Raul Araújo. DJe 2 maio 2024.</w:t>
      </w:r>
    </w:p>
    <w:p>
      <w:pPr>
        <w:pStyle w:val="BodyText"/>
        <w:spacing w:after="80"/>
        <w:jc w:val="both"/>
      </w:pPr>
      <w:r>
        <w:t xml:space="preserve">BRASIL. Superior Tribunal de Justiça. Quarta Turma. Agravo Interno no Recurso Especial 2.128.649. Relator: Min. Antonio Carlos Ferreira. Julgado em 22 jun. 2026.</w:t>
      </w:r>
    </w:p>
    <w:p>
      <w:pPr>
        <w:pStyle w:val="BodyText"/>
        <w:spacing w:after="80"/>
        <w:jc w:val="both"/>
      </w:pPr>
      <w:r>
        <w:t xml:space="preserve">BRASIL. Superior Tribunal de Justiça. Quarta Turma. Agravo Interno no Recurso Especial 2.158.677. Relatora: Min. Maria Isabel Gallotti. Julgado em 15 jun. 2026. DJEN 22 jun. 2026.</w:t>
      </w:r>
    </w:p>
    <w:p>
      <w:pPr>
        <w:pStyle w:val="BodyText"/>
        <w:spacing w:after="80"/>
        <w:jc w:val="both"/>
      </w:pPr>
      <w:r>
        <w:t xml:space="preserve">BRASIL. Superior Tribunal de Justiça. Quarta Turma. Embargos de Declaração no Agravo em Recurso Especial 2.691.914. Relator: Min. João Otávio de Noronha. Julgado em 22 jun. 2026. DJEN 26 jun. 2026.</w:t>
      </w:r>
    </w:p>
    <w:p>
      <w:pPr>
        <w:pStyle w:val="BodyText"/>
        <w:spacing w:after="80"/>
        <w:jc w:val="both"/>
      </w:pPr>
      <w:r>
        <w:t xml:space="preserve">BRASIL. Superior Tribunal de Justiça. Quarta Turma. Recurso Especial 1.871.763. Relatora: Min. Maria Isabel Gallotti. Julgado em 25 maio 2026.</w:t>
      </w:r>
    </w:p>
    <w:p>
      <w:pPr>
        <w:pStyle w:val="BodyText"/>
        <w:spacing w:after="80"/>
        <w:jc w:val="both"/>
      </w:pPr>
      <w:r>
        <w:t xml:space="preserve">BRASIL. Superior Tribunal de Justiça. Quarta Turma. Recurso Especial 1.918.105. Relator: Min. João Otávio de Noronha. Julgado em 9 fev. 2026. DJEN 13 fev. 2026.</w:t>
      </w:r>
    </w:p>
    <w:p>
      <w:pPr>
        <w:pStyle w:val="BodyText"/>
        <w:spacing w:after="80"/>
        <w:jc w:val="both"/>
      </w:pPr>
      <w:r>
        <w:t xml:space="preserve">BRASIL. Superior Tribunal de Justiça. Quarta Turma. Recurso Especial 1.976.506. Relatora: Min. Maria Isabel Gallotti. Julgado em 4 maio 2026. DJEN 7 maio 2026.</w:t>
      </w:r>
    </w:p>
    <w:p>
      <w:pPr>
        <w:pStyle w:val="BodyText"/>
        <w:spacing w:after="80"/>
        <w:jc w:val="both"/>
      </w:pPr>
      <w:r>
        <w:t xml:space="preserve">BRASIL. Superior Tribunal de Justiça. Quarta Turma. Recurso Especial 2.001.188. Relator: Min. João Otávio de Noronha. Julgado em 8 jun. 2026. DJEN 11 jun. 2026.</w:t>
      </w:r>
    </w:p>
    <w:p>
      <w:pPr>
        <w:pStyle w:val="BodyText"/>
        <w:spacing w:after="80"/>
        <w:jc w:val="both"/>
      </w:pPr>
      <w:r>
        <w:t xml:space="preserve">BRASIL. Superior Tribunal de Justiça. Quarta Turma. Recurso Especial 2.010.021. Relator: Min. João Otávio de Noronha. Julgado em 1 jun. 2026. DJEN 8 jun. 2026.</w:t>
      </w:r>
    </w:p>
    <w:p>
      <w:pPr>
        <w:pStyle w:val="BodyText"/>
        <w:spacing w:after="80"/>
        <w:jc w:val="both"/>
      </w:pPr>
      <w:r>
        <w:t xml:space="preserve">BRASIL. Superior Tribunal de Justiça. Quarta Turma. Recurso Especial 2.015.911. Relator: Min. Antonio Carlos Ferreira. Julgado em 17 mar. 2026. DJEN 27 mar. 2026.</w:t>
      </w:r>
    </w:p>
    <w:p>
      <w:pPr>
        <w:pStyle w:val="BodyText"/>
        <w:spacing w:after="80"/>
        <w:jc w:val="both"/>
      </w:pPr>
      <w:r>
        <w:t xml:space="preserve">BRASIL. Superior Tribunal de Justiça. Quarta Turma. Recurso Especial 2.027.283. Relatora: Min. Maria Isabel Gallotti. Julgado em 12 ago. 2026. DJEN 17 ago. 2026.</w:t>
      </w:r>
    </w:p>
    <w:p>
      <w:pPr>
        <w:pStyle w:val="BodyText"/>
        <w:spacing w:after="80"/>
        <w:jc w:val="both"/>
      </w:pPr>
      <w:r>
        <w:t xml:space="preserve">BRASIL. Superior Tribunal de Justiça. Quarta Turma. Recurso Especial 2.043.440. Relatora: Min. Maria Isabel Gallotti. Julgado em 29 nov. 2023. DJe 23 jan. 2024.</w:t>
      </w:r>
    </w:p>
    <w:p>
      <w:pPr>
        <w:pStyle w:val="BodyText"/>
        <w:spacing w:after="80"/>
        <w:jc w:val="both"/>
      </w:pPr>
      <w:r>
        <w:t xml:space="preserve">BRASIL. Superior Tribunal de Justiça. Quarta Turma. Recurso Especial 2.051.570. Relator: Min. João Otávio de Noronha. DJe 17 set. 2026.</w:t>
      </w:r>
    </w:p>
    <w:p>
      <w:pPr>
        <w:pStyle w:val="BodyText"/>
        <w:spacing w:after="80"/>
        <w:jc w:val="both"/>
      </w:pPr>
      <w:r>
        <w:t xml:space="preserve">BRASIL. Superior Tribunal de Justiça. Quarta Turma. Recurso Especial 2.120.455. Relator: Min. Antonio Carlos Ferreira. Julgado em 11 maio 2026. DJEN 18 maio 2026.</w:t>
      </w:r>
    </w:p>
    <w:p>
      <w:pPr>
        <w:pStyle w:val="BodyText"/>
        <w:spacing w:after="80"/>
        <w:jc w:val="both"/>
      </w:pPr>
      <w:r>
        <w:t xml:space="preserve">BRASIL. Superior Tribunal de Justiça. Quarta Turma. Recurso Especial 2.120.563. Relator: Min. Raul Araújo. Julgado em 9 mar. 2026. DJEN 16 mar. 2026.</w:t>
      </w:r>
    </w:p>
    <w:p>
      <w:pPr>
        <w:pStyle w:val="BodyText"/>
        <w:spacing w:after="80"/>
        <w:jc w:val="both"/>
      </w:pPr>
      <w:r>
        <w:t xml:space="preserve">BRASIL. Superior Tribunal de Justiça. Quarta Turma. Recurso Especial 2.120.904. Relator: Min. João Otávio de Noronha. Julgado em 9 mar. 2026. DJEN 12 mar. 2026.</w:t>
      </w:r>
    </w:p>
    <w:p>
      <w:pPr>
        <w:pStyle w:val="BodyText"/>
        <w:spacing w:after="80"/>
        <w:jc w:val="both"/>
      </w:pPr>
      <w:r>
        <w:t xml:space="preserve">BRASIL. Superior Tribunal de Justiça. Quarta Turma. Recurso Especial 2.139.058. Relator: Min. João Otávio de Noronha. Julgado em 11 maio 2026. DJEN 14 maio 2026.</w:t>
      </w:r>
    </w:p>
    <w:p>
      <w:pPr>
        <w:pStyle w:val="BodyText"/>
        <w:spacing w:after="80"/>
        <w:jc w:val="both"/>
      </w:pPr>
      <w:r>
        <w:t xml:space="preserve">BRASIL. Superior Tribunal de Justiça. Quarta Turma. Recurso Especial 2.150.255. Relatora: Min. Maria Isabel Gallotti. Julgado em 30 jun. 2026. DJEN 3 jul. 2026.</w:t>
      </w:r>
    </w:p>
    <w:p>
      <w:pPr>
        <w:pStyle w:val="BodyText"/>
        <w:spacing w:after="80"/>
        <w:jc w:val="both"/>
      </w:pPr>
      <w:r>
        <w:t xml:space="preserve">BRASIL. Superior Tribunal de Justiça. Quarta Turma. Recurso Especial 2.174.791. Relator: Min. João Otávio de Noronha. Julgado em 4 maio 2026. DJEN 7 maio 2026.</w:t>
      </w:r>
    </w:p>
    <w:p>
      <w:pPr>
        <w:pStyle w:val="BodyText"/>
        <w:spacing w:after="80"/>
        <w:jc w:val="both"/>
      </w:pPr>
      <w:r>
        <w:t xml:space="preserve">BRASIL. Superior Tribunal de Justiça. Quarta Turma. Recurso Especial 2.191.153. Relatora: Min. Maria Isabel Gallotti. Julgado em 30 mar. 2026. DJEN 7 abr. 2026.</w:t>
      </w:r>
    </w:p>
    <w:p>
      <w:pPr>
        <w:pStyle w:val="BodyText"/>
        <w:spacing w:after="80"/>
        <w:jc w:val="both"/>
      </w:pPr>
      <w:r>
        <w:t xml:space="preserve">BRASIL. Superior Tribunal de Justiça. Quarta Turma. Recurso Especial 2.193.434. Relator: Min. Raul Araújo. Julgado em 2 mar. 2026. DJEN 11 mar. 2026.</w:t>
      </w:r>
    </w:p>
    <w:p>
      <w:pPr>
        <w:pStyle w:val="BodyText"/>
        <w:spacing w:after="80"/>
        <w:jc w:val="both"/>
      </w:pPr>
      <w:r>
        <w:t xml:space="preserve">BRASIL. Superior Tribunal de Justiça. Quarta Turma. Recurso Especial 2.193.462. Relator: Min. João Otávio de Noronha. Julgado em 22 jun. 2026. DJEN 26 jun. 2026.</w:t>
      </w:r>
    </w:p>
    <w:p>
      <w:pPr>
        <w:pStyle w:val="BodyText"/>
        <w:spacing w:after="80"/>
        <w:jc w:val="both"/>
      </w:pPr>
      <w:r>
        <w:t xml:space="preserve">BRASIL. Superior Tribunal de Justiça. Quarta Turma. Recurso Especial 2.200.621. Relator: Min. João Otávio de Noronha. Julgado em 22 abr. 2026. DJEN 27 abr. 2026.</w:t>
      </w:r>
    </w:p>
    <w:p>
      <w:pPr>
        <w:pStyle w:val="BodyText"/>
        <w:spacing w:after="80"/>
        <w:jc w:val="both"/>
      </w:pPr>
      <w:r>
        <w:t xml:space="preserve">BRASIL. Superior Tribunal de Justiça. Quarta Turma. Recurso Especial 2.200.972. Relatora: Min. Maria Isabel Gallotti. Julgado em 13 abr. 2026. DJEN 16 abr. 2026.</w:t>
      </w:r>
    </w:p>
    <w:p>
      <w:pPr>
        <w:pStyle w:val="BodyText"/>
        <w:spacing w:after="80"/>
        <w:jc w:val="both"/>
      </w:pPr>
      <w:r>
        <w:t xml:space="preserve">BRASIL. Superior Tribunal de Justiça. Quarta Turma. Recurso Especial 2.201.672. Relator: Min. Raul Araújo. Julgado em 24 nov. 2025. DJEN 3 dez. 2025.</w:t>
      </w:r>
    </w:p>
    <w:p>
      <w:pPr>
        <w:pStyle w:val="BodyText"/>
        <w:spacing w:after="80"/>
        <w:jc w:val="both"/>
      </w:pPr>
      <w:r>
        <w:t xml:space="preserve">BRASIL. Superior Tribunal de Justiça. Quarta Turma. Recurso Especial 2.218.679. Relator: Min. Raul Araújo. Julgado em 9 mar. 2026. DJEN 16 mar. 2026.</w:t>
      </w:r>
    </w:p>
    <w:p>
      <w:pPr>
        <w:pStyle w:val="BodyText"/>
        <w:spacing w:after="80"/>
        <w:jc w:val="both"/>
      </w:pPr>
      <w:r>
        <w:t xml:space="preserve">BRASIL. Superior Tribunal de Justiça. Quarta Turma. Recurso Especial 2.220.046. Relator: Min. João Otávio de Noronha. Julgado em 30 mar. 2026. DJEN 8 abr. 2026.</w:t>
      </w:r>
    </w:p>
    <w:p>
      <w:pPr>
        <w:pStyle w:val="BodyText"/>
        <w:spacing w:after="80"/>
        <w:jc w:val="both"/>
      </w:pPr>
      <w:r>
        <w:t xml:space="preserve">BRASIL. Superior Tribunal de Justiça. Quarta Turma. Recurso Especial 2.229.072. Relator: Min. João Otávio de Noronha. DJe 5 mar. 2026.</w:t>
      </w:r>
    </w:p>
    <w:p>
      <w:pPr>
        <w:pStyle w:val="BodyText"/>
        <w:spacing w:after="80"/>
        <w:jc w:val="both"/>
      </w:pPr>
      <w:r>
        <w:t xml:space="preserve">BRASIL. Superior Tribunal de Justiça. Quarta Turma. Recurso Especial 2.231.202. Relatora: Min. Maria Isabel Gallotti. Julgado em 16 mar. 2026. DJEN 19 mar. 2026.</w:t>
      </w:r>
    </w:p>
    <w:p>
      <w:pPr>
        <w:pStyle w:val="BodyText"/>
        <w:spacing w:after="80"/>
        <w:jc w:val="both"/>
      </w:pPr>
      <w:r>
        <w:t xml:space="preserve">BRASIL. Superior Tribunal de Justiça. Quarta Turma. Recurso Especial 2.231.891. Relator: Min. Raul Araújo. DJe 22 abr. 2026.</w:t>
      </w:r>
    </w:p>
    <w:p>
      <w:pPr>
        <w:pStyle w:val="BodyText"/>
        <w:spacing w:after="80"/>
        <w:jc w:val="both"/>
      </w:pPr>
      <w:r>
        <w:t xml:space="preserve">BRASIL. Superior Tribunal de Justiça. Quarta Turma. Recurso Especial 2.235.749. Relator: Min. João Otávio de Noronha. Julgado em 22 abr. 2026. DJEN 27 abr. 2026.</w:t>
      </w:r>
    </w:p>
    <w:p>
      <w:pPr>
        <w:pStyle w:val="BodyText"/>
        <w:spacing w:after="80"/>
        <w:jc w:val="both"/>
      </w:pPr>
      <w:r>
        <w:t xml:space="preserve">BRASIL. Superior Tribunal de Justiça. Quarta Turma. Recurso Especial 2.239.347. Relator: Min. João Otávio de Noronha.</w:t>
      </w:r>
    </w:p>
    <w:p>
      <w:pPr>
        <w:pStyle w:val="BodyText"/>
        <w:spacing w:after="80"/>
        <w:jc w:val="both"/>
      </w:pPr>
      <w:r>
        <w:t xml:space="preserve">BRASIL. Superior Tribunal de Justiça. Quarta Turma. Recurso Especial 2.240.858. Relatora: Min. Maria Isabel Gallotti. Julgado em 16 mar. 2026. DJEN 19 mar. 2026.</w:t>
      </w:r>
    </w:p>
    <w:p>
      <w:pPr>
        <w:pStyle w:val="BodyText"/>
        <w:spacing w:after="80"/>
        <w:jc w:val="both"/>
      </w:pPr>
      <w:r>
        <w:t xml:space="preserve">BRASIL. Superior Tribunal de Justiça. Quarta Turma. Recurso Especial 2.243.438. Relator: Min. João Otávio de Noronha. Julgado em 22 jun. 2026. DJEN 26 jun. 2026.</w:t>
      </w:r>
    </w:p>
    <w:p>
      <w:pPr>
        <w:pStyle w:val="BodyText"/>
        <w:spacing w:after="80"/>
        <w:jc w:val="both"/>
      </w:pPr>
      <w:r>
        <w:t xml:space="preserve">BRASIL. Superior Tribunal de Justiça. Quarta Turma. Recurso Especial 2.246.924. Relator: Min. Antonio Carlos Ferreira. Julgado em 22 abr. 2026. DJEN 28 abr. 2026.</w:t>
      </w:r>
    </w:p>
    <w:p>
      <w:pPr>
        <w:pStyle w:val="BodyText"/>
        <w:spacing w:after="80"/>
        <w:jc w:val="both"/>
      </w:pPr>
      <w:r>
        <w:t xml:space="preserve">BRASIL. Superior Tribunal de Justiça. Quarta Turma. Recurso Especial 2.250.689. Relatora: Min. Maria Isabel Gallotti. Julgado em 1 jun. 2026. DJEN 8 jun. 2026.</w:t>
      </w:r>
    </w:p>
    <w:p>
      <w:pPr>
        <w:pStyle w:val="BodyText"/>
        <w:spacing w:after="80"/>
        <w:jc w:val="both"/>
      </w:pPr>
      <w:r>
        <w:t xml:space="preserve">BRASIL. Superior Tribunal de Justiça. Quarta Turma. Recurso Especial 2.251.250. Relator: Min. João Otávio de Noronha. Julgado em 30 mar. 2026. DJEN 8 abr. 2026.</w:t>
      </w:r>
    </w:p>
    <w:p>
      <w:pPr>
        <w:pStyle w:val="BodyText"/>
        <w:spacing w:after="80"/>
        <w:jc w:val="both"/>
      </w:pPr>
      <w:r>
        <w:t xml:space="preserve">BRASIL. Superior Tribunal de Justiça. Quarta Turma. Recurso Especial 2.251.512. Relator: Min. João Otávio de Noronha. Julgado em 30 jun. 2026. DJEN 6 jul. 2026.</w:t>
      </w:r>
    </w:p>
    <w:p>
      <w:pPr>
        <w:pStyle w:val="BodyText"/>
        <w:spacing w:after="80"/>
        <w:jc w:val="both"/>
      </w:pPr>
      <w:r>
        <w:t xml:space="preserve">BRASIL. Superior Tribunal de Justiça. Quarta Turma. Recurso Especial 2.267.093. Relator: Min. João Otávio de Noronha. Julgado em 30 jun. 2026. DJEN 6 jul. 2026.</w:t>
      </w:r>
    </w:p>
    <w:p>
      <w:pPr>
        <w:pStyle w:val="BodyText"/>
        <w:spacing w:after="80"/>
        <w:jc w:val="both"/>
      </w:pPr>
      <w:r>
        <w:t xml:space="preserve">BRASIL. Superior Tribunal de Justiça. Quarta Turma. Recurso Especial 2.272.635. Relatora: Min. Maria Isabel Gallotti. DJe 25 set. 2026.</w:t>
      </w:r>
    </w:p>
    <w:p>
      <w:pPr>
        <w:pStyle w:val="BodyText"/>
        <w:spacing w:after="80"/>
        <w:jc w:val="both"/>
      </w:pPr>
      <w:r>
        <w:t xml:space="preserve">BRASIL. Superior Tribunal de Justiça. Quinta Turma. Agravo em Recurso Especial 2.729.744. Relatora: Min. Daniela Teixeira. DJe 16 out. 2025.</w:t>
      </w:r>
    </w:p>
    <w:p>
      <w:pPr>
        <w:pStyle w:val="BodyText"/>
        <w:spacing w:after="80"/>
        <w:jc w:val="both"/>
      </w:pPr>
      <w:r>
        <w:t xml:space="preserve">BRASIL. Superior Tribunal de Justiça. Quinta Turma. Agravo em Recurso Especial 2.852.331. Relatora: Min. Daniela Teixeira. DJe 2 out. 2025.</w:t>
      </w:r>
    </w:p>
    <w:p>
      <w:pPr>
        <w:pStyle w:val="BodyText"/>
        <w:spacing w:after="80"/>
        <w:jc w:val="both"/>
      </w:pPr>
      <w:r>
        <w:t xml:space="preserve">BRASIL. Superior Tribunal de Justiça. Quinta Turma. Agravo Regimental no Agravo em Recurso Especial 2.694.666. Relator: Min. Messod Azulay Neto. DJe 6 dez. 2024.</w:t>
      </w:r>
    </w:p>
    <w:p>
      <w:pPr>
        <w:pStyle w:val="BodyText"/>
        <w:spacing w:after="80"/>
        <w:jc w:val="both"/>
      </w:pPr>
      <w:r>
        <w:t xml:space="preserve">BRASIL. Superior Tribunal de Justiça. Segunda Seção. Agravo Interno no Ação Rescisória 7.846. Relatora: Min. Daniela Teixeira. DJe 18 ago. 2025.</w:t>
      </w:r>
    </w:p>
    <w:p>
      <w:pPr>
        <w:pStyle w:val="BodyText"/>
        <w:spacing w:after="80"/>
        <w:jc w:val="both"/>
      </w:pPr>
      <w:r>
        <w:t xml:space="preserve">BRASIL. Superior Tribunal de Justiça. Segunda Seção. Agravo Interno no Embargos de Divergência em Recurso Especial 1.930.225. Relator: Min. Luis Felipe Salomão. DJe 6 jun. 2022.</w:t>
      </w:r>
    </w:p>
    <w:p>
      <w:pPr>
        <w:pStyle w:val="BodyText"/>
        <w:spacing w:after="80"/>
        <w:jc w:val="both"/>
      </w:pPr>
      <w:r>
        <w:t xml:space="preserve">BRASIL. Superior Tribunal de Justiça. Segunda Seção. Agravo Interno no Embargos de Divergência em Recurso Especial 2.009.491. Relator: Min. Raul Araújo. DJe 18 set. 2026.</w:t>
      </w:r>
    </w:p>
    <w:p>
      <w:pPr>
        <w:pStyle w:val="BodyText"/>
        <w:spacing w:after="80"/>
        <w:jc w:val="both"/>
      </w:pPr>
      <w:r>
        <w:t xml:space="preserve">BRASIL. Superior Tribunal de Justiça. Segunda Seção. Conflito de Competência 211.882. Relatora: Min. Daniela Teixeira. DJe 24 jun. 2025.</w:t>
      </w:r>
    </w:p>
    <w:p>
      <w:pPr>
        <w:pStyle w:val="BodyText"/>
        <w:spacing w:after="80"/>
        <w:jc w:val="both"/>
      </w:pPr>
      <w:r>
        <w:t xml:space="preserve">BRASIL. Superior Tribunal de Justiça. Segunda Seção. Recurso Especial 1.763.462. Relator: Min. Paulo de Tarso Sanseverino. Julgado em 9 jun. 2021. DJe 1 jul. 2021.</w:t>
      </w:r>
    </w:p>
    <w:p>
      <w:pPr>
        <w:pStyle w:val="BodyText"/>
        <w:spacing w:after="80"/>
        <w:jc w:val="both"/>
      </w:pPr>
      <w:r>
        <w:t xml:space="preserve">BRASIL. Superior Tribunal de Justiça. Segunda Turma. Agravo em Recurso Especial 3.198.909. Relator: Min. Teodoro Silva Santos. Julgado em 12 ago. 2026. DJEN 18 ago. 2026.</w:t>
      </w:r>
    </w:p>
    <w:p>
      <w:pPr>
        <w:pStyle w:val="BodyText"/>
        <w:spacing w:after="80"/>
        <w:jc w:val="both"/>
      </w:pPr>
      <w:r>
        <w:t xml:space="preserve">BRASIL. Superior Tribunal de Justiça. Segunda Turma. Agravo Interno no Agravo em Recurso Especial 1.613.420. Relator: Min. Francisco Falcão. DJe 31 maio 2023.</w:t>
      </w:r>
    </w:p>
    <w:p>
      <w:pPr>
        <w:pStyle w:val="BodyText"/>
        <w:spacing w:after="80"/>
        <w:jc w:val="both"/>
      </w:pPr>
      <w:r>
        <w:t xml:space="preserve">BRASIL. Superior Tribunal de Justiça. Segunda Turma. Agravo Interno no Agravo em Recurso Especial 1.716.133. Relator: Min. Herman Benjamin. Julgado em 31 maio 2021. DJe 1 jul. 2021.</w:t>
      </w:r>
    </w:p>
    <w:p>
      <w:pPr>
        <w:pStyle w:val="BodyText"/>
        <w:spacing w:after="80"/>
        <w:jc w:val="both"/>
      </w:pPr>
      <w:r>
        <w:t xml:space="preserve">BRASIL. Superior Tribunal de Justiça. Segunda Turma. Agravo Interno no Agravo em Recurso Especial 2.129.483. Relatora: Min. Assusete Magalhães. DJe 13 dez. 2022.</w:t>
      </w:r>
    </w:p>
    <w:p>
      <w:pPr>
        <w:pStyle w:val="BodyText"/>
        <w:spacing w:after="80"/>
        <w:jc w:val="both"/>
      </w:pPr>
      <w:r>
        <w:t xml:space="preserve">BRASIL. Superior Tribunal de Justiça. Segunda Turma. Agravo Interno no Agravo em Recurso Especial 2.180.053. Relator: Min. Herman Benjamin. DJe 4 abr. 2023.</w:t>
      </w:r>
    </w:p>
    <w:p>
      <w:pPr>
        <w:pStyle w:val="BodyText"/>
        <w:spacing w:after="80"/>
        <w:jc w:val="both"/>
      </w:pPr>
      <w:r>
        <w:t xml:space="preserve">BRASIL. Superior Tribunal de Justiça. Segunda Turma. Agravo Interno no Agravo em Recurso Especial 2.336.619. Relator: Min. Herman Benjamin. DJe 2 maio 2024.</w:t>
      </w:r>
    </w:p>
    <w:p>
      <w:pPr>
        <w:pStyle w:val="BodyText"/>
        <w:spacing w:after="80"/>
        <w:jc w:val="both"/>
      </w:pPr>
      <w:r>
        <w:t xml:space="preserve">BRASIL. Superior Tribunal de Justiça. Segunda Turma. Agravo Interno no Agravo em Recurso Especial 2.350.898. Relator: Min. Herman Benjamin. DJe 21 set. 2023.</w:t>
      </w:r>
    </w:p>
    <w:p>
      <w:pPr>
        <w:pStyle w:val="BodyText"/>
        <w:spacing w:after="80"/>
        <w:jc w:val="both"/>
      </w:pPr>
      <w:r>
        <w:t xml:space="preserve">BRASIL. Superior Tribunal de Justiça. Segunda Turma. Agravo Interno no Agravo em Recurso Especial 2.377.676. Relator: Min. Mauro Campbell Marques. DJe 22 ago. 2024.</w:t>
      </w:r>
    </w:p>
    <w:p>
      <w:pPr>
        <w:pStyle w:val="BodyText"/>
        <w:spacing w:after="80"/>
        <w:jc w:val="both"/>
      </w:pPr>
      <w:r>
        <w:t xml:space="preserve">BRASIL. Superior Tribunal de Justiça. Segunda Turma. Agravo Interno no Agravo em Recurso Especial 2.840.462. Relator: Min. Francisco Falcão. DJe 26 nov. 2025.</w:t>
      </w:r>
    </w:p>
    <w:p>
      <w:pPr>
        <w:pStyle w:val="BodyText"/>
        <w:spacing w:after="80"/>
        <w:jc w:val="both"/>
      </w:pPr>
      <w:r>
        <w:t xml:space="preserve">BRASIL. Superior Tribunal de Justiça. Segunda Turma. Agravo Interno no Agravo em Recurso Especial 2.857.765. Relator: Min. Marco Aurélio Bellizze. DJe 2 mar. 2026.</w:t>
      </w:r>
    </w:p>
    <w:p>
      <w:pPr>
        <w:pStyle w:val="BodyText"/>
        <w:spacing w:after="80"/>
        <w:jc w:val="both"/>
      </w:pPr>
      <w:r>
        <w:t xml:space="preserve">BRASIL. Superior Tribunal de Justiça. Segunda Turma. Agravo Interno no Agravo em Recurso Especial 2.951.852. Relator: Min. Afrânio Vilela. Julgado em 19 ago. 2026. DJEN 24 ago. 2026.</w:t>
      </w:r>
    </w:p>
    <w:p>
      <w:pPr>
        <w:pStyle w:val="BodyText"/>
        <w:spacing w:after="80"/>
        <w:jc w:val="both"/>
      </w:pPr>
      <w:r>
        <w:t xml:space="preserve">BRASIL. Superior Tribunal de Justiça. Segunda Turma. Agravo Interno no Agravo Interno no Agravo em Recurso Especial 3.094.331. Relator: Min. Marco Aurélio Bellizze. Julgado em 19 ago. 2026. DJEN 24 ago. 2026.</w:t>
      </w:r>
    </w:p>
    <w:p>
      <w:pPr>
        <w:pStyle w:val="BodyText"/>
        <w:spacing w:after="80"/>
        <w:jc w:val="both"/>
      </w:pPr>
      <w:r>
        <w:t xml:space="preserve">BRASIL. Superior Tribunal de Justiça. Segunda Turma. Agravo Interno no Recurso em Mandado de Segurança 62.819. Relator: Min. Herman Benjamin. DJe 15 abr. 2021.</w:t>
      </w:r>
    </w:p>
    <w:p>
      <w:pPr>
        <w:pStyle w:val="BodyText"/>
        <w:spacing w:after="80"/>
        <w:jc w:val="both"/>
      </w:pPr>
      <w:r>
        <w:t xml:space="preserve">BRASIL. Superior Tribunal de Justiça. Segunda Turma. Agravo Interno no Recurso Especial 1.940.884. Relator: Min. Francisco Falcão. DJe 22 set. 2021.</w:t>
      </w:r>
    </w:p>
    <w:p>
      <w:pPr>
        <w:pStyle w:val="BodyText"/>
        <w:spacing w:after="80"/>
        <w:jc w:val="both"/>
      </w:pPr>
      <w:r>
        <w:t xml:space="preserve">BRASIL. Superior Tribunal de Justiça. Segunda Turma. Agravo Interno no Recurso Especial 2.163.154. Relatora: Min. Maria Thereza de Assis Moura. DJe 26 nov. 2025.</w:t>
      </w:r>
    </w:p>
    <w:p>
      <w:pPr>
        <w:pStyle w:val="BodyText"/>
        <w:spacing w:after="80"/>
        <w:jc w:val="both"/>
      </w:pPr>
      <w:r>
        <w:t xml:space="preserve">BRASIL. Superior Tribunal de Justiça. Segunda Turma. Agravo Interno no Recurso Especial 2.169.344. Relator: Min. Teodoro Silva Santos. Julgado em 12 maio 2026. DJEN 22 maio 2026.</w:t>
      </w:r>
    </w:p>
    <w:p>
      <w:pPr>
        <w:pStyle w:val="BodyText"/>
        <w:spacing w:after="80"/>
        <w:jc w:val="both"/>
      </w:pPr>
      <w:r>
        <w:t xml:space="preserve">BRASIL. Superior Tribunal de Justiça. Segunda Turma. Recurso Especial 1.691.771. Relator: Min. Mauro Campbell Marques. Julgado em 13 dez. 2022. DJe 15 dez. 2022.</w:t>
      </w:r>
    </w:p>
    <w:p>
      <w:pPr>
        <w:pStyle w:val="BodyText"/>
        <w:spacing w:after="80"/>
        <w:jc w:val="both"/>
      </w:pPr>
      <w:r>
        <w:t xml:space="preserve">BRASIL. Superior Tribunal de Justiça. Segunda Turma. Recurso Especial 1.721.248. Relator: Min. Herman Benjamin. Julgado em 17 abr. 2018. DJe 23 maio 2018.</w:t>
      </w:r>
    </w:p>
    <w:p>
      <w:pPr>
        <w:pStyle w:val="BodyText"/>
        <w:spacing w:after="80"/>
        <w:jc w:val="both"/>
      </w:pPr>
      <w:r>
        <w:t xml:space="preserve">BRASIL. Superior Tribunal de Justiça. Segunda Turma. Recurso Especial 2.179.441. Relatora: Min. Maria Thereza de Assis Moura. Julgado em 10 mar. 2026. DJEN 18 mar. 2026.</w:t>
      </w:r>
    </w:p>
    <w:p>
      <w:pPr>
        <w:pStyle w:val="BodyText"/>
        <w:spacing w:after="80"/>
        <w:jc w:val="both"/>
      </w:pPr>
      <w:r>
        <w:t xml:space="preserve">BRASIL. Superior Tribunal de Justiça. Sexta Turma. Agravo Regimental no Agravo em Recurso Especial 2.460.440. Relator: Min. Og Fernandes. Julgado em 3 mar. 2026.</w:t>
      </w:r>
    </w:p>
    <w:p>
      <w:pPr>
        <w:pStyle w:val="BodyText"/>
        <w:spacing w:after="80"/>
        <w:jc w:val="both"/>
      </w:pPr>
      <w:r>
        <w:t xml:space="preserve">BRASIL. Superior Tribunal de Justiça. Terceira Turma. Agravo em Recurso Especial 2.385.745. Relator: Min. Moura Ribeiro. Julgado em 23 mar. 2026.</w:t>
      </w:r>
    </w:p>
    <w:p>
      <w:pPr>
        <w:pStyle w:val="BodyText"/>
        <w:spacing w:after="80"/>
        <w:jc w:val="both"/>
      </w:pPr>
      <w:r>
        <w:t xml:space="preserve">BRASIL. Superior Tribunal de Justiça. Terceira Turma. Agravo em Recurso Especial 2.541.215. Relator: Min. Ricardo Villas Bôas Cueva. Julgado em 23 mar. 2026. DJEN 26 mar. 2026.</w:t>
      </w:r>
    </w:p>
    <w:p>
      <w:pPr>
        <w:pStyle w:val="BodyText"/>
        <w:spacing w:after="80"/>
        <w:jc w:val="both"/>
      </w:pPr>
      <w:r>
        <w:t xml:space="preserve">BRASIL. Superior Tribunal de Justiça. Terceira Turma. Agravo em Recurso Especial 2.619.049. Relator: Min. Moura Ribeiro. DJe 17 out. 2025.</w:t>
      </w:r>
    </w:p>
    <w:p>
      <w:pPr>
        <w:pStyle w:val="BodyText"/>
        <w:spacing w:after="80"/>
        <w:jc w:val="both"/>
      </w:pPr>
      <w:r>
        <w:t xml:space="preserve">BRASIL. Superior Tribunal de Justiça. Terceira Turma. Agravo em Recurso Especial 2.628.736. Relator: Min. Moura Ribeiro. Julgado em 13 out. 2025. DJEN 17 out. 2025.</w:t>
      </w:r>
    </w:p>
    <w:p>
      <w:pPr>
        <w:pStyle w:val="BodyText"/>
        <w:spacing w:after="80"/>
        <w:jc w:val="both"/>
      </w:pPr>
      <w:r>
        <w:t xml:space="preserve">BRASIL. Superior Tribunal de Justiça. Terceira Turma. Agravo em Recurso Especial 2.661.032. Relator: Min. Moura Ribeiro. DJe 17 out. 2025.</w:t>
      </w:r>
    </w:p>
    <w:p>
      <w:pPr>
        <w:pStyle w:val="BodyText"/>
        <w:spacing w:after="80"/>
        <w:jc w:val="both"/>
      </w:pPr>
      <w:r>
        <w:t xml:space="preserve">BRASIL. Superior Tribunal de Justiça. Terceira Turma. Agravo em Recurso Especial 2.668.540. Relator: Min. Moura Ribeiro. Julgado em 9 fev. 2026. DJEN 13 fev. 2026.</w:t>
      </w:r>
    </w:p>
    <w:p>
      <w:pPr>
        <w:pStyle w:val="BodyText"/>
        <w:spacing w:after="80"/>
        <w:jc w:val="both"/>
      </w:pPr>
      <w:r>
        <w:t xml:space="preserve">BRASIL. Superior Tribunal de Justiça. Terceira Turma. Agravo em Recurso Especial 2.682.619. Relator: Min. Ricardo Villas Bôas Cueva. Julgado em 2 mar. 2026. DJEN 5 mar. 2026.</w:t>
      </w:r>
    </w:p>
    <w:p>
      <w:pPr>
        <w:pStyle w:val="BodyText"/>
        <w:spacing w:after="80"/>
        <w:jc w:val="both"/>
      </w:pPr>
      <w:r>
        <w:t xml:space="preserve">BRASIL. Superior Tribunal de Justiça. Terceira Turma. Agravo em Recurso Especial 2.707.668. Relator: Min. Ricardo Villas Bôas Cueva. Julgado em 23 mar. 2026. DJEN 26 mar. 2026.</w:t>
      </w:r>
    </w:p>
    <w:p>
      <w:pPr>
        <w:pStyle w:val="BodyText"/>
        <w:spacing w:after="80"/>
        <w:jc w:val="both"/>
      </w:pPr>
      <w:r>
        <w:t xml:space="preserve">BRASIL. Superior Tribunal de Justiça. Terceira Turma. Agravo em Recurso Especial 2.798.949. Relator: Min. Ricardo Villas Bôas Cueva. Julgado em 22 abr. 2026.</w:t>
      </w:r>
    </w:p>
    <w:p>
      <w:pPr>
        <w:pStyle w:val="BodyText"/>
        <w:spacing w:after="80"/>
        <w:jc w:val="both"/>
      </w:pPr>
      <w:r>
        <w:t xml:space="preserve">BRASIL. Superior Tribunal de Justiça. Terceira Turma. Agravo em Recurso Especial 2.953.224. Relator: Min. Moura Ribeiro. Julgado em 16 mar. 2026. DJEN 20 mar. 2026.</w:t>
      </w:r>
    </w:p>
    <w:p>
      <w:pPr>
        <w:pStyle w:val="BodyText"/>
        <w:spacing w:after="80"/>
        <w:jc w:val="both"/>
      </w:pPr>
      <w:r>
        <w:t xml:space="preserve">BRASIL. Superior Tribunal de Justiça. Terceira Turma. Agravo em Recurso Especial 2.962.979. Relatora: Min. Nancy Andrighi. Julgado em 17 nov. 2025. DJEN 25 nov. 2025.</w:t>
      </w:r>
    </w:p>
    <w:p>
      <w:pPr>
        <w:pStyle w:val="BodyText"/>
        <w:spacing w:after="80"/>
        <w:jc w:val="both"/>
      </w:pPr>
      <w:r>
        <w:t xml:space="preserve">BRASIL. Superior Tribunal de Justiça. Terceira Turma. Agravo em Recurso Especial 2.968.286. Relator: Min. Moura Ribeiro. Julgado em 16 mar. 2026. DJEN 20 mar. 2026.</w:t>
      </w:r>
    </w:p>
    <w:p>
      <w:pPr>
        <w:pStyle w:val="BodyText"/>
        <w:spacing w:after="80"/>
        <w:jc w:val="both"/>
      </w:pPr>
      <w:r>
        <w:t xml:space="preserve">BRASIL. Superior Tribunal de Justiça. Terceira Turma. Agravo em Recurso Especial 2.999.990. Relator: Min. Moura Ribeiro. Julgado em 9 fev. 2026. DJEN 18 fev. 2026.</w:t>
      </w:r>
    </w:p>
    <w:p>
      <w:pPr>
        <w:pStyle w:val="BodyText"/>
        <w:spacing w:after="80"/>
        <w:jc w:val="both"/>
      </w:pPr>
      <w:r>
        <w:t xml:space="preserve">BRASIL. Superior Tribunal de Justiça. Terceira Turma. Agravo em Recurso Especial 3.005.471. Relator: Min. Moura Ribeiro. DJe 16 dez. 2025.</w:t>
      </w:r>
    </w:p>
    <w:p>
      <w:pPr>
        <w:pStyle w:val="BodyText"/>
        <w:spacing w:after="80"/>
        <w:jc w:val="both"/>
      </w:pPr>
      <w:r>
        <w:t xml:space="preserve">BRASIL. Superior Tribunal de Justiça. Terceira Turma. Agravo em Recurso Especial 3.014.872. Relator: Min. Moura Ribeiro. Julgado em 9 fev. 2026. DJEN 18 fev. 2026.</w:t>
      </w:r>
    </w:p>
    <w:p>
      <w:pPr>
        <w:pStyle w:val="BodyText"/>
        <w:spacing w:after="80"/>
        <w:jc w:val="both"/>
      </w:pPr>
      <w:r>
        <w:t xml:space="preserve">BRASIL. Superior Tribunal de Justiça. Terceira Turma. Agravo em Recurso Especial 3.018.178. Relator: Min. Moura Ribeiro. Julgado em 18 maio 2026.</w:t>
      </w:r>
    </w:p>
    <w:p>
      <w:pPr>
        <w:pStyle w:val="BodyText"/>
        <w:spacing w:after="80"/>
        <w:jc w:val="both"/>
      </w:pPr>
      <w:r>
        <w:t xml:space="preserve">BRASIL. Superior Tribunal de Justiça. Terceira Turma. Agravo em Recurso Especial 3.027.064. Relator: Min. Ricardo Villas Bôas Cueva. Julgado em 15 dez. 2025. DJEN 18 dez. 2025.</w:t>
      </w:r>
    </w:p>
    <w:p>
      <w:pPr>
        <w:pStyle w:val="BodyText"/>
        <w:spacing w:after="80"/>
        <w:jc w:val="both"/>
      </w:pPr>
      <w:r>
        <w:t xml:space="preserve">BRASIL. Superior Tribunal de Justiça. Terceira Turma. Agravo em Recurso Especial 3.055.345. Relator: Min. Moura Ribeiro. Julgado em 23 mar. 2026. DJEN 30 mar. 2026.</w:t>
      </w:r>
    </w:p>
    <w:p>
      <w:pPr>
        <w:pStyle w:val="BodyText"/>
        <w:spacing w:after="80"/>
        <w:jc w:val="both"/>
      </w:pPr>
      <w:r>
        <w:t xml:space="preserve">BRASIL. Superior Tribunal de Justiça. Terceira Turma. Agravo em Recurso Especial 3.071.983. Relator: Min. Ricardo Villas Bôas Cueva. Julgado em 15 jun. 2026. DJEN 18 jun. 2026.</w:t>
      </w:r>
    </w:p>
    <w:p>
      <w:pPr>
        <w:pStyle w:val="BodyText"/>
        <w:spacing w:after="80"/>
        <w:jc w:val="both"/>
      </w:pPr>
      <w:r>
        <w:t xml:space="preserve">BRASIL. Superior Tribunal de Justiça. Terceira Turma. Agravo em Recurso Especial 3.078.178. Relator: Min. Ricardo Villas Bôas Cueva. Julgado em 15 jun. 2026. DJEN 18 jun. 2026.</w:t>
      </w:r>
    </w:p>
    <w:p>
      <w:pPr>
        <w:pStyle w:val="BodyText"/>
        <w:spacing w:after="80"/>
        <w:jc w:val="both"/>
      </w:pPr>
      <w:r>
        <w:t xml:space="preserve">BRASIL. Superior Tribunal de Justiça. Terceira Turma. Agravo em Recurso Especial 3.096.424. Relator: Min. Ricardo Villas Bôas Cueva. Julgado em 18 maio 2026. DJEN 21 maio 2026.</w:t>
      </w:r>
    </w:p>
    <w:p>
      <w:pPr>
        <w:pStyle w:val="BodyText"/>
        <w:spacing w:after="80"/>
        <w:jc w:val="both"/>
      </w:pPr>
      <w:r>
        <w:t xml:space="preserve">BRASIL. Superior Tribunal de Justiça. Terceira Turma. Agravo em Recurso Especial 3.108.712. Relator: Min. Moura Ribeiro. DJe 25 set. 2026.</w:t>
      </w:r>
    </w:p>
    <w:p>
      <w:pPr>
        <w:pStyle w:val="BodyText"/>
        <w:spacing w:after="80"/>
        <w:jc w:val="both"/>
      </w:pPr>
      <w:r>
        <w:t xml:space="preserve">BRASIL. Superior Tribunal de Justiça. Terceira Turma. Agravo em Recurso Especial 3.121.151. Relator: Min. Moura Ribeiro. Julgado em 18 maio 2026. DJEN 26 maio 2026.</w:t>
      </w:r>
    </w:p>
    <w:p>
      <w:pPr>
        <w:pStyle w:val="BodyText"/>
        <w:spacing w:after="80"/>
        <w:jc w:val="both"/>
      </w:pPr>
      <w:r>
        <w:t xml:space="preserve">BRASIL. Superior Tribunal de Justiça. Terceira Turma. Agravo em Recurso Especial 3.124.278. Relator: Min. Moura Ribeiro. Julgado em 1 jun. 2026.</w:t>
      </w:r>
    </w:p>
    <w:p>
      <w:pPr>
        <w:pStyle w:val="BodyText"/>
        <w:spacing w:after="80"/>
        <w:jc w:val="both"/>
      </w:pPr>
      <w:r>
        <w:t xml:space="preserve">BRASIL. Superior Tribunal de Justiça. Terceira Turma. Agravo em Recurso Especial 3.134.445. Relator: Min. Moura Ribeiro. Julgado em 30 jun. 2026. DJEN 3 jul. 2026.</w:t>
      </w:r>
    </w:p>
    <w:p>
      <w:pPr>
        <w:pStyle w:val="BodyText"/>
        <w:spacing w:after="80"/>
        <w:jc w:val="both"/>
      </w:pPr>
      <w:r>
        <w:t xml:space="preserve">BRASIL. Superior Tribunal de Justiça. Terceira Turma. Agravo em Recurso Especial 3.134.716. Relator: Min. Moura Ribeiro. Julgado em 22 jun. 2026. DJEN 29 jun. 2026.</w:t>
      </w:r>
    </w:p>
    <w:p>
      <w:pPr>
        <w:pStyle w:val="BodyText"/>
        <w:spacing w:after="80"/>
        <w:jc w:val="both"/>
      </w:pPr>
      <w:r>
        <w:t xml:space="preserve">BRASIL. Superior Tribunal de Justiça. Terceira Turma. Agravo em Recurso Especial 3.135.885. Relator: Min. Ricardo Villas Bôas Cueva. DJe 27 abr. 2026.</w:t>
      </w:r>
    </w:p>
    <w:p>
      <w:pPr>
        <w:pStyle w:val="BodyText"/>
        <w:spacing w:after="80"/>
        <w:jc w:val="both"/>
      </w:pPr>
      <w:r>
        <w:t xml:space="preserve">BRASIL. Superior Tribunal de Justiça. Terceira Turma. Agravo em Recurso Especial 3.138.547. Relator: Min. Moura Ribeiro. Julgado em 22 jun. 2026.</w:t>
      </w:r>
    </w:p>
    <w:p>
      <w:pPr>
        <w:pStyle w:val="BodyText"/>
        <w:spacing w:after="80"/>
        <w:jc w:val="both"/>
      </w:pPr>
      <w:r>
        <w:t xml:space="preserve">BRASIL. Superior Tribunal de Justiça. Terceira Turma. Agravo em Recurso Especial 3.141.923. Relator: Min. Moura Ribeiro. Julgado em 30 jun. 2026. DJEN 3 jul. 2026.</w:t>
      </w:r>
    </w:p>
    <w:p>
      <w:pPr>
        <w:pStyle w:val="BodyText"/>
        <w:spacing w:after="80"/>
        <w:jc w:val="both"/>
      </w:pPr>
      <w:r>
        <w:t xml:space="preserve">BRASIL. Superior Tribunal de Justiça. Terceira Turma. Agravo em Recurso Especial 3.191.276. Relator: Min. Ricardo Villas Bôas Cueva. Julgado em 18 maio 2026. DJEN 21 maio 2026.</w:t>
      </w:r>
    </w:p>
    <w:p>
      <w:pPr>
        <w:pStyle w:val="BodyText"/>
        <w:spacing w:after="80"/>
        <w:jc w:val="both"/>
      </w:pPr>
      <w:r>
        <w:t xml:space="preserve">BRASIL. Superior Tribunal de Justiça. Terceira Turma. Agravo Interno no Agravo em Recurso Especial 1.410.278. Relator: Min. Ricardo Villas Bôas Cueva. Julgado em 13 maio 2024. DJe 15 maio 2024.</w:t>
      </w:r>
    </w:p>
    <w:p>
      <w:pPr>
        <w:pStyle w:val="BodyText"/>
        <w:spacing w:after="80"/>
        <w:jc w:val="both"/>
      </w:pPr>
      <w:r>
        <w:t xml:space="preserve">BRASIL. Superior Tribunal de Justiça. Terceira Turma. Agravo Interno no Agravo em Recurso Especial 2.622.648. Relator: Min. Marco Aurélio Bellizze. DJe 28 ago. 2024.</w:t>
      </w:r>
    </w:p>
    <w:p>
      <w:pPr>
        <w:pStyle w:val="BodyText"/>
        <w:spacing w:after="80"/>
        <w:jc w:val="both"/>
      </w:pPr>
      <w:r>
        <w:t xml:space="preserve">BRASIL. Superior Tribunal de Justiça. Terceira Turma. Agravo Interno no Agravo em Recurso Especial 2.760.574. Relatora: Min. Nancy Andrighi. DJe 27 mar. 2025.</w:t>
      </w:r>
    </w:p>
    <w:p>
      <w:pPr>
        <w:pStyle w:val="BodyText"/>
        <w:spacing w:after="80"/>
        <w:jc w:val="both"/>
      </w:pPr>
      <w:r>
        <w:t xml:space="preserve">BRASIL. Superior Tribunal de Justiça. Terceira Turma. Agravo Interno no Agravo em Recurso Especial 3.062.885. Relator: Min. Humberto Martins. Julgado em 15 jun. 2026. DJEN 18 jun. 2026.</w:t>
      </w:r>
    </w:p>
    <w:p>
      <w:pPr>
        <w:pStyle w:val="BodyText"/>
        <w:spacing w:after="80"/>
        <w:jc w:val="both"/>
      </w:pPr>
      <w:r>
        <w:t xml:space="preserve">BRASIL. Superior Tribunal de Justiça. Terceira Turma. Agravo Interno no Agravo em Recurso Especial 3.075.878. Relator: Min. Moura Ribeiro. Julgado em 30 jun. 2026. DJEN 3 jul. 2026.</w:t>
      </w:r>
    </w:p>
    <w:p>
      <w:pPr>
        <w:pStyle w:val="BodyText"/>
        <w:spacing w:after="80"/>
        <w:jc w:val="both"/>
      </w:pPr>
      <w:r>
        <w:t xml:space="preserve">BRASIL. Superior Tribunal de Justiça. Terceira Turma. Agravo Interno no Recurso Especial 1.687.186. Relator: Min. Moura Ribeiro. DJe 18 jun. 2021.</w:t>
      </w:r>
    </w:p>
    <w:p>
      <w:pPr>
        <w:pStyle w:val="BodyText"/>
        <w:spacing w:after="80"/>
        <w:jc w:val="both"/>
      </w:pPr>
      <w:r>
        <w:t xml:space="preserve">BRASIL. Superior Tribunal de Justiça. Terceira Turma. Agravo Interno no Recurso Especial 2.114.142. Relator: Min. Moura Ribeiro. DJe 15 ago. 2025.</w:t>
      </w:r>
    </w:p>
    <w:p>
      <w:pPr>
        <w:pStyle w:val="BodyText"/>
        <w:spacing w:after="80"/>
        <w:jc w:val="both"/>
      </w:pPr>
      <w:r>
        <w:t xml:space="preserve">BRASIL. Superior Tribunal de Justiça. Terceira Turma. Agravo Interno nos Embargos de Declaração no Agravo em Recurso Especial 2.636.563. Relator: Min. Humberto Martins. Julgado em 30 jun. 2026. DJEN 3 jul. 2026.</w:t>
      </w:r>
    </w:p>
    <w:p>
      <w:pPr>
        <w:pStyle w:val="BodyText"/>
        <w:spacing w:after="80"/>
        <w:jc w:val="both"/>
      </w:pPr>
      <w:r>
        <w:t xml:space="preserve">BRASIL. Superior Tribunal de Justiça. Terceira Turma. Embargos de Declaração no Agravo em Recurso Especial 1.486.202. Relator: Min. Marco Aurélio Bellizze. DJe 28 ago. 2024.</w:t>
      </w:r>
    </w:p>
    <w:p>
      <w:pPr>
        <w:pStyle w:val="BodyText"/>
        <w:spacing w:after="80"/>
        <w:jc w:val="both"/>
      </w:pPr>
      <w:r>
        <w:t xml:space="preserve">BRASIL. Superior Tribunal de Justiça. Terceira Turma. Embargos de Declaração no Agravo em Recurso Especial 2.403.361. Relator: Min. Humberto Martins. DJe 12 dez. 2024.</w:t>
      </w:r>
    </w:p>
    <w:p>
      <w:pPr>
        <w:pStyle w:val="BodyText"/>
        <w:spacing w:after="80"/>
        <w:jc w:val="both"/>
      </w:pPr>
      <w:r>
        <w:t xml:space="preserve">BRASIL. Superior Tribunal de Justiça. Terceira Turma. Embargos de Declaração no Agravo em Recurso Especial 2.995.889. Relator: Min. Moura Ribeiro. Julgado em 30 jun. 2026. DJEN 3 jul. 2026.</w:t>
      </w:r>
    </w:p>
    <w:p>
      <w:pPr>
        <w:pStyle w:val="BodyText"/>
        <w:spacing w:after="80"/>
        <w:jc w:val="both"/>
      </w:pPr>
      <w:r>
        <w:t xml:space="preserve">BRASIL. Superior Tribunal de Justiça. Terceira Turma. Recurso Especial 1.637.099. Relator: Min. Ricardo Villas Bôas Cueva. Julgado em 26 set. 2017. DJe 2 out. 2017.</w:t>
      </w:r>
    </w:p>
    <w:p>
      <w:pPr>
        <w:pStyle w:val="BodyText"/>
        <w:spacing w:after="80"/>
        <w:jc w:val="both"/>
      </w:pPr>
      <w:r>
        <w:t xml:space="preserve">BRASIL. Superior Tribunal de Justiça. Terceira Turma. Recurso Especial 1.729.110. Relatora: Min. Nancy Andrighi. Julgado em 2 abr. 2019. DJe 4 abr. 2019.</w:t>
      </w:r>
    </w:p>
    <w:p>
      <w:pPr>
        <w:pStyle w:val="BodyText"/>
        <w:spacing w:after="80"/>
        <w:jc w:val="both"/>
      </w:pPr>
      <w:r>
        <w:t xml:space="preserve">BRASIL. Superior Tribunal de Justiça. Terceira Turma. Recurso Especial 1.782.516. Relator: Min. Marco Aurélio Bellizze. Julgado em 4 jun. 2024. DJe 6 jun. 2024.</w:t>
      </w:r>
    </w:p>
    <w:p>
      <w:pPr>
        <w:pStyle w:val="BodyText"/>
        <w:spacing w:after="80"/>
        <w:jc w:val="both"/>
      </w:pPr>
      <w:r>
        <w:t xml:space="preserve">BRASIL. Superior Tribunal de Justiça. Terceira Turma. Recurso Especial 1.786.046. Relator: Min. Moura Ribeiro. Julgado em 9 maio 2023. DJe 11 maio 2023.</w:t>
      </w:r>
    </w:p>
    <w:p>
      <w:pPr>
        <w:pStyle w:val="BodyText"/>
        <w:spacing w:after="80"/>
        <w:jc w:val="both"/>
      </w:pPr>
      <w:r>
        <w:t xml:space="preserve">BRASIL. Superior Tribunal de Justiça. Terceira Turma. Recurso Especial 1.801.586. Relator: Min. Ricardo Villas Bôas Cueva. Julgado em 11 jun. 2019. DJe 18 jun. 2019.</w:t>
      </w:r>
    </w:p>
    <w:p>
      <w:pPr>
        <w:pStyle w:val="BodyText"/>
        <w:spacing w:after="80"/>
        <w:jc w:val="both"/>
      </w:pPr>
      <w:r>
        <w:t xml:space="preserve">BRASIL. Superior Tribunal de Justiça. Terceira Turma. Recurso Especial 1.802.025. Relatora: Min. Nancy Andrighi. Julgado em 17 set. 2019. DJe 20 set. 2019.</w:t>
      </w:r>
    </w:p>
    <w:p>
      <w:pPr>
        <w:pStyle w:val="BodyText"/>
        <w:spacing w:after="80"/>
        <w:jc w:val="both"/>
      </w:pPr>
      <w:r>
        <w:t xml:space="preserve">BRASIL. Superior Tribunal de Justiça. Terceira Turma. Recurso Especial 1.803.251. Relator: Min. Marco Aurélio Bellizze. Julgado em 22 out. 2019. DJe 8 nov. 2019.</w:t>
      </w:r>
    </w:p>
    <w:p>
      <w:pPr>
        <w:pStyle w:val="BodyText"/>
        <w:spacing w:after="80"/>
        <w:jc w:val="both"/>
      </w:pPr>
      <w:r>
        <w:t xml:space="preserve">BRASIL. Superior Tribunal de Justiça. Terceira Turma. Recurso Especial 1.916.316. Relator: Min. Paulo de Tarso Sanseverino. Julgado em 8 nov. 2022. DJe 16 nov. 2022.</w:t>
      </w:r>
    </w:p>
    <w:p>
      <w:pPr>
        <w:pStyle w:val="BodyText"/>
        <w:spacing w:after="80"/>
        <w:jc w:val="both"/>
      </w:pPr>
      <w:r>
        <w:t xml:space="preserve">BRASIL. Superior Tribunal de Justiça. Terceira Turma. Recurso Especial 1.921.548. Relator: Min. Moura Ribeiro. Julgado em 2 mar. 2026. DJEN 6 mar. 2026.</w:t>
      </w:r>
    </w:p>
    <w:p>
      <w:pPr>
        <w:pStyle w:val="BodyText"/>
        <w:spacing w:after="80"/>
        <w:jc w:val="both"/>
      </w:pPr>
      <w:r>
        <w:t xml:space="preserve">BRASIL. Superior Tribunal de Justiça. Terceira Turma. Recurso Especial 1.924.452. Relator: Min. Ricardo Villas Bôas Cueva. Julgado em 4 out. 2022. DJe 10 out. 2022.</w:t>
      </w:r>
    </w:p>
    <w:p>
      <w:pPr>
        <w:pStyle w:val="BodyText"/>
        <w:spacing w:after="80"/>
        <w:jc w:val="both"/>
      </w:pPr>
      <w:r>
        <w:t xml:space="preserve">BRASIL. Superior Tribunal de Justiça. Terceira Turma. Recurso Especial 1.935.852. Relator: Min. Paulo de Tarso Sanseverino. Julgado em 4 out. 2022. DJe 10 nov. 2022.</w:t>
      </w:r>
    </w:p>
    <w:p>
      <w:pPr>
        <w:pStyle w:val="BodyText"/>
        <w:spacing w:after="80"/>
        <w:jc w:val="both"/>
      </w:pPr>
      <w:r>
        <w:t xml:space="preserve">BRASIL. Superior Tribunal de Justiça. Terceira Turma. Recurso Especial 1.947.751. Relator: Min. Marco Aurélio Bellizze. Julgado em 25 abr. 2023. DJe 28 abr. 2023.</w:t>
      </w:r>
    </w:p>
    <w:p>
      <w:pPr>
        <w:pStyle w:val="BodyText"/>
        <w:spacing w:after="80"/>
        <w:jc w:val="both"/>
      </w:pPr>
      <w:r>
        <w:t xml:space="preserve">BRASIL. Superior Tribunal de Justiça. Terceira Turma. Recurso Especial 1.951.656. Relator: Min. Marco Aurélio Bellizze. Julgado em 7 fev. 2023. DJe 10 fev. 2023.</w:t>
      </w:r>
    </w:p>
    <w:p>
      <w:pPr>
        <w:pStyle w:val="BodyText"/>
        <w:spacing w:after="80"/>
        <w:jc w:val="both"/>
      </w:pPr>
      <w:r>
        <w:t xml:space="preserve">BRASIL. Superior Tribunal de Justiça. Terceira Turma. Recurso Especial 1.971.966. Relator: Min. Marco Aurélio Bellizze. Julgado em 5 mar. 2024. DJe 12 mar. 2024.</w:t>
      </w:r>
    </w:p>
    <w:p>
      <w:pPr>
        <w:pStyle w:val="BodyText"/>
        <w:spacing w:after="80"/>
        <w:jc w:val="both"/>
      </w:pPr>
      <w:r>
        <w:t xml:space="preserve">BRASIL. Superior Tribunal de Justiça. Terceira Turma. Recurso Especial 2.034.485. Relator: Min. Marco Aurélio Bellizze. Julgado em 22 nov. 2022. DJe 30 nov. 2022.</w:t>
      </w:r>
    </w:p>
    <w:p>
      <w:pPr>
        <w:pStyle w:val="BodyText"/>
        <w:spacing w:after="80"/>
        <w:jc w:val="both"/>
      </w:pPr>
      <w:r>
        <w:t xml:space="preserve">BRASIL. Superior Tribunal de Justiça. Terceira Turma. Recurso Especial 2.076.127. Relatora: Min. Nancy Andrighi. Julgado em 12 set. 2023. DJe 15 set. 2023.</w:t>
      </w:r>
    </w:p>
    <w:p>
      <w:pPr>
        <w:pStyle w:val="BodyText"/>
        <w:spacing w:after="80"/>
        <w:jc w:val="both"/>
      </w:pPr>
      <w:r>
        <w:t xml:space="preserve">BRASIL. Superior Tribunal de Justiça. Terceira Turma. Recurso Especial 2.089.756. Relatora: Min. Nancy Andrighi. Julgado em 5 mar. 2024. DJe 7 mar. 2024.</w:t>
      </w:r>
    </w:p>
    <w:p>
      <w:pPr>
        <w:pStyle w:val="BodyText"/>
        <w:spacing w:after="80"/>
        <w:jc w:val="both"/>
      </w:pPr>
      <w:r>
        <w:t xml:space="preserve">BRASIL. Superior Tribunal de Justiça. Terceira Turma. Recurso Especial 2.111.849. Relator: Min. Ricardo Villas Bôas Cueva. Julgado em 9 mar. 2026. DJEN 12 mar. 2026.</w:t>
      </w:r>
    </w:p>
    <w:p>
      <w:pPr>
        <w:pStyle w:val="BodyText"/>
        <w:spacing w:after="80"/>
        <w:jc w:val="both"/>
      </w:pPr>
      <w:r>
        <w:t xml:space="preserve">BRASIL. Superior Tribunal de Justiça. Terceira Turma. Recurso Especial 2.115.471. Relator: Min. Humberto Martins. Julgado em 9 mar. 2026. DJEN 12 mar. 2026.</w:t>
      </w:r>
    </w:p>
    <w:p>
      <w:pPr>
        <w:pStyle w:val="BodyText"/>
        <w:spacing w:after="80"/>
        <w:jc w:val="both"/>
      </w:pPr>
      <w:r>
        <w:t xml:space="preserve">BRASIL. Superior Tribunal de Justiça. Terceira Turma. Recurso Especial 2.124.830. Relator: Min. Ricardo Villas Bôas Cueva. Julgado em 14 maio 2024. DJe 16 maio 2024.</w:t>
      </w:r>
    </w:p>
    <w:p>
      <w:pPr>
        <w:pStyle w:val="BodyText"/>
        <w:spacing w:after="80"/>
        <w:jc w:val="both"/>
      </w:pPr>
      <w:r>
        <w:t xml:space="preserve">BRASIL. Superior Tribunal de Justiça. Terceira Turma. Recurso Especial 2.161.191. Relator: Min. Moura Ribeiro. Julgado em 8 jun. 2026. DJEN 11 jun. 2026.</w:t>
      </w:r>
    </w:p>
    <w:p>
      <w:pPr>
        <w:pStyle w:val="BodyText"/>
        <w:spacing w:after="80"/>
        <w:jc w:val="both"/>
      </w:pPr>
      <w:r>
        <w:t xml:space="preserve">BRASIL. Superior Tribunal de Justiça. Terceira Turma. Recurso Especial 2.173.008. Relatora: Min. Nancy Andrighi. Julgado em 12 maio 2026. DJEN 6 jul. 2026.</w:t>
      </w:r>
    </w:p>
    <w:p>
      <w:pPr>
        <w:pStyle w:val="BodyText"/>
        <w:spacing w:after="80"/>
        <w:jc w:val="both"/>
      </w:pPr>
      <w:r>
        <w:t xml:space="preserve">BRASIL. Superior Tribunal de Justiça. Terceira Turma. Recurso Especial 2.174.214. Relator: Min. Humberto Martins. Julgado em 8 jun. 2026. DJEN 11 jun. 2026.</w:t>
      </w:r>
    </w:p>
    <w:p>
      <w:pPr>
        <w:pStyle w:val="BodyText"/>
        <w:spacing w:after="80"/>
        <w:jc w:val="both"/>
      </w:pPr>
      <w:r>
        <w:t xml:space="preserve">BRASIL. Superior Tribunal de Justiça. Terceira Turma. Recurso Especial 2.174.611. Relator: Min. Moura Ribeiro. Julgado em 9 fev. 2026. DJEN 13 fev. 2026.</w:t>
      </w:r>
    </w:p>
    <w:p>
      <w:pPr>
        <w:pStyle w:val="BodyText"/>
        <w:spacing w:after="80"/>
        <w:jc w:val="both"/>
      </w:pPr>
      <w:r>
        <w:t xml:space="preserve">BRASIL. Superior Tribunal de Justiça. Terceira Turma. Recurso Especial 2.184.115. Relatora: Min. Nancy Andrighi. Julgado em 10 mar. 2026.</w:t>
      </w:r>
    </w:p>
    <w:p>
      <w:pPr>
        <w:pStyle w:val="BodyText"/>
        <w:spacing w:after="80"/>
        <w:jc w:val="both"/>
      </w:pPr>
      <w:r>
        <w:t xml:space="preserve">BRASIL. Superior Tribunal de Justiça. Terceira Turma. Recurso Especial 2.187.534. Relator: Min. Moura Ribeiro. Julgado em 9 fev. 2026. DJEN 13 fev. 2026.</w:t>
      </w:r>
    </w:p>
    <w:p>
      <w:pPr>
        <w:pStyle w:val="BodyText"/>
        <w:spacing w:after="80"/>
        <w:jc w:val="both"/>
      </w:pPr>
      <w:r>
        <w:t xml:space="preserve">BRASIL. Superior Tribunal de Justiça. Terceira Turma. Recurso Especial 2.194.521. Relatora: Min. Nancy Andrighi. Julgado em 16 out. 2025. DJEN 23 out. 2025.</w:t>
      </w:r>
    </w:p>
    <w:p>
      <w:pPr>
        <w:pStyle w:val="BodyText"/>
        <w:spacing w:after="80"/>
        <w:jc w:val="both"/>
      </w:pPr>
      <w:r>
        <w:t xml:space="preserve">BRASIL. Superior Tribunal de Justiça. Terceira Turma. Recurso Especial 2.197.156. Relatora: Min. Nancy Andrighi. Julgado em 3 mar. 2026. DJEN 9 mar. 2026.</w:t>
      </w:r>
    </w:p>
    <w:p>
      <w:pPr>
        <w:pStyle w:val="BodyText"/>
        <w:spacing w:after="80"/>
        <w:jc w:val="both"/>
      </w:pPr>
      <w:r>
        <w:t xml:space="preserve">BRASIL. Superior Tribunal de Justiça. Terceira Turma. Recurso Especial 2.198.361. Relator: Min. Humberto Martins. DJe 16 out. 2025.</w:t>
      </w:r>
    </w:p>
    <w:p>
      <w:pPr>
        <w:pStyle w:val="BodyText"/>
        <w:spacing w:after="80"/>
        <w:jc w:val="both"/>
      </w:pPr>
      <w:r>
        <w:t xml:space="preserve">BRASIL. Superior Tribunal de Justiça. Terceira Turma. Recurso Especial 2.200.460. Relator: Min. Moura Ribeiro. Julgado em 22 abr. 2026. DJEN 28 abr. 2026.</w:t>
      </w:r>
    </w:p>
    <w:p>
      <w:pPr>
        <w:pStyle w:val="BodyText"/>
        <w:spacing w:after="80"/>
        <w:jc w:val="both"/>
      </w:pPr>
      <w:r>
        <w:t xml:space="preserve">BRASIL. Superior Tribunal de Justiça. Terceira Turma. Recurso Especial 2.219.394. Relatora: Min. Nancy Andrighi. Julgado em 12 maio 2026. DJEN 28 maio 2026.</w:t>
      </w:r>
    </w:p>
    <w:p>
      <w:pPr>
        <w:pStyle w:val="BodyText"/>
        <w:spacing w:after="80"/>
        <w:jc w:val="both"/>
      </w:pPr>
      <w:r>
        <w:t xml:space="preserve">BRASIL. Superior Tribunal de Justiça. Terceira Turma. Recurso Especial 2.220.835. Relatora: Min. Nancy Andrighi. Julgado em 3 mar. 2026. DJEN 9 mar. 2026.</w:t>
      </w:r>
    </w:p>
    <w:p>
      <w:pPr>
        <w:pStyle w:val="BodyText"/>
        <w:spacing w:after="80"/>
        <w:jc w:val="both"/>
      </w:pPr>
      <w:r>
        <w:t xml:space="preserve">BRASIL. Superior Tribunal de Justiça. Terceira Turma. Recurso Especial 2.221.778. Relator: Min. Humberto Martins. DJe 16 out. 2025.</w:t>
      </w:r>
    </w:p>
    <w:p>
      <w:pPr>
        <w:pStyle w:val="BodyText"/>
        <w:spacing w:after="80"/>
        <w:jc w:val="both"/>
      </w:pPr>
      <w:r>
        <w:t xml:space="preserve">BRASIL. Superior Tribunal de Justiça. Terceira Turma. Recurso Especial 2.223.695. Relatora: Min. Nancy Andrighi. Julgado em 10 mar. 2026.</w:t>
      </w:r>
    </w:p>
    <w:p>
      <w:pPr>
        <w:pStyle w:val="BodyText"/>
        <w:spacing w:after="80"/>
        <w:jc w:val="both"/>
      </w:pPr>
      <w:r>
        <w:t xml:space="preserve">BRASIL. Superior Tribunal de Justiça. Terceira Turma. Recurso Especial 2.225.725. Relator: Min. Humberto Martins. Julgado em 2 mar. 2026. DJEN 5 mar. 2026.</w:t>
      </w:r>
    </w:p>
    <w:p>
      <w:pPr>
        <w:pStyle w:val="BodyText"/>
        <w:spacing w:after="80"/>
        <w:jc w:val="both"/>
      </w:pPr>
      <w:r>
        <w:t xml:space="preserve">BRASIL. Superior Tribunal de Justiça. Terceira Turma. Recurso Especial 2.240.917. Relator: Min. Ricardo Villas Bôas Cueva. Julgado em 18 ago. 2026.</w:t>
      </w:r>
    </w:p>
    <w:p>
      <w:pPr>
        <w:pStyle w:val="BodyText"/>
        <w:spacing w:after="80"/>
        <w:jc w:val="both"/>
      </w:pPr>
      <w:r>
        <w:t xml:space="preserve">BRASIL. Superior Tribunal de Justiça. Terceira Turma. Recurso Especial 2.251.088. Relator: Min. Humberto Martins. Julgado em 8 jun. 2026. DJEN 11 jun. 2026.</w:t>
      </w:r>
    </w:p>
    <w:p>
      <w:pPr>
        <w:pStyle w:val="BodyText"/>
        <w:spacing w:after="80"/>
        <w:jc w:val="both"/>
      </w:pPr>
      <w:r>
        <w:t xml:space="preserve">BRASIL. Superior Tribunal de Justiça. Terceira Turma. Recurso Especial 2.256.830. Relator: Min. Humberto Martins. Julgado em 8 jun. 2026. DJEN 11 jun. 2026.</w:t>
      </w:r>
    </w:p>
    <w:p>
      <w:pPr>
        <w:pStyle w:val="BodyText"/>
        <w:spacing w:after="80"/>
        <w:jc w:val="both"/>
      </w:pPr>
      <w:r>
        <w:t xml:space="preserve">BRASIL. Superior Tribunal de Justiça. Corte Especial. EAREsp 1.479.019. Relator: Min. João Otávio de Noronha. Julgado em 7 maio 2025. DJEN 19 maio 2025.</w:t>
      </w:r>
    </w:p>
    <w:p>
      <w:pPr>
        <w:pStyle w:val="BodyText"/>
        <w:spacing w:after="80"/>
        <w:jc w:val="both"/>
      </w:pPr>
      <w:r>
        <w:t xml:space="preserve">BRASIL. Superior Tribunal de Justiça. Corte Especial. Recurso Especial 1.324.152. Relator: Min. Luis Felipe Salomão. Julgado em 4 maio 2016. DJe 15 jun. 2016.</w:t>
      </w:r>
    </w:p>
    <w:p>
      <w:pPr>
        <w:pStyle w:val="BodyText"/>
        <w:spacing w:after="80"/>
        <w:jc w:val="both"/>
      </w:pPr>
      <w:r>
        <w:t xml:space="preserve">BRASIL. Superior Tribunal de Justiça. Corte Especial. Recurso Especial 1.820.963. Relatora: Min. Nancy Andrighi. Julgado em 19 out. 2022.</w:t>
      </w:r>
    </w:p>
    <w:p>
      <w:pPr>
        <w:pStyle w:val="BodyText"/>
        <w:spacing w:after="80"/>
        <w:jc w:val="both"/>
      </w:pPr>
      <w:r>
        <w:t xml:space="preserve">BRASIL. Superior Tribunal de Justiça. Corte Especial. Recurso Especial 2.061.973. Relatora: Min. Nancy Andrighi. Julgado em 2 out. 2024. DJe 7 out. 2024.</w:t>
      </w:r>
    </w:p>
    <w:p>
      <w:pPr>
        <w:pStyle w:val="BodyText"/>
        <w:spacing w:after="80"/>
        <w:jc w:val="both"/>
      </w:pPr>
      <w:r>
        <w:t xml:space="preserve">BRASIL. Superior Tribunal de Justiça. Corte Especial. Recurso Especial 2.096.505. Relatora: Min. Nancy Andrighi. Julgado em 4 mar. 2026. DJEN 20 mar. 2026.</w:t>
      </w:r>
    </w:p>
    <w:p>
      <w:pPr>
        <w:pStyle w:val="BodyText"/>
        <w:spacing w:after="80"/>
        <w:jc w:val="both"/>
      </w:pPr>
      <w:r>
        <w:t xml:space="preserve">BRASIL. Superior Tribunal de Justiça. Primeira Seção. Agravo Interno no Conflito de Competência 214.930. Relatora: Min. Maria Thereza de Assis Moura. Julgado em 14 abr. 2026. DJEN 17 abr. 2026.</w:t>
      </w:r>
    </w:p>
    <w:p>
      <w:pPr>
        <w:pStyle w:val="BodyText"/>
        <w:spacing w:after="80"/>
        <w:jc w:val="both"/>
      </w:pPr>
      <w:r>
        <w:t xml:space="preserve">BRASIL. Superior Tribunal de Justiça. Primeira Seção. Conflito de Competência 191.185. Relator: Min. Afrânio Vilela. Julgado em 28 fev. 2024. DJe 4 mar. 2024.</w:t>
      </w:r>
    </w:p>
    <w:p>
      <w:pPr>
        <w:pStyle w:val="BodyText"/>
        <w:spacing w:after="80"/>
        <w:jc w:val="both"/>
      </w:pPr>
      <w:r>
        <w:t xml:space="preserve">BRASIL. Superior Tribunal de Justiça. Primeira Seção. Conflito de Competência 198.794. Relator: Min. Mauro Campbell Marques. Julgado em 23 ago. 2023. DJe 28 ago. 2023.</w:t>
      </w:r>
    </w:p>
    <w:p>
      <w:pPr>
        <w:pStyle w:val="BodyText"/>
        <w:spacing w:after="80"/>
        <w:jc w:val="both"/>
      </w:pPr>
      <w:r>
        <w:t xml:space="preserve">BRASIL. Superior Tribunal de Justiça. Primeira Seção. Recurso Especial 1.474.665. Relator: Min. Benedito Gonçalves. Julgado em 26 abr. 2017. DJe 22 jun. 2017.</w:t>
      </w:r>
    </w:p>
    <w:p>
      <w:pPr>
        <w:pStyle w:val="BodyText"/>
        <w:spacing w:after="80"/>
        <w:jc w:val="both"/>
      </w:pPr>
      <w:r>
        <w:t xml:space="preserve">BRASIL. Superior Tribunal de Justiça. Primeira Seção. Recurso Especial 1.804.186. Relator: Min. Herman Benjamin. Julgado em 12 ago. 2020. DJe 11 set. 2020.</w:t>
      </w:r>
    </w:p>
    <w:p>
      <w:pPr>
        <w:pStyle w:val="BodyText"/>
        <w:spacing w:after="80"/>
        <w:jc w:val="both"/>
      </w:pPr>
      <w:r>
        <w:t xml:space="preserve">BRASIL. Superior Tribunal de Justiça. Primeira Seção. Recurso Especial 2.029.636. Relator: Min. Herman Benjamin. Julgado em 20 jun. 2024. DJe 1 jul. 2024.</w:t>
      </w:r>
    </w:p>
    <w:p>
      <w:pPr>
        <w:pStyle w:val="BodyText"/>
        <w:spacing w:after="80"/>
        <w:jc w:val="both"/>
      </w:pPr>
      <w:r>
        <w:t xml:space="preserve">BRASIL. Superior Tribunal de Justiça. Primeira Seção. Recurso Especial 2.053.306. Relator: Min. Sérgio Kukina. Julgado em 27 nov. 2024. DJe 4 dez. 2024.</w:t>
      </w:r>
    </w:p>
    <w:p>
      <w:pPr>
        <w:pStyle w:val="BodyText"/>
        <w:spacing w:after="80"/>
        <w:jc w:val="both"/>
      </w:pPr>
      <w:r>
        <w:t xml:space="preserve">BRASIL. Superior Tribunal de Justiça. Primeira Seção. Recurso Especial 2.057.984. Relatora: Min. Maria Thereza de Assis Moura. Julgado em 11 jun. 2025. DJEN 16 jun. 2025.</w:t>
      </w:r>
    </w:p>
    <w:p>
      <w:pPr>
        <w:pStyle w:val="BodyText"/>
        <w:spacing w:after="80"/>
        <w:jc w:val="both"/>
      </w:pPr>
      <w:r>
        <w:t xml:space="preserve">BRASIL. Superior Tribunal de Justiça. Primeira Seção. Recurso Especial 2.222.626. Relatora: Min. Maria Thereza de Assis Moura. Julgado em 20 ago. 2026. DJEN 27 ago. 2026.</w:t>
      </w:r>
    </w:p>
    <w:p>
      <w:pPr>
        <w:pStyle w:val="BodyText"/>
        <w:spacing w:after="80"/>
        <w:jc w:val="both"/>
      </w:pPr>
      <w:r>
        <w:t xml:space="preserve">BRASIL. Superior Tribunal de Justiça. Primeira Turma. Agravo Interno no Recurso Especial 2.019.036. Relator: Min. Manoel Erhardt (Desembargador Convocado do TRF5). Julgado em 5 dez. 2022. DJe 7 dez. 2022.</w:t>
      </w:r>
    </w:p>
    <w:p>
      <w:pPr>
        <w:pStyle w:val="BodyText"/>
        <w:spacing w:after="80"/>
        <w:jc w:val="both"/>
      </w:pPr>
      <w:r>
        <w:t xml:space="preserve">BRASIL. Superior Tribunal de Justiça. Quarta Turma. Agravo em Recurso Especial 2.407.683. Relator: Min. Raul Araújo. Julgado em 16 dez. 2025. DJEN 19 dez. 2025.</w:t>
      </w:r>
    </w:p>
    <w:p>
      <w:pPr>
        <w:pStyle w:val="BodyText"/>
        <w:spacing w:after="80"/>
        <w:jc w:val="both"/>
      </w:pPr>
      <w:r>
        <w:t xml:space="preserve">BRASIL. Superior Tribunal de Justiça. Quarta Turma. Agravo em Recurso Especial 2.708.360. Relator: Min. Raul Araújo. Julgado em 9 mar. 2026.</w:t>
      </w:r>
    </w:p>
    <w:p>
      <w:pPr>
        <w:pStyle w:val="BodyText"/>
        <w:spacing w:after="80"/>
        <w:jc w:val="both"/>
      </w:pPr>
      <w:r>
        <w:t xml:space="preserve">BRASIL. Superior Tribunal de Justiça. Quarta Turma. Agravo em Recurso Especial 2.812.711. Relator: Min. Raul Araújo. DJe 29 out. 2025.</w:t>
      </w:r>
    </w:p>
    <w:p>
      <w:pPr>
        <w:pStyle w:val="BodyText"/>
        <w:spacing w:after="80"/>
        <w:jc w:val="both"/>
      </w:pPr>
      <w:r>
        <w:t xml:space="preserve">BRASIL. Superior Tribunal de Justiça. Quarta Turma. Agravo em Recurso Especial 3.070.969. Relator: Min. João Otávio de Noronha. Julgado em 30 jun. 2026.</w:t>
      </w:r>
    </w:p>
    <w:p>
      <w:pPr>
        <w:pStyle w:val="BodyText"/>
        <w:spacing w:after="80"/>
        <w:jc w:val="both"/>
      </w:pPr>
      <w:r>
        <w:t xml:space="preserve">BRASIL. Superior Tribunal de Justiça. Quarta Turma. Agravo em Recurso Especial 3.192.274. Relator: Min. João Otávio de Noronha. Julgado em 12 ago. 2026.</w:t>
      </w:r>
    </w:p>
    <w:p>
      <w:pPr>
        <w:pStyle w:val="BodyText"/>
        <w:spacing w:after="80"/>
        <w:jc w:val="both"/>
      </w:pPr>
      <w:r>
        <w:t xml:space="preserve">BRASIL. Superior Tribunal de Justiça. Quarta Turma. Agravo Interno no Agravo em Recurso Especial 3.049.826. Relatora: Min. Maria Isabel Gallotti. DJe 18 set. 2026.</w:t>
      </w:r>
    </w:p>
    <w:p>
      <w:pPr>
        <w:pStyle w:val="BodyText"/>
        <w:spacing w:after="80"/>
        <w:jc w:val="both"/>
      </w:pPr>
      <w:r>
        <w:t xml:space="preserve">BRASIL. Superior Tribunal de Justiça. Quarta Turma. Agravo Interno no Recurso em Habeas Corpus 228.585. Relatora: Min. Maria Isabel Gallotti. Julgado em 12 ago. 2026.</w:t>
      </w:r>
    </w:p>
    <w:p>
      <w:pPr>
        <w:pStyle w:val="BodyText"/>
        <w:spacing w:after="80"/>
        <w:jc w:val="both"/>
      </w:pPr>
      <w:r>
        <w:t xml:space="preserve">BRASIL. Superior Tribunal de Justiça. Quarta Turma. Agravo Interno no Recurso Especial 1.769.265. Relatora: Min. Maria Isabel Gallotti. Julgado em 12 ago. 2026. DJEN 17 ago. 2026.</w:t>
      </w:r>
    </w:p>
    <w:p>
      <w:pPr>
        <w:pStyle w:val="BodyText"/>
        <w:spacing w:after="80"/>
        <w:jc w:val="both"/>
      </w:pPr>
      <w:r>
        <w:t xml:space="preserve">BRASIL. Superior Tribunal de Justiça. Quarta Turma. Agravo Interno no Recurso Especial 2.254.607. Relator: Min. Raul Araújo. DJe 25 set. 2026.</w:t>
      </w:r>
    </w:p>
    <w:p>
      <w:pPr>
        <w:pStyle w:val="BodyText"/>
        <w:spacing w:after="80"/>
        <w:jc w:val="both"/>
      </w:pPr>
      <w:r>
        <w:t xml:space="preserve">BRASIL. Superior Tribunal de Justiça. Quarta Turma. Agravo Interno no Recurso Especial 2.269.833. Relatora: Min. Maria Isabel Gallotti. DJe 1 out. 2026.</w:t>
      </w:r>
    </w:p>
    <w:p>
      <w:pPr>
        <w:pStyle w:val="BodyText"/>
        <w:spacing w:after="80"/>
        <w:jc w:val="both"/>
      </w:pPr>
      <w:r>
        <w:t xml:space="preserve">BRASIL. Superior Tribunal de Justiça. Quarta Turma. Recurso Especial 1.693.784. Relator: Min. Luis Felipe Salomão. Julgado em 28 nov. 2017. DJe 5 fev. 2018.</w:t>
      </w:r>
    </w:p>
    <w:p>
      <w:pPr>
        <w:pStyle w:val="BodyText"/>
        <w:spacing w:after="80"/>
        <w:jc w:val="both"/>
      </w:pPr>
      <w:r>
        <w:t xml:space="preserve">BRASIL. Superior Tribunal de Justiça. Quarta Turma. Recurso Especial 1.963.548. Relatora: Min. Maria Isabel Gallotti. Julgado em 30 jun. 2026. DJEN 3 jul. 2026.</w:t>
      </w:r>
    </w:p>
    <w:p>
      <w:pPr>
        <w:pStyle w:val="BodyText"/>
        <w:spacing w:after="80"/>
        <w:jc w:val="both"/>
      </w:pPr>
      <w:r>
        <w:t xml:space="preserve">BRASIL. Superior Tribunal de Justiça. Quarta Turma. Recurso Especial 2.199.837. Relator: Min. João Otávio de Noronha. Julgado em 22 jun. 2026. DJEN 26 jun. 2026.</w:t>
      </w:r>
    </w:p>
    <w:p>
      <w:pPr>
        <w:pStyle w:val="BodyText"/>
        <w:spacing w:after="80"/>
        <w:jc w:val="both"/>
      </w:pPr>
      <w:r>
        <w:t xml:space="preserve">BRASIL. Superior Tribunal de Justiça. Quarta Turma. Recurso Especial 2.235.890. Relator: Min. João Otávio de Noronha. Julgado em 9 fev. 2026. DJEN 13 fev. 2026.</w:t>
      </w:r>
    </w:p>
    <w:p>
      <w:pPr>
        <w:pStyle w:val="BodyText"/>
        <w:spacing w:after="80"/>
        <w:jc w:val="both"/>
      </w:pPr>
      <w:r>
        <w:t xml:space="preserve">BRASIL. Superior Tribunal de Justiça. Segunda Seção. Agravo Interno nos Embargos de Declaração no Conflito de Competência 186.202. Relator: Min. Luis Felipe Salomão. Julgado em 24 ago. 2022. DJe 30 ago. 2022.</w:t>
      </w:r>
    </w:p>
    <w:p>
      <w:pPr>
        <w:pStyle w:val="BodyText"/>
        <w:spacing w:after="80"/>
        <w:jc w:val="both"/>
      </w:pPr>
      <w:r>
        <w:t xml:space="preserve">BRASIL. Superior Tribunal de Justiça. Segunda Turma. Agravo em Recurso Especial 2.079.649. Relator: Min. Francisco Falcão. Julgado em 7 mar. 2023. DJe 10 mar. 2023.</w:t>
      </w:r>
    </w:p>
    <w:p>
      <w:pPr>
        <w:pStyle w:val="BodyText"/>
        <w:spacing w:after="80"/>
        <w:jc w:val="both"/>
      </w:pPr>
      <w:r>
        <w:t xml:space="preserve">BRASIL. Superior Tribunal de Justiça. Segunda Turma. Agravo em Recurso Especial 3.154.571. Relator: Min. Teodoro Silva Santos. Julgado em 12 ago. 2026. DJEN 18 ago. 2026.</w:t>
      </w:r>
    </w:p>
    <w:p>
      <w:pPr>
        <w:pStyle w:val="BodyText"/>
        <w:spacing w:after="80"/>
        <w:jc w:val="both"/>
      </w:pPr>
      <w:r>
        <w:t xml:space="preserve">BRASIL. Superior Tribunal de Justiça. Segunda Turma. Agravo Interno no Agravo em Recurso Especial 3.102.461. Relator: Min. Marco Aurélio Bellizze. Julgado em 24 jun. 2026.</w:t>
      </w:r>
    </w:p>
    <w:p>
      <w:pPr>
        <w:pStyle w:val="BodyText"/>
        <w:spacing w:after="80"/>
        <w:jc w:val="both"/>
      </w:pPr>
      <w:r>
        <w:t xml:space="preserve">BRASIL. Superior Tribunal de Justiça. Segunda Turma. Agravo Interno no Recurso Especial 2.012.959. Relator: Min. Herman Benjamin. DJe 4 nov. 2022.</w:t>
      </w:r>
    </w:p>
    <w:p>
      <w:pPr>
        <w:pStyle w:val="BodyText"/>
        <w:spacing w:after="80"/>
        <w:jc w:val="both"/>
      </w:pPr>
      <w:r>
        <w:t xml:space="preserve">BRASIL. Superior Tribunal de Justiça. Terceira Turma. Agravo em Recurso Especial 3.137.923. Relator: Min. Moura Ribeiro. Julgado em 30 jun. 2026.</w:t>
      </w:r>
    </w:p>
    <w:p>
      <w:pPr>
        <w:pStyle w:val="BodyText"/>
        <w:spacing w:after="80"/>
        <w:jc w:val="both"/>
      </w:pPr>
      <w:r>
        <w:t xml:space="preserve">BRASIL. Superior Tribunal de Justiça. Terceira Turma. Agravo Interno na TutCautAnt 144. Relator: Min. Marco Aurélio Bellizze. Julgado em 26 fev. 2024. DJe 28 fev. 2024.</w:t>
      </w:r>
    </w:p>
    <w:p>
      <w:pPr>
        <w:pStyle w:val="BodyText"/>
        <w:spacing w:after="80"/>
        <w:jc w:val="both"/>
      </w:pPr>
      <w:r>
        <w:t xml:space="preserve">BRASIL. Superior Tribunal de Justiça. Terceira Turma. Recurso Especial 1.708.348. Relator: Min. Marco Aurélio Bellizze. Julgado em 25 jun. 2019. DJe 1 ago. 2019.</w:t>
      </w:r>
    </w:p>
    <w:p>
      <w:pPr>
        <w:pStyle w:val="BodyText"/>
        <w:spacing w:after="80"/>
        <w:jc w:val="both"/>
      </w:pPr>
      <w:r>
        <w:t xml:space="preserve">BRASIL. Superior Tribunal de Justiça. Terceira Turma. Recurso Especial 1.761.068. Relator: Min. Ricardo Villas Bôas Cueva. Julgado em 15 dez. 2020. DJe 18 dez. 2020.</w:t>
      </w:r>
    </w:p>
    <w:p>
      <w:pPr>
        <w:pStyle w:val="BodyText"/>
        <w:spacing w:after="80"/>
        <w:jc w:val="both"/>
      </w:pPr>
      <w:r>
        <w:t xml:space="preserve">BRASIL. Superior Tribunal de Justiça. Terceira Turma. Recurso Especial 1.773.359. Relator: Min. Marco Aurélio Bellizze. Julgado em 13 ago. 2019. DJe 16 ago. 2019.</w:t>
      </w:r>
    </w:p>
    <w:p>
      <w:pPr>
        <w:pStyle w:val="BodyText"/>
        <w:spacing w:after="80"/>
        <w:jc w:val="both"/>
      </w:pPr>
      <w:r>
        <w:t xml:space="preserve">BRASIL. Superior Tribunal de Justiça. Terceira Turma. Recurso Especial 1.834.337. Relatora: Min. Nancy Andrighi. Julgado em 3 dez. 2019. DJe 5 dez. 2019.</w:t>
      </w:r>
    </w:p>
    <w:p>
      <w:pPr>
        <w:pStyle w:val="BodyText"/>
        <w:spacing w:after="80"/>
        <w:jc w:val="both"/>
      </w:pPr>
      <w:r>
        <w:t xml:space="preserve">BRASIL. Superior Tribunal de Justiça. Terceira Turma. Recurso Especial 1.914.052. Relator: Min. Marco Aurélio Bellizze. Julgado em 22 jun. 2021. DJe 28 jun. 2021.</w:t>
      </w:r>
    </w:p>
    <w:p>
      <w:pPr>
        <w:pStyle w:val="BodyText"/>
        <w:spacing w:after="80"/>
        <w:jc w:val="both"/>
      </w:pPr>
      <w:r>
        <w:t xml:space="preserve">BRASIL. Superior Tribunal de Justiça. Terceira Turma. Recurso Especial 1.997.512. Relator: Min. Ricardo Villas Bôas Cueva. Julgado em 17 mar. 2026. DJEN 20 mar. 2026.</w:t>
      </w:r>
    </w:p>
    <w:p>
      <w:pPr>
        <w:pStyle w:val="BodyText"/>
        <w:spacing w:after="80"/>
        <w:jc w:val="both"/>
      </w:pPr>
      <w:r>
        <w:t xml:space="preserve">BRASIL. Superior Tribunal de Justiça. Terceira Turma. Recurso Especial 2.004.516. Relatora: Min. Nancy Andrighi. Julgado em 18 out. 2022. DJe 21 out. 2022.</w:t>
      </w:r>
    </w:p>
    <w:p>
      <w:pPr>
        <w:pStyle w:val="BodyText"/>
        <w:spacing w:after="80"/>
        <w:jc w:val="both"/>
      </w:pPr>
      <w:r>
        <w:t xml:space="preserve">BRASIL. Superior Tribunal de Justiça. Terceira Turma. Recurso Especial 2.013.922. Relator: Min. Humberto Martins. Julgado em 11 nov. 2025. DJEN 27 nov. 2025.</w:t>
      </w:r>
    </w:p>
    <w:p>
      <w:pPr>
        <w:pStyle w:val="BodyText"/>
        <w:spacing w:after="80"/>
        <w:jc w:val="both"/>
      </w:pPr>
      <w:r>
        <w:t xml:space="preserve">BRASIL. Superior Tribunal de Justiça. Terceira Turma. Recurso Especial 2.077.121. Relator: Min. Marco Aurélio Bellizze. Julgado em 8 ago. 2023. DJe 15 ago. 2023.</w:t>
      </w:r>
    </w:p>
    <w:p>
      <w:pPr>
        <w:pStyle w:val="BodyText"/>
        <w:spacing w:after="80"/>
        <w:jc w:val="both"/>
      </w:pPr>
      <w:r>
        <w:t xml:space="preserve">BRASIL. Superior Tribunal de Justiça. Terceira Turma. Recurso Especial 2.100.037. Relator: Min. Humberto Martins. Julgado em 13 out. 2025. DJEN 16 out. 2025.</w:t>
      </w:r>
    </w:p>
    <w:p>
      <w:pPr>
        <w:pStyle w:val="BodyText"/>
        <w:spacing w:after="80"/>
        <w:jc w:val="both"/>
      </w:pPr>
      <w:r>
        <w:t xml:space="preserve">BRASIL. Superior Tribunal de Justiça. Terceira Turma. Recurso Especial 2.236.955. Relator: Min. Ricardo Villas Bôas Cueva. Julgado em 9 mar. 2026. DJEN 12 mar. 2026.</w:t>
      </w:r>
    </w:p>
    <w:p>
      <w:pPr>
        <w:pStyle w:val="BodyText"/>
        <w:spacing w:after="80"/>
        <w:jc w:val="both"/>
      </w:pPr>
      <w:r>
        <w:t xml:space="preserve">BRASIL. Superior Tribunal de Justiça. Corte Especial. Recurso Especial 956.943. Relatora: Min. Nancy Andrighi. Julgado em 20 ago. 2014. DJe 1 dez. 2014.</w:t>
      </w:r>
    </w:p>
    <w:p>
      <w:pPr>
        <w:pStyle w:val="BodyText"/>
        <w:spacing w:after="80"/>
        <w:jc w:val="both"/>
      </w:pPr>
      <w:r>
        <w:t xml:space="preserve">BRASIL. Superior Tribunal de Justiça. Corte Especial. Súmula 292.</w:t>
      </w:r>
    </w:p>
    <w:p>
      <w:pPr>
        <w:pStyle w:val="BodyText"/>
        <w:spacing w:after="80"/>
        <w:jc w:val="both"/>
      </w:pPr>
      <w:r>
        <w:t xml:space="preserve">BRASIL. Superior Tribunal de Justiça. Corte Especial. Súmula 303.</w:t>
      </w:r>
    </w:p>
    <w:p>
      <w:pPr>
        <w:pStyle w:val="BodyText"/>
        <w:spacing w:after="80"/>
        <w:jc w:val="both"/>
      </w:pPr>
      <w:r>
        <w:t xml:space="preserve">BRASIL. Superior Tribunal de Justiça. Corte Especial. Súmula 339.</w:t>
      </w:r>
    </w:p>
    <w:p>
      <w:pPr>
        <w:pStyle w:val="BodyText"/>
        <w:spacing w:after="80"/>
        <w:jc w:val="both"/>
      </w:pPr>
      <w:r>
        <w:t xml:space="preserve">BRASIL. Superior Tribunal de Justiça. Corte Especial. Súmula 375.</w:t>
      </w:r>
    </w:p>
    <w:p>
      <w:pPr>
        <w:pStyle w:val="BodyText"/>
        <w:spacing w:after="80"/>
        <w:jc w:val="both"/>
      </w:pPr>
      <w:r>
        <w:t xml:space="preserve">BRASIL. Superior Tribunal de Justiça. Corte Especial. Súmula 84.</w:t>
      </w:r>
    </w:p>
    <w:p>
      <w:pPr>
        <w:pStyle w:val="BodyText"/>
        <w:spacing w:after="80"/>
        <w:jc w:val="both"/>
      </w:pPr>
      <w:r>
        <w:t xml:space="preserve">BRASIL. Superior Tribunal de Justiça. Primeira Seção. Agravo Interno na PET na ExeMS 20.231. Relatora: Min. Regina Helena Costa. Julgado em 12 nov. 2025. DJEN 24 nov. 2025.</w:t>
      </w:r>
    </w:p>
    <w:p>
      <w:pPr>
        <w:pStyle w:val="BodyText"/>
        <w:spacing w:after="80"/>
        <w:jc w:val="both"/>
      </w:pPr>
      <w:r>
        <w:t xml:space="preserve">BRASIL. Superior Tribunal de Justiça. Primeira Seção. Recurso Especial 1.896.526. Relatora: Min. Regina Helena Costa. Julgado em 26 out. 2022. DJe 28 out. 2022.</w:t>
      </w:r>
    </w:p>
    <w:p>
      <w:pPr>
        <w:pStyle w:val="BodyText"/>
        <w:spacing w:after="80"/>
        <w:jc w:val="both"/>
      </w:pPr>
      <w:r>
        <w:t xml:space="preserve">BRASIL. Superior Tribunal de Justiça. Primeira Turma. Agravo Interno no Recurso Especial 1.725.179. Relator: Min. Sérgio Kukina. Julgado em 12 dez. 2022. DJe 15 dez. 2022.</w:t>
      </w:r>
    </w:p>
    <w:p>
      <w:pPr>
        <w:pStyle w:val="BodyText"/>
        <w:spacing w:after="80"/>
        <w:jc w:val="both"/>
      </w:pPr>
      <w:r>
        <w:t xml:space="preserve">BRASIL. Superior Tribunal de Justiça. Primeira Turma. Agravo Interno no Recurso Especial 2.132.010. Relator: Min. Paulo Sérgio Domingues. Julgado em 9 jun. 2025. DJEN 12 jun. 2025.</w:t>
      </w:r>
    </w:p>
    <w:p>
      <w:pPr>
        <w:pStyle w:val="BodyText"/>
        <w:spacing w:after="80"/>
        <w:jc w:val="both"/>
      </w:pPr>
      <w:r>
        <w:t xml:space="preserve">BRASIL. Superior Tribunal de Justiça. Primeira Turma. Agravo Interno no Recurso Especial 2.256.629. Relatora: Min. Regina Helena Costa. Julgado em 30 jun. 2026.</w:t>
      </w:r>
    </w:p>
    <w:p>
      <w:pPr>
        <w:pStyle w:val="BodyText"/>
        <w:spacing w:after="80"/>
        <w:jc w:val="both"/>
      </w:pPr>
      <w:r>
        <w:t xml:space="preserve">BRASIL. Superior Tribunal de Justiça. Primeira Turma. Recurso Especial 2.167.136. Relator: Min. Gurgel de Faria. Julgado em 9 jun. 2026.</w:t>
      </w:r>
    </w:p>
    <w:p>
      <w:pPr>
        <w:pStyle w:val="BodyText"/>
        <w:spacing w:after="80"/>
        <w:jc w:val="both"/>
      </w:pPr>
      <w:r>
        <w:t xml:space="preserve">BRASIL. Superior Tribunal de Justiça. Quarta Turma. Agravo em Recurso Especial 1.635.102. Relator: Min. Raul Araújo. Julgado em 31 mar. 2025. DJEN 10 abr. 2025.</w:t>
      </w:r>
    </w:p>
    <w:p>
      <w:pPr>
        <w:pStyle w:val="BodyText"/>
        <w:spacing w:after="80"/>
        <w:jc w:val="both"/>
      </w:pPr>
      <w:r>
        <w:t xml:space="preserve">BRASIL. Superior Tribunal de Justiça. Quarta Turma. Agravo em Recurso Especial 2.227.489. Relator: Min. Raul Araújo. Julgado em 11 maio 2026.</w:t>
      </w:r>
    </w:p>
    <w:p>
      <w:pPr>
        <w:pStyle w:val="BodyText"/>
        <w:spacing w:after="80"/>
        <w:jc w:val="both"/>
      </w:pPr>
      <w:r>
        <w:t xml:space="preserve">BRASIL. Superior Tribunal de Justiça. Quarta Turma. Agravo em Recurso Especial 2.601.607. Relator: Min. Raul Araújo. Julgado em 22 set. 2025. DJEN 26 set. 2025.</w:t>
      </w:r>
    </w:p>
    <w:p>
      <w:pPr>
        <w:pStyle w:val="BodyText"/>
        <w:spacing w:after="80"/>
        <w:jc w:val="both"/>
      </w:pPr>
      <w:r>
        <w:t xml:space="preserve">BRASIL. Superior Tribunal de Justiça. Quarta Turma. Agravo em Recurso Especial 2.640.027. Relator: Min. João Otávio de Noronha. Julgado em 16 mar. 2026. DJEN 19 mar. 2026.</w:t>
      </w:r>
    </w:p>
    <w:p>
      <w:pPr>
        <w:pStyle w:val="BodyText"/>
        <w:spacing w:after="80"/>
        <w:jc w:val="both"/>
      </w:pPr>
      <w:r>
        <w:t xml:space="preserve">BRASIL. Superior Tribunal de Justiça. Quarta Turma. Agravo em Recurso Especial 2.751.613. Relator: Min. Raul Araújo. Julgado em 16 mar. 2026. DJEN 23 mar. 2026.</w:t>
      </w:r>
    </w:p>
    <w:p>
      <w:pPr>
        <w:pStyle w:val="BodyText"/>
        <w:spacing w:after="80"/>
        <w:jc w:val="both"/>
      </w:pPr>
      <w:r>
        <w:t xml:space="preserve">BRASIL. Superior Tribunal de Justiça. Quarta Turma. Agravo em Recurso Especial 2.759.674. Relator: Min. João Otávio de Noronha. Julgado em 9 fev. 2026. DJEN 12 fev. 2026.</w:t>
      </w:r>
    </w:p>
    <w:p>
      <w:pPr>
        <w:pStyle w:val="BodyText"/>
        <w:spacing w:after="80"/>
        <w:jc w:val="both"/>
      </w:pPr>
      <w:r>
        <w:t xml:space="preserve">BRASIL. Superior Tribunal de Justiça. Quarta Turma. Agravo em Recurso Especial 2.760.316. Relator: Min. Raul Araújo. Julgado em 9 mar. 2026.</w:t>
      </w:r>
    </w:p>
    <w:p>
      <w:pPr>
        <w:pStyle w:val="BodyText"/>
        <w:spacing w:after="80"/>
        <w:jc w:val="both"/>
      </w:pPr>
      <w:r>
        <w:t xml:space="preserve">BRASIL. Superior Tribunal de Justiça. Quarta Turma. Agravo em Recurso Especial 2.764.416. Relator: Min. João Otávio de Noronha. Julgado em 4 maio 2026. DJEN 7 maio 2026.</w:t>
      </w:r>
    </w:p>
    <w:p>
      <w:pPr>
        <w:pStyle w:val="BodyText"/>
        <w:spacing w:after="80"/>
        <w:jc w:val="both"/>
      </w:pPr>
      <w:r>
        <w:t xml:space="preserve">BRASIL. Superior Tribunal de Justiça. Quarta Turma. Agravo em Recurso Especial 2.886.822. Relator: Min. João Otávio de Noronha. Julgado em 16 mar. 2026.</w:t>
      </w:r>
    </w:p>
    <w:p>
      <w:pPr>
        <w:pStyle w:val="BodyText"/>
        <w:spacing w:after="80"/>
        <w:jc w:val="both"/>
      </w:pPr>
      <w:r>
        <w:t xml:space="preserve">BRASIL. Superior Tribunal de Justiça. Quarta Turma. Agravo em Recurso Especial 2.895.747. Relator: Min. Raul Araújo. Julgado em 20 out. 2025. DJEN 29 out. 2025.</w:t>
      </w:r>
    </w:p>
    <w:p>
      <w:pPr>
        <w:pStyle w:val="BodyText"/>
        <w:spacing w:after="80"/>
        <w:jc w:val="both"/>
      </w:pPr>
      <w:r>
        <w:t xml:space="preserve">BRASIL. Superior Tribunal de Justiça. Quarta Turma. Agravo em Recurso Especial 2.943.741. Relator: Min. João Otávio de Noronha. Julgado em 16 mar. 2026.</w:t>
      </w:r>
    </w:p>
    <w:p>
      <w:pPr>
        <w:pStyle w:val="BodyText"/>
        <w:spacing w:after="80"/>
        <w:jc w:val="both"/>
      </w:pPr>
      <w:r>
        <w:t xml:space="preserve">BRASIL. Superior Tribunal de Justiça. Quarta Turma. Agravo em Recurso Especial 2.975.668. Relator: Min. João Otávio de Noronha. Julgado em 30 jun. 2026.</w:t>
      </w:r>
    </w:p>
    <w:p>
      <w:pPr>
        <w:pStyle w:val="BodyText"/>
        <w:spacing w:after="80"/>
        <w:jc w:val="both"/>
      </w:pPr>
      <w:r>
        <w:t xml:space="preserve">BRASIL. Superior Tribunal de Justiça. Quarta Turma. Agravo em Recurso Especial 3.054.913. Relator: Min. João Otávio de Noronha. Julgado em 11 maio 2026. DJEN 14 maio 2026.</w:t>
      </w:r>
    </w:p>
    <w:p>
      <w:pPr>
        <w:pStyle w:val="BodyText"/>
        <w:spacing w:after="80"/>
        <w:jc w:val="both"/>
      </w:pPr>
      <w:r>
        <w:t xml:space="preserve">BRASIL. Superior Tribunal de Justiça. Quarta Turma. Agravo em Recurso Especial 3.057.382. Relator: Min. João Otávio de Noronha. Julgado em 22 abr. 2026. DJEN 27 abr. 2026.</w:t>
      </w:r>
    </w:p>
    <w:p>
      <w:pPr>
        <w:pStyle w:val="BodyText"/>
        <w:spacing w:after="80"/>
        <w:jc w:val="both"/>
      </w:pPr>
      <w:r>
        <w:t xml:space="preserve">BRASIL. Superior Tribunal de Justiça. Quarta Turma. Agravo em Recurso Especial 3.099.910. Relator: Min. João Otávio de Noronha. Julgado em 16 mar. 2026.</w:t>
      </w:r>
    </w:p>
    <w:p>
      <w:pPr>
        <w:pStyle w:val="BodyText"/>
        <w:spacing w:after="80"/>
        <w:jc w:val="both"/>
      </w:pPr>
      <w:r>
        <w:t xml:space="preserve">BRASIL. Superior Tribunal de Justiça. Quarta Turma. Agravo em Recurso Especial 3.149.760. Relator: Min. Raul Araújo. Julgado em 18 maio 2026.</w:t>
      </w:r>
    </w:p>
    <w:p>
      <w:pPr>
        <w:pStyle w:val="BodyText"/>
        <w:spacing w:after="80"/>
        <w:jc w:val="both"/>
      </w:pPr>
      <w:r>
        <w:t xml:space="preserve">BRASIL. Superior Tribunal de Justiça. Quarta Turma. Agravo em Recurso Especial 3.160.120. Relator: Min. João Otávio de Noronha. Julgado em 1 jun. 2026.</w:t>
      </w:r>
    </w:p>
    <w:p>
      <w:pPr>
        <w:pStyle w:val="BodyText"/>
        <w:spacing w:after="80"/>
        <w:jc w:val="both"/>
      </w:pPr>
      <w:r>
        <w:t xml:space="preserve">BRASIL. Superior Tribunal de Justiça. Quarta Turma. Agravo em Recurso Especial 3.192.632. Relator: Min. Raul Araújo. Julgado em 22 jun. 2026. DJEN 29 jun. 2026.</w:t>
      </w:r>
    </w:p>
    <w:p>
      <w:pPr>
        <w:pStyle w:val="BodyText"/>
        <w:spacing w:after="80"/>
        <w:jc w:val="both"/>
      </w:pPr>
      <w:r>
        <w:t xml:space="preserve">BRASIL. Superior Tribunal de Justiça. Quarta Turma. Agravo em Recurso Especial 3.216.342. Relator: Min. João Otávio de Noronha. Julgado em 15 jun. 2026.</w:t>
      </w:r>
    </w:p>
    <w:p>
      <w:pPr>
        <w:pStyle w:val="BodyText"/>
        <w:spacing w:after="80"/>
        <w:jc w:val="both"/>
      </w:pPr>
      <w:r>
        <w:t xml:space="preserve">BRASIL. Superior Tribunal de Justiça. Quarta Turma. Agravo Interno no Agravo em Recurso Especial 1.414.100. Relator: Min. Raul Araújo. DJe 8 nov. 2023.</w:t>
      </w:r>
    </w:p>
    <w:p>
      <w:pPr>
        <w:pStyle w:val="BodyText"/>
        <w:spacing w:after="80"/>
        <w:jc w:val="both"/>
      </w:pPr>
      <w:r>
        <w:t xml:space="preserve">BRASIL. Superior Tribunal de Justiça. Quarta Turma. Agravo Interno no Agravo em Recurso Especial 1.906.915. Relator: Min. Raul Araújo. Julgado em 1 jun. 2026. DJEN 9 jun. 2026.</w:t>
      </w:r>
    </w:p>
    <w:p>
      <w:pPr>
        <w:pStyle w:val="BodyText"/>
        <w:spacing w:after="80"/>
        <w:jc w:val="both"/>
      </w:pPr>
      <w:r>
        <w:t xml:space="preserve">BRASIL. Superior Tribunal de Justiça. Quarta Turma. Agravo Interno no Agravo em Recurso Especial 2.859.369. Relator: Min. Raul Araújo.</w:t>
      </w:r>
    </w:p>
    <w:p>
      <w:pPr>
        <w:pStyle w:val="BodyText"/>
        <w:spacing w:after="80"/>
        <w:jc w:val="both"/>
      </w:pPr>
      <w:r>
        <w:t xml:space="preserve">BRASIL. Superior Tribunal de Justiça. Quarta Turma. Agravo Interno no Recurso Especial 1.720.466. Relatora: Min. Maria Isabel Gallotti. Julgado em 15 jun. 2026.</w:t>
      </w:r>
    </w:p>
    <w:p>
      <w:pPr>
        <w:pStyle w:val="BodyText"/>
        <w:spacing w:after="80"/>
        <w:jc w:val="both"/>
      </w:pPr>
      <w:r>
        <w:t xml:space="preserve">BRASIL. Superior Tribunal de Justiça. Quarta Turma. Agravo Interno no Recurso Especial 2.107.542. Relator: Min. Luís Carlos Gambogi (Desembargador Convocado do Tjmg). Julgado em 19 maio 2026.</w:t>
      </w:r>
    </w:p>
    <w:p>
      <w:pPr>
        <w:pStyle w:val="BodyText"/>
        <w:spacing w:after="80"/>
        <w:jc w:val="both"/>
      </w:pPr>
      <w:r>
        <w:t xml:space="preserve">BRASIL. Superior Tribunal de Justiça. Quarta Turma. Agravo Interno no Recurso Especial 2.164.065. Relator: Min. Luís Carlos Gambogi (Desembargador Convocado do Tjmg). Julgado em 15 jun. 2026.</w:t>
      </w:r>
    </w:p>
    <w:p>
      <w:pPr>
        <w:pStyle w:val="BodyText"/>
        <w:spacing w:after="80"/>
        <w:jc w:val="both"/>
      </w:pPr>
      <w:r>
        <w:t xml:space="preserve">BRASIL. Superior Tribunal de Justiça. Quarta Turma. Recurso Especial 1.236.057. Relator: Min. Antonio Carlos Ferreira. Julgado em 6 abr. 2021. DJe 28 abr. 2021.</w:t>
      </w:r>
    </w:p>
    <w:p>
      <w:pPr>
        <w:pStyle w:val="BodyText"/>
        <w:spacing w:after="80"/>
        <w:jc w:val="both"/>
      </w:pPr>
      <w:r>
        <w:t xml:space="preserve">BRASIL. Superior Tribunal de Justiça. Quarta Turma. Recurso Especial 1.372.139. Relatora: Min. Maria Isabel Gallotti. Julgado em 28 fev. 2023. DJe 14 mar. 2023.</w:t>
      </w:r>
    </w:p>
    <w:p>
      <w:pPr>
        <w:pStyle w:val="BodyText"/>
        <w:spacing w:after="80"/>
        <w:jc w:val="both"/>
      </w:pPr>
      <w:r>
        <w:t xml:space="preserve">BRASIL. Superior Tribunal de Justiça. Quarta Turma. Recurso Especial 1.549.348. Relatora: Min. Maria Isabel Gallotti. Julgado em 9 mar. 2026. DJEN 13 mar. 2026.</w:t>
      </w:r>
    </w:p>
    <w:p>
      <w:pPr>
        <w:pStyle w:val="BodyText"/>
        <w:spacing w:after="80"/>
        <w:jc w:val="both"/>
      </w:pPr>
      <w:r>
        <w:t xml:space="preserve">BRASIL. Superior Tribunal de Justiça. Quarta Turma. Recurso Especial 1.707.014. Relator: Min. Luis Felipe Salomão. Julgado em 2 mar. 2021. DJe 4 jun. 2021.</w:t>
      </w:r>
    </w:p>
    <w:p>
      <w:pPr>
        <w:pStyle w:val="BodyText"/>
        <w:spacing w:after="80"/>
        <w:jc w:val="both"/>
      </w:pPr>
      <w:r>
        <w:t xml:space="preserve">BRASIL. Superior Tribunal de Justiça. Quarta Turma. Recurso Especial 1.808.767. Relator: Min. Luis Felipe Salomão. Julgado em 15 out. 2019. DJe 3 dez. 2019.</w:t>
      </w:r>
    </w:p>
    <w:p>
      <w:pPr>
        <w:pStyle w:val="BodyText"/>
        <w:spacing w:after="80"/>
        <w:jc w:val="both"/>
      </w:pPr>
      <w:r>
        <w:t xml:space="preserve">BRASIL. Superior Tribunal de Justiça. Quarta Turma. Recurso Especial 1.938.281. Relatora: Min. Maria Isabel Gallotti. Julgado em 30 jun. 2026.</w:t>
      </w:r>
    </w:p>
    <w:p>
      <w:pPr>
        <w:pStyle w:val="BodyText"/>
        <w:spacing w:after="80"/>
        <w:jc w:val="both"/>
      </w:pPr>
      <w:r>
        <w:t xml:space="preserve">BRASIL. Superior Tribunal de Justiça. Quarta Turma. Recurso Especial 1.990.608. Relator: Min. João Otávio de Noronha. Julgado em 9 mar. 2026.</w:t>
      </w:r>
    </w:p>
    <w:p>
      <w:pPr>
        <w:pStyle w:val="BodyText"/>
        <w:spacing w:after="80"/>
        <w:jc w:val="both"/>
      </w:pPr>
      <w:r>
        <w:t xml:space="preserve">BRASIL. Superior Tribunal de Justiça. Quarta Turma. Recurso Especial 2.082.580. Relator: Min. João Otávio de Noronha. Julgado em 9 mar. 2026. DJEN 12 mar. 2026.</w:t>
      </w:r>
    </w:p>
    <w:p>
      <w:pPr>
        <w:pStyle w:val="BodyText"/>
        <w:spacing w:after="80"/>
        <w:jc w:val="both"/>
      </w:pPr>
      <w:r>
        <w:t xml:space="preserve">BRASIL. Superior Tribunal de Justiça. Quarta Turma. Recurso Especial 2.156.970. Relator: Min. João Otávio de Noronha. Julgado em 12 ago. 2026. DJEN 17 ago. 2026.</w:t>
      </w:r>
    </w:p>
    <w:p>
      <w:pPr>
        <w:pStyle w:val="BodyText"/>
        <w:spacing w:after="80"/>
        <w:jc w:val="both"/>
      </w:pPr>
      <w:r>
        <w:t xml:space="preserve">BRASIL. Superior Tribunal de Justiça. Quarta Turma. Recurso Especial 2.159.015. Relator: Min. João Otávio de Noronha. Julgado em 9 fev. 2026. DJEN 12 fev. 2026.</w:t>
      </w:r>
    </w:p>
    <w:p>
      <w:pPr>
        <w:pStyle w:val="BodyText"/>
        <w:spacing w:after="80"/>
        <w:jc w:val="both"/>
      </w:pPr>
      <w:r>
        <w:t xml:space="preserve">BRASIL. Superior Tribunal de Justiça. Quarta Turma. Recurso Especial 2.161.064. Relatora: Min. Maria Isabel Gallotti. Julgado em 9 mar. 2026. DJEN 13 mar. 2026.</w:t>
      </w:r>
    </w:p>
    <w:p>
      <w:pPr>
        <w:pStyle w:val="BodyText"/>
        <w:spacing w:after="80"/>
        <w:jc w:val="both"/>
      </w:pPr>
      <w:r>
        <w:t xml:space="preserve">BRASIL. Superior Tribunal de Justiça. Quarta Turma. Recurso Especial 2.162.164. Relator: Min. João Otávio de Noronha. Julgado em 16 mar. 2026. DJEN 19 mar. 2026.</w:t>
      </w:r>
    </w:p>
    <w:p>
      <w:pPr>
        <w:pStyle w:val="BodyText"/>
        <w:spacing w:after="80"/>
        <w:jc w:val="both"/>
      </w:pPr>
      <w:r>
        <w:t xml:space="preserve">BRASIL. Superior Tribunal de Justiça. Quarta Turma. Recurso Especial 2.175.109. Relator: Min. João Otávio de Noronha. Julgado em 9 mar. 2026. DJEN 12 mar. 2026.</w:t>
      </w:r>
    </w:p>
    <w:p>
      <w:pPr>
        <w:pStyle w:val="BodyText"/>
        <w:spacing w:after="80"/>
        <w:jc w:val="both"/>
      </w:pPr>
      <w:r>
        <w:t xml:space="preserve">BRASIL. Superior Tribunal de Justiça. Quarta Turma. Recurso Especial 2.183.157. Relator: Min. Antonio Carlos Ferreira. Julgado em 30 jun. 2026. DJEN 3 jul. 2026.</w:t>
      </w:r>
    </w:p>
    <w:p>
      <w:pPr>
        <w:pStyle w:val="BodyText"/>
        <w:spacing w:after="80"/>
        <w:jc w:val="both"/>
      </w:pPr>
      <w:r>
        <w:t xml:space="preserve">BRASIL. Superior Tribunal de Justiça. Quarta Turma. Recurso Especial 2.197.615. Relator: Min. João Otávio de Noronha. Julgado em 17 nov. 2025. DJEN 24 nov. 2025.</w:t>
      </w:r>
    </w:p>
    <w:p>
      <w:pPr>
        <w:pStyle w:val="BodyText"/>
        <w:spacing w:after="80"/>
        <w:jc w:val="both"/>
      </w:pPr>
      <w:r>
        <w:t xml:space="preserve">BRASIL. Superior Tribunal de Justiça. Quarta Turma. Recurso Especial 2.219.305. Relator: Min. João Otávio de Noronha. Julgado em 9 fev. 2026. DJEN 13 fev. 2026.</w:t>
      </w:r>
    </w:p>
    <w:p>
      <w:pPr>
        <w:pStyle w:val="BodyText"/>
        <w:spacing w:after="80"/>
        <w:jc w:val="both"/>
      </w:pPr>
      <w:r>
        <w:t xml:space="preserve">BRASIL. Superior Tribunal de Justiça. Quarta Turma. Recurso Especial 2.238.204. Relatora: Min. Maria Isabel Gallotti. Julgado em 11 maio 2026.</w:t>
      </w:r>
    </w:p>
    <w:p>
      <w:pPr>
        <w:pStyle w:val="BodyText"/>
        <w:spacing w:after="80"/>
        <w:jc w:val="both"/>
      </w:pPr>
      <w:r>
        <w:t xml:space="preserve">BRASIL. Superior Tribunal de Justiça. Quarta Turma. Recurso Especial 2.241.950. Relatora: Min. Maria Isabel Gallotti. Julgado em 25 maio 2026.</w:t>
      </w:r>
    </w:p>
    <w:p>
      <w:pPr>
        <w:pStyle w:val="BodyText"/>
        <w:spacing w:after="80"/>
        <w:jc w:val="both"/>
      </w:pPr>
      <w:r>
        <w:t xml:space="preserve">BRASIL. Superior Tribunal de Justiça. Quarta Turma. Recurso Especial 2.243.242. Relator: Min. João Otávio de Noronha. Julgado em 16 mar. 2026. DJEN 19 mar. 2026.</w:t>
      </w:r>
    </w:p>
    <w:p>
      <w:pPr>
        <w:pStyle w:val="BodyText"/>
        <w:spacing w:after="80"/>
        <w:jc w:val="both"/>
      </w:pPr>
      <w:r>
        <w:t xml:space="preserve">BRASIL. Superior Tribunal de Justiça. Quinta Turma. Agravo Interno no Agravo em Recurso Especial 3.068.426. Relatora: Min. Daniela Teixeira. Julgado em 1 jun. 2026.</w:t>
      </w:r>
    </w:p>
    <w:p>
      <w:pPr>
        <w:pStyle w:val="BodyText"/>
        <w:spacing w:after="80"/>
        <w:jc w:val="both"/>
      </w:pPr>
      <w:r>
        <w:t xml:space="preserve">BRASIL. Superior Tribunal de Justiça. Segunda Seção. Recurso Especial 1.108.058. Relator: Min. Lázaro Guimarães (Desembargador Convocado do Trf 5ª Região). Julgado em 10 out. 2018. DJe 23 out. 2018.</w:t>
      </w:r>
    </w:p>
    <w:p>
      <w:pPr>
        <w:pStyle w:val="BodyText"/>
        <w:spacing w:after="80"/>
        <w:jc w:val="both"/>
      </w:pPr>
      <w:r>
        <w:t xml:space="preserve">BRASIL. Superior Tribunal de Justiça. Segunda Seção. Súmula 134.</w:t>
      </w:r>
    </w:p>
    <w:p>
      <w:pPr>
        <w:pStyle w:val="BodyText"/>
        <w:spacing w:after="80"/>
        <w:jc w:val="both"/>
      </w:pPr>
      <w:r>
        <w:t xml:space="preserve">BRASIL. Superior Tribunal de Justiça. Segunda Seção. Súmula 259.</w:t>
      </w:r>
    </w:p>
    <w:p>
      <w:pPr>
        <w:pStyle w:val="BodyText"/>
        <w:spacing w:after="80"/>
        <w:jc w:val="both"/>
      </w:pPr>
      <w:r>
        <w:t xml:space="preserve">BRASIL. Superior Tribunal de Justiça. Segunda Seção. Súmula 299.</w:t>
      </w:r>
    </w:p>
    <w:p>
      <w:pPr>
        <w:pStyle w:val="BodyText"/>
        <w:spacing w:after="80"/>
        <w:jc w:val="both"/>
      </w:pPr>
      <w:r>
        <w:t xml:space="preserve">BRASIL. Superior Tribunal de Justiça. Segunda Turma. Agravo Interno no Recurso Especial 1.893.259. Relator: Min. Teodoro Silva Santos. DJe 23 dez. 2025.</w:t>
      </w:r>
    </w:p>
    <w:p>
      <w:pPr>
        <w:pStyle w:val="BodyText"/>
        <w:spacing w:after="80"/>
        <w:jc w:val="both"/>
      </w:pPr>
      <w:r>
        <w:t xml:space="preserve">BRASIL. Superior Tribunal de Justiça. Segunda Turma. Agravo Interno no Recurso Especial 1.960.527. Relator: Min. Humberto Martins. Julgado em 13 fev. 2023. DJe 16 fev. 2023.</w:t>
      </w:r>
    </w:p>
    <w:p>
      <w:pPr>
        <w:pStyle w:val="BodyText"/>
        <w:spacing w:after="80"/>
        <w:jc w:val="both"/>
      </w:pPr>
      <w:r>
        <w:t xml:space="preserve">BRASIL. Superior Tribunal de Justiça. Segunda Turma. Agravo Interno no Recurso Especial 2.191.569. Relator: Min. Afrânio Vilela. Julgado em 19 ago. 2026. DJEN 24 ago. 2026.</w:t>
      </w:r>
    </w:p>
    <w:p>
      <w:pPr>
        <w:pStyle w:val="BodyText"/>
        <w:spacing w:after="80"/>
        <w:jc w:val="both"/>
      </w:pPr>
      <w:r>
        <w:t xml:space="preserve">BRASIL. Superior Tribunal de Justiça. Segunda Turma. Recurso Especial 2.231.171. Relator: Min. Teodoro Silva Santos. Julgado em 29 abr. 2026.</w:t>
      </w:r>
    </w:p>
    <w:p>
      <w:pPr>
        <w:pStyle w:val="BodyText"/>
        <w:spacing w:after="80"/>
        <w:jc w:val="both"/>
      </w:pPr>
      <w:r>
        <w:t xml:space="preserve">BRASIL. Superior Tribunal de Justiça. Terceira Turma. Agravo em Recurso Especial 2.606.973. Relator: Min. Moura Ribeiro. Julgado em 9 fev. 2026.</w:t>
      </w:r>
    </w:p>
    <w:p>
      <w:pPr>
        <w:pStyle w:val="BodyText"/>
        <w:spacing w:after="80"/>
        <w:jc w:val="both"/>
      </w:pPr>
      <w:r>
        <w:t xml:space="preserve">BRASIL. Superior Tribunal de Justiça. Terceira Turma. Agravo em Recurso Especial 2.858.590. Relator: Min. Moura Ribeiro. Julgado em 16 mar. 2026.</w:t>
      </w:r>
    </w:p>
    <w:p>
      <w:pPr>
        <w:pStyle w:val="BodyText"/>
        <w:spacing w:after="80"/>
        <w:jc w:val="both"/>
      </w:pPr>
      <w:r>
        <w:t xml:space="preserve">BRASIL. Superior Tribunal de Justiça. Terceira Turma. Agravo em Recurso Especial 2.882.565. Relator: Min. Ricardo Villas Bôas Cueva. Julgado em 1 set. 2025. DJEN 5 set. 2025.</w:t>
      </w:r>
    </w:p>
    <w:p>
      <w:pPr>
        <w:pStyle w:val="BodyText"/>
        <w:spacing w:after="80"/>
        <w:jc w:val="both"/>
      </w:pPr>
      <w:r>
        <w:t xml:space="preserve">BRASIL. Superior Tribunal de Justiça. Terceira Turma. Agravo em Recurso Especial 3.083.289. Relator: Min. Moura Ribeiro. Julgado em 2 mar. 2026.</w:t>
      </w:r>
    </w:p>
    <w:p>
      <w:pPr>
        <w:pStyle w:val="BodyText"/>
        <w:spacing w:after="80"/>
        <w:jc w:val="both"/>
      </w:pPr>
      <w:r>
        <w:t xml:space="preserve">BRASIL. Superior Tribunal de Justiça. Terceira Turma. Agravo em Recurso Especial 3.123.917. Relator: Min. Moura Ribeiro. Julgado em 22 jun. 2026.</w:t>
      </w:r>
    </w:p>
    <w:p>
      <w:pPr>
        <w:pStyle w:val="BodyText"/>
        <w:spacing w:after="80"/>
        <w:jc w:val="both"/>
      </w:pPr>
      <w:r>
        <w:t xml:space="preserve">BRASIL. Superior Tribunal de Justiça. Terceira Turma. Agravo em Recurso Especial 3.138.738. Relator: Min. Moura Ribeiro. Julgado em 15 jun. 2026.</w:t>
      </w:r>
    </w:p>
    <w:p>
      <w:pPr>
        <w:pStyle w:val="BodyText"/>
        <w:spacing w:after="80"/>
        <w:jc w:val="both"/>
      </w:pPr>
      <w:r>
        <w:t xml:space="preserve">BRASIL. Superior Tribunal de Justiça. Terceira Turma. Agravo em Recurso Especial 3.196.739. Relator: Min. Moura Ribeiro. Julgado em 1 jun. 2026.</w:t>
      </w:r>
    </w:p>
    <w:p>
      <w:pPr>
        <w:pStyle w:val="BodyText"/>
        <w:spacing w:after="80"/>
        <w:jc w:val="both"/>
      </w:pPr>
      <w:r>
        <w:t xml:space="preserve">BRASIL. Superior Tribunal de Justiça. Terceira Turma. Agravo Interno no Agravo em Recurso Especial 1.562.651. Relator: Min. Moura Ribeiro. DJe 13 maio 2021.</w:t>
      </w:r>
    </w:p>
    <w:p>
      <w:pPr>
        <w:pStyle w:val="BodyText"/>
        <w:spacing w:after="80"/>
        <w:jc w:val="both"/>
      </w:pPr>
      <w:r>
        <w:t xml:space="preserve">BRASIL. Superior Tribunal de Justiça. Terceira Turma. Agravo Interno no Agravo em Recurso Especial 2.472.778. Relator: Min. Humberto Martins.</w:t>
      </w:r>
    </w:p>
    <w:p>
      <w:pPr>
        <w:pStyle w:val="BodyText"/>
        <w:spacing w:after="80"/>
        <w:jc w:val="both"/>
      </w:pPr>
      <w:r>
        <w:t xml:space="preserve">BRASIL. Superior Tribunal de Justiça. Terceira Turma. Agravo Interno no Agravo em Recurso Especial 2.659.349. Relator: Min. Moura Ribeiro.</w:t>
      </w:r>
    </w:p>
    <w:p>
      <w:pPr>
        <w:pStyle w:val="BodyText"/>
        <w:spacing w:after="80"/>
        <w:jc w:val="both"/>
      </w:pPr>
      <w:r>
        <w:t xml:space="preserve">BRASIL. Superior Tribunal de Justiça. Terceira Turma. Agravo Interno no Recurso Especial 2.125.898. Relator: Min. Moura Ribeiro. DJe 16 out. 2025.</w:t>
      </w:r>
    </w:p>
    <w:p>
      <w:pPr>
        <w:pStyle w:val="BodyText"/>
        <w:spacing w:after="80"/>
        <w:jc w:val="both"/>
      </w:pPr>
      <w:r>
        <w:t xml:space="preserve">BRASIL. Superior Tribunal de Justiça. Terceira Turma. Agravo Interno no Recurso Especial 2.141.451. Relator: Min. Humberto Martins. Julgado em 2 mar. 2026.</w:t>
      </w:r>
    </w:p>
    <w:p>
      <w:pPr>
        <w:pStyle w:val="BodyText"/>
        <w:spacing w:after="80"/>
        <w:jc w:val="both"/>
      </w:pPr>
      <w:r>
        <w:t xml:space="preserve">BRASIL. Superior Tribunal de Justiça. Terceira Turma. Recurso Especial 1.537.879. Relator: Min. João Otávio de Noronha. Julgado em 26 abr. 2016. DJe 6 maio 2016.</w:t>
      </w:r>
    </w:p>
    <w:p>
      <w:pPr>
        <w:pStyle w:val="BodyText"/>
        <w:spacing w:after="80"/>
        <w:jc w:val="both"/>
      </w:pPr>
      <w:r>
        <w:t xml:space="preserve">BRASIL. Superior Tribunal de Justiça. Terceira Turma. Recurso Especial 1.557.989. Relator: Min. Ricardo Villas Bôas Cueva. Julgado em 17 mar. 2016. DJe 31 mar. 2016.</w:t>
      </w:r>
    </w:p>
    <w:p>
      <w:pPr>
        <w:pStyle w:val="BodyText"/>
        <w:spacing w:after="80"/>
        <w:jc w:val="both"/>
      </w:pPr>
      <w:r>
        <w:t xml:space="preserve">BRASIL. Superior Tribunal de Justiça. Terceira Turma. Recurso Especial 1.618.754. Relatora: Min. Nancy Andrighi. Julgado em 26 set. 2017. DJe 13 out. 2017.</w:t>
      </w:r>
    </w:p>
    <w:p>
      <w:pPr>
        <w:pStyle w:val="BodyText"/>
        <w:spacing w:after="80"/>
        <w:jc w:val="both"/>
      </w:pPr>
      <w:r>
        <w:t xml:space="preserve">BRASIL. Superior Tribunal de Justiça. Terceira Turma. Recurso Especial 1.655.720. Relatora: Min. Nancy Andrighi. Julgado em 9 out. 2018. DJe 15 out. 2018.</w:t>
      </w:r>
    </w:p>
    <w:p>
      <w:pPr>
        <w:pStyle w:val="BodyText"/>
        <w:spacing w:after="80"/>
        <w:jc w:val="both"/>
      </w:pPr>
      <w:r>
        <w:t xml:space="preserve">BRASIL. Superior Tribunal de Justiça. Terceira Turma. Recurso Especial 1.722.633. Relatora: Min. Nancy Andrighi. Julgado em 7 ago. 2018. DJe 10 ago. 2018.</w:t>
      </w:r>
    </w:p>
    <w:p>
      <w:pPr>
        <w:pStyle w:val="BodyText"/>
        <w:spacing w:after="80"/>
        <w:jc w:val="both"/>
      </w:pPr>
      <w:r>
        <w:t xml:space="preserve">BRASIL. Superior Tribunal de Justiça. Terceira Turma. Recurso Especial 1.735.360. Relatora: Min. Nancy Andrighi. Julgado em 12 mar. 2019. DJe 15 mar. 2019.</w:t>
      </w:r>
    </w:p>
    <w:p>
      <w:pPr>
        <w:pStyle w:val="BodyText"/>
        <w:spacing w:after="80"/>
        <w:jc w:val="both"/>
      </w:pPr>
      <w:r>
        <w:t xml:space="preserve">BRASIL. Superior Tribunal de Justiça. Terceira Turma. Recurso Especial 1.758.858. Relatora: Min. Nancy Andrighi. Julgado em 19 maio 2020. DJe 25 maio 2020.</w:t>
      </w:r>
    </w:p>
    <w:p>
      <w:pPr>
        <w:pStyle w:val="BodyText"/>
        <w:spacing w:after="80"/>
        <w:jc w:val="both"/>
      </w:pPr>
      <w:r>
        <w:t xml:space="preserve">BRASIL. Superior Tribunal de Justiça. Terceira Turma. Recurso Especial 1.863.999. Relatora: Min. Nancy Andrighi. Julgado em 3 ago. 2021. DJe 9 ago. 2021.</w:t>
      </w:r>
    </w:p>
    <w:p>
      <w:pPr>
        <w:pStyle w:val="BodyText"/>
        <w:spacing w:after="80"/>
        <w:jc w:val="both"/>
      </w:pPr>
      <w:r>
        <w:t xml:space="preserve">BRASIL. Superior Tribunal de Justiça. Terceira Turma. Recurso Especial 1.877.331. Relatora: Min. Nancy Andrighi. Julgado em 13 abr. 2021. DJe 14 maio 2021.</w:t>
      </w:r>
    </w:p>
    <w:p>
      <w:pPr>
        <w:pStyle w:val="BodyText"/>
        <w:spacing w:after="80"/>
        <w:jc w:val="both"/>
      </w:pPr>
      <w:r>
        <w:t xml:space="preserve">BRASIL. Superior Tribunal de Justiça. Terceira Turma. Recurso Especial 1.877.738. Relatora: Min. Nancy Andrighi. Julgado em 9 mar. 2021. DJe 11 mar. 2021.</w:t>
      </w:r>
    </w:p>
    <w:p>
      <w:pPr>
        <w:pStyle w:val="BodyText"/>
        <w:spacing w:after="80"/>
        <w:jc w:val="both"/>
      </w:pPr>
      <w:r>
        <w:t xml:space="preserve">BRASIL. Superior Tribunal de Justiça. Terceira Turma. Recurso Especial 1.892.139. Relator: Min. Ricardo Villas Bôas Cueva. Julgado em 8 out. 2024. DJe 11 out. 2024.</w:t>
      </w:r>
    </w:p>
    <w:p>
      <w:pPr>
        <w:pStyle w:val="BodyText"/>
        <w:spacing w:after="80"/>
        <w:jc w:val="both"/>
      </w:pPr>
      <w:r>
        <w:t xml:space="preserve">BRASIL. Superior Tribunal de Justiça. Terceira Turma. Recurso Especial 1.909.196. Relatora: Min. Nancy Andrighi. Julgado em 15 jun. 2021. DJe 17 jun. 2021.</w:t>
      </w:r>
    </w:p>
    <w:p>
      <w:pPr>
        <w:pStyle w:val="BodyText"/>
        <w:spacing w:after="80"/>
        <w:jc w:val="both"/>
      </w:pPr>
      <w:r>
        <w:t xml:space="preserve">BRASIL. Superior Tribunal de Justiça. Terceira Turma. Recurso Especial 1.933.597. Relatora: Min. Nancy Andrighi. Julgado em 26 out. 2021. DJe 3 nov. 2021.</w:t>
      </w:r>
    </w:p>
    <w:p>
      <w:pPr>
        <w:pStyle w:val="BodyText"/>
        <w:spacing w:after="80"/>
        <w:jc w:val="both"/>
      </w:pPr>
      <w:r>
        <w:t xml:space="preserve">BRASIL. Superior Tribunal de Justiça. Terceira Turma. Recurso Especial 1.954.643. Relatora: Min. Nancy Andrighi. Julgado em 15 fev. 2022. DJe 18 fev. 2022.</w:t>
      </w:r>
    </w:p>
    <w:p>
      <w:pPr>
        <w:pStyle w:val="BodyText"/>
        <w:spacing w:after="80"/>
        <w:jc w:val="both"/>
      </w:pPr>
      <w:r>
        <w:t xml:space="preserve">BRASIL. Superior Tribunal de Justiça. Terceira Turma. Recurso Especial 1.959.861. Relator: Min. Ricardo Villas Bôas Cueva. Julgado em 5 maio 2025. DJEN 9 maio 2025.</w:t>
      </w:r>
    </w:p>
    <w:p>
      <w:pPr>
        <w:pStyle w:val="BodyText"/>
        <w:spacing w:after="80"/>
        <w:jc w:val="both"/>
      </w:pPr>
      <w:r>
        <w:t xml:space="preserve">BRASIL. Superior Tribunal de Justiça. Terceira Turma. Recurso Especial 1.959.926. Relator: Min. Humberto Martins. Julgado em 8 jun. 2026.</w:t>
      </w:r>
    </w:p>
    <w:p>
      <w:pPr>
        <w:pStyle w:val="BodyText"/>
        <w:spacing w:after="80"/>
        <w:jc w:val="both"/>
      </w:pPr>
      <w:r>
        <w:t xml:space="preserve">BRASIL. Superior Tribunal de Justiça. Terceira Turma. Recurso Especial 1.985.045. Relator: Min. Ricardo Villas Bôas Cueva. Julgado em 16 maio 2023. DJe 19 maio 2023.</w:t>
      </w:r>
    </w:p>
    <w:p>
      <w:pPr>
        <w:pStyle w:val="BodyText"/>
        <w:spacing w:after="80"/>
        <w:jc w:val="both"/>
      </w:pPr>
      <w:r>
        <w:t xml:space="preserve">BRASIL. Superior Tribunal de Justiça. Terceira Turma. Recurso Especial 2.000.938. Relatora: Min. Nancy Andrighi. Julgado em 8 ago. 2023. DJe 25 ago. 2023.</w:t>
      </w:r>
    </w:p>
    <w:p>
      <w:pPr>
        <w:pStyle w:val="BodyText"/>
        <w:spacing w:after="80"/>
        <w:jc w:val="both"/>
      </w:pPr>
      <w:r>
        <w:t xml:space="preserve">BRASIL. Superior Tribunal de Justiça. Terceira Turma. Recurso Especial 2.005.877. Relatora: Min. Nancy Andrighi. Julgado em 30 ago. 2022. DJe 1 set. 2022.</w:t>
      </w:r>
    </w:p>
    <w:p>
      <w:pPr>
        <w:pStyle w:val="BodyText"/>
        <w:spacing w:after="80"/>
        <w:jc w:val="both"/>
      </w:pPr>
      <w:r>
        <w:t xml:space="preserve">BRASIL. Superior Tribunal de Justiça. Terceira Turma. Recurso Especial 2.011.406. Relatora: Min. Nancy Andrighi. Julgado em 12 dez. 2023. DJe 15 dez. 2023.</w:t>
      </w:r>
    </w:p>
    <w:p>
      <w:pPr>
        <w:pStyle w:val="BodyText"/>
        <w:spacing w:after="80"/>
        <w:jc w:val="both"/>
      </w:pPr>
      <w:r>
        <w:t xml:space="preserve">BRASIL. Superior Tribunal de Justiça. Terceira Turma. Recurso Especial 2.033.581. Relator: Min. Marco Aurélio Bellizze. Julgado em 3 set. 2024. DJe 6 set. 2024.</w:t>
      </w:r>
    </w:p>
    <w:p>
      <w:pPr>
        <w:pStyle w:val="BodyText"/>
        <w:spacing w:after="80"/>
        <w:jc w:val="both"/>
      </w:pPr>
      <w:r>
        <w:t xml:space="preserve">BRASIL. Superior Tribunal de Justiça. Terceira Turma. Recurso Especial 2.042.040. Relatora: Min. Nancy Andrighi. Julgado em 21 maio 2024. DJe 24 maio 2024.</w:t>
      </w:r>
    </w:p>
    <w:p>
      <w:pPr>
        <w:pStyle w:val="BodyText"/>
        <w:spacing w:after="80"/>
        <w:jc w:val="both"/>
      </w:pPr>
      <w:r>
        <w:t xml:space="preserve">BRASIL. Superior Tribunal de Justiça. Terceira Turma. Recurso Especial 2.045.640. Relator: Min. Marco Aurélio Bellizze. Julgado em 25 abr. 2023. DJe 28 abr. 2023.</w:t>
      </w:r>
    </w:p>
    <w:p>
      <w:pPr>
        <w:pStyle w:val="BodyText"/>
        <w:spacing w:after="80"/>
        <w:jc w:val="both"/>
      </w:pPr>
      <w:r>
        <w:t xml:space="preserve">BRASIL. Superior Tribunal de Justiça. Terceira Turma. Recurso Especial 2.059.870. Relatora: Min. Nancy Andrighi. Julgado em 21 nov. 2023. DJe 1 dez. 2023.</w:t>
      </w:r>
    </w:p>
    <w:p>
      <w:pPr>
        <w:pStyle w:val="BodyText"/>
        <w:spacing w:after="80"/>
        <w:jc w:val="both"/>
      </w:pPr>
      <w:r>
        <w:t xml:space="preserve">BRASIL. Superior Tribunal de Justiça. Terceira Turma. Recurso Especial 2.080.530. Relatora: Min. Nancy Andrighi. Julgado em 17 out. 2023. DJe 30 out. 2023.</w:t>
      </w:r>
    </w:p>
    <w:p>
      <w:pPr>
        <w:pStyle w:val="BodyText"/>
        <w:spacing w:after="80"/>
        <w:jc w:val="both"/>
      </w:pPr>
      <w:r>
        <w:t xml:space="preserve">BRASIL. Superior Tribunal de Justiça. Terceira Turma. Recurso Especial 2.115.909. Relator: Min. Moura Ribeiro. Julgado em 16 jun. 2026.</w:t>
      </w:r>
    </w:p>
    <w:p>
      <w:pPr>
        <w:pStyle w:val="BodyText"/>
        <w:spacing w:after="80"/>
        <w:jc w:val="both"/>
      </w:pPr>
      <w:r>
        <w:t xml:space="preserve">BRASIL. Superior Tribunal de Justiça. Terceira Turma. Recurso Especial 2.118.304. Relator: Min. Humberto Martins. Julgado em 12 ago. 2026. DJEN 17 ago. 2026.</w:t>
      </w:r>
    </w:p>
    <w:p>
      <w:pPr>
        <w:pStyle w:val="BodyText"/>
        <w:spacing w:after="80"/>
        <w:jc w:val="both"/>
      </w:pPr>
      <w:r>
        <w:t xml:space="preserve">BRASIL. Superior Tribunal de Justiça. Terceira Turma. Recurso Especial 2.124.428. Relatora: Min. Nancy Andrighi. Julgado em 14 maio 2024. DJe 17 maio 2024.</w:t>
      </w:r>
    </w:p>
    <w:p>
      <w:pPr>
        <w:pStyle w:val="BodyText"/>
        <w:spacing w:after="80"/>
        <w:jc w:val="both"/>
      </w:pPr>
      <w:r>
        <w:t xml:space="preserve">BRASIL. Superior Tribunal de Justiça. Terceira Turma. Recurso Especial 2.142.834. Relator: Min. Ricardo Villas Bôas Cueva. Julgado em 11 jun. 2024. DJe 18 jun. 2024.</w:t>
      </w:r>
    </w:p>
    <w:p>
      <w:pPr>
        <w:pStyle w:val="BodyText"/>
        <w:spacing w:after="80"/>
        <w:jc w:val="both"/>
      </w:pPr>
      <w:r>
        <w:t xml:space="preserve">BRASIL. Superior Tribunal de Justiça. Terceira Turma. Recurso Especial 2.176.470. Relator: Min. Ricardo Villas Bôas Cueva. Julgado em 11 mar. 2025. DJEN 18 mar. 2025.</w:t>
      </w:r>
    </w:p>
    <w:p>
      <w:pPr>
        <w:pStyle w:val="BodyText"/>
        <w:spacing w:after="80"/>
        <w:jc w:val="both"/>
      </w:pPr>
      <w:r>
        <w:t xml:space="preserve">BRASIL. Superior Tribunal de Justiça. Terceira Turma. Recurso Especial 2.176.491. Relator: Min. Moura Ribeiro. Julgado em 12 ago. 2026. DJEN 17 ago. 2026.</w:t>
      </w:r>
    </w:p>
    <w:p>
      <w:pPr>
        <w:pStyle w:val="BodyText"/>
        <w:spacing w:after="80"/>
        <w:jc w:val="both"/>
      </w:pPr>
      <w:r>
        <w:t xml:space="preserve">BRASIL. Superior Tribunal de Justiça. Terceira Turma. Recurso Especial 2.191.565. Relatora: Min. Nancy Andrighi. Julgado em 26 maio 2025. DJEN 29 maio 2025.</w:t>
      </w:r>
    </w:p>
    <w:p>
      <w:pPr>
        <w:pStyle w:val="BodyText"/>
        <w:spacing w:after="80"/>
        <w:jc w:val="both"/>
      </w:pPr>
      <w:r>
        <w:t xml:space="preserve">BRASIL. Superior Tribunal de Justiça. Terceira Turma. Recurso Especial 2.195.594. Relatora: Min. Nancy Andrighi. Julgado em 7 abr. 2026. DJe 14 abr. 2026.</w:t>
      </w:r>
    </w:p>
    <w:p>
      <w:pPr>
        <w:pStyle w:val="BodyText"/>
        <w:spacing w:after="80"/>
        <w:jc w:val="both"/>
      </w:pPr>
      <w:r>
        <w:t xml:space="preserve">BRASIL. Superior Tribunal de Justiça. Terceira Turma. Recurso Especial 2.199.860. Relator: Min. Humberto Martins. Julgado em 5 maio 2025. DJEN 8 maio 2025.</w:t>
      </w:r>
    </w:p>
    <w:p>
      <w:pPr>
        <w:pStyle w:val="BodyText"/>
        <w:spacing w:after="80"/>
        <w:jc w:val="both"/>
      </w:pPr>
      <w:r>
        <w:t xml:space="preserve">BRASIL. Superior Tribunal de Justiça. Terceira Turma. Recurso Especial 2.202.047. Relator: Min. Ricardo Villas Bôas Cueva. Julgado em 13 out. 2025. DJEN 17 out. 2025.</w:t>
      </w:r>
    </w:p>
    <w:p>
      <w:pPr>
        <w:pStyle w:val="BodyText"/>
        <w:spacing w:after="80"/>
        <w:jc w:val="both"/>
      </w:pPr>
      <w:r>
        <w:t xml:space="preserve">BRASIL. Superior Tribunal de Justiça. Terceira Turma. Recurso Especial 2.203.769. Relator: Min. Moura Ribeiro. Julgado em 10 jun. 2025. DJEN 23 jun. 2025.</w:t>
      </w:r>
    </w:p>
    <w:p>
      <w:pPr>
        <w:pStyle w:val="BodyText"/>
        <w:spacing w:after="80"/>
        <w:jc w:val="both"/>
      </w:pPr>
      <w:r>
        <w:t xml:space="preserve">BRASIL. Superior Tribunal de Justiça. Terceira Turma. Recurso Especial 2.207.430. Relatora: Min. Nancy Andrighi. Julgado em 11 nov. 2025. DJEN 19 nov. 2025.</w:t>
      </w:r>
    </w:p>
    <w:p>
      <w:pPr>
        <w:pStyle w:val="BodyText"/>
        <w:spacing w:after="80"/>
        <w:jc w:val="both"/>
      </w:pPr>
      <w:r>
        <w:t xml:space="preserve">BRASIL. Superior Tribunal de Justiça. Terceira Turma. Recurso Especial 2.207.935. Relatora: Min. Nancy Andrighi. Julgado em 16 out. 2025. DJEN 23 out. 2025.</w:t>
      </w:r>
    </w:p>
    <w:p>
      <w:pPr>
        <w:pStyle w:val="BodyText"/>
        <w:spacing w:after="80"/>
        <w:jc w:val="both"/>
      </w:pPr>
      <w:r>
        <w:t xml:space="preserve">BRASIL. Superior Tribunal de Justiça. Terceira Turma. Recurso Especial 2.209.667. Relatora: Min. Nancy Andrighi. Julgado em 2 jun. 2026. DJEN 9 jun. 2026.</w:t>
      </w:r>
    </w:p>
    <w:p>
      <w:pPr>
        <w:pStyle w:val="BodyText"/>
        <w:spacing w:after="80"/>
        <w:jc w:val="both"/>
      </w:pPr>
      <w:r>
        <w:t xml:space="preserve">BRASIL. Superior Tribunal de Justiça. Terceira Turma. Recurso Especial 2.225.451. Relatora: Min. Nancy Andrighi. Julgado em 12 maio 2026.</w:t>
      </w:r>
    </w:p>
    <w:p>
      <w:pPr>
        <w:pStyle w:val="BodyText"/>
        <w:spacing w:after="80"/>
        <w:jc w:val="both"/>
      </w:pPr>
      <w:r>
        <w:t xml:space="preserve">BRASIL. Superior Tribunal de Justiça. Terceira Turma. Recurso Especial 2.233.511. Relator: Min. Ricardo Villas Bôas Cueva. Julgado em 10 fev. 2026. DJEN 13 fev. 2026.</w:t>
      </w:r>
    </w:p>
    <w:p>
      <w:pPr>
        <w:pStyle w:val="BodyText"/>
        <w:spacing w:after="80"/>
        <w:jc w:val="both"/>
      </w:pPr>
      <w:r>
        <w:t xml:space="preserve">BRASIL. Superior Tribunal de Justiça. Terceira Turma. Recurso Especial 2.256.830. Relator: Min. Humberto Martins. Julgado em 8 jun. 2026.</w:t>
      </w:r>
    </w:p>
    <w:p>
      <w:pPr>
        <w:pStyle w:val="BodyText"/>
        <w:spacing w:after="80"/>
        <w:jc w:val="both"/>
      </w:pPr>
      <w:r>
        <w:t xml:space="preserve">BRASIL. Superior Tribunal de Justiça. Terceira Turma. Recurso Especial 2.261.913. Relatora: Min. Nancy Andrighi. Julgado em 8 jun. 2026. DJEN 11 jun. 2026.</w:t>
      </w:r>
    </w:p>
    <w:p>
      <w:pPr>
        <w:pStyle w:val="BodyText"/>
        <w:spacing w:after="80"/>
        <w:jc w:val="both"/>
      </w:pPr>
      <w:r>
        <w:t xml:space="preserve">BRASIL. Superior Tribunal de Justiça. Primeira Seção. Recurso Especial 2.193.673. Relatora: Min. Maria Thereza de Assis Moura. Julgado em 11 fev. 2026. DJEN 11 mar. 2026.</w:t>
      </w:r>
    </w:p>
    <w:p>
      <w:pPr>
        <w:pStyle w:val="BodyText"/>
        <w:spacing w:after="80"/>
        <w:jc w:val="both"/>
      </w:pPr>
      <w:r>
        <w:t xml:space="preserve">BRASIL. Superior Tribunal de Justiça. Primeira Turma. Agravo em Recurso Especial 2.279.703. Relator: Min. Gurgel de Faria. Julgado em 1 out. 2024. DJe 17 out. 2024.</w:t>
      </w:r>
    </w:p>
    <w:p>
      <w:pPr>
        <w:pStyle w:val="BodyText"/>
        <w:spacing w:after="80"/>
        <w:jc w:val="both"/>
      </w:pPr>
      <w:r>
        <w:t xml:space="preserve">BRASIL. Superior Tribunal de Justiça. Primeira Turma. Agravo Interno no Agravo em Recurso Especial 2.331.515. Relator: Min. Paulo Sérgio Domingues. DJe 27 fev. 2025.</w:t>
      </w:r>
    </w:p>
    <w:p>
      <w:pPr>
        <w:pStyle w:val="BodyText"/>
        <w:spacing w:after="80"/>
        <w:jc w:val="both"/>
      </w:pPr>
      <w:r>
        <w:t xml:space="preserve">BRASIL. Superior Tribunal de Justiça. Primeira Turma. Recurso Especial 2.189.427. Relator: Min. Paulo Sérgio Domingues. Julgado em 4 ago. 2026.</w:t>
      </w:r>
    </w:p>
    <w:p>
      <w:pPr>
        <w:pStyle w:val="BodyText"/>
        <w:spacing w:after="80"/>
        <w:jc w:val="both"/>
      </w:pPr>
      <w:r>
        <w:t xml:space="preserve">BRASIL. Superior Tribunal de Justiça. Quarta Turma. Agravo em Recurso Especial 2.096.621. Relator: Min. Raul Araújo. Julgado em 9 fev. 2026. DJEN 13 fev. 2026.</w:t>
      </w:r>
    </w:p>
    <w:p>
      <w:pPr>
        <w:pStyle w:val="BodyText"/>
        <w:spacing w:after="80"/>
        <w:jc w:val="both"/>
      </w:pPr>
      <w:r>
        <w:t xml:space="preserve">BRASIL. Superior Tribunal de Justiça. Quarta Turma. Agravo em Recurso Especial 2.234.904. Relator: Min. João Otávio de Noronha. Julgado em 9 mar. 2026.</w:t>
      </w:r>
    </w:p>
    <w:p>
      <w:pPr>
        <w:pStyle w:val="BodyText"/>
        <w:spacing w:after="80"/>
        <w:jc w:val="both"/>
      </w:pPr>
      <w:r>
        <w:t xml:space="preserve">BRASIL. Superior Tribunal de Justiça. Quarta Turma. Agravo em Recurso Especial 2.261.674. Relator: Min. Raul Araújo. Julgado em 16 mar. 2026.</w:t>
      </w:r>
    </w:p>
    <w:p>
      <w:pPr>
        <w:pStyle w:val="BodyText"/>
        <w:spacing w:after="80"/>
        <w:jc w:val="both"/>
      </w:pPr>
      <w:r>
        <w:t xml:space="preserve">BRASIL. Superior Tribunal de Justiça. Quarta Turma. Agravo em Recurso Especial 2.498.470. Relator: Min. Raul Araújo. Julgado em 4 maio 2026.</w:t>
      </w:r>
    </w:p>
    <w:p>
      <w:pPr>
        <w:pStyle w:val="BodyText"/>
        <w:spacing w:after="80"/>
        <w:jc w:val="both"/>
      </w:pPr>
      <w:r>
        <w:t xml:space="preserve">BRASIL. Superior Tribunal de Justiça. Quarta Turma. Agravo em Recurso Especial 2.505.279. Relator: Min. Raul Araújo. Julgado em 4 maio 2026.</w:t>
      </w:r>
    </w:p>
    <w:p>
      <w:pPr>
        <w:pStyle w:val="BodyText"/>
        <w:spacing w:after="80"/>
        <w:jc w:val="both"/>
      </w:pPr>
      <w:r>
        <w:t xml:space="preserve">BRASIL. Superior Tribunal de Justiça. Quarta Turma. Agravo em Recurso Especial 2.556.419. Relator: Min. João Otávio de Noronha. Julgado em 9 mar. 2026.</w:t>
      </w:r>
    </w:p>
    <w:p>
      <w:pPr>
        <w:pStyle w:val="BodyText"/>
        <w:spacing w:after="80"/>
        <w:jc w:val="both"/>
      </w:pPr>
      <w:r>
        <w:t xml:space="preserve">BRASIL. Superior Tribunal de Justiça. Quarta Turma. Agravo em Recurso Especial 2.565.365. Relator: Min. João Otávio de Noronha. Julgado em 16 mar. 2026. DJEN 19 mar. 2026.</w:t>
      </w:r>
    </w:p>
    <w:p>
      <w:pPr>
        <w:pStyle w:val="BodyText"/>
        <w:spacing w:after="80"/>
        <w:jc w:val="both"/>
      </w:pPr>
      <w:r>
        <w:t xml:space="preserve">BRASIL. Superior Tribunal de Justiça. Quarta Turma. Agravo em Recurso Especial 2.621.183. Relator: Min. João Otávio de Noronha. Julgado em 9 mar. 2026. DJEN 12 mar. 2026.</w:t>
      </w:r>
    </w:p>
    <w:p>
      <w:pPr>
        <w:pStyle w:val="BodyText"/>
        <w:spacing w:after="80"/>
        <w:jc w:val="both"/>
      </w:pPr>
      <w:r>
        <w:t xml:space="preserve">BRASIL. Superior Tribunal de Justiça. Quarta Turma. Agravo em Recurso Especial 2.664.065. Relator: Min. João Otávio de Noronha. Julgado em 9 fev. 2026.</w:t>
      </w:r>
    </w:p>
    <w:p>
      <w:pPr>
        <w:pStyle w:val="BodyText"/>
        <w:spacing w:after="80"/>
        <w:jc w:val="both"/>
      </w:pPr>
      <w:r>
        <w:t xml:space="preserve">BRASIL. Superior Tribunal de Justiça. Quarta Turma. Agravo em Recurso Especial 2.673.794. Relator: Min. João Otávio de Noronha. Julgado em 16 mar. 2026.</w:t>
      </w:r>
    </w:p>
    <w:p>
      <w:pPr>
        <w:pStyle w:val="BodyText"/>
        <w:spacing w:after="80"/>
        <w:jc w:val="both"/>
      </w:pPr>
      <w:r>
        <w:t xml:space="preserve">BRASIL. Superior Tribunal de Justiça. Quarta Turma. Agravo em Recurso Especial 2.705.816. Relator: Min. João Otávio de Noronha. Julgado em 30 mar. 2026. DJEN 7 abr. 2026.</w:t>
      </w:r>
    </w:p>
    <w:p>
      <w:pPr>
        <w:pStyle w:val="BodyText"/>
        <w:spacing w:after="80"/>
        <w:jc w:val="both"/>
      </w:pPr>
      <w:r>
        <w:t xml:space="preserve">BRASIL. Superior Tribunal de Justiça. Quarta Turma. Agravo em Recurso Especial 2.726.728. Relator: Min. Raul Araújo. Julgado em 2 mar. 2026. DJEN 11 mar. 2026.</w:t>
      </w:r>
    </w:p>
    <w:p>
      <w:pPr>
        <w:pStyle w:val="BodyText"/>
        <w:spacing w:after="80"/>
        <w:jc w:val="both"/>
      </w:pPr>
      <w:r>
        <w:t xml:space="preserve">BRASIL. Superior Tribunal de Justiça. Quarta Turma. Agravo em Recurso Especial 2.996.240. Relator: Min. Antonio Carlos Ferreira. Julgado em 30 jun. 2026.</w:t>
      </w:r>
    </w:p>
    <w:p>
      <w:pPr>
        <w:pStyle w:val="BodyText"/>
        <w:spacing w:after="80"/>
        <w:jc w:val="both"/>
      </w:pPr>
      <w:r>
        <w:t xml:space="preserve">BRASIL. Superior Tribunal de Justiça. Quarta Turma. Agravo em Recurso Especial 3.077.841. Relator: Min. João Otávio de Noronha. Julgado em 16 mar. 2026. DJEN 19 mar. 2026.</w:t>
      </w:r>
    </w:p>
    <w:p>
      <w:pPr>
        <w:pStyle w:val="BodyText"/>
        <w:spacing w:after="80"/>
        <w:jc w:val="both"/>
      </w:pPr>
      <w:r>
        <w:t xml:space="preserve">BRASIL. Superior Tribunal de Justiça. Quarta Turma. Agravo em Recurso Especial 3.100.128. Relator: Min. João Otávio de Noronha. Julgado em 23 mar. 2026.</w:t>
      </w:r>
    </w:p>
    <w:p>
      <w:pPr>
        <w:pStyle w:val="BodyText"/>
        <w:spacing w:after="80"/>
        <w:jc w:val="both"/>
      </w:pPr>
      <w:r>
        <w:t xml:space="preserve">BRASIL. Superior Tribunal de Justiça. Quarta Turma. Agravo em Recurso Especial 3.119.030. Relator: Min. Raul Araújo. Julgado em 1 jun. 2026.</w:t>
      </w:r>
    </w:p>
    <w:p>
      <w:pPr>
        <w:pStyle w:val="BodyText"/>
        <w:spacing w:after="80"/>
        <w:jc w:val="both"/>
      </w:pPr>
      <w:r>
        <w:t xml:space="preserve">BRASIL. Superior Tribunal de Justiça. Quarta Turma. Agravo em Recurso Especial 3.133.045. Relator: Min. João Otávio de Noronha. Julgado em 11 maio 2026. DJEN 14 maio 2026.</w:t>
      </w:r>
    </w:p>
    <w:p>
      <w:pPr>
        <w:pStyle w:val="BodyText"/>
        <w:spacing w:after="80"/>
        <w:jc w:val="both"/>
      </w:pPr>
      <w:r>
        <w:t xml:space="preserve">BRASIL. Superior Tribunal de Justiça. Quarta Turma. Agravo em Recurso Especial 3.141.140. Relator: Min. Raul Araújo. Julgado em 22 jun. 2026.</w:t>
      </w:r>
    </w:p>
    <w:p>
      <w:pPr>
        <w:pStyle w:val="BodyText"/>
        <w:spacing w:after="80"/>
        <w:jc w:val="both"/>
      </w:pPr>
      <w:r>
        <w:t xml:space="preserve">BRASIL. Superior Tribunal de Justiça. Quarta Turma. Agravo em Recurso Especial 3.226.831. Relator: Min. Raul Araújo. Julgado em 22 jun. 2026. DJEN 29 jun. 2026.</w:t>
      </w:r>
    </w:p>
    <w:p>
      <w:pPr>
        <w:pStyle w:val="BodyText"/>
        <w:spacing w:after="80"/>
        <w:jc w:val="both"/>
      </w:pPr>
      <w:r>
        <w:t xml:space="preserve">BRASIL. Superior Tribunal de Justiça. Quarta Turma. Agravo Interno no Agravo em Recurso Especial 1.540.073. Relator: Min. Raul Araújo. DJe 25 ago. 2023.</w:t>
      </w:r>
    </w:p>
    <w:p>
      <w:pPr>
        <w:pStyle w:val="BodyText"/>
        <w:spacing w:after="80"/>
        <w:jc w:val="both"/>
      </w:pPr>
      <w:r>
        <w:t xml:space="preserve">BRASIL. Superior Tribunal de Justiça. Quarta Turma. Agravo Interno no Agravo em Recurso Especial 1.746.039. Relator: Min. Raul Araújo. Julgado em 19 abr. 2021. DJe 24 maio 2021.</w:t>
      </w:r>
    </w:p>
    <w:p>
      <w:pPr>
        <w:pStyle w:val="BodyText"/>
        <w:spacing w:after="80"/>
        <w:jc w:val="both"/>
      </w:pPr>
      <w:r>
        <w:t xml:space="preserve">BRASIL. Superior Tribunal de Justiça. Quarta Turma. Agravo Interno no Agravo em Recurso Especial 2.287.007. Relatora: Min. Maria Isabel Gallotti. Julgado em 13 nov. 2023. DJe 17 nov. 2023.</w:t>
      </w:r>
    </w:p>
    <w:p>
      <w:pPr>
        <w:pStyle w:val="BodyText"/>
        <w:spacing w:after="80"/>
        <w:jc w:val="both"/>
      </w:pPr>
      <w:r>
        <w:t xml:space="preserve">BRASIL. Superior Tribunal de Justiça. Quarta Turma. Agravo Interno no Agravo em Recurso Especial 2.720.239. Relator: Min. João Otávio de Noronha. DJe 22 dez. 2025.</w:t>
      </w:r>
    </w:p>
    <w:p>
      <w:pPr>
        <w:pStyle w:val="BodyText"/>
        <w:spacing w:after="80"/>
        <w:jc w:val="both"/>
      </w:pPr>
      <w:r>
        <w:t xml:space="preserve">BRASIL. Superior Tribunal de Justiça. Quarta Turma. Agravo Interno no Agravo em Recurso Especial 2.796.399. Relator: Min. Raul Araújo. DJe 3 nov. 2025.</w:t>
      </w:r>
    </w:p>
    <w:p>
      <w:pPr>
        <w:pStyle w:val="BodyText"/>
        <w:spacing w:after="80"/>
        <w:jc w:val="both"/>
      </w:pPr>
      <w:r>
        <w:t xml:space="preserve">BRASIL. Superior Tribunal de Justiça. Quarta Turma. Agravo Interno no Agravo em Recurso Especial 2.890.749. Relator: Min. Raul Araújo. Julgado em 8 jun. 2026. DJEN 12 jun. 2026.</w:t>
      </w:r>
    </w:p>
    <w:p>
      <w:pPr>
        <w:pStyle w:val="BodyText"/>
        <w:spacing w:after="80"/>
        <w:jc w:val="both"/>
      </w:pPr>
      <w:r>
        <w:t xml:space="preserve">BRASIL. Superior Tribunal de Justiça. Quarta Turma. Agravo Interno no Agravo em Recurso Especial 2.989.688. Relator: Min. Raul Araújo. Julgado em 8 jun. 2026. DJEN 12 jun. 2026.</w:t>
      </w:r>
    </w:p>
    <w:p>
      <w:pPr>
        <w:pStyle w:val="BodyText"/>
        <w:spacing w:after="80"/>
        <w:jc w:val="both"/>
      </w:pPr>
      <w:r>
        <w:t xml:space="preserve">BRASIL. Superior Tribunal de Justiça. Quarta Turma. Agravo Interno no Agravo em Recurso Especial 3.004.092. Relator: Min. Raul Araújo. Julgado em 30 jun. 2026. DJEN 30 jul. 2026.</w:t>
      </w:r>
    </w:p>
    <w:p>
      <w:pPr>
        <w:pStyle w:val="BodyText"/>
        <w:spacing w:after="80"/>
        <w:jc w:val="both"/>
      </w:pPr>
      <w:r>
        <w:t xml:space="preserve">BRASIL. Superior Tribunal de Justiça. Quarta Turma. Agravo Interno no Agravo em Recurso Especial 3.076.915. Relatora: Min. Maria Isabel Gallotti. Julgado em 8 jun. 2026.</w:t>
      </w:r>
    </w:p>
    <w:p>
      <w:pPr>
        <w:pStyle w:val="BodyText"/>
        <w:spacing w:after="80"/>
        <w:jc w:val="both"/>
      </w:pPr>
      <w:r>
        <w:t xml:space="preserve">BRASIL. Superior Tribunal de Justiça. Quarta Turma. Agravo Interno no Agravo em Recurso Especial 3.102.802. Relator: Min. Luís Carlos Gambogi (Desembargador Convocado do Tjmg). Julgado em 22 abr. 2026.</w:t>
      </w:r>
    </w:p>
    <w:p>
      <w:pPr>
        <w:pStyle w:val="BodyText"/>
        <w:spacing w:after="80"/>
        <w:jc w:val="both"/>
      </w:pPr>
      <w:r>
        <w:t xml:space="preserve">BRASIL. Superior Tribunal de Justiça. Quarta Turma. Agravo Interno no Recurso Especial 2.146.304. Relatora: Min. Maria Isabel Gallotti. Julgado em 12 ago. 2026.</w:t>
      </w:r>
    </w:p>
    <w:p>
      <w:pPr>
        <w:pStyle w:val="BodyText"/>
        <w:spacing w:after="80"/>
        <w:jc w:val="both"/>
      </w:pPr>
      <w:r>
        <w:t xml:space="preserve">BRASIL. Superior Tribunal de Justiça. Quarta Turma. Agravo Interno nos Embargos de Declaração no Agravo em Recurso Especial 2.980.872. Relatora: Min. Maria Isabel Gallotti. Julgado em 12 ago. 2026.</w:t>
      </w:r>
    </w:p>
    <w:p>
      <w:pPr>
        <w:pStyle w:val="BodyText"/>
        <w:spacing w:after="80"/>
        <w:jc w:val="both"/>
      </w:pPr>
      <w:r>
        <w:t xml:space="preserve">BRASIL. Superior Tribunal de Justiça. Quarta Turma. Agravo Interno nos Embargos de Declaração no Agravo Interno no Agravo em Recurso Especial 2.540.075. Relatora: Min. Maria Isabel Gallotti. Julgado em 16 mar. 2026.</w:t>
      </w:r>
    </w:p>
    <w:p>
      <w:pPr>
        <w:pStyle w:val="BodyText"/>
        <w:spacing w:after="80"/>
        <w:jc w:val="both"/>
      </w:pPr>
      <w:r>
        <w:t xml:space="preserve">BRASIL. Superior Tribunal de Justiça. Quarta Turma. Embargos de Declaração no Agravo em Recurso Especial 2.505.836. Relator: Min. Raul Araújo. Julgado em 13 abr. 2026.</w:t>
      </w:r>
    </w:p>
    <w:p>
      <w:pPr>
        <w:pStyle w:val="BodyText"/>
        <w:spacing w:after="80"/>
        <w:jc w:val="both"/>
      </w:pPr>
      <w:r>
        <w:t xml:space="preserve">BRASIL. Superior Tribunal de Justiça. Quarta Turma. Recurso Especial 1.675.741. Relator: Min. Luis Felipe Salomão. Julgado em 11 jun. 2019. DJe 5 ago. 2019.</w:t>
      </w:r>
    </w:p>
    <w:p>
      <w:pPr>
        <w:pStyle w:val="BodyText"/>
        <w:spacing w:after="80"/>
        <w:jc w:val="both"/>
      </w:pPr>
      <w:r>
        <w:t xml:space="preserve">BRASIL. Superior Tribunal de Justiça. Quarta Turma. Recurso Especial 1.903.596. Relator: Min. Raul Araújo. Julgado em 17 mar. 2026. DJEN 2 jun. 2026.</w:t>
      </w:r>
    </w:p>
    <w:p>
      <w:pPr>
        <w:pStyle w:val="BodyText"/>
        <w:spacing w:after="80"/>
        <w:jc w:val="both"/>
      </w:pPr>
      <w:r>
        <w:t xml:space="preserve">BRASIL. Superior Tribunal de Justiça. Quarta Turma. Recurso Especial 2.041.272. Relator: Min. João Otávio de Noronha. Julgado em 22 jun. 2026.</w:t>
      </w:r>
    </w:p>
    <w:p>
      <w:pPr>
        <w:pStyle w:val="BodyText"/>
        <w:spacing w:after="80"/>
        <w:jc w:val="both"/>
      </w:pPr>
      <w:r>
        <w:t xml:space="preserve">BRASIL. Superior Tribunal de Justiça. Quarta Turma. Recurso Especial 2.162.965. Relator: Min. João Otávio de Noronha. Julgado em 25 maio 2026. DJEN 28 maio 2026.</w:t>
      </w:r>
    </w:p>
    <w:p>
      <w:pPr>
        <w:pStyle w:val="BodyText"/>
        <w:spacing w:after="80"/>
        <w:jc w:val="both"/>
      </w:pPr>
      <w:r>
        <w:t xml:space="preserve">BRASIL. Superior Tribunal de Justiça. Quarta Turma. Recurso Especial 2.167.656. Relator: Min. João Otávio de Noronha. Julgado em 9 mar. 2026.</w:t>
      </w:r>
    </w:p>
    <w:p>
      <w:pPr>
        <w:pStyle w:val="BodyText"/>
        <w:spacing w:after="80"/>
        <w:jc w:val="both"/>
      </w:pPr>
      <w:r>
        <w:t xml:space="preserve">BRASIL. Superior Tribunal de Justiça. Quarta Turma. Recurso Especial 2.177.058. Relator: Min. João Otávio de Noronha. Julgado em 30 jun. 2026.</w:t>
      </w:r>
    </w:p>
    <w:p>
      <w:pPr>
        <w:pStyle w:val="BodyText"/>
        <w:spacing w:after="80"/>
        <w:jc w:val="both"/>
      </w:pPr>
      <w:r>
        <w:t xml:space="preserve">BRASIL. Superior Tribunal de Justiça. Quarta Turma. Recurso Especial 2.178.147. Relatora: Min. Maria Isabel Gallotti. Julgado em 15 jun. 2026. DJEN 22 jun. 2026.</w:t>
      </w:r>
    </w:p>
    <w:p>
      <w:pPr>
        <w:pStyle w:val="BodyText"/>
        <w:spacing w:after="80"/>
        <w:jc w:val="both"/>
      </w:pPr>
      <w:r>
        <w:t xml:space="preserve">BRASIL. Superior Tribunal de Justiça. Quarta Turma. Recurso Especial 2.197.058. Relator: Min. João Otávio de Noronha. Julgado em 22 abr. 2026. DJEN 27 abr. 2026.</w:t>
      </w:r>
    </w:p>
    <w:p>
      <w:pPr>
        <w:pStyle w:val="BodyText"/>
        <w:spacing w:after="80"/>
        <w:jc w:val="both"/>
      </w:pPr>
      <w:r>
        <w:t xml:space="preserve">BRASIL. Superior Tribunal de Justiça. Quarta Turma. Recurso Especial 2.199.430. Relator: Min. João Otávio de Noronha. Julgado em 9 mar. 2026. DJEN 12 mar. 2026.</w:t>
      </w:r>
    </w:p>
    <w:p>
      <w:pPr>
        <w:pStyle w:val="BodyText"/>
        <w:spacing w:after="80"/>
        <w:jc w:val="both"/>
      </w:pPr>
      <w:r>
        <w:t xml:space="preserve">BRASIL. Superior Tribunal de Justiça. Quarta Turma. Recurso Especial 2.228.425. Relator: Min. Raul Araújo. Julgado em 9 mar. 2026.</w:t>
      </w:r>
    </w:p>
    <w:p>
      <w:pPr>
        <w:pStyle w:val="BodyText"/>
        <w:spacing w:after="80"/>
        <w:jc w:val="both"/>
      </w:pPr>
      <w:r>
        <w:t xml:space="preserve">BRASIL. Superior Tribunal de Justiça. Quarta Turma. Recurso Especial 2.228.772. Relator: Min. Antonio Carlos Ferreira. Julgado em 3 mar. 2026.</w:t>
      </w:r>
    </w:p>
    <w:p>
      <w:pPr>
        <w:pStyle w:val="BodyText"/>
        <w:spacing w:after="80"/>
        <w:jc w:val="both"/>
      </w:pPr>
      <w:r>
        <w:t xml:space="preserve">BRASIL. Superior Tribunal de Justiça. Quarta Turma. Recurso Especial 2.233.654. Relator: Min. João Otávio de Noronha. Julgado em 22 abr. 2026.</w:t>
      </w:r>
    </w:p>
    <w:p>
      <w:pPr>
        <w:pStyle w:val="BodyText"/>
        <w:spacing w:after="80"/>
        <w:jc w:val="both"/>
      </w:pPr>
      <w:r>
        <w:t xml:space="preserve">BRASIL. Superior Tribunal de Justiça. Quarta Turma. Recurso Especial 2.238.613. Relatora: Min. Maria Isabel Gallotti. Julgado em 25 maio 2026. DJEN 28 maio 2026.</w:t>
      </w:r>
    </w:p>
    <w:p>
      <w:pPr>
        <w:pStyle w:val="BodyText"/>
        <w:spacing w:after="80"/>
        <w:jc w:val="both"/>
      </w:pPr>
      <w:r>
        <w:t xml:space="preserve">BRASIL. Superior Tribunal de Justiça. Quarta Turma. Recurso Especial 2.255.343. Relator: Min. João Otávio de Noronha. Julgado em 22 abr. 2026. DJEN 27 abr. 2026.</w:t>
      </w:r>
    </w:p>
    <w:p>
      <w:pPr>
        <w:pStyle w:val="BodyText"/>
        <w:spacing w:after="80"/>
        <w:jc w:val="both"/>
      </w:pPr>
      <w:r>
        <w:t xml:space="preserve">BRASIL. Superior Tribunal de Justiça. Segunda Seção. Conflito de Competência 210.807. Relator: Min. Moura Ribeiro. DJe 11 jun. 2025.</w:t>
      </w:r>
    </w:p>
    <w:p>
      <w:pPr>
        <w:pStyle w:val="BodyText"/>
        <w:spacing w:after="80"/>
        <w:jc w:val="both"/>
      </w:pPr>
      <w:r>
        <w:t xml:space="preserve">BRASIL. Superior Tribunal de Justiça. Segunda Seção. Conflito de Competência 216.850. Relatora: Min. Daniela Teixeira. DJe 17 nov. 2025.</w:t>
      </w:r>
    </w:p>
    <w:p>
      <w:pPr>
        <w:pStyle w:val="BodyText"/>
        <w:spacing w:after="80"/>
        <w:jc w:val="both"/>
      </w:pPr>
      <w:r>
        <w:t xml:space="preserve">BRASIL. Superior Tribunal de Justiça. Segunda Turma. Agravo Interno no Recurso Especial 1.822.142. Relator: Min. Herman Benjamin. Julgado em 19 nov. 2019. DJe 19 dez. 2019.</w:t>
      </w:r>
    </w:p>
    <w:p>
      <w:pPr>
        <w:pStyle w:val="BodyText"/>
        <w:spacing w:after="80"/>
        <w:jc w:val="both"/>
      </w:pPr>
      <w:r>
        <w:t xml:space="preserve">BRASIL. Superior Tribunal de Justiça. Segunda Turma. Agravo Interno no Recurso Especial 1.877.544. Relator: Min. Francisco Falcão. Julgado em 21 nov. 2023. DJe 24 nov. 2023.</w:t>
      </w:r>
    </w:p>
    <w:p>
      <w:pPr>
        <w:pStyle w:val="BodyText"/>
        <w:spacing w:after="80"/>
        <w:jc w:val="both"/>
      </w:pPr>
      <w:r>
        <w:t xml:space="preserve">BRASIL. Superior Tribunal de Justiça. Segunda Turma. Agravo Interno no Recurso Especial 2.139.858. Relator: Min. Marco Aurélio Bellizze. Julgado em 12 ago. 2026.</w:t>
      </w:r>
    </w:p>
    <w:p>
      <w:pPr>
        <w:pStyle w:val="BodyText"/>
        <w:spacing w:after="80"/>
        <w:jc w:val="both"/>
      </w:pPr>
      <w:r>
        <w:t xml:space="preserve">BRASIL. Superior Tribunal de Justiça. Segunda Turma. Recurso Especial 2.190.438. Relatora: Min. Maria Thereza de Assis Moura. Julgado em 13 maio 2026.</w:t>
      </w:r>
    </w:p>
    <w:p>
      <w:pPr>
        <w:pStyle w:val="BodyText"/>
        <w:spacing w:after="80"/>
        <w:jc w:val="both"/>
      </w:pPr>
      <w:r>
        <w:t xml:space="preserve">BRASIL. Superior Tribunal de Justiça. Segunda Turma. Recurso Especial 2.251.367. Relator: Min. Teodoro Silva Santos. Julgado em 15 abr. 2026. DJEN 24 abr. 2026.</w:t>
      </w:r>
    </w:p>
    <w:p>
      <w:pPr>
        <w:pStyle w:val="BodyText"/>
        <w:spacing w:after="80"/>
        <w:jc w:val="both"/>
      </w:pPr>
      <w:r>
        <w:t xml:space="preserve">BRASIL. Superior Tribunal de Justiça. Terceira Turma. Agravo em Recurso Especial 2.669.057. Relator: Min. Moura Ribeiro. Julgado em 22 jun. 2026.</w:t>
      </w:r>
    </w:p>
    <w:p>
      <w:pPr>
        <w:pStyle w:val="BodyText"/>
        <w:spacing w:after="80"/>
        <w:jc w:val="both"/>
      </w:pPr>
      <w:r>
        <w:t xml:space="preserve">BRASIL. Superior Tribunal de Justiça. Terceira Turma. Agravo em Recurso Especial 2.707.741. Relator: Min. Moura Ribeiro. Julgado em 16 mar. 2026.</w:t>
      </w:r>
    </w:p>
    <w:p>
      <w:pPr>
        <w:pStyle w:val="BodyText"/>
        <w:spacing w:after="80"/>
        <w:jc w:val="both"/>
      </w:pPr>
      <w:r>
        <w:t xml:space="preserve">BRASIL. Superior Tribunal de Justiça. Terceira Turma. Agravo em Recurso Especial 2.983.239. Relator: Min. Ricardo Villas Bôas Cueva. DJe 27 abr. 2026.</w:t>
      </w:r>
    </w:p>
    <w:p>
      <w:pPr>
        <w:pStyle w:val="BodyText"/>
        <w:spacing w:after="80"/>
        <w:jc w:val="both"/>
      </w:pPr>
      <w:r>
        <w:t xml:space="preserve">BRASIL. Superior Tribunal de Justiça. Terceira Turma. Agravo em Recurso Especial 2.985.751. Relator: Min. Humberto Martins. Julgado em 1 jun. 2026.</w:t>
      </w:r>
    </w:p>
    <w:p>
      <w:pPr>
        <w:pStyle w:val="BodyText"/>
        <w:spacing w:after="80"/>
        <w:jc w:val="both"/>
      </w:pPr>
      <w:r>
        <w:t xml:space="preserve">BRASIL. Superior Tribunal de Justiça. Terceira Turma. Agravo em Recurso Especial 3.001.994. Relatora: Min. Nancy Andrighi. Julgado em 2 mar. 2026.</w:t>
      </w:r>
    </w:p>
    <w:p>
      <w:pPr>
        <w:pStyle w:val="BodyText"/>
        <w:spacing w:after="80"/>
        <w:jc w:val="both"/>
      </w:pPr>
      <w:r>
        <w:t xml:space="preserve">BRASIL. Superior Tribunal de Justiça. Terceira Turma. Agravo em Recurso Especial 3.052.836. Relator: Min. Humberto Martins. Julgado em 30 mar. 2026.</w:t>
      </w:r>
    </w:p>
    <w:p>
      <w:pPr>
        <w:pStyle w:val="BodyText"/>
        <w:spacing w:after="80"/>
        <w:jc w:val="both"/>
      </w:pPr>
      <w:r>
        <w:t xml:space="preserve">BRASIL. Superior Tribunal de Justiça. Terceira Turma. Agravo em Recurso Especial 3.107.495. Relator: Min. Moura Ribeiro. Julgado em 22 jun. 2026.</w:t>
      </w:r>
    </w:p>
    <w:p>
      <w:pPr>
        <w:pStyle w:val="BodyText"/>
        <w:spacing w:after="80"/>
        <w:jc w:val="both"/>
      </w:pPr>
      <w:r>
        <w:t xml:space="preserve">BRASIL. Superior Tribunal de Justiça. Terceira Turma. Agravo em Recurso Especial 3.107.679. Relator: Min. Moura Ribeiro. Julgado em 25 maio 2026.</w:t>
      </w:r>
    </w:p>
    <w:p>
      <w:pPr>
        <w:pStyle w:val="BodyText"/>
        <w:spacing w:after="80"/>
        <w:jc w:val="both"/>
      </w:pPr>
      <w:r>
        <w:t xml:space="preserve">BRASIL. Superior Tribunal de Justiça. Terceira Turma. Agravo em Recurso Especial 3.160.978. Relator: Min. Moura Ribeiro. Julgado em 22 jun. 2026.</w:t>
      </w:r>
    </w:p>
    <w:p>
      <w:pPr>
        <w:pStyle w:val="BodyText"/>
        <w:spacing w:after="80"/>
        <w:jc w:val="both"/>
      </w:pPr>
      <w:r>
        <w:t xml:space="preserve">BRASIL. Superior Tribunal de Justiça. Terceira Turma. Agravo Interno no Agravo em Recurso Especial 1.740.029. Relator: Min. Marco Aurélio Bellizze. DJe 17 mar. 2021.</w:t>
      </w:r>
    </w:p>
    <w:p>
      <w:pPr>
        <w:pStyle w:val="BodyText"/>
        <w:spacing w:after="80"/>
        <w:jc w:val="both"/>
      </w:pPr>
      <w:r>
        <w:t xml:space="preserve">BRASIL. Superior Tribunal de Justiça. Terceira Turma. Agravo Interno no Agravo em Recurso Especial 2.254.162. Relator: Min. Marco Aurélio Bellizze. DJe 24 maio 2023.</w:t>
      </w:r>
    </w:p>
    <w:p>
      <w:pPr>
        <w:pStyle w:val="BodyText"/>
        <w:spacing w:after="80"/>
        <w:jc w:val="both"/>
      </w:pPr>
      <w:r>
        <w:t xml:space="preserve">BRASIL. Superior Tribunal de Justiça. Terceira Turma. Agravo Interno no Agravo em Recurso Especial 2.392.225. Relator: Min. Humberto Martins. DJe 5 dez. 2024.</w:t>
      </w:r>
    </w:p>
    <w:p>
      <w:pPr>
        <w:pStyle w:val="BodyText"/>
        <w:spacing w:after="80"/>
        <w:jc w:val="both"/>
      </w:pPr>
      <w:r>
        <w:t xml:space="preserve">BRASIL. Superior Tribunal de Justiça. Terceira Turma. Agravo Interno no Agravo em Recurso Especial 2.716.112. Relator: Min. Humberto Martins. DJe 27 abr. 2026.</w:t>
      </w:r>
    </w:p>
    <w:p>
      <w:pPr>
        <w:pStyle w:val="BodyText"/>
        <w:spacing w:after="80"/>
        <w:jc w:val="both"/>
      </w:pPr>
      <w:r>
        <w:t xml:space="preserve">BRASIL. Superior Tribunal de Justiça. Terceira Turma. Agravo Interno no Agravo em Recurso Especial 3.116.356. Relator: Min. Humberto Martins. Julgado em 22 jun. 2026.</w:t>
      </w:r>
    </w:p>
    <w:p>
      <w:pPr>
        <w:pStyle w:val="BodyText"/>
        <w:spacing w:after="80"/>
        <w:jc w:val="both"/>
      </w:pPr>
      <w:r>
        <w:t xml:space="preserve">BRASIL. Superior Tribunal de Justiça. Terceira Turma. Agravo Interno no Agravo em Recurso Especial 3.174.968. Relator: Min. Humberto Martins. Julgado em 30 jun. 2026.</w:t>
      </w:r>
    </w:p>
    <w:p>
      <w:pPr>
        <w:pStyle w:val="BodyText"/>
        <w:spacing w:after="80"/>
        <w:jc w:val="both"/>
      </w:pPr>
      <w:r>
        <w:t xml:space="preserve">BRASIL. Superior Tribunal de Justiça. Terceira Turma. Agravo Interno no Embargos de Divergência em Recurso Especial 1.896.456. Relator: Min. Marco Aurélio Bellizze. DJe 3 mar. 2021.</w:t>
      </w:r>
    </w:p>
    <w:p>
      <w:pPr>
        <w:pStyle w:val="BodyText"/>
        <w:spacing w:after="80"/>
        <w:jc w:val="both"/>
      </w:pPr>
      <w:r>
        <w:t xml:space="preserve">BRASIL. Superior Tribunal de Justiça. Terceira Turma. Agravo Interno no Recurso Especial 2.018.134. Relator: Min. Humberto Martins. Julgado em 27 nov. 2023. DJe 30 nov. 2023.</w:t>
      </w:r>
    </w:p>
    <w:p>
      <w:pPr>
        <w:pStyle w:val="BodyText"/>
        <w:spacing w:after="80"/>
        <w:jc w:val="both"/>
      </w:pPr>
      <w:r>
        <w:t xml:space="preserve">BRASIL. Superior Tribunal de Justiça. Terceira Turma. Agravo Interno no Recurso Especial 2.111.955. Relator: Min. Humberto Martins. Julgado em 22 jun. 2026.</w:t>
      </w:r>
    </w:p>
    <w:p>
      <w:pPr>
        <w:pStyle w:val="BodyText"/>
        <w:spacing w:after="80"/>
        <w:jc w:val="both"/>
      </w:pPr>
      <w:r>
        <w:t xml:space="preserve">BRASIL. Superior Tribunal de Justiça. Terceira Turma. Agravo Interno no Recurso Especial 2.177.131. Relator: Min. Ricardo Villas Bôas Cueva. Julgado em 22 jun. 2026. DJEN 26 jun. 2026.</w:t>
      </w:r>
    </w:p>
    <w:p>
      <w:pPr>
        <w:pStyle w:val="BodyText"/>
        <w:spacing w:after="80"/>
        <w:jc w:val="both"/>
      </w:pPr>
      <w:r>
        <w:t xml:space="preserve">BRASIL. Superior Tribunal de Justiça. Terceira Turma. Agravo Interno no Recurso Especial 2.189.293. Relator: Min. Ricardo Villas Bôas Cueva. Julgado em 30 jun. 2026.</w:t>
      </w:r>
    </w:p>
    <w:p>
      <w:pPr>
        <w:pStyle w:val="BodyText"/>
        <w:spacing w:after="80"/>
        <w:jc w:val="both"/>
      </w:pPr>
      <w:r>
        <w:t xml:space="preserve">BRASIL. Superior Tribunal de Justiça. Terceira Turma. Agravo Interno no Recurso Especial 2.233.888. Relator: Min. Humberto Martins. Julgado em 24 ago. 2026. DJEN 27 ago. 2026.</w:t>
      </w:r>
    </w:p>
    <w:p>
      <w:pPr>
        <w:pStyle w:val="BodyText"/>
        <w:spacing w:after="80"/>
        <w:jc w:val="both"/>
      </w:pPr>
      <w:r>
        <w:t xml:space="preserve">BRASIL. Superior Tribunal de Justiça. Terceira Turma. Agravo Interno no Recurso Especial 2.251.445. Relator: Min. Humberto Martins. Julgado em 15 jun. 2026. DJEN 18 jun. 2026.</w:t>
      </w:r>
    </w:p>
    <w:p>
      <w:pPr>
        <w:pStyle w:val="BodyText"/>
        <w:spacing w:after="80"/>
        <w:jc w:val="both"/>
      </w:pPr>
      <w:r>
        <w:t xml:space="preserve">BRASIL. Superior Tribunal de Justiça. Terceira Turma. Embargos de Declaração no Agravo em Recurso Especial 3.089.140. Relator: Min. Moura Ribeiro. Julgado em 24 ago. 2026.</w:t>
      </w:r>
    </w:p>
    <w:p>
      <w:pPr>
        <w:pStyle w:val="BodyText"/>
        <w:spacing w:after="80"/>
        <w:jc w:val="both"/>
      </w:pPr>
      <w:r>
        <w:t xml:space="preserve">BRASIL. Superior Tribunal de Justiça. Terceira Turma. Embargos de Divergência em Recurso Especial 1.890.615. Relatora: Min. Nancy Andrighi. DJe 19 ago. 2021.</w:t>
      </w:r>
    </w:p>
    <w:p>
      <w:pPr>
        <w:pStyle w:val="BodyText"/>
        <w:spacing w:after="80"/>
        <w:jc w:val="both"/>
      </w:pPr>
      <w:r>
        <w:t xml:space="preserve">BRASIL. Superior Tribunal de Justiça. Terceira Turma. Recurso Especial 1.964.457. Relator: Min. Paulo de Tarso Sanseverino. Julgado em 3 maio 2022. DJe 11 maio 2022.</w:t>
      </w:r>
    </w:p>
    <w:p>
      <w:pPr>
        <w:pStyle w:val="BodyText"/>
        <w:spacing w:after="80"/>
        <w:jc w:val="both"/>
      </w:pPr>
      <w:r>
        <w:t xml:space="preserve">BRASIL. Superior Tribunal de Justiça. Terceira Turma. Recurso Especial 2.016.739. Relatora: Min. Nancy Andrighi. Julgado em 29 nov. 2022. DJe 1 dez. 2022.</w:t>
      </w:r>
    </w:p>
    <w:p>
      <w:pPr>
        <w:pStyle w:val="BodyText"/>
        <w:spacing w:after="80"/>
        <w:jc w:val="both"/>
      </w:pPr>
      <w:r>
        <w:t xml:space="preserve">BRASIL. Superior Tribunal de Justiça. Terceira Turma. Recurso Especial 2.101.226. Relatora: Min. Nancy Andrighi. Julgado em 12 mar. 2024. DJe 14 mar. 2024.</w:t>
      </w:r>
    </w:p>
    <w:p>
      <w:pPr>
        <w:pStyle w:val="BodyText"/>
        <w:spacing w:after="80"/>
        <w:jc w:val="both"/>
      </w:pPr>
      <w:r>
        <w:t xml:space="preserve">BRASIL. Superior Tribunal de Justiça. Terceira Turma. Recurso Especial 2.198.525. Relator: Min. Ricardo Villas Bôas Cueva. Julgado em 19 maio 2026. DJEN 3 jun. 2026.</w:t>
      </w:r>
    </w:p>
    <w:p>
      <w:pPr>
        <w:pStyle w:val="BodyText"/>
        <w:spacing w:after="80"/>
        <w:jc w:val="both"/>
      </w:pPr>
      <w:r>
        <w:t xml:space="preserve">BRASIL. Superior Tribunal de Justiça. Terceira Turma. Recurso Especial 2.199.841. Relatora: Min. Nancy Andrighi. Julgado em 25 ago. 2025. DJEN 1 set. 2025.</w:t>
      </w:r>
    </w:p>
    <w:p>
      <w:pPr>
        <w:pStyle w:val="BodyText"/>
        <w:spacing w:after="80"/>
        <w:jc w:val="both"/>
      </w:pPr>
      <w:r>
        <w:t xml:space="preserve">BRASIL. Superior Tribunal de Justiça. Terceira Turma. Recurso Especial 2.202.208. Relatora: Min. Nancy Andrighi. Julgado em 5 maio 2026. DJEN 13 maio 2026.</w:t>
      </w:r>
    </w:p>
    <w:p>
      <w:pPr>
        <w:pStyle w:val="BodyText"/>
        <w:spacing w:after="80"/>
        <w:jc w:val="both"/>
      </w:pPr>
      <w:r>
        <w:t xml:space="preserve">BRASIL. Superior Tribunal de Justiça. Terceira Turma. Recurso Especial 2.207.127. Relator: Min. Humberto Martins. Julgado em 9 mar. 2026.</w:t>
      </w:r>
    </w:p>
    <w:p>
      <w:pPr>
        <w:pStyle w:val="BodyText"/>
        <w:spacing w:after="80"/>
        <w:jc w:val="both"/>
      </w:pPr>
      <w:r>
        <w:t xml:space="preserve">BRASIL. Superior Tribunal de Justiça. Terceira Turma. Recurso Especial 2.210.081. Relatora: Min. Nancy Andrighi. Julgado em 9 jun. 2026.</w:t>
      </w:r>
    </w:p>
    <w:p>
      <w:pPr>
        <w:pStyle w:val="BodyText"/>
        <w:spacing w:after="80"/>
        <w:jc w:val="both"/>
      </w:pPr>
      <w:r>
        <w:t xml:space="preserve">BRASIL. Superior Tribunal de Justiça. Terceira Turma. Recurso Especial 2.225.590. Relator: Min. Humberto Martins. Julgado em 12 ago. 2026. DJEN 17 ago. 2026.</w:t>
      </w:r>
    </w:p>
    <w:p>
      <w:pPr>
        <w:pStyle w:val="BodyText"/>
        <w:spacing w:after="80"/>
        <w:jc w:val="both"/>
      </w:pPr>
      <w:r>
        <w:t xml:space="preserve">BRASIL. Superior Tribunal de Justiça. Terceira Turma. Recurso Especial 2.260.454. Relator: Min. Humberto Martins. Julgado em 12 ago. 2026.</w:t>
      </w:r>
    </w:p>
    <w:p>
      <w:pPr>
        <w:pStyle w:val="BodyText"/>
        <w:spacing w:after="80"/>
        <w:jc w:val="both"/>
      </w:pPr>
      <w:r>
        <w:t xml:space="preserve">BRASIL. Superior Tribunal de Justiça. Corte Especial. Agravo em Recurso Extraordinário no Recurso Extraordinário no Agravo Interno no Agravo em Recurso Especial 1.948.309. Relatora: Min. Maria Thereza de Assis Moura. Julgado em 22 nov. 2022. DJe 28 nov. 2022.</w:t>
      </w:r>
    </w:p>
    <w:p>
      <w:pPr>
        <w:pStyle w:val="BodyText"/>
        <w:spacing w:after="80"/>
        <w:jc w:val="both"/>
      </w:pPr>
      <w:r>
        <w:t xml:space="preserve">BRASIL. Superior Tribunal de Justiça. Corte Especial. Agravo em Recurso Extraordinário no Recurso Extraordinário nos Embargos de Declaração no Agravo Regimental no Recurso Especial 1.791.589. Relatora: Min. Maria Thereza de Assis Moura. Julgado em 12 maio 2020. DJe 15 maio 2020.</w:t>
      </w:r>
    </w:p>
    <w:p>
      <w:pPr>
        <w:pStyle w:val="BodyText"/>
        <w:spacing w:after="80"/>
        <w:jc w:val="both"/>
      </w:pPr>
      <w:r>
        <w:t xml:space="preserve">BRASIL. Superior Tribunal de Justiça. Corte Especial. Agravo Interno na Homologação de Decisão Estrangeira 3.552. Relator: Min. Humberto Martins. Julgado em 10 mar. 2026. DJEN 16 mar. 2026.</w:t>
      </w:r>
    </w:p>
    <w:p>
      <w:pPr>
        <w:pStyle w:val="BodyText"/>
        <w:spacing w:after="80"/>
        <w:jc w:val="both"/>
      </w:pPr>
      <w:r>
        <w:t xml:space="preserve">BRASIL. Superior Tribunal de Justiça. Corte Especial. Agravo Interno no Homologação de Decisão Estrangeira 3.384. Relator: Min. Ricardo Villas Bôas Cueva.</w:t>
      </w:r>
    </w:p>
    <w:p>
      <w:pPr>
        <w:pStyle w:val="BodyText"/>
        <w:spacing w:after="80"/>
        <w:jc w:val="both"/>
      </w:pPr>
      <w:r>
        <w:t xml:space="preserve">BRASIL. Superior Tribunal de Justiça. Corte Especial. Agravo Interno nos Embargos de Declaração na Homologação de Decisão Estrangeira 11.911. Relator: Min. Og Fernandes. Julgado em 3 mar. 2026. DJEN 10 mar. 2026.</w:t>
      </w:r>
    </w:p>
    <w:p>
      <w:pPr>
        <w:pStyle w:val="BodyText"/>
        <w:spacing w:after="80"/>
        <w:jc w:val="both"/>
      </w:pPr>
      <w:r>
        <w:t xml:space="preserve">BRASIL. Superior Tribunal de Justiça. Corte Especial. Agravo Regimental no Recurso Extraordinário no Agravo Regimental no Agravo em Recurso Especial 2.959.046. Relator: Min. Luis Felipe Salomão. Julgado em 5 ago. 2026.</w:t>
      </w:r>
    </w:p>
    <w:p>
      <w:pPr>
        <w:pStyle w:val="BodyText"/>
        <w:spacing w:after="80"/>
        <w:jc w:val="both"/>
      </w:pPr>
      <w:r>
        <w:t xml:space="preserve">BRASIL. Superior Tribunal de Justiça. Corte Especial. Agravo Regimental nos EAREsp 3.109.991. Relator: Min. Raul Araújo. Julgado em 23 jun. 2026.</w:t>
      </w:r>
    </w:p>
    <w:p>
      <w:pPr>
        <w:pStyle w:val="BodyText"/>
        <w:spacing w:after="80"/>
        <w:jc w:val="both"/>
      </w:pPr>
      <w:r>
        <w:t xml:space="preserve">BRASIL. Superior Tribunal de Justiça. Corte Especial. Agravo Regimental nos EAREsp 3.111.286. Relator: Min. Luis Felipe Salomão. Julgado em 18 ago. 2026.</w:t>
      </w:r>
    </w:p>
    <w:p>
      <w:pPr>
        <w:pStyle w:val="BodyText"/>
        <w:spacing w:after="80"/>
        <w:jc w:val="both"/>
      </w:pPr>
      <w:r>
        <w:t xml:space="preserve">BRASIL. Superior Tribunal de Justiça. Corte Especial. Conflito de Competência 218.125. Relatora: Min. Maria Thereza de Assis Moura. Julgado em 24 mar. 2026. DJEN 30 mar. 2026.</w:t>
      </w:r>
    </w:p>
    <w:p>
      <w:pPr>
        <w:pStyle w:val="BodyText"/>
        <w:spacing w:after="80"/>
        <w:jc w:val="both"/>
      </w:pPr>
      <w:r>
        <w:t xml:space="preserve">BRASIL. Superior Tribunal de Justiça. Corte Especial. Embargos de Declaração no Agravo em Recurso Especial 2.288.038. Relator: Min. Joel Ilan Paciornik. DJe 27 out. 2023.</w:t>
      </w:r>
    </w:p>
    <w:p>
      <w:pPr>
        <w:pStyle w:val="BodyText"/>
        <w:spacing w:after="80"/>
        <w:jc w:val="both"/>
      </w:pPr>
      <w:r>
        <w:t xml:space="preserve">BRASIL. Superior Tribunal de Justiça. Corte Especial. Homologação de Decisão Estrangeira 7.547. Relator: Min. Francisco Falcão. Julgado em 17 abr. 2024. DJe 22 abr. 2024.</w:t>
      </w:r>
    </w:p>
    <w:p>
      <w:pPr>
        <w:pStyle w:val="BodyText"/>
        <w:spacing w:after="80"/>
        <w:jc w:val="both"/>
      </w:pPr>
      <w:r>
        <w:t xml:space="preserve">BRASIL. Superior Tribunal de Justiça. Corte Especial. Homologação de Decisão Estrangeira 8.908. Relatora: Min. Maria Thereza de Assis Moura. Julgado em 25 nov. 2025. DJEN 28 nov. 2025.</w:t>
      </w:r>
    </w:p>
    <w:p>
      <w:pPr>
        <w:pStyle w:val="BodyText"/>
        <w:spacing w:after="80"/>
        <w:jc w:val="both"/>
      </w:pPr>
      <w:r>
        <w:t xml:space="preserve">BRASIL. Superior Tribunal de Justiça. Primeira Seção. Agravo Interno na Ação Rescisória 7.967. Relator: Min. Francisco Falcão. Julgado em 23 jun. 2026.</w:t>
      </w:r>
    </w:p>
    <w:p>
      <w:pPr>
        <w:pStyle w:val="BodyText"/>
        <w:spacing w:after="80"/>
        <w:jc w:val="both"/>
      </w:pPr>
      <w:r>
        <w:t xml:space="preserve">BRASIL. Superior Tribunal de Justiça. Primeira Seção. Agravo Interno no Conflito de Competência 200.667. Relator: Min. Francisco Falcão.</w:t>
      </w:r>
    </w:p>
    <w:p>
      <w:pPr>
        <w:pStyle w:val="BodyText"/>
        <w:spacing w:after="80"/>
        <w:jc w:val="both"/>
      </w:pPr>
      <w:r>
        <w:t xml:space="preserve">BRASIL. Superior Tribunal de Justiça. Primeira Seção. Agravo Interno no Conflito de Competência 219.988. Relatora: Min. Maria Thereza de Assis Moura. Julgado em 16 jun. 2026.</w:t>
      </w:r>
    </w:p>
    <w:p>
      <w:pPr>
        <w:pStyle w:val="BodyText"/>
        <w:spacing w:after="80"/>
        <w:jc w:val="both"/>
      </w:pPr>
      <w:r>
        <w:t xml:space="preserve">BRASIL. Superior Tribunal de Justiça. Primeira Seção. Agravo Interno no Reclamação 40.663. Relator: Min. Mauro Campbell Marques. DJe 4 mar. 2021.</w:t>
      </w:r>
    </w:p>
    <w:p>
      <w:pPr>
        <w:pStyle w:val="BodyText"/>
        <w:spacing w:after="80"/>
        <w:jc w:val="both"/>
      </w:pPr>
      <w:r>
        <w:t xml:space="preserve">BRASIL. Superior Tribunal de Justiça. Primeira Seção. CAt 297. Relator: Min. Herman Benjamin. Julgado em 12 jun. 2019. DJe 1 jul. 2019.</w:t>
      </w:r>
    </w:p>
    <w:p>
      <w:pPr>
        <w:pStyle w:val="BodyText"/>
        <w:spacing w:after="80"/>
        <w:jc w:val="both"/>
      </w:pPr>
      <w:r>
        <w:t xml:space="preserve">BRASIL. Superior Tribunal de Justiça. Primeira Seção. Embargos de Declaração no Mandado de Segurança 25.453. Relator: Min. Francisco Falcão. DJe 5 maio 2022.</w:t>
      </w:r>
    </w:p>
    <w:p>
      <w:pPr>
        <w:pStyle w:val="BodyText"/>
        <w:spacing w:after="80"/>
        <w:jc w:val="both"/>
      </w:pPr>
      <w:r>
        <w:t xml:space="preserve">BRASIL. Superior Tribunal de Justiça. Primeira Seção. Incidente de Assunção de Competência no Recurso em Mandado de Segurança 73.231. Relator: Min. Afrânio Vilela. Julgado em 2 jun. 2026.</w:t>
      </w:r>
    </w:p>
    <w:p>
      <w:pPr>
        <w:pStyle w:val="BodyText"/>
        <w:spacing w:after="80"/>
        <w:jc w:val="both"/>
      </w:pPr>
      <w:r>
        <w:t xml:space="preserve">BRASIL. Superior Tribunal de Justiça. Primeira Seção. Incidente de Assunção de Competência no Recurso Especial 1.860.219. Relator: Min. Paulo Sérgio Domingues. Julgado em 28 maio 2024. DJe 17 jun. 2024.</w:t>
      </w:r>
    </w:p>
    <w:p>
      <w:pPr>
        <w:pStyle w:val="BodyText"/>
        <w:spacing w:after="80"/>
        <w:jc w:val="both"/>
      </w:pPr>
      <w:r>
        <w:t xml:space="preserve">BRASIL. Superior Tribunal de Justiça. Primeira Turma. Agravo Interno no Agravo em Recurso Especial 1.192.559. Relator: Min. Sérgio Kukina. Julgado em 28 nov. 2022. DJe 1 dez. 2022.</w:t>
      </w:r>
    </w:p>
    <w:p>
      <w:pPr>
        <w:pStyle w:val="BodyText"/>
        <w:spacing w:after="80"/>
        <w:jc w:val="both"/>
      </w:pPr>
      <w:r>
        <w:t xml:space="preserve">BRASIL. Superior Tribunal de Justiça. Primeira Turma. Agravo Interno no Agravo em Recurso Especial 2.991.121. Relator: Min. Paulo Sérgio Domingues. Julgado em 12 ago. 2026.</w:t>
      </w:r>
    </w:p>
    <w:p>
      <w:pPr>
        <w:pStyle w:val="BodyText"/>
        <w:spacing w:after="80"/>
        <w:jc w:val="both"/>
      </w:pPr>
      <w:r>
        <w:t xml:space="preserve">BRASIL. Superior Tribunal de Justiça. Primeira Turma. Agravo Interno no Agravo em Recurso Especial 3.116.274. Relator: Min. Benedito Gonçalves. Julgado em 12 ago. 2026.</w:t>
      </w:r>
    </w:p>
    <w:p>
      <w:pPr>
        <w:pStyle w:val="BodyText"/>
        <w:spacing w:after="80"/>
        <w:jc w:val="both"/>
      </w:pPr>
      <w:r>
        <w:t xml:space="preserve">BRASIL. Superior Tribunal de Justiça. Primeira Turma. Agravo Interno no Embargos de Divergência em Recurso Especial 1.863.790. Relator: Min. Gurgel de Faria.</w:t>
      </w:r>
    </w:p>
    <w:p>
      <w:pPr>
        <w:pStyle w:val="BodyText"/>
        <w:spacing w:after="80"/>
        <w:jc w:val="both"/>
      </w:pPr>
      <w:r>
        <w:t xml:space="preserve">BRASIL. Superior Tribunal de Justiça. Quarta Turma. Agravo em Recurso Especial 2.505.336. Relator: Min. João Otávio de Noronha. Julgado em 4 maio 2026.</w:t>
      </w:r>
    </w:p>
    <w:p>
      <w:pPr>
        <w:pStyle w:val="BodyText"/>
        <w:spacing w:after="80"/>
        <w:jc w:val="both"/>
      </w:pPr>
      <w:r>
        <w:t xml:space="preserve">BRASIL. Superior Tribunal de Justiça. Quarta Turma. Agravo em Recurso Especial 2.664.432. Relator: Min. João Otávio de Noronha. Julgado em 9 fev. 2026.</w:t>
      </w:r>
    </w:p>
    <w:p>
      <w:pPr>
        <w:pStyle w:val="BodyText"/>
        <w:spacing w:after="80"/>
        <w:jc w:val="both"/>
      </w:pPr>
      <w:r>
        <w:t xml:space="preserve">BRASIL. Superior Tribunal de Justiça. Quarta Turma. Agravo em Recurso Especial 2.744.284. Relator: Min. João Otávio de Noronha. Julgado em 9 mar. 2026.</w:t>
      </w:r>
    </w:p>
    <w:p>
      <w:pPr>
        <w:pStyle w:val="BodyText"/>
        <w:spacing w:after="80"/>
        <w:jc w:val="both"/>
      </w:pPr>
      <w:r>
        <w:t xml:space="preserve">BRASIL. Superior Tribunal de Justiça. Quarta Turma. Agravo em Recurso Especial 3.048.882. Relator: Min. João Otávio de Noronha. Julgado em 30 jun. 2026.</w:t>
      </w:r>
    </w:p>
    <w:p>
      <w:pPr>
        <w:pStyle w:val="BodyText"/>
        <w:spacing w:after="80"/>
        <w:jc w:val="both"/>
      </w:pPr>
      <w:r>
        <w:t xml:space="preserve">BRASIL. Superior Tribunal de Justiça. Quarta Turma. Agravo Interno no Agravo em Recurso Especial 1.775.856. Relator: Min. Luis Felipe Salomão. DJe 1 dez. 2021.</w:t>
      </w:r>
    </w:p>
    <w:p>
      <w:pPr>
        <w:pStyle w:val="BodyText"/>
        <w:spacing w:after="80"/>
        <w:jc w:val="both"/>
      </w:pPr>
      <w:r>
        <w:t xml:space="preserve">BRASIL. Superior Tribunal de Justiça. Quarta Turma. Agravo Interno no Agravo em Recurso Especial 1.781.701. Relator: Min. Marco Buzzi. Julgado em 23 ago. 2021. DJe 26 ago. 2021.</w:t>
      </w:r>
    </w:p>
    <w:p>
      <w:pPr>
        <w:pStyle w:val="BodyText"/>
        <w:spacing w:after="80"/>
        <w:jc w:val="both"/>
      </w:pPr>
      <w:r>
        <w:t xml:space="preserve">BRASIL. Superior Tribunal de Justiça. Quarta Turma. Agravo Interno no Agravo em Recurso Especial 1.834.252. Relator: Min. Luís Carlos Gambogi (Desembargador Convocado do Tjmg). Julgado em 8 jun. 2026. DJEN 12 jun. 2026.</w:t>
      </w:r>
    </w:p>
    <w:p>
      <w:pPr>
        <w:pStyle w:val="BodyText"/>
        <w:spacing w:after="80"/>
        <w:jc w:val="both"/>
      </w:pPr>
      <w:r>
        <w:t xml:space="preserve">BRASIL. Superior Tribunal de Justiça. Quarta Turma. Agravo Interno no Agravo em Recurso Especial 1.858.696. Relator: Min. João Otávio de Noronha.</w:t>
      </w:r>
    </w:p>
    <w:p>
      <w:pPr>
        <w:pStyle w:val="BodyText"/>
        <w:spacing w:after="80"/>
        <w:jc w:val="both"/>
      </w:pPr>
      <w:r>
        <w:t xml:space="preserve">BRASIL. Superior Tribunal de Justiça. Quarta Turma. Agravo Interno no Agravo em Recurso Especial 1.889.947. Relator: Min. Raul Araújo. Julgado em 12 ago. 2026.</w:t>
      </w:r>
    </w:p>
    <w:p>
      <w:pPr>
        <w:pStyle w:val="BodyText"/>
        <w:spacing w:after="80"/>
        <w:jc w:val="both"/>
      </w:pPr>
      <w:r>
        <w:t xml:space="preserve">BRASIL. Superior Tribunal de Justiça. Quarta Turma. Agravo Interno no Agravo em Recurso Especial 2.751.494. Relator: Min. Marco Buzzi.</w:t>
      </w:r>
    </w:p>
    <w:p>
      <w:pPr>
        <w:pStyle w:val="BodyText"/>
        <w:spacing w:after="80"/>
        <w:jc w:val="both"/>
      </w:pPr>
      <w:r>
        <w:t xml:space="preserve">BRASIL. Superior Tribunal de Justiça. Quarta Turma. Agravo Interno no Agravo em Recurso Especial 2.959.641. Relatora: Min. Maria Isabel Gallotti. Julgado em 12 ago. 2026. DJEN 17 ago. 2026.</w:t>
      </w:r>
    </w:p>
    <w:p>
      <w:pPr>
        <w:pStyle w:val="BodyText"/>
        <w:spacing w:after="80"/>
        <w:jc w:val="both"/>
      </w:pPr>
      <w:r>
        <w:t xml:space="preserve">BRASIL. Superior Tribunal de Justiça. Quarta Turma. Agravo Interno no Agravo em Recurso Especial 3.111.390. Relator: Min. Raul Araújo. Julgado em 30 jun. 2026.</w:t>
      </w:r>
    </w:p>
    <w:p>
      <w:pPr>
        <w:pStyle w:val="BodyText"/>
        <w:spacing w:after="80"/>
        <w:jc w:val="both"/>
      </w:pPr>
      <w:r>
        <w:t xml:space="preserve">BRASIL. Superior Tribunal de Justiça. Quarta Turma. Agravo Interno no Agravo em Recurso Especial 3.204.965. Relatora: Min. Maria Isabel Gallotti.</w:t>
      </w:r>
    </w:p>
    <w:p>
      <w:pPr>
        <w:pStyle w:val="BodyText"/>
        <w:spacing w:after="80"/>
        <w:jc w:val="both"/>
      </w:pPr>
      <w:r>
        <w:t xml:space="preserve">BRASIL. Superior Tribunal de Justiça. Quarta Turma. Agravo Interno nos Embargos de Declaração no Agravo em Recurso Especial 2.873.650. Relator: Min. Raul Araújo. Julgado em 15 jun. 2026.</w:t>
      </w:r>
    </w:p>
    <w:p>
      <w:pPr>
        <w:pStyle w:val="BodyText"/>
        <w:spacing w:after="80"/>
        <w:jc w:val="both"/>
      </w:pPr>
      <w:r>
        <w:t xml:space="preserve">BRASIL. Superior Tribunal de Justiça. Quarta Turma. Agravo Interno nos Embargos de Declaração no Agravo em Recurso Especial 3.075.656. Relator: Min. Luís Carlos Gambogi (Desembargador Convocado do Tjmg). Julgado em 22 jun. 2026.</w:t>
      </w:r>
    </w:p>
    <w:p>
      <w:pPr>
        <w:pStyle w:val="BodyText"/>
        <w:spacing w:after="80"/>
        <w:jc w:val="both"/>
      </w:pPr>
      <w:r>
        <w:t xml:space="preserve">BRASIL. Superior Tribunal de Justiça. Quarta Turma. Embargos de Declaração no Agravo em Recurso Especial 2.109.686. Relator: Min. Raul Araújo. Julgado em 30 mar. 2026.</w:t>
      </w:r>
    </w:p>
    <w:p>
      <w:pPr>
        <w:pStyle w:val="BodyText"/>
        <w:spacing w:after="80"/>
        <w:jc w:val="both"/>
      </w:pPr>
      <w:r>
        <w:t xml:space="preserve">BRASIL. Superior Tribunal de Justiça. Quarta Turma. Recurso Especial 1.781.587. Relator: Min. João Otávio de Noronha. Julgado em 14 abr. 2026.</w:t>
      </w:r>
    </w:p>
    <w:p>
      <w:pPr>
        <w:pStyle w:val="BodyText"/>
        <w:spacing w:after="80"/>
        <w:jc w:val="both"/>
      </w:pPr>
      <w:r>
        <w:t xml:space="preserve">BRASIL. Superior Tribunal de Justiça. Quarta Turma. Recurso Especial 2.082.230. Relator: Min. João Otávio de Noronha. Julgado em 22 jun. 2026.</w:t>
      </w:r>
    </w:p>
    <w:p>
      <w:pPr>
        <w:pStyle w:val="BodyText"/>
        <w:spacing w:after="80"/>
        <w:jc w:val="both"/>
      </w:pPr>
      <w:r>
        <w:t xml:space="preserve">BRASIL. Superior Tribunal de Justiça. Quarta Turma. Recurso Especial 2.228.289. Relator: Min. João Otávio de Noronha. Julgado em 24 ago. 2026.</w:t>
      </w:r>
    </w:p>
    <w:p>
      <w:pPr>
        <w:pStyle w:val="BodyText"/>
        <w:spacing w:after="80"/>
        <w:jc w:val="both"/>
      </w:pPr>
      <w:r>
        <w:t xml:space="preserve">BRASIL. Superior Tribunal de Justiça. Quinta Turma. Agravo Interno no Agravo em Recurso Especial 3.107.379. Relatora: Min. Daniela Teixeira. Julgado em 30 jun. 2026.</w:t>
      </w:r>
    </w:p>
    <w:p>
      <w:pPr>
        <w:pStyle w:val="BodyText"/>
        <w:spacing w:after="80"/>
        <w:jc w:val="both"/>
      </w:pPr>
      <w:r>
        <w:t xml:space="preserve">BRASIL. Superior Tribunal de Justiça. Quinta Turma. Embargos de Declaração no Agravo Interno no Agravo em Recurso Especial 3.072.654. Relatora: Min. Daniela Teixeira. Julgado em 24 ago. 2026.</w:t>
      </w:r>
    </w:p>
    <w:p>
      <w:pPr>
        <w:pStyle w:val="BodyText"/>
        <w:spacing w:after="80"/>
        <w:jc w:val="both"/>
      </w:pPr>
      <w:r>
        <w:t xml:space="preserve">BRASIL. Superior Tribunal de Justiça. Quinta Turma. Embargos de Declaração no Agravo Regimental no Recurso em Mandado de Segurança 77.943. Relator: Min. Joel Ilan Paciornik. Julgado em 4 ago. 2026.</w:t>
      </w:r>
    </w:p>
    <w:p>
      <w:pPr>
        <w:pStyle w:val="BodyText"/>
        <w:spacing w:after="80"/>
        <w:jc w:val="both"/>
      </w:pPr>
      <w:r>
        <w:t xml:space="preserve">BRASIL. Superior Tribunal de Justiça. Segunda Seção. Agravo Interno no Reclamação 44.823. Relator: Min. Marco Buzzi.</w:t>
      </w:r>
    </w:p>
    <w:p>
      <w:pPr>
        <w:pStyle w:val="BodyText"/>
        <w:spacing w:after="80"/>
        <w:jc w:val="both"/>
      </w:pPr>
      <w:r>
        <w:t xml:space="preserve">BRASIL. Superior Tribunal de Justiça. Segunda Seção. Ação Rescisória 5.980. Relator: Min. Marco Aurélio Bellizze. Julgado em 24 nov. 2021. DJe 3 dez. 2021.</w:t>
      </w:r>
    </w:p>
    <w:p>
      <w:pPr>
        <w:pStyle w:val="BodyText"/>
        <w:spacing w:after="80"/>
        <w:jc w:val="both"/>
      </w:pPr>
      <w:r>
        <w:t xml:space="preserve">BRASIL. Superior Tribunal de Justiça. Segunda Seção. Embargos de Declaração no Ação Rescisória 7.646. Relator: Min. Marco Buzzi. DJe 23 out. 2024.</w:t>
      </w:r>
    </w:p>
    <w:p>
      <w:pPr>
        <w:pStyle w:val="BodyText"/>
        <w:spacing w:after="80"/>
        <w:jc w:val="both"/>
      </w:pPr>
      <w:r>
        <w:t xml:space="preserve">BRASIL. Superior Tribunal de Justiça. Segunda Seção. Embargos de Declaração no EAREsp 289.579. Relatora: Min. Nancy Andrighi. DJe 25 ago. 2025.</w:t>
      </w:r>
    </w:p>
    <w:p>
      <w:pPr>
        <w:pStyle w:val="BodyText"/>
        <w:spacing w:after="80"/>
        <w:jc w:val="both"/>
      </w:pPr>
      <w:r>
        <w:t xml:space="preserve">BRASIL. Superior Tribunal de Justiça. Segunda Turma. Agravo em Recurso Especial 2.475.196. Relator: Min. Mauro Campbell Marques. Julgado em 5 mar. 2024. DJe 7 mar. 2024.</w:t>
      </w:r>
    </w:p>
    <w:p>
      <w:pPr>
        <w:pStyle w:val="BodyText"/>
        <w:spacing w:after="80"/>
        <w:jc w:val="both"/>
      </w:pPr>
      <w:r>
        <w:t xml:space="preserve">BRASIL. Superior Tribunal de Justiça. Segunda Turma. Agravo Interno no Agravo em Recurso Especial 2.146.524. Relatora: Min. Assusete Magalhães. DJe 29 ago. 2023.</w:t>
      </w:r>
    </w:p>
    <w:p>
      <w:pPr>
        <w:pStyle w:val="BodyText"/>
        <w:spacing w:after="80"/>
        <w:jc w:val="both"/>
      </w:pPr>
      <w:r>
        <w:t xml:space="preserve">BRASIL. Superior Tribunal de Justiça. Segunda Turma. Agravo Interno no Agravo em Recurso Especial 2.560.051. Relator: Min. Mauro Campbell Marques.</w:t>
      </w:r>
    </w:p>
    <w:p>
      <w:pPr>
        <w:pStyle w:val="BodyText"/>
        <w:spacing w:after="80"/>
        <w:jc w:val="both"/>
      </w:pPr>
      <w:r>
        <w:t xml:space="preserve">BRASIL. Superior Tribunal de Justiça. Segunda Turma. Agravo Interno no Agravo em Recurso Especial 2.966.132. Relator: Min. Marco Aurélio Bellizze. Julgado em 24 jun. 2026.</w:t>
      </w:r>
    </w:p>
    <w:p>
      <w:pPr>
        <w:pStyle w:val="BodyText"/>
        <w:spacing w:after="80"/>
        <w:jc w:val="both"/>
      </w:pPr>
      <w:r>
        <w:t xml:space="preserve">BRASIL. Superior Tribunal de Justiça. Segunda Turma. Agravo Interno no Recurso em Mandado de Segurança 78.807. Relator: Min. Marco Aurélio Bellizze. Julgado em 26 ago. 2026.</w:t>
      </w:r>
    </w:p>
    <w:p>
      <w:pPr>
        <w:pStyle w:val="BodyText"/>
        <w:spacing w:after="80"/>
        <w:jc w:val="both"/>
      </w:pPr>
      <w:r>
        <w:t xml:space="preserve">BRASIL. Superior Tribunal de Justiça. Segunda Turma. DESIS no Recurso Especial 1.795.534. Relator: Min. Herman Benjamin. Julgado em 20 ago. 2019. DJe 13 set. 2019.</w:t>
      </w:r>
    </w:p>
    <w:p>
      <w:pPr>
        <w:pStyle w:val="BodyText"/>
        <w:spacing w:after="80"/>
        <w:jc w:val="both"/>
      </w:pPr>
      <w:r>
        <w:t xml:space="preserve">BRASIL. Superior Tribunal de Justiça. Segunda Turma. Embargos de Declaração nos Embargos de Declaração no Agravo Interno nos Embargos de Declaração no Recurso Especial 1.935.119. Relator: Min. Herman Benjamin. Julgado em 28 mar. 2022. DJe 12 abr. 2022.</w:t>
      </w:r>
    </w:p>
    <w:p>
      <w:pPr>
        <w:pStyle w:val="BodyText"/>
        <w:spacing w:after="80"/>
        <w:jc w:val="both"/>
      </w:pPr>
      <w:r>
        <w:t xml:space="preserve">BRASIL. Superior Tribunal de Justiça. Segunda Turma. Recurso Especial 1.869.867. Relator: Min. Og Fernandes. Julgado em 20 abr. 2021. DJe 3 maio 2021.</w:t>
      </w:r>
    </w:p>
    <w:p>
      <w:pPr>
        <w:pStyle w:val="BodyText"/>
        <w:spacing w:after="80"/>
        <w:jc w:val="both"/>
      </w:pPr>
      <w:r>
        <w:t xml:space="preserve">BRASIL. Superior Tribunal de Justiça. Segunda Turma. Recurso Especial 1.916.976. Relator: Min. Herman Benjamin. Julgado em 21 maio 2024. DJe 23 ago. 2024.</w:t>
      </w:r>
    </w:p>
    <w:p>
      <w:pPr>
        <w:pStyle w:val="BodyText"/>
        <w:spacing w:after="80"/>
        <w:jc w:val="both"/>
      </w:pPr>
      <w:r>
        <w:t xml:space="preserve">BRASIL. Superior Tribunal de Justiça. Segunda Turma. Recurso Especial 1.922.044. Relator: Min. Herman Benjamin. DJe 13 abr. 2021.</w:t>
      </w:r>
    </w:p>
    <w:p>
      <w:pPr>
        <w:pStyle w:val="BodyText"/>
        <w:spacing w:after="80"/>
        <w:jc w:val="both"/>
      </w:pPr>
      <w:r>
        <w:t xml:space="preserve">BRASIL. Superior Tribunal de Justiça. Segunda Turma. Recurso Especial 2.213.902. Relator: Min. Francisco Falcão. Julgado em 3 mar. 2026.</w:t>
      </w:r>
    </w:p>
    <w:p>
      <w:pPr>
        <w:pStyle w:val="BodyText"/>
        <w:spacing w:after="80"/>
        <w:jc w:val="both"/>
      </w:pPr>
      <w:r>
        <w:t xml:space="preserve">BRASIL. Superior Tribunal de Justiça. Sexta Turma. Agravo Regimental no Habeas Corpus 903.471. Relator: Min. Antonio Saldanha Palheiro.</w:t>
      </w:r>
    </w:p>
    <w:p>
      <w:pPr>
        <w:pStyle w:val="BodyText"/>
        <w:spacing w:after="80"/>
        <w:jc w:val="both"/>
      </w:pPr>
      <w:r>
        <w:t xml:space="preserve">BRASIL. Superior Tribunal de Justiça. Sexta Turma. Agravo Regimental no Recurso Especial 2.199.508. Relator: Min. Rogerio Schietti Cruz.</w:t>
      </w:r>
    </w:p>
    <w:p>
      <w:pPr>
        <w:pStyle w:val="BodyText"/>
        <w:spacing w:after="80"/>
        <w:jc w:val="both"/>
      </w:pPr>
      <w:r>
        <w:t xml:space="preserve">BRASIL. Superior Tribunal de Justiça. Terceira Seção. Agravo Regimental na Reclamação 51.018. Relator: Min. Maria Marluce Caldas. Julgado em 18 jun. 2026.</w:t>
      </w:r>
    </w:p>
    <w:p>
      <w:pPr>
        <w:pStyle w:val="BodyText"/>
        <w:spacing w:after="80"/>
        <w:jc w:val="both"/>
      </w:pPr>
      <w:r>
        <w:t xml:space="preserve">BRASIL. Superior Tribunal de Justiça. Terceira Turma. Agravo em Recurso Especial 2.656.064. Relator: Min. Moura Ribeiro. Julgado em 4 maio 2026.</w:t>
      </w:r>
    </w:p>
    <w:p>
      <w:pPr>
        <w:pStyle w:val="BodyText"/>
        <w:spacing w:after="80"/>
        <w:jc w:val="both"/>
      </w:pPr>
      <w:r>
        <w:t xml:space="preserve">BRASIL. Superior Tribunal de Justiça. Terceira Turma. Agravo em Recurso Especial 3.027.409. Relator: Min. Moura Ribeiro. Julgado em 22 jun. 2026.</w:t>
      </w:r>
    </w:p>
    <w:p>
      <w:pPr>
        <w:pStyle w:val="BodyText"/>
        <w:spacing w:after="80"/>
        <w:jc w:val="both"/>
      </w:pPr>
      <w:r>
        <w:t xml:space="preserve">BRASIL. Superior Tribunal de Justiça. Terceira Turma. Agravo em Recurso Especial 3.126.952. Relator: Min. Moura Ribeiro. Julgado em 18 maio 2026.</w:t>
      </w:r>
    </w:p>
    <w:p>
      <w:pPr>
        <w:pStyle w:val="BodyText"/>
        <w:spacing w:after="80"/>
        <w:jc w:val="both"/>
      </w:pPr>
      <w:r>
        <w:t xml:space="preserve">BRASIL. Superior Tribunal de Justiça. Terceira Turma. Agravo em Recurso Especial 3.165.006. Relator: Min. Moura Ribeiro. Julgado em 22 jun. 2026.</w:t>
      </w:r>
    </w:p>
    <w:p>
      <w:pPr>
        <w:pStyle w:val="BodyText"/>
        <w:spacing w:after="80"/>
        <w:jc w:val="both"/>
      </w:pPr>
      <w:r>
        <w:t xml:space="preserve">BRASIL. Superior Tribunal de Justiça. Terceira Turma. Agravo em Recurso Especial 3.184.455. Relator: Min. Moura Ribeiro. Julgado em 22 jun. 2026. DJEN 1 jul. 2026.</w:t>
      </w:r>
    </w:p>
    <w:p>
      <w:pPr>
        <w:pStyle w:val="BodyText"/>
        <w:spacing w:after="80"/>
        <w:jc w:val="both"/>
      </w:pPr>
      <w:r>
        <w:t xml:space="preserve">BRASIL. Superior Tribunal de Justiça. Terceira Turma. Agravo Interno no Agravo em Recurso Especial 1.854.995. Relatora: Min. Nancy Andrighi. DJe 22 set. 2021.</w:t>
      </w:r>
    </w:p>
    <w:p>
      <w:pPr>
        <w:pStyle w:val="BodyText"/>
        <w:spacing w:after="80"/>
        <w:jc w:val="both"/>
      </w:pPr>
      <w:r>
        <w:t xml:space="preserve">BRASIL. Superior Tribunal de Justiça. Terceira Turma. Agravo Interno no Agravo em Recurso Especial 2.530.497. Relator: Min. Marco Aurélio Bellizze.</w:t>
      </w:r>
    </w:p>
    <w:p>
      <w:pPr>
        <w:pStyle w:val="BodyText"/>
        <w:spacing w:after="80"/>
        <w:jc w:val="both"/>
      </w:pPr>
      <w:r>
        <w:t xml:space="preserve">BRASIL. Superior Tribunal de Justiça. Terceira Turma. Agravo Interno no Agravo em Recurso Especial 3.087.923. Relator: Min. Humberto Martins. Julgado em 22 jun. 2026. DJEN 25 jun. 2026.</w:t>
      </w:r>
    </w:p>
    <w:p>
      <w:pPr>
        <w:pStyle w:val="BodyText"/>
        <w:spacing w:after="80"/>
        <w:jc w:val="both"/>
      </w:pPr>
      <w:r>
        <w:t xml:space="preserve">BRASIL. Superior Tribunal de Justiça. Terceira Turma. Agravo Interno no Agravo em Recurso Especial 549.286. Relator: Min. Carlos Cini Marchionatti (Desembargador Convocado Tjrs).</w:t>
      </w:r>
    </w:p>
    <w:p>
      <w:pPr>
        <w:pStyle w:val="BodyText"/>
        <w:spacing w:after="80"/>
        <w:jc w:val="both"/>
      </w:pPr>
      <w:r>
        <w:t xml:space="preserve">BRASIL. Superior Tribunal de Justiça. Terceira Turma. Agravo Interno no Recurso Especial 2.164.298. Relator: Min. Moura Ribeiro. Julgado em 16 mar. 2026.</w:t>
      </w:r>
    </w:p>
    <w:p>
      <w:pPr>
        <w:pStyle w:val="BodyText"/>
        <w:spacing w:after="80"/>
        <w:jc w:val="both"/>
      </w:pPr>
      <w:r>
        <w:t xml:space="preserve">BRASIL. Superior Tribunal de Justiça. Terceira Turma. Embargos de Declaração no Recurso Especial 1.571.109. Relator: Min. Marco Aurélio Bellizze. Julgado em 6 dez. 2022. DJe 14 dez. 2022.</w:t>
      </w:r>
    </w:p>
    <w:p>
      <w:pPr>
        <w:pStyle w:val="BodyText"/>
        <w:spacing w:after="80"/>
        <w:jc w:val="both"/>
      </w:pPr>
      <w:r>
        <w:t xml:space="preserve">BRASIL. Superior Tribunal de Justiça. Terceira Turma. Embargos de Declaração no Recurso Especial 2.165.111. Relator: Min. Moura Ribeiro. Julgado em 4 maio 2026.</w:t>
      </w:r>
    </w:p>
    <w:p>
      <w:pPr>
        <w:pStyle w:val="BodyText"/>
        <w:spacing w:after="80"/>
        <w:jc w:val="both"/>
      </w:pPr>
      <w:r>
        <w:t xml:space="preserve">BRASIL. Superior Tribunal de Justiça. Terceira Turma. Recurso Especial 2.037.422. Relator: Min. Moura Ribeiro. Julgado em 9 mar. 2026.</w:t>
      </w:r>
    </w:p>
    <w:p>
      <w:pPr>
        <w:pStyle w:val="BodyText"/>
        <w:spacing w:after="80"/>
        <w:jc w:val="both"/>
      </w:pPr>
      <w:r>
        <w:t xml:space="preserve">BRASIL. Superior Tribunal de Justiça. Terceira Turma. Recurso Especial 2.166.486. Relator: Min. Ricardo Villas Bôas Cueva. Julgado em 12 ago. 2026.</w:t>
      </w:r>
    </w:p>
    <w:p>
      <w:pPr>
        <w:pStyle w:val="BodyText"/>
        <w:spacing w:after="80"/>
        <w:jc w:val="both"/>
      </w:pPr>
      <w:r>
        <w:t xml:space="preserve">BRASIL. Superior Tribunal de Justiça. Terceira Turma. Recurso Especial 2.221.166. Relatora: Min. Nancy Andrighi. Julgado em 18 ago. 2026.</w:t>
      </w:r>
    </w:p>
    <w:p>
      <w:pPr>
        <w:pStyle w:val="BodyText"/>
        <w:spacing w:after="80"/>
        <w:jc w:val="both"/>
      </w:pPr>
      <w:r>
        <w:t xml:space="preserve">BRASIL. Superior Tribunal de Justiça. Primeira Turma. Agravo Interno no Recurso Especial 2.037.199. Relator: Min. Gurgel de Faria. Julgado em 14 ago. 2023. DJe 18 ago. 2023.</w:t>
      </w:r>
    </w:p>
    <w:p>
      <w:pPr>
        <w:pStyle w:val="BodyText"/>
        <w:spacing w:after="80"/>
        <w:jc w:val="both"/>
      </w:pPr>
      <w:r>
        <w:t xml:space="preserve">BRASIL. Superior Tribunal de Justiça. Terceira Turma. Recurso Especial 2.189.144. Relator: Min. Humberto Martins. Julgado em 9 mar. 2026. DJEN 12 mar. 2026.</w:t>
      </w:r>
    </w:p>
    <w:p>
      <w:pPr>
        <w:pStyle w:val="BodyText"/>
        <w:spacing w:after="80"/>
        <w:jc w:val="both"/>
      </w:pPr>
      <w:r>
        <w:t xml:space="preserve">BRASIL. Superior Tribunal de Justiça. Terceira Turma. Recurso Especial 2.258.692. Relatora: Min. Nancy Andrighi. Julgado em 4 ago. 2026.</w:t>
      </w:r>
    </w:p>
    <w:bookmarkEnd w:id="935"/>
    <w:bookmarkEnd w:id="936"/>
    <w:bookmarkStart w:id="937" w:name="índice-de-artigos"/>
    <w:p>
      <w:pPr>
        <w:pStyle w:val="Heading1"/>
        <w:pBdr>
          <w:left w:val="single" w:sz="48" w:space="8" w:color="1F3A5F"/>
        </w:pBdr>
        <w:shd w:val="clear" w:color="auto" w:fill="DCE6F2"/>
        <w:spacing w:before="200" w:after="100"/>
        <w:ind w:left="142"/>
      </w:pPr>
      <w:r>
        <w:t xml:space="preserve">Índice de artigos</w:t>
      </w:r>
    </w:p>
    <w:p>
      <w:pPr>
        <w:pStyle w:val="FirstParagraph"/>
        <w:keepNext/>
        <w:spacing w:after="80"/>
        <w:jc w:val="both"/>
      </w:pPr>
      <w:r>
        <w:t xml:space="preserve">Remete cada artigo (Parte Especial) à página em que começa o seu texto.</w:t>
      </w:r>
    </w:p>
    <w:tbl>
      <w:tblPr>
        <w:tblStyle w:val="Table"/>
        <w:tblLook w:firstRow="1" w:lastRow="0" w:firstColumn="0" w:lastColumn="0" w:noHBand="0" w:noVBand="0" w:val="0020"/>
        <w:tblW w:w="9355" w:type="dxa"/>
        <w:tblLayout w:type="fixed"/>
      </w:tblPr>
      <w:tblGrid>
        <w:gridCol w:w="1607"/>
        <w:gridCol w:w="730"/>
        <w:gridCol w:w="1607"/>
        <w:gridCol w:w="730"/>
        <w:gridCol w:w="1607"/>
        <w:gridCol w:w="730"/>
        <w:gridCol w:w="1607"/>
        <w:gridCol w:w="730"/>
      </w:tblGrid>
      <w:tr>
        <w:trPr>
          <w:tblHeader w:val="on"/>
          <w:cantSplit/>
        </w:trPr>
        <w:tc>
          <w:tcPr>
            <w:tcW w:type="dxa" w:w="1608"/>
            <w:tcBorders>
              <w:bottom w:val="single" w:sz="8" w:space="0" w:color="2E75B6"/>
            </w:tcBorders>
          </w:tcPr>
          <w:p>
            <w:pPr>
              <w:pStyle w:val="Compact"/>
              <w:keepNext/>
              <w:spacing w:before="20" w:after="20" w:line="240" w:lineRule="auto"/>
              <w:jc w:val="left"/>
            </w:pPr>
            <w:r>
              <w:rPr>
                <w:rFonts w:ascii="Liberation Sans Narrow" w:hAnsi="Liberation Sans Narrow"/>
                <w:b/>
                <w:sz w:val="18"/>
              </w:rPr>
              <w:t xml:space="preserve">Artigo</w:t>
            </w:r>
          </w:p>
        </w:tc>
        <w:tc>
          <w:tcPr>
            <w:tcW w:type="dxa" w:w="731"/>
            <w:tcBorders>
              <w:bottom w:val="single" w:sz="8" w:space="0" w:color="2E75B6"/>
            </w:tcBorders>
          </w:tcPr>
          <w:p>
            <w:pPr>
              <w:pStyle w:val="Compact"/>
              <w:keepNext/>
              <w:spacing w:before="20" w:after="20" w:line="240" w:lineRule="auto"/>
              <w:jc w:val="right"/>
            </w:pPr>
            <w:r>
              <w:rPr>
                <w:rFonts w:ascii="Liberation Sans Narrow" w:hAnsi="Liberation Sans Narrow"/>
                <w:b/>
                <w:sz w:val="18"/>
              </w:rPr>
              <w:t xml:space="preserve">Pág.</w:t>
            </w:r>
          </w:p>
        </w:tc>
        <w:tc>
          <w:tcPr>
            <w:tcW w:type="dxa" w:w="1608"/>
            <w:tcBorders>
              <w:bottom w:val="single" w:sz="8" w:space="0" w:color="2E75B6"/>
            </w:tcBorders>
          </w:tcPr>
          <w:p>
            <w:pPr>
              <w:pStyle w:val="Compact"/>
              <w:keepNext/>
              <w:spacing w:before="20" w:after="20" w:line="240" w:lineRule="auto"/>
              <w:jc w:val="left"/>
            </w:pPr>
            <w:r>
              <w:rPr>
                <w:rFonts w:ascii="Liberation Sans Narrow" w:hAnsi="Liberation Sans Narrow"/>
                <w:b/>
                <w:sz w:val="18"/>
              </w:rPr>
              <w:t xml:space="preserve">Artigo</w:t>
            </w:r>
          </w:p>
        </w:tc>
        <w:tc>
          <w:tcPr>
            <w:tcW w:type="dxa" w:w="731"/>
            <w:tcBorders>
              <w:bottom w:val="single" w:sz="8" w:space="0" w:color="2E75B6"/>
            </w:tcBorders>
          </w:tcPr>
          <w:p>
            <w:pPr>
              <w:pStyle w:val="Compact"/>
              <w:keepNext/>
              <w:spacing w:before="20" w:after="20" w:line="240" w:lineRule="auto"/>
              <w:jc w:val="right"/>
            </w:pPr>
            <w:r>
              <w:rPr>
                <w:rFonts w:ascii="Liberation Sans Narrow" w:hAnsi="Liberation Sans Narrow"/>
                <w:b/>
                <w:sz w:val="18"/>
              </w:rPr>
              <w:t xml:space="preserve">Pág.</w:t>
            </w:r>
          </w:p>
        </w:tc>
        <w:tc>
          <w:tcPr>
            <w:tcW w:type="dxa" w:w="1608"/>
            <w:tcBorders>
              <w:bottom w:val="single" w:sz="8" w:space="0" w:color="2E75B6"/>
            </w:tcBorders>
          </w:tcPr>
          <w:p>
            <w:pPr>
              <w:pStyle w:val="Compact"/>
              <w:keepNext/>
              <w:spacing w:before="20" w:after="20" w:line="240" w:lineRule="auto"/>
              <w:jc w:val="left"/>
            </w:pPr>
            <w:r>
              <w:rPr>
                <w:rFonts w:ascii="Liberation Sans Narrow" w:hAnsi="Liberation Sans Narrow"/>
                <w:b/>
                <w:sz w:val="18"/>
              </w:rPr>
              <w:t xml:space="preserve">Artigo</w:t>
            </w:r>
          </w:p>
        </w:tc>
        <w:tc>
          <w:tcPr>
            <w:tcW w:type="dxa" w:w="731"/>
            <w:tcBorders>
              <w:bottom w:val="single" w:sz="8" w:space="0" w:color="2E75B6"/>
            </w:tcBorders>
          </w:tcPr>
          <w:p>
            <w:pPr>
              <w:pStyle w:val="Compact"/>
              <w:keepNext/>
              <w:spacing w:before="20" w:after="20" w:line="240" w:lineRule="auto"/>
              <w:jc w:val="right"/>
            </w:pPr>
            <w:r>
              <w:rPr>
                <w:rFonts w:ascii="Liberation Sans Narrow" w:hAnsi="Liberation Sans Narrow"/>
                <w:b/>
                <w:sz w:val="18"/>
              </w:rPr>
              <w:t xml:space="preserve">Pág.</w:t>
            </w:r>
          </w:p>
        </w:tc>
        <w:tc>
          <w:tcPr>
            <w:tcW w:type="dxa" w:w="1608"/>
            <w:tcBorders>
              <w:bottom w:val="single" w:sz="8" w:space="0" w:color="2E75B6"/>
            </w:tcBorders>
          </w:tcPr>
          <w:p>
            <w:pPr>
              <w:pStyle w:val="Compact"/>
              <w:keepNext/>
              <w:spacing w:before="20" w:after="20" w:line="240" w:lineRule="auto"/>
              <w:jc w:val="left"/>
            </w:pPr>
            <w:r>
              <w:rPr>
                <w:rFonts w:ascii="Liberation Sans Narrow" w:hAnsi="Liberation Sans Narrow"/>
                <w:b/>
                <w:sz w:val="18"/>
              </w:rPr>
              <w:t xml:space="preserve">Artigo</w:t>
            </w:r>
          </w:p>
        </w:tc>
        <w:tc>
          <w:tcPr>
            <w:tcW w:type="dxa" w:w="731"/>
            <w:tcBorders>
              <w:bottom w:val="single" w:sz="8" w:space="0" w:color="2E75B6"/>
            </w:tcBorders>
          </w:tcPr>
          <w:p>
            <w:pPr>
              <w:pStyle w:val="Compact"/>
              <w:keepNext/>
              <w:spacing w:before="20" w:after="20" w:line="240" w:lineRule="auto"/>
              <w:jc w:val="right"/>
            </w:pPr>
            <w:r>
              <w:rPr>
                <w:rFonts w:ascii="Liberation Sans Narrow" w:hAnsi="Liberation Sans Narrow"/>
                <w:b/>
                <w:sz w:val="18"/>
              </w:rPr>
              <w:t xml:space="preserve">Pág.</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318</w:t>
            </w:r>
          </w:p>
        </w:tc>
        <w:tc>
          <w:tcPr>
            <w:tcW w:type="dxa" w:w="731"/>
          </w:tcPr>
          <w:p>
            <w:pPr>
              <w:pStyle w:val="Compact"/>
              <w:spacing w:before="20" w:after="20" w:line="240" w:lineRule="auto"/>
              <w:jc w:val="right"/>
            </w:pPr>
            <w:r>
              <w:rPr>
                <w:rFonts w:ascii="Liberation Sans Narrow" w:hAnsi="Liberation Sans Narrow"/>
                <w:b/>
                <w:sz w:val="18"/>
              </w:rPr>
              <w:t xml:space="preserve">25</w:t>
            </w:r>
          </w:p>
        </w:tc>
        <w:tc>
          <w:tcPr>
            <w:tcW w:type="dxa" w:w="1608"/>
          </w:tcPr>
          <w:p>
            <w:pPr>
              <w:pStyle w:val="Compact"/>
              <w:spacing w:before="20" w:after="20" w:line="240" w:lineRule="auto"/>
              <w:jc w:val="left"/>
            </w:pPr>
            <w:r>
              <w:rPr>
                <w:rFonts w:ascii="Liberation Sans Narrow" w:hAnsi="Liberation Sans Narrow"/>
                <w:b w:val="0"/>
                <w:sz w:val="18"/>
              </w:rPr>
              <w:t xml:space="preserve">Art. 507</w:t>
            </w:r>
          </w:p>
        </w:tc>
        <w:tc>
          <w:tcPr>
            <w:tcW w:type="dxa" w:w="731"/>
          </w:tcPr>
          <w:p>
            <w:pPr>
              <w:pStyle w:val="Compact"/>
              <w:spacing w:before="20" w:after="20" w:line="240" w:lineRule="auto"/>
              <w:jc w:val="right"/>
            </w:pPr>
            <w:r>
              <w:rPr>
                <w:rFonts w:ascii="Liberation Sans Narrow" w:hAnsi="Liberation Sans Narrow"/>
                <w:b/>
                <w:sz w:val="18"/>
              </w:rPr>
              <w:t xml:space="preserve">111</w:t>
            </w:r>
          </w:p>
        </w:tc>
        <w:tc>
          <w:tcPr>
            <w:tcW w:type="dxa" w:w="1608"/>
          </w:tcPr>
          <w:p>
            <w:pPr>
              <w:pStyle w:val="Compact"/>
              <w:spacing w:before="20" w:after="20" w:line="240" w:lineRule="auto"/>
              <w:jc w:val="left"/>
            </w:pPr>
            <w:r>
              <w:rPr>
                <w:rFonts w:ascii="Liberation Sans Narrow" w:hAnsi="Liberation Sans Narrow"/>
                <w:b w:val="0"/>
                <w:sz w:val="18"/>
              </w:rPr>
              <w:t xml:space="preserve">Art. 696</w:t>
            </w:r>
          </w:p>
        </w:tc>
        <w:tc>
          <w:tcPr>
            <w:tcW w:type="dxa" w:w="731"/>
          </w:tcPr>
          <w:p>
            <w:pPr>
              <w:pStyle w:val="Compact"/>
              <w:spacing w:before="20" w:after="20" w:line="240" w:lineRule="auto"/>
              <w:jc w:val="right"/>
            </w:pPr>
            <w:r>
              <w:rPr>
                <w:rFonts w:ascii="Liberation Sans Narrow" w:hAnsi="Liberation Sans Narrow"/>
                <w:b/>
                <w:sz w:val="18"/>
              </w:rPr>
              <w:t xml:space="preserve">183</w:t>
            </w:r>
          </w:p>
        </w:tc>
        <w:tc>
          <w:tcPr>
            <w:tcW w:type="dxa" w:w="1608"/>
          </w:tcPr>
          <w:p>
            <w:pPr>
              <w:pStyle w:val="Compact"/>
              <w:spacing w:before="20" w:after="20" w:line="240" w:lineRule="auto"/>
              <w:jc w:val="left"/>
            </w:pPr>
            <w:r>
              <w:rPr>
                <w:rFonts w:ascii="Liberation Sans Narrow" w:hAnsi="Liberation Sans Narrow"/>
                <w:b w:val="0"/>
                <w:sz w:val="18"/>
              </w:rPr>
              <w:t xml:space="preserve">Art. 885</w:t>
            </w:r>
          </w:p>
        </w:tc>
        <w:tc>
          <w:tcPr>
            <w:tcW w:type="dxa" w:w="731"/>
          </w:tcPr>
          <w:p>
            <w:pPr>
              <w:pStyle w:val="Compact"/>
              <w:spacing w:before="20" w:after="20" w:line="240" w:lineRule="auto"/>
              <w:jc w:val="right"/>
            </w:pPr>
            <w:r>
              <w:rPr>
                <w:rFonts w:ascii="Liberation Sans Narrow" w:hAnsi="Liberation Sans Narrow"/>
                <w:b/>
                <w:sz w:val="18"/>
              </w:rPr>
              <w:t xml:space="preserve">250</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319</w:t>
            </w:r>
          </w:p>
        </w:tc>
        <w:tc>
          <w:tcPr>
            <w:tcW w:type="dxa" w:w="731"/>
          </w:tcPr>
          <w:p>
            <w:pPr>
              <w:pStyle w:val="Compact"/>
              <w:spacing w:before="20" w:after="20" w:line="240" w:lineRule="auto"/>
              <w:jc w:val="right"/>
            </w:pPr>
            <w:r>
              <w:rPr>
                <w:rFonts w:ascii="Liberation Sans Narrow" w:hAnsi="Liberation Sans Narrow"/>
                <w:b/>
                <w:sz w:val="18"/>
              </w:rPr>
              <w:t xml:space="preserve">25</w:t>
            </w:r>
          </w:p>
        </w:tc>
        <w:tc>
          <w:tcPr>
            <w:tcW w:type="dxa" w:w="1608"/>
          </w:tcPr>
          <w:p>
            <w:pPr>
              <w:pStyle w:val="Compact"/>
              <w:spacing w:before="20" w:after="20" w:line="240" w:lineRule="auto"/>
              <w:jc w:val="left"/>
            </w:pPr>
            <w:r>
              <w:rPr>
                <w:rFonts w:ascii="Liberation Sans Narrow" w:hAnsi="Liberation Sans Narrow"/>
                <w:b w:val="0"/>
                <w:sz w:val="18"/>
              </w:rPr>
              <w:t xml:space="preserve">Art. 508</w:t>
            </w:r>
          </w:p>
        </w:tc>
        <w:tc>
          <w:tcPr>
            <w:tcW w:type="dxa" w:w="731"/>
          </w:tcPr>
          <w:p>
            <w:pPr>
              <w:pStyle w:val="Compact"/>
              <w:spacing w:before="20" w:after="20" w:line="240" w:lineRule="auto"/>
              <w:jc w:val="right"/>
            </w:pPr>
            <w:r>
              <w:rPr>
                <w:rFonts w:ascii="Liberation Sans Narrow" w:hAnsi="Liberation Sans Narrow"/>
                <w:b/>
                <w:sz w:val="18"/>
              </w:rPr>
              <w:t xml:space="preserve">112</w:t>
            </w:r>
          </w:p>
        </w:tc>
        <w:tc>
          <w:tcPr>
            <w:tcW w:type="dxa" w:w="1608"/>
          </w:tcPr>
          <w:p>
            <w:pPr>
              <w:pStyle w:val="Compact"/>
              <w:spacing w:before="20" w:after="20" w:line="240" w:lineRule="auto"/>
              <w:jc w:val="left"/>
            </w:pPr>
            <w:r>
              <w:rPr>
                <w:rFonts w:ascii="Liberation Sans Narrow" w:hAnsi="Liberation Sans Narrow"/>
                <w:b w:val="0"/>
                <w:sz w:val="18"/>
              </w:rPr>
              <w:t xml:space="preserve">Art. 697</w:t>
            </w:r>
          </w:p>
        </w:tc>
        <w:tc>
          <w:tcPr>
            <w:tcW w:type="dxa" w:w="731"/>
          </w:tcPr>
          <w:p>
            <w:pPr>
              <w:pStyle w:val="Compact"/>
              <w:spacing w:before="20" w:after="20" w:line="240" w:lineRule="auto"/>
              <w:jc w:val="right"/>
            </w:pPr>
            <w:r>
              <w:rPr>
                <w:rFonts w:ascii="Liberation Sans Narrow" w:hAnsi="Liberation Sans Narrow"/>
                <w:b/>
                <w:sz w:val="18"/>
              </w:rPr>
              <w:t xml:space="preserve">183</w:t>
            </w:r>
          </w:p>
        </w:tc>
        <w:tc>
          <w:tcPr>
            <w:tcW w:type="dxa" w:w="1608"/>
          </w:tcPr>
          <w:p>
            <w:pPr>
              <w:pStyle w:val="Compact"/>
              <w:spacing w:before="20" w:after="20" w:line="240" w:lineRule="auto"/>
              <w:jc w:val="left"/>
            </w:pPr>
            <w:r>
              <w:rPr>
                <w:rFonts w:ascii="Liberation Sans Narrow" w:hAnsi="Liberation Sans Narrow"/>
                <w:b w:val="0"/>
                <w:sz w:val="18"/>
              </w:rPr>
              <w:t xml:space="preserve">Art. 886</w:t>
            </w:r>
          </w:p>
        </w:tc>
        <w:tc>
          <w:tcPr>
            <w:tcW w:type="dxa" w:w="731"/>
          </w:tcPr>
          <w:p>
            <w:pPr>
              <w:pStyle w:val="Compact"/>
              <w:spacing w:before="20" w:after="20" w:line="240" w:lineRule="auto"/>
              <w:jc w:val="right"/>
            </w:pPr>
            <w:r>
              <w:rPr>
                <w:rFonts w:ascii="Liberation Sans Narrow" w:hAnsi="Liberation Sans Narrow"/>
                <w:b/>
                <w:sz w:val="18"/>
              </w:rPr>
              <w:t xml:space="preserve">250</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320</w:t>
            </w:r>
          </w:p>
        </w:tc>
        <w:tc>
          <w:tcPr>
            <w:tcW w:type="dxa" w:w="731"/>
          </w:tcPr>
          <w:p>
            <w:pPr>
              <w:pStyle w:val="Compact"/>
              <w:spacing w:before="20" w:after="20" w:line="240" w:lineRule="auto"/>
              <w:jc w:val="right"/>
            </w:pPr>
            <w:r>
              <w:rPr>
                <w:rFonts w:ascii="Liberation Sans Narrow" w:hAnsi="Liberation Sans Narrow"/>
                <w:b/>
                <w:sz w:val="18"/>
              </w:rPr>
              <w:t xml:space="preserve">26</w:t>
            </w:r>
          </w:p>
        </w:tc>
        <w:tc>
          <w:tcPr>
            <w:tcW w:type="dxa" w:w="1608"/>
          </w:tcPr>
          <w:p>
            <w:pPr>
              <w:pStyle w:val="Compact"/>
              <w:spacing w:before="20" w:after="20" w:line="240" w:lineRule="auto"/>
              <w:jc w:val="left"/>
            </w:pPr>
            <w:r>
              <w:rPr>
                <w:rFonts w:ascii="Liberation Sans Narrow" w:hAnsi="Liberation Sans Narrow"/>
                <w:b w:val="0"/>
                <w:sz w:val="18"/>
              </w:rPr>
              <w:t xml:space="preserve">Art. 509</w:t>
            </w:r>
          </w:p>
        </w:tc>
        <w:tc>
          <w:tcPr>
            <w:tcW w:type="dxa" w:w="731"/>
          </w:tcPr>
          <w:p>
            <w:pPr>
              <w:pStyle w:val="Compact"/>
              <w:spacing w:before="20" w:after="20" w:line="240" w:lineRule="auto"/>
              <w:jc w:val="right"/>
            </w:pPr>
            <w:r>
              <w:rPr>
                <w:rFonts w:ascii="Liberation Sans Narrow" w:hAnsi="Liberation Sans Narrow"/>
                <w:b/>
                <w:sz w:val="18"/>
              </w:rPr>
              <w:t xml:space="preserve">112</w:t>
            </w:r>
          </w:p>
        </w:tc>
        <w:tc>
          <w:tcPr>
            <w:tcW w:type="dxa" w:w="1608"/>
          </w:tcPr>
          <w:p>
            <w:pPr>
              <w:pStyle w:val="Compact"/>
              <w:spacing w:before="20" w:after="20" w:line="240" w:lineRule="auto"/>
              <w:jc w:val="left"/>
            </w:pPr>
            <w:r>
              <w:rPr>
                <w:rFonts w:ascii="Liberation Sans Narrow" w:hAnsi="Liberation Sans Narrow"/>
                <w:b w:val="0"/>
                <w:sz w:val="18"/>
              </w:rPr>
              <w:t xml:space="preserve">Art. 698</w:t>
            </w:r>
          </w:p>
        </w:tc>
        <w:tc>
          <w:tcPr>
            <w:tcW w:type="dxa" w:w="731"/>
          </w:tcPr>
          <w:p>
            <w:pPr>
              <w:pStyle w:val="Compact"/>
              <w:spacing w:before="20" w:after="20" w:line="240" w:lineRule="auto"/>
              <w:jc w:val="right"/>
            </w:pPr>
            <w:r>
              <w:rPr>
                <w:rFonts w:ascii="Liberation Sans Narrow" w:hAnsi="Liberation Sans Narrow"/>
                <w:b/>
                <w:sz w:val="18"/>
              </w:rPr>
              <w:t xml:space="preserve">183</w:t>
            </w:r>
          </w:p>
        </w:tc>
        <w:tc>
          <w:tcPr>
            <w:tcW w:type="dxa" w:w="1608"/>
          </w:tcPr>
          <w:p>
            <w:pPr>
              <w:pStyle w:val="Compact"/>
              <w:spacing w:before="20" w:after="20" w:line="240" w:lineRule="auto"/>
              <w:jc w:val="left"/>
            </w:pPr>
            <w:r>
              <w:rPr>
                <w:rFonts w:ascii="Liberation Sans Narrow" w:hAnsi="Liberation Sans Narrow"/>
                <w:b w:val="0"/>
                <w:sz w:val="18"/>
              </w:rPr>
              <w:t xml:space="preserve">Art. 887</w:t>
            </w:r>
          </w:p>
        </w:tc>
        <w:tc>
          <w:tcPr>
            <w:tcW w:type="dxa" w:w="731"/>
          </w:tcPr>
          <w:p>
            <w:pPr>
              <w:pStyle w:val="Compact"/>
              <w:spacing w:before="20" w:after="20" w:line="240" w:lineRule="auto"/>
              <w:jc w:val="right"/>
            </w:pPr>
            <w:r>
              <w:rPr>
                <w:rFonts w:ascii="Liberation Sans Narrow" w:hAnsi="Liberation Sans Narrow"/>
                <w:b/>
                <w:sz w:val="18"/>
              </w:rPr>
              <w:t xml:space="preserve">251</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321</w:t>
            </w:r>
          </w:p>
        </w:tc>
        <w:tc>
          <w:tcPr>
            <w:tcW w:type="dxa" w:w="731"/>
          </w:tcPr>
          <w:p>
            <w:pPr>
              <w:pStyle w:val="Compact"/>
              <w:spacing w:before="20" w:after="20" w:line="240" w:lineRule="auto"/>
              <w:jc w:val="right"/>
            </w:pPr>
            <w:r>
              <w:rPr>
                <w:rFonts w:ascii="Liberation Sans Narrow" w:hAnsi="Liberation Sans Narrow"/>
                <w:b/>
                <w:sz w:val="18"/>
              </w:rPr>
              <w:t xml:space="preserve">26</w:t>
            </w:r>
          </w:p>
        </w:tc>
        <w:tc>
          <w:tcPr>
            <w:tcW w:type="dxa" w:w="1608"/>
          </w:tcPr>
          <w:p>
            <w:pPr>
              <w:pStyle w:val="Compact"/>
              <w:spacing w:before="20" w:after="20" w:line="240" w:lineRule="auto"/>
              <w:jc w:val="left"/>
            </w:pPr>
            <w:r>
              <w:rPr>
                <w:rFonts w:ascii="Liberation Sans Narrow" w:hAnsi="Liberation Sans Narrow"/>
                <w:b w:val="0"/>
                <w:sz w:val="18"/>
              </w:rPr>
              <w:t xml:space="preserve">Art. 510</w:t>
            </w:r>
          </w:p>
        </w:tc>
        <w:tc>
          <w:tcPr>
            <w:tcW w:type="dxa" w:w="731"/>
          </w:tcPr>
          <w:p>
            <w:pPr>
              <w:pStyle w:val="Compact"/>
              <w:spacing w:before="20" w:after="20" w:line="240" w:lineRule="auto"/>
              <w:jc w:val="right"/>
            </w:pPr>
            <w:r>
              <w:rPr>
                <w:rFonts w:ascii="Liberation Sans Narrow" w:hAnsi="Liberation Sans Narrow"/>
                <w:b/>
                <w:sz w:val="18"/>
              </w:rPr>
              <w:t xml:space="preserve">113</w:t>
            </w:r>
          </w:p>
        </w:tc>
        <w:tc>
          <w:tcPr>
            <w:tcW w:type="dxa" w:w="1608"/>
          </w:tcPr>
          <w:p>
            <w:pPr>
              <w:pStyle w:val="Compact"/>
              <w:spacing w:before="20" w:after="20" w:line="240" w:lineRule="auto"/>
              <w:jc w:val="left"/>
            </w:pPr>
            <w:r>
              <w:rPr>
                <w:rFonts w:ascii="Liberation Sans Narrow" w:hAnsi="Liberation Sans Narrow"/>
                <w:b w:val="0"/>
                <w:sz w:val="18"/>
              </w:rPr>
              <w:t xml:space="preserve">Art. 699</w:t>
            </w:r>
          </w:p>
        </w:tc>
        <w:tc>
          <w:tcPr>
            <w:tcW w:type="dxa" w:w="731"/>
          </w:tcPr>
          <w:p>
            <w:pPr>
              <w:pStyle w:val="Compact"/>
              <w:spacing w:before="20" w:after="20" w:line="240" w:lineRule="auto"/>
              <w:jc w:val="right"/>
            </w:pPr>
            <w:r>
              <w:rPr>
                <w:rFonts w:ascii="Liberation Sans Narrow" w:hAnsi="Liberation Sans Narrow"/>
                <w:b/>
                <w:sz w:val="18"/>
              </w:rPr>
              <w:t xml:space="preserve">183</w:t>
            </w:r>
          </w:p>
        </w:tc>
        <w:tc>
          <w:tcPr>
            <w:tcW w:type="dxa" w:w="1608"/>
          </w:tcPr>
          <w:p>
            <w:pPr>
              <w:pStyle w:val="Compact"/>
              <w:spacing w:before="20" w:after="20" w:line="240" w:lineRule="auto"/>
              <w:jc w:val="left"/>
            </w:pPr>
            <w:r>
              <w:rPr>
                <w:rFonts w:ascii="Liberation Sans Narrow" w:hAnsi="Liberation Sans Narrow"/>
                <w:b w:val="0"/>
                <w:sz w:val="18"/>
              </w:rPr>
              <w:t xml:space="preserve">Art. 888</w:t>
            </w:r>
          </w:p>
        </w:tc>
        <w:tc>
          <w:tcPr>
            <w:tcW w:type="dxa" w:w="731"/>
          </w:tcPr>
          <w:p>
            <w:pPr>
              <w:pStyle w:val="Compact"/>
              <w:spacing w:before="20" w:after="20" w:line="240" w:lineRule="auto"/>
              <w:jc w:val="right"/>
            </w:pPr>
            <w:r>
              <w:rPr>
                <w:rFonts w:ascii="Liberation Sans Narrow" w:hAnsi="Liberation Sans Narrow"/>
                <w:b/>
                <w:sz w:val="18"/>
              </w:rPr>
              <w:t xml:space="preserve">252</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322</w:t>
            </w:r>
          </w:p>
        </w:tc>
        <w:tc>
          <w:tcPr>
            <w:tcW w:type="dxa" w:w="731"/>
          </w:tcPr>
          <w:p>
            <w:pPr>
              <w:pStyle w:val="Compact"/>
              <w:spacing w:before="20" w:after="20" w:line="240" w:lineRule="auto"/>
              <w:jc w:val="right"/>
            </w:pPr>
            <w:r>
              <w:rPr>
                <w:rFonts w:ascii="Liberation Sans Narrow" w:hAnsi="Liberation Sans Narrow"/>
                <w:b/>
                <w:sz w:val="18"/>
              </w:rPr>
              <w:t xml:space="preserve">27</w:t>
            </w:r>
          </w:p>
        </w:tc>
        <w:tc>
          <w:tcPr>
            <w:tcW w:type="dxa" w:w="1608"/>
          </w:tcPr>
          <w:p>
            <w:pPr>
              <w:pStyle w:val="Compact"/>
              <w:spacing w:before="20" w:after="20" w:line="240" w:lineRule="auto"/>
              <w:jc w:val="left"/>
            </w:pPr>
            <w:r>
              <w:rPr>
                <w:rFonts w:ascii="Liberation Sans Narrow" w:hAnsi="Liberation Sans Narrow"/>
                <w:b w:val="0"/>
                <w:sz w:val="18"/>
              </w:rPr>
              <w:t xml:space="preserve">Art. 511</w:t>
            </w:r>
          </w:p>
        </w:tc>
        <w:tc>
          <w:tcPr>
            <w:tcW w:type="dxa" w:w="731"/>
          </w:tcPr>
          <w:p>
            <w:pPr>
              <w:pStyle w:val="Compact"/>
              <w:spacing w:before="20" w:after="20" w:line="240" w:lineRule="auto"/>
              <w:jc w:val="right"/>
            </w:pPr>
            <w:r>
              <w:rPr>
                <w:rFonts w:ascii="Liberation Sans Narrow" w:hAnsi="Liberation Sans Narrow"/>
                <w:b/>
                <w:sz w:val="18"/>
              </w:rPr>
              <w:t xml:space="preserve">113</w:t>
            </w:r>
          </w:p>
        </w:tc>
        <w:tc>
          <w:tcPr>
            <w:tcW w:type="dxa" w:w="1608"/>
          </w:tcPr>
          <w:p>
            <w:pPr>
              <w:pStyle w:val="Compact"/>
              <w:spacing w:before="20" w:after="20" w:line="240" w:lineRule="auto"/>
              <w:jc w:val="left"/>
            </w:pPr>
            <w:r>
              <w:rPr>
                <w:rFonts w:ascii="Liberation Sans Narrow" w:hAnsi="Liberation Sans Narrow"/>
                <w:b w:val="0"/>
                <w:sz w:val="18"/>
              </w:rPr>
              <w:t xml:space="preserve">Art. 700</w:t>
            </w:r>
          </w:p>
        </w:tc>
        <w:tc>
          <w:tcPr>
            <w:tcW w:type="dxa" w:w="731"/>
          </w:tcPr>
          <w:p>
            <w:pPr>
              <w:pStyle w:val="Compact"/>
              <w:spacing w:before="20" w:after="20" w:line="240" w:lineRule="auto"/>
              <w:jc w:val="right"/>
            </w:pPr>
            <w:r>
              <w:rPr>
                <w:rFonts w:ascii="Liberation Sans Narrow" w:hAnsi="Liberation Sans Narrow"/>
                <w:b/>
                <w:sz w:val="18"/>
              </w:rPr>
              <w:t xml:space="preserve">183</w:t>
            </w:r>
          </w:p>
        </w:tc>
        <w:tc>
          <w:tcPr>
            <w:tcW w:type="dxa" w:w="1608"/>
          </w:tcPr>
          <w:p>
            <w:pPr>
              <w:pStyle w:val="Compact"/>
              <w:spacing w:before="20" w:after="20" w:line="240" w:lineRule="auto"/>
              <w:jc w:val="left"/>
            </w:pPr>
            <w:r>
              <w:rPr>
                <w:rFonts w:ascii="Liberation Sans Narrow" w:hAnsi="Liberation Sans Narrow"/>
                <w:b w:val="0"/>
                <w:sz w:val="18"/>
              </w:rPr>
              <w:t xml:space="preserve">Art. 889</w:t>
            </w:r>
          </w:p>
        </w:tc>
        <w:tc>
          <w:tcPr>
            <w:tcW w:type="dxa" w:w="731"/>
          </w:tcPr>
          <w:p>
            <w:pPr>
              <w:pStyle w:val="Compact"/>
              <w:spacing w:before="20" w:after="20" w:line="240" w:lineRule="auto"/>
              <w:jc w:val="right"/>
            </w:pPr>
            <w:r>
              <w:rPr>
                <w:rFonts w:ascii="Liberation Sans Narrow" w:hAnsi="Liberation Sans Narrow"/>
                <w:b/>
                <w:sz w:val="18"/>
              </w:rPr>
              <w:t xml:space="preserve">252</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323</w:t>
            </w:r>
          </w:p>
        </w:tc>
        <w:tc>
          <w:tcPr>
            <w:tcW w:type="dxa" w:w="731"/>
          </w:tcPr>
          <w:p>
            <w:pPr>
              <w:pStyle w:val="Compact"/>
              <w:spacing w:before="20" w:after="20" w:line="240" w:lineRule="auto"/>
              <w:jc w:val="right"/>
            </w:pPr>
            <w:r>
              <w:rPr>
                <w:rFonts w:ascii="Liberation Sans Narrow" w:hAnsi="Liberation Sans Narrow"/>
                <w:b/>
                <w:sz w:val="18"/>
              </w:rPr>
              <w:t xml:space="preserve">27</w:t>
            </w:r>
          </w:p>
        </w:tc>
        <w:tc>
          <w:tcPr>
            <w:tcW w:type="dxa" w:w="1608"/>
          </w:tcPr>
          <w:p>
            <w:pPr>
              <w:pStyle w:val="Compact"/>
              <w:spacing w:before="20" w:after="20" w:line="240" w:lineRule="auto"/>
              <w:jc w:val="left"/>
            </w:pPr>
            <w:r>
              <w:rPr>
                <w:rFonts w:ascii="Liberation Sans Narrow" w:hAnsi="Liberation Sans Narrow"/>
                <w:b w:val="0"/>
                <w:sz w:val="18"/>
              </w:rPr>
              <w:t xml:space="preserve">Art. 512</w:t>
            </w:r>
          </w:p>
        </w:tc>
        <w:tc>
          <w:tcPr>
            <w:tcW w:type="dxa" w:w="731"/>
          </w:tcPr>
          <w:p>
            <w:pPr>
              <w:pStyle w:val="Compact"/>
              <w:spacing w:before="20" w:after="20" w:line="240" w:lineRule="auto"/>
              <w:jc w:val="right"/>
            </w:pPr>
            <w:r>
              <w:rPr>
                <w:rFonts w:ascii="Liberation Sans Narrow" w:hAnsi="Liberation Sans Narrow"/>
                <w:b/>
                <w:sz w:val="18"/>
              </w:rPr>
              <w:t xml:space="preserve">113</w:t>
            </w:r>
          </w:p>
        </w:tc>
        <w:tc>
          <w:tcPr>
            <w:tcW w:type="dxa" w:w="1608"/>
          </w:tcPr>
          <w:p>
            <w:pPr>
              <w:pStyle w:val="Compact"/>
              <w:spacing w:before="20" w:after="20" w:line="240" w:lineRule="auto"/>
              <w:jc w:val="left"/>
            </w:pPr>
            <w:r>
              <w:rPr>
                <w:rFonts w:ascii="Liberation Sans Narrow" w:hAnsi="Liberation Sans Narrow"/>
                <w:b w:val="0"/>
                <w:sz w:val="18"/>
              </w:rPr>
              <w:t xml:space="preserve">Art. 701</w:t>
            </w:r>
          </w:p>
        </w:tc>
        <w:tc>
          <w:tcPr>
            <w:tcW w:type="dxa" w:w="731"/>
          </w:tcPr>
          <w:p>
            <w:pPr>
              <w:pStyle w:val="Compact"/>
              <w:spacing w:before="20" w:after="20" w:line="240" w:lineRule="auto"/>
              <w:jc w:val="right"/>
            </w:pPr>
            <w:r>
              <w:rPr>
                <w:rFonts w:ascii="Liberation Sans Narrow" w:hAnsi="Liberation Sans Narrow"/>
                <w:b/>
                <w:sz w:val="18"/>
              </w:rPr>
              <w:t xml:space="preserve">184</w:t>
            </w:r>
          </w:p>
        </w:tc>
        <w:tc>
          <w:tcPr>
            <w:tcW w:type="dxa" w:w="1608"/>
          </w:tcPr>
          <w:p>
            <w:pPr>
              <w:pStyle w:val="Compact"/>
              <w:spacing w:before="20" w:after="20" w:line="240" w:lineRule="auto"/>
              <w:jc w:val="left"/>
            </w:pPr>
            <w:r>
              <w:rPr>
                <w:rFonts w:ascii="Liberation Sans Narrow" w:hAnsi="Liberation Sans Narrow"/>
                <w:b w:val="0"/>
                <w:sz w:val="18"/>
              </w:rPr>
              <w:t xml:space="preserve">Art. 890</w:t>
            </w:r>
          </w:p>
        </w:tc>
        <w:tc>
          <w:tcPr>
            <w:tcW w:type="dxa" w:w="731"/>
          </w:tcPr>
          <w:p>
            <w:pPr>
              <w:pStyle w:val="Compact"/>
              <w:spacing w:before="20" w:after="20" w:line="240" w:lineRule="auto"/>
              <w:jc w:val="right"/>
            </w:pPr>
            <w:r>
              <w:rPr>
                <w:rFonts w:ascii="Liberation Sans Narrow" w:hAnsi="Liberation Sans Narrow"/>
                <w:b/>
                <w:sz w:val="18"/>
              </w:rPr>
              <w:t xml:space="preserve">252</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324</w:t>
            </w:r>
          </w:p>
        </w:tc>
        <w:tc>
          <w:tcPr>
            <w:tcW w:type="dxa" w:w="731"/>
          </w:tcPr>
          <w:p>
            <w:pPr>
              <w:pStyle w:val="Compact"/>
              <w:spacing w:before="20" w:after="20" w:line="240" w:lineRule="auto"/>
              <w:jc w:val="right"/>
            </w:pPr>
            <w:r>
              <w:rPr>
                <w:rFonts w:ascii="Liberation Sans Narrow" w:hAnsi="Liberation Sans Narrow"/>
                <w:b/>
                <w:sz w:val="18"/>
              </w:rPr>
              <w:t xml:space="preserve">28</w:t>
            </w:r>
          </w:p>
        </w:tc>
        <w:tc>
          <w:tcPr>
            <w:tcW w:type="dxa" w:w="1608"/>
          </w:tcPr>
          <w:p>
            <w:pPr>
              <w:pStyle w:val="Compact"/>
              <w:spacing w:before="20" w:after="20" w:line="240" w:lineRule="auto"/>
              <w:jc w:val="left"/>
            </w:pPr>
            <w:r>
              <w:rPr>
                <w:rFonts w:ascii="Liberation Sans Narrow" w:hAnsi="Liberation Sans Narrow"/>
                <w:b w:val="0"/>
                <w:sz w:val="18"/>
              </w:rPr>
              <w:t xml:space="preserve">Art. 513</w:t>
            </w:r>
          </w:p>
        </w:tc>
        <w:tc>
          <w:tcPr>
            <w:tcW w:type="dxa" w:w="731"/>
          </w:tcPr>
          <w:p>
            <w:pPr>
              <w:pStyle w:val="Compact"/>
              <w:spacing w:before="20" w:after="20" w:line="240" w:lineRule="auto"/>
              <w:jc w:val="right"/>
            </w:pPr>
            <w:r>
              <w:rPr>
                <w:rFonts w:ascii="Liberation Sans Narrow" w:hAnsi="Liberation Sans Narrow"/>
                <w:b/>
                <w:sz w:val="18"/>
              </w:rPr>
              <w:t xml:space="preserve">113</w:t>
            </w:r>
          </w:p>
        </w:tc>
        <w:tc>
          <w:tcPr>
            <w:tcW w:type="dxa" w:w="1608"/>
          </w:tcPr>
          <w:p>
            <w:pPr>
              <w:pStyle w:val="Compact"/>
              <w:spacing w:before="20" w:after="20" w:line="240" w:lineRule="auto"/>
              <w:jc w:val="left"/>
            </w:pPr>
            <w:r>
              <w:rPr>
                <w:rFonts w:ascii="Liberation Sans Narrow" w:hAnsi="Liberation Sans Narrow"/>
                <w:b w:val="0"/>
                <w:sz w:val="18"/>
              </w:rPr>
              <w:t xml:space="preserve">Art. 702</w:t>
            </w:r>
          </w:p>
        </w:tc>
        <w:tc>
          <w:tcPr>
            <w:tcW w:type="dxa" w:w="731"/>
          </w:tcPr>
          <w:p>
            <w:pPr>
              <w:pStyle w:val="Compact"/>
              <w:spacing w:before="20" w:after="20" w:line="240" w:lineRule="auto"/>
              <w:jc w:val="right"/>
            </w:pPr>
            <w:r>
              <w:rPr>
                <w:rFonts w:ascii="Liberation Sans Narrow" w:hAnsi="Liberation Sans Narrow"/>
                <w:b/>
                <w:sz w:val="18"/>
              </w:rPr>
              <w:t xml:space="preserve">185</w:t>
            </w:r>
          </w:p>
        </w:tc>
        <w:tc>
          <w:tcPr>
            <w:tcW w:type="dxa" w:w="1608"/>
          </w:tcPr>
          <w:p>
            <w:pPr>
              <w:pStyle w:val="Compact"/>
              <w:spacing w:before="20" w:after="20" w:line="240" w:lineRule="auto"/>
              <w:jc w:val="left"/>
            </w:pPr>
            <w:r>
              <w:rPr>
                <w:rFonts w:ascii="Liberation Sans Narrow" w:hAnsi="Liberation Sans Narrow"/>
                <w:b w:val="0"/>
                <w:sz w:val="18"/>
              </w:rPr>
              <w:t xml:space="preserve">Art. 891</w:t>
            </w:r>
          </w:p>
        </w:tc>
        <w:tc>
          <w:tcPr>
            <w:tcW w:type="dxa" w:w="731"/>
          </w:tcPr>
          <w:p>
            <w:pPr>
              <w:pStyle w:val="Compact"/>
              <w:spacing w:before="20" w:after="20" w:line="240" w:lineRule="auto"/>
              <w:jc w:val="right"/>
            </w:pPr>
            <w:r>
              <w:rPr>
                <w:rFonts w:ascii="Liberation Sans Narrow" w:hAnsi="Liberation Sans Narrow"/>
                <w:b/>
                <w:sz w:val="18"/>
              </w:rPr>
              <w:t xml:space="preserve">253</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325</w:t>
            </w:r>
          </w:p>
        </w:tc>
        <w:tc>
          <w:tcPr>
            <w:tcW w:type="dxa" w:w="731"/>
          </w:tcPr>
          <w:p>
            <w:pPr>
              <w:pStyle w:val="Compact"/>
              <w:spacing w:before="20" w:after="20" w:line="240" w:lineRule="auto"/>
              <w:jc w:val="right"/>
            </w:pPr>
            <w:r>
              <w:rPr>
                <w:rFonts w:ascii="Liberation Sans Narrow" w:hAnsi="Liberation Sans Narrow"/>
                <w:b/>
                <w:sz w:val="18"/>
              </w:rPr>
              <w:t xml:space="preserve">29</w:t>
            </w:r>
          </w:p>
        </w:tc>
        <w:tc>
          <w:tcPr>
            <w:tcW w:type="dxa" w:w="1608"/>
          </w:tcPr>
          <w:p>
            <w:pPr>
              <w:pStyle w:val="Compact"/>
              <w:spacing w:before="20" w:after="20" w:line="240" w:lineRule="auto"/>
              <w:jc w:val="left"/>
            </w:pPr>
            <w:r>
              <w:rPr>
                <w:rFonts w:ascii="Liberation Sans Narrow" w:hAnsi="Liberation Sans Narrow"/>
                <w:b w:val="0"/>
                <w:sz w:val="18"/>
              </w:rPr>
              <w:t xml:space="preserve">Art. 514</w:t>
            </w:r>
          </w:p>
        </w:tc>
        <w:tc>
          <w:tcPr>
            <w:tcW w:type="dxa" w:w="731"/>
          </w:tcPr>
          <w:p>
            <w:pPr>
              <w:pStyle w:val="Compact"/>
              <w:spacing w:before="20" w:after="20" w:line="240" w:lineRule="auto"/>
              <w:jc w:val="right"/>
            </w:pPr>
            <w:r>
              <w:rPr>
                <w:rFonts w:ascii="Liberation Sans Narrow" w:hAnsi="Liberation Sans Narrow"/>
                <w:b/>
                <w:sz w:val="18"/>
              </w:rPr>
              <w:t xml:space="preserve">114</w:t>
            </w:r>
          </w:p>
        </w:tc>
        <w:tc>
          <w:tcPr>
            <w:tcW w:type="dxa" w:w="1608"/>
          </w:tcPr>
          <w:p>
            <w:pPr>
              <w:pStyle w:val="Compact"/>
              <w:spacing w:before="20" w:after="20" w:line="240" w:lineRule="auto"/>
              <w:jc w:val="left"/>
            </w:pPr>
            <w:r>
              <w:rPr>
                <w:rFonts w:ascii="Liberation Sans Narrow" w:hAnsi="Liberation Sans Narrow"/>
                <w:b w:val="0"/>
                <w:sz w:val="18"/>
              </w:rPr>
              <w:t xml:space="preserve">Art. 703</w:t>
            </w:r>
          </w:p>
        </w:tc>
        <w:tc>
          <w:tcPr>
            <w:tcW w:type="dxa" w:w="731"/>
          </w:tcPr>
          <w:p>
            <w:pPr>
              <w:pStyle w:val="Compact"/>
              <w:spacing w:before="20" w:after="20" w:line="240" w:lineRule="auto"/>
              <w:jc w:val="right"/>
            </w:pPr>
            <w:r>
              <w:rPr>
                <w:rFonts w:ascii="Liberation Sans Narrow" w:hAnsi="Liberation Sans Narrow"/>
                <w:b/>
                <w:sz w:val="18"/>
              </w:rPr>
              <w:t xml:space="preserve">187</w:t>
            </w:r>
          </w:p>
        </w:tc>
        <w:tc>
          <w:tcPr>
            <w:tcW w:type="dxa" w:w="1608"/>
          </w:tcPr>
          <w:p>
            <w:pPr>
              <w:pStyle w:val="Compact"/>
              <w:spacing w:before="20" w:after="20" w:line="240" w:lineRule="auto"/>
              <w:jc w:val="left"/>
            </w:pPr>
            <w:r>
              <w:rPr>
                <w:rFonts w:ascii="Liberation Sans Narrow" w:hAnsi="Liberation Sans Narrow"/>
                <w:b w:val="0"/>
                <w:sz w:val="18"/>
              </w:rPr>
              <w:t xml:space="preserve">Art. 892</w:t>
            </w:r>
          </w:p>
        </w:tc>
        <w:tc>
          <w:tcPr>
            <w:tcW w:type="dxa" w:w="731"/>
          </w:tcPr>
          <w:p>
            <w:pPr>
              <w:pStyle w:val="Compact"/>
              <w:spacing w:before="20" w:after="20" w:line="240" w:lineRule="auto"/>
              <w:jc w:val="right"/>
            </w:pPr>
            <w:r>
              <w:rPr>
                <w:rFonts w:ascii="Liberation Sans Narrow" w:hAnsi="Liberation Sans Narrow"/>
                <w:b/>
                <w:sz w:val="18"/>
              </w:rPr>
              <w:t xml:space="preserve">253</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326</w:t>
            </w:r>
          </w:p>
        </w:tc>
        <w:tc>
          <w:tcPr>
            <w:tcW w:type="dxa" w:w="731"/>
          </w:tcPr>
          <w:p>
            <w:pPr>
              <w:pStyle w:val="Compact"/>
              <w:spacing w:before="20" w:after="20" w:line="240" w:lineRule="auto"/>
              <w:jc w:val="right"/>
            </w:pPr>
            <w:r>
              <w:rPr>
                <w:rFonts w:ascii="Liberation Sans Narrow" w:hAnsi="Liberation Sans Narrow"/>
                <w:b/>
                <w:sz w:val="18"/>
              </w:rPr>
              <w:t xml:space="preserve">29</w:t>
            </w:r>
          </w:p>
        </w:tc>
        <w:tc>
          <w:tcPr>
            <w:tcW w:type="dxa" w:w="1608"/>
          </w:tcPr>
          <w:p>
            <w:pPr>
              <w:pStyle w:val="Compact"/>
              <w:spacing w:before="20" w:after="20" w:line="240" w:lineRule="auto"/>
              <w:jc w:val="left"/>
            </w:pPr>
            <w:r>
              <w:rPr>
                <w:rFonts w:ascii="Liberation Sans Narrow" w:hAnsi="Liberation Sans Narrow"/>
                <w:b w:val="0"/>
                <w:sz w:val="18"/>
              </w:rPr>
              <w:t xml:space="preserve">Art. 515</w:t>
            </w:r>
          </w:p>
        </w:tc>
        <w:tc>
          <w:tcPr>
            <w:tcW w:type="dxa" w:w="731"/>
          </w:tcPr>
          <w:p>
            <w:pPr>
              <w:pStyle w:val="Compact"/>
              <w:spacing w:before="20" w:after="20" w:line="240" w:lineRule="auto"/>
              <w:jc w:val="right"/>
            </w:pPr>
            <w:r>
              <w:rPr>
                <w:rFonts w:ascii="Liberation Sans Narrow" w:hAnsi="Liberation Sans Narrow"/>
                <w:b/>
                <w:sz w:val="18"/>
              </w:rPr>
              <w:t xml:space="preserve">114</w:t>
            </w:r>
          </w:p>
        </w:tc>
        <w:tc>
          <w:tcPr>
            <w:tcW w:type="dxa" w:w="1608"/>
          </w:tcPr>
          <w:p>
            <w:pPr>
              <w:pStyle w:val="Compact"/>
              <w:spacing w:before="20" w:after="20" w:line="240" w:lineRule="auto"/>
              <w:jc w:val="left"/>
            </w:pPr>
            <w:r>
              <w:rPr>
                <w:rFonts w:ascii="Liberation Sans Narrow" w:hAnsi="Liberation Sans Narrow"/>
                <w:b w:val="0"/>
                <w:sz w:val="18"/>
              </w:rPr>
              <w:t xml:space="preserve">Art. 704</w:t>
            </w:r>
          </w:p>
        </w:tc>
        <w:tc>
          <w:tcPr>
            <w:tcW w:type="dxa" w:w="731"/>
          </w:tcPr>
          <w:p>
            <w:pPr>
              <w:pStyle w:val="Compact"/>
              <w:spacing w:before="20" w:after="20" w:line="240" w:lineRule="auto"/>
              <w:jc w:val="right"/>
            </w:pPr>
            <w:r>
              <w:rPr>
                <w:rFonts w:ascii="Liberation Sans Narrow" w:hAnsi="Liberation Sans Narrow"/>
                <w:b/>
                <w:sz w:val="18"/>
              </w:rPr>
              <w:t xml:space="preserve">187</w:t>
            </w:r>
          </w:p>
        </w:tc>
        <w:tc>
          <w:tcPr>
            <w:tcW w:type="dxa" w:w="1608"/>
          </w:tcPr>
          <w:p>
            <w:pPr>
              <w:pStyle w:val="Compact"/>
              <w:spacing w:before="20" w:after="20" w:line="240" w:lineRule="auto"/>
              <w:jc w:val="left"/>
            </w:pPr>
            <w:r>
              <w:rPr>
                <w:rFonts w:ascii="Liberation Sans Narrow" w:hAnsi="Liberation Sans Narrow"/>
                <w:b w:val="0"/>
                <w:sz w:val="18"/>
              </w:rPr>
              <w:t xml:space="preserve">Art. 893</w:t>
            </w:r>
          </w:p>
        </w:tc>
        <w:tc>
          <w:tcPr>
            <w:tcW w:type="dxa" w:w="731"/>
          </w:tcPr>
          <w:p>
            <w:pPr>
              <w:pStyle w:val="Compact"/>
              <w:spacing w:before="20" w:after="20" w:line="240" w:lineRule="auto"/>
              <w:jc w:val="right"/>
            </w:pPr>
            <w:r>
              <w:rPr>
                <w:rFonts w:ascii="Liberation Sans Narrow" w:hAnsi="Liberation Sans Narrow"/>
                <w:b/>
                <w:sz w:val="18"/>
              </w:rPr>
              <w:t xml:space="preserve">253</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327</w:t>
            </w:r>
          </w:p>
        </w:tc>
        <w:tc>
          <w:tcPr>
            <w:tcW w:type="dxa" w:w="731"/>
          </w:tcPr>
          <w:p>
            <w:pPr>
              <w:pStyle w:val="Compact"/>
              <w:spacing w:before="20" w:after="20" w:line="240" w:lineRule="auto"/>
              <w:jc w:val="right"/>
            </w:pPr>
            <w:r>
              <w:rPr>
                <w:rFonts w:ascii="Liberation Sans Narrow" w:hAnsi="Liberation Sans Narrow"/>
                <w:b/>
                <w:sz w:val="18"/>
              </w:rPr>
              <w:t xml:space="preserve">30</w:t>
            </w:r>
          </w:p>
        </w:tc>
        <w:tc>
          <w:tcPr>
            <w:tcW w:type="dxa" w:w="1608"/>
          </w:tcPr>
          <w:p>
            <w:pPr>
              <w:pStyle w:val="Compact"/>
              <w:spacing w:before="20" w:after="20" w:line="240" w:lineRule="auto"/>
              <w:jc w:val="left"/>
            </w:pPr>
            <w:r>
              <w:rPr>
                <w:rFonts w:ascii="Liberation Sans Narrow" w:hAnsi="Liberation Sans Narrow"/>
                <w:b w:val="0"/>
                <w:sz w:val="18"/>
              </w:rPr>
              <w:t xml:space="preserve">Art. 516</w:t>
            </w:r>
          </w:p>
        </w:tc>
        <w:tc>
          <w:tcPr>
            <w:tcW w:type="dxa" w:w="731"/>
          </w:tcPr>
          <w:p>
            <w:pPr>
              <w:pStyle w:val="Compact"/>
              <w:spacing w:before="20" w:after="20" w:line="240" w:lineRule="auto"/>
              <w:jc w:val="right"/>
            </w:pPr>
            <w:r>
              <w:rPr>
                <w:rFonts w:ascii="Liberation Sans Narrow" w:hAnsi="Liberation Sans Narrow"/>
                <w:b/>
                <w:sz w:val="18"/>
              </w:rPr>
              <w:t xml:space="preserve">115</w:t>
            </w:r>
          </w:p>
        </w:tc>
        <w:tc>
          <w:tcPr>
            <w:tcW w:type="dxa" w:w="1608"/>
          </w:tcPr>
          <w:p>
            <w:pPr>
              <w:pStyle w:val="Compact"/>
              <w:spacing w:before="20" w:after="20" w:line="240" w:lineRule="auto"/>
              <w:jc w:val="left"/>
            </w:pPr>
            <w:r>
              <w:rPr>
                <w:rFonts w:ascii="Liberation Sans Narrow" w:hAnsi="Liberation Sans Narrow"/>
                <w:b w:val="0"/>
                <w:sz w:val="18"/>
              </w:rPr>
              <w:t xml:space="preserve">Art. 705</w:t>
            </w:r>
          </w:p>
        </w:tc>
        <w:tc>
          <w:tcPr>
            <w:tcW w:type="dxa" w:w="731"/>
          </w:tcPr>
          <w:p>
            <w:pPr>
              <w:pStyle w:val="Compact"/>
              <w:spacing w:before="20" w:after="20" w:line="240" w:lineRule="auto"/>
              <w:jc w:val="right"/>
            </w:pPr>
            <w:r>
              <w:rPr>
                <w:rFonts w:ascii="Liberation Sans Narrow" w:hAnsi="Liberation Sans Narrow"/>
                <w:b/>
                <w:sz w:val="18"/>
              </w:rPr>
              <w:t xml:space="preserve">187</w:t>
            </w:r>
          </w:p>
        </w:tc>
        <w:tc>
          <w:tcPr>
            <w:tcW w:type="dxa" w:w="1608"/>
          </w:tcPr>
          <w:p>
            <w:pPr>
              <w:pStyle w:val="Compact"/>
              <w:spacing w:before="20" w:after="20" w:line="240" w:lineRule="auto"/>
              <w:jc w:val="left"/>
            </w:pPr>
            <w:r>
              <w:rPr>
                <w:rFonts w:ascii="Liberation Sans Narrow" w:hAnsi="Liberation Sans Narrow"/>
                <w:b w:val="0"/>
                <w:sz w:val="18"/>
              </w:rPr>
              <w:t xml:space="preserve">Art. 894</w:t>
            </w:r>
          </w:p>
        </w:tc>
        <w:tc>
          <w:tcPr>
            <w:tcW w:type="dxa" w:w="731"/>
          </w:tcPr>
          <w:p>
            <w:pPr>
              <w:pStyle w:val="Compact"/>
              <w:spacing w:before="20" w:after="20" w:line="240" w:lineRule="auto"/>
              <w:jc w:val="right"/>
            </w:pPr>
            <w:r>
              <w:rPr>
                <w:rFonts w:ascii="Liberation Sans Narrow" w:hAnsi="Liberation Sans Narrow"/>
                <w:b/>
                <w:sz w:val="18"/>
              </w:rPr>
              <w:t xml:space="preserve">254</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328</w:t>
            </w:r>
          </w:p>
        </w:tc>
        <w:tc>
          <w:tcPr>
            <w:tcW w:type="dxa" w:w="731"/>
          </w:tcPr>
          <w:p>
            <w:pPr>
              <w:pStyle w:val="Compact"/>
              <w:spacing w:before="20" w:after="20" w:line="240" w:lineRule="auto"/>
              <w:jc w:val="right"/>
            </w:pPr>
            <w:r>
              <w:rPr>
                <w:rFonts w:ascii="Liberation Sans Narrow" w:hAnsi="Liberation Sans Narrow"/>
                <w:b/>
                <w:sz w:val="18"/>
              </w:rPr>
              <w:t xml:space="preserve">30</w:t>
            </w:r>
          </w:p>
        </w:tc>
        <w:tc>
          <w:tcPr>
            <w:tcW w:type="dxa" w:w="1608"/>
          </w:tcPr>
          <w:p>
            <w:pPr>
              <w:pStyle w:val="Compact"/>
              <w:spacing w:before="20" w:after="20" w:line="240" w:lineRule="auto"/>
              <w:jc w:val="left"/>
            </w:pPr>
            <w:r>
              <w:rPr>
                <w:rFonts w:ascii="Liberation Sans Narrow" w:hAnsi="Liberation Sans Narrow"/>
                <w:b w:val="0"/>
                <w:sz w:val="18"/>
              </w:rPr>
              <w:t xml:space="preserve">Art. 517</w:t>
            </w:r>
          </w:p>
        </w:tc>
        <w:tc>
          <w:tcPr>
            <w:tcW w:type="dxa" w:w="731"/>
          </w:tcPr>
          <w:p>
            <w:pPr>
              <w:pStyle w:val="Compact"/>
              <w:spacing w:before="20" w:after="20" w:line="240" w:lineRule="auto"/>
              <w:jc w:val="right"/>
            </w:pPr>
            <w:r>
              <w:rPr>
                <w:rFonts w:ascii="Liberation Sans Narrow" w:hAnsi="Liberation Sans Narrow"/>
                <w:b/>
                <w:sz w:val="18"/>
              </w:rPr>
              <w:t xml:space="preserve">116</w:t>
            </w:r>
          </w:p>
        </w:tc>
        <w:tc>
          <w:tcPr>
            <w:tcW w:type="dxa" w:w="1608"/>
          </w:tcPr>
          <w:p>
            <w:pPr>
              <w:pStyle w:val="Compact"/>
              <w:spacing w:before="20" w:after="20" w:line="240" w:lineRule="auto"/>
              <w:jc w:val="left"/>
            </w:pPr>
            <w:r>
              <w:rPr>
                <w:rFonts w:ascii="Liberation Sans Narrow" w:hAnsi="Liberation Sans Narrow"/>
                <w:b w:val="0"/>
                <w:sz w:val="18"/>
              </w:rPr>
              <w:t xml:space="preserve">Art. 706</w:t>
            </w:r>
          </w:p>
        </w:tc>
        <w:tc>
          <w:tcPr>
            <w:tcW w:type="dxa" w:w="731"/>
          </w:tcPr>
          <w:p>
            <w:pPr>
              <w:pStyle w:val="Compact"/>
              <w:spacing w:before="20" w:after="20" w:line="240" w:lineRule="auto"/>
              <w:jc w:val="right"/>
            </w:pPr>
            <w:r>
              <w:rPr>
                <w:rFonts w:ascii="Liberation Sans Narrow" w:hAnsi="Liberation Sans Narrow"/>
                <w:b/>
                <w:sz w:val="18"/>
              </w:rPr>
              <w:t xml:space="preserve">187</w:t>
            </w:r>
          </w:p>
        </w:tc>
        <w:tc>
          <w:tcPr>
            <w:tcW w:type="dxa" w:w="1608"/>
          </w:tcPr>
          <w:p>
            <w:pPr>
              <w:pStyle w:val="Compact"/>
              <w:spacing w:before="20" w:after="20" w:line="240" w:lineRule="auto"/>
              <w:jc w:val="left"/>
            </w:pPr>
            <w:r>
              <w:rPr>
                <w:rFonts w:ascii="Liberation Sans Narrow" w:hAnsi="Liberation Sans Narrow"/>
                <w:b w:val="0"/>
                <w:sz w:val="18"/>
              </w:rPr>
              <w:t xml:space="preserve">Art. 895</w:t>
            </w:r>
          </w:p>
        </w:tc>
        <w:tc>
          <w:tcPr>
            <w:tcW w:type="dxa" w:w="731"/>
          </w:tcPr>
          <w:p>
            <w:pPr>
              <w:pStyle w:val="Compact"/>
              <w:spacing w:before="20" w:after="20" w:line="240" w:lineRule="auto"/>
              <w:jc w:val="right"/>
            </w:pPr>
            <w:r>
              <w:rPr>
                <w:rFonts w:ascii="Liberation Sans Narrow" w:hAnsi="Liberation Sans Narrow"/>
                <w:b/>
                <w:sz w:val="18"/>
              </w:rPr>
              <w:t xml:space="preserve">254</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329</w:t>
            </w:r>
          </w:p>
        </w:tc>
        <w:tc>
          <w:tcPr>
            <w:tcW w:type="dxa" w:w="731"/>
          </w:tcPr>
          <w:p>
            <w:pPr>
              <w:pStyle w:val="Compact"/>
              <w:spacing w:before="20" w:after="20" w:line="240" w:lineRule="auto"/>
              <w:jc w:val="right"/>
            </w:pPr>
            <w:r>
              <w:rPr>
                <w:rFonts w:ascii="Liberation Sans Narrow" w:hAnsi="Liberation Sans Narrow"/>
                <w:b/>
                <w:sz w:val="18"/>
              </w:rPr>
              <w:t xml:space="preserve">30</w:t>
            </w:r>
          </w:p>
        </w:tc>
        <w:tc>
          <w:tcPr>
            <w:tcW w:type="dxa" w:w="1608"/>
          </w:tcPr>
          <w:p>
            <w:pPr>
              <w:pStyle w:val="Compact"/>
              <w:spacing w:before="20" w:after="20" w:line="240" w:lineRule="auto"/>
              <w:jc w:val="left"/>
            </w:pPr>
            <w:r>
              <w:rPr>
                <w:rFonts w:ascii="Liberation Sans Narrow" w:hAnsi="Liberation Sans Narrow"/>
                <w:b w:val="0"/>
                <w:sz w:val="18"/>
              </w:rPr>
              <w:t xml:space="preserve">Art. 518</w:t>
            </w:r>
          </w:p>
        </w:tc>
        <w:tc>
          <w:tcPr>
            <w:tcW w:type="dxa" w:w="731"/>
          </w:tcPr>
          <w:p>
            <w:pPr>
              <w:pStyle w:val="Compact"/>
              <w:spacing w:before="20" w:after="20" w:line="240" w:lineRule="auto"/>
              <w:jc w:val="right"/>
            </w:pPr>
            <w:r>
              <w:rPr>
                <w:rFonts w:ascii="Liberation Sans Narrow" w:hAnsi="Liberation Sans Narrow"/>
                <w:b/>
                <w:sz w:val="18"/>
              </w:rPr>
              <w:t xml:space="preserve">117</w:t>
            </w:r>
          </w:p>
        </w:tc>
        <w:tc>
          <w:tcPr>
            <w:tcW w:type="dxa" w:w="1608"/>
          </w:tcPr>
          <w:p>
            <w:pPr>
              <w:pStyle w:val="Compact"/>
              <w:spacing w:before="20" w:after="20" w:line="240" w:lineRule="auto"/>
              <w:jc w:val="left"/>
            </w:pPr>
            <w:r>
              <w:rPr>
                <w:rFonts w:ascii="Liberation Sans Narrow" w:hAnsi="Liberation Sans Narrow"/>
                <w:b w:val="0"/>
                <w:sz w:val="18"/>
              </w:rPr>
              <w:t xml:space="preserve">Art. 707</w:t>
            </w:r>
          </w:p>
        </w:tc>
        <w:tc>
          <w:tcPr>
            <w:tcW w:type="dxa" w:w="731"/>
          </w:tcPr>
          <w:p>
            <w:pPr>
              <w:pStyle w:val="Compact"/>
              <w:spacing w:before="20" w:after="20" w:line="240" w:lineRule="auto"/>
              <w:jc w:val="right"/>
            </w:pPr>
            <w:r>
              <w:rPr>
                <w:rFonts w:ascii="Liberation Sans Narrow" w:hAnsi="Liberation Sans Narrow"/>
                <w:b/>
                <w:sz w:val="18"/>
              </w:rPr>
              <w:t xml:space="preserve">188</w:t>
            </w:r>
          </w:p>
        </w:tc>
        <w:tc>
          <w:tcPr>
            <w:tcW w:type="dxa" w:w="1608"/>
          </w:tcPr>
          <w:p>
            <w:pPr>
              <w:pStyle w:val="Compact"/>
              <w:spacing w:before="20" w:after="20" w:line="240" w:lineRule="auto"/>
              <w:jc w:val="left"/>
            </w:pPr>
            <w:r>
              <w:rPr>
                <w:rFonts w:ascii="Liberation Sans Narrow" w:hAnsi="Liberation Sans Narrow"/>
                <w:b w:val="0"/>
                <w:sz w:val="18"/>
              </w:rPr>
              <w:t xml:space="preserve">Art. 896</w:t>
            </w:r>
          </w:p>
        </w:tc>
        <w:tc>
          <w:tcPr>
            <w:tcW w:type="dxa" w:w="731"/>
          </w:tcPr>
          <w:p>
            <w:pPr>
              <w:pStyle w:val="Compact"/>
              <w:spacing w:before="20" w:after="20" w:line="240" w:lineRule="auto"/>
              <w:jc w:val="right"/>
            </w:pPr>
            <w:r>
              <w:rPr>
                <w:rFonts w:ascii="Liberation Sans Narrow" w:hAnsi="Liberation Sans Narrow"/>
                <w:b/>
                <w:sz w:val="18"/>
              </w:rPr>
              <w:t xml:space="preserve">255</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330</w:t>
            </w:r>
          </w:p>
        </w:tc>
        <w:tc>
          <w:tcPr>
            <w:tcW w:type="dxa" w:w="731"/>
          </w:tcPr>
          <w:p>
            <w:pPr>
              <w:pStyle w:val="Compact"/>
              <w:spacing w:before="20" w:after="20" w:line="240" w:lineRule="auto"/>
              <w:jc w:val="right"/>
            </w:pPr>
            <w:r>
              <w:rPr>
                <w:rFonts w:ascii="Liberation Sans Narrow" w:hAnsi="Liberation Sans Narrow"/>
                <w:b/>
                <w:sz w:val="18"/>
              </w:rPr>
              <w:t xml:space="preserve">31</w:t>
            </w:r>
          </w:p>
        </w:tc>
        <w:tc>
          <w:tcPr>
            <w:tcW w:type="dxa" w:w="1608"/>
          </w:tcPr>
          <w:p>
            <w:pPr>
              <w:pStyle w:val="Compact"/>
              <w:spacing w:before="20" w:after="20" w:line="240" w:lineRule="auto"/>
              <w:jc w:val="left"/>
            </w:pPr>
            <w:r>
              <w:rPr>
                <w:rFonts w:ascii="Liberation Sans Narrow" w:hAnsi="Liberation Sans Narrow"/>
                <w:b w:val="0"/>
                <w:sz w:val="18"/>
              </w:rPr>
              <w:t xml:space="preserve">Art. 519</w:t>
            </w:r>
          </w:p>
        </w:tc>
        <w:tc>
          <w:tcPr>
            <w:tcW w:type="dxa" w:w="731"/>
          </w:tcPr>
          <w:p>
            <w:pPr>
              <w:pStyle w:val="Compact"/>
              <w:spacing w:before="20" w:after="20" w:line="240" w:lineRule="auto"/>
              <w:jc w:val="right"/>
            </w:pPr>
            <w:r>
              <w:rPr>
                <w:rFonts w:ascii="Liberation Sans Narrow" w:hAnsi="Liberation Sans Narrow"/>
                <w:b/>
                <w:sz w:val="18"/>
              </w:rPr>
              <w:t xml:space="preserve">117</w:t>
            </w:r>
          </w:p>
        </w:tc>
        <w:tc>
          <w:tcPr>
            <w:tcW w:type="dxa" w:w="1608"/>
          </w:tcPr>
          <w:p>
            <w:pPr>
              <w:pStyle w:val="Compact"/>
              <w:spacing w:before="20" w:after="20" w:line="240" w:lineRule="auto"/>
              <w:jc w:val="left"/>
            </w:pPr>
            <w:r>
              <w:rPr>
                <w:rFonts w:ascii="Liberation Sans Narrow" w:hAnsi="Liberation Sans Narrow"/>
                <w:b w:val="0"/>
                <w:sz w:val="18"/>
              </w:rPr>
              <w:t xml:space="preserve">Art. 708</w:t>
            </w:r>
          </w:p>
        </w:tc>
        <w:tc>
          <w:tcPr>
            <w:tcW w:type="dxa" w:w="731"/>
          </w:tcPr>
          <w:p>
            <w:pPr>
              <w:pStyle w:val="Compact"/>
              <w:spacing w:before="20" w:after="20" w:line="240" w:lineRule="auto"/>
              <w:jc w:val="right"/>
            </w:pPr>
            <w:r>
              <w:rPr>
                <w:rFonts w:ascii="Liberation Sans Narrow" w:hAnsi="Liberation Sans Narrow"/>
                <w:b/>
                <w:sz w:val="18"/>
              </w:rPr>
              <w:t xml:space="preserve">188</w:t>
            </w:r>
          </w:p>
        </w:tc>
        <w:tc>
          <w:tcPr>
            <w:tcW w:type="dxa" w:w="1608"/>
          </w:tcPr>
          <w:p>
            <w:pPr>
              <w:pStyle w:val="Compact"/>
              <w:spacing w:before="20" w:after="20" w:line="240" w:lineRule="auto"/>
              <w:jc w:val="left"/>
            </w:pPr>
            <w:r>
              <w:rPr>
                <w:rFonts w:ascii="Liberation Sans Narrow" w:hAnsi="Liberation Sans Narrow"/>
                <w:b w:val="0"/>
                <w:sz w:val="18"/>
              </w:rPr>
              <w:t xml:space="preserve">Art. 897</w:t>
            </w:r>
          </w:p>
        </w:tc>
        <w:tc>
          <w:tcPr>
            <w:tcW w:type="dxa" w:w="731"/>
          </w:tcPr>
          <w:p>
            <w:pPr>
              <w:pStyle w:val="Compact"/>
              <w:spacing w:before="20" w:after="20" w:line="240" w:lineRule="auto"/>
              <w:jc w:val="right"/>
            </w:pPr>
            <w:r>
              <w:rPr>
                <w:rFonts w:ascii="Liberation Sans Narrow" w:hAnsi="Liberation Sans Narrow"/>
                <w:b/>
                <w:sz w:val="18"/>
              </w:rPr>
              <w:t xml:space="preserve">255</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331</w:t>
            </w:r>
          </w:p>
        </w:tc>
        <w:tc>
          <w:tcPr>
            <w:tcW w:type="dxa" w:w="731"/>
          </w:tcPr>
          <w:p>
            <w:pPr>
              <w:pStyle w:val="Compact"/>
              <w:spacing w:before="20" w:after="20" w:line="240" w:lineRule="auto"/>
              <w:jc w:val="right"/>
            </w:pPr>
            <w:r>
              <w:rPr>
                <w:rFonts w:ascii="Liberation Sans Narrow" w:hAnsi="Liberation Sans Narrow"/>
                <w:b/>
                <w:sz w:val="18"/>
              </w:rPr>
              <w:t xml:space="preserve">32</w:t>
            </w:r>
          </w:p>
        </w:tc>
        <w:tc>
          <w:tcPr>
            <w:tcW w:type="dxa" w:w="1608"/>
          </w:tcPr>
          <w:p>
            <w:pPr>
              <w:pStyle w:val="Compact"/>
              <w:spacing w:before="20" w:after="20" w:line="240" w:lineRule="auto"/>
              <w:jc w:val="left"/>
            </w:pPr>
            <w:r>
              <w:rPr>
                <w:rFonts w:ascii="Liberation Sans Narrow" w:hAnsi="Liberation Sans Narrow"/>
                <w:b w:val="0"/>
                <w:sz w:val="18"/>
              </w:rPr>
              <w:t xml:space="preserve">Art. 520</w:t>
            </w:r>
          </w:p>
        </w:tc>
        <w:tc>
          <w:tcPr>
            <w:tcW w:type="dxa" w:w="731"/>
          </w:tcPr>
          <w:p>
            <w:pPr>
              <w:pStyle w:val="Compact"/>
              <w:spacing w:before="20" w:after="20" w:line="240" w:lineRule="auto"/>
              <w:jc w:val="right"/>
            </w:pPr>
            <w:r>
              <w:rPr>
                <w:rFonts w:ascii="Liberation Sans Narrow" w:hAnsi="Liberation Sans Narrow"/>
                <w:b/>
                <w:sz w:val="18"/>
              </w:rPr>
              <w:t xml:space="preserve">117</w:t>
            </w:r>
          </w:p>
        </w:tc>
        <w:tc>
          <w:tcPr>
            <w:tcW w:type="dxa" w:w="1608"/>
          </w:tcPr>
          <w:p>
            <w:pPr>
              <w:pStyle w:val="Compact"/>
              <w:spacing w:before="20" w:after="20" w:line="240" w:lineRule="auto"/>
              <w:jc w:val="left"/>
            </w:pPr>
            <w:r>
              <w:rPr>
                <w:rFonts w:ascii="Liberation Sans Narrow" w:hAnsi="Liberation Sans Narrow"/>
                <w:b w:val="0"/>
                <w:sz w:val="18"/>
              </w:rPr>
              <w:t xml:space="preserve">Art. 709</w:t>
            </w:r>
          </w:p>
        </w:tc>
        <w:tc>
          <w:tcPr>
            <w:tcW w:type="dxa" w:w="731"/>
          </w:tcPr>
          <w:p>
            <w:pPr>
              <w:pStyle w:val="Compact"/>
              <w:spacing w:before="20" w:after="20" w:line="240" w:lineRule="auto"/>
              <w:jc w:val="right"/>
            </w:pPr>
            <w:r>
              <w:rPr>
                <w:rFonts w:ascii="Liberation Sans Narrow" w:hAnsi="Liberation Sans Narrow"/>
                <w:b/>
                <w:sz w:val="18"/>
              </w:rPr>
              <w:t xml:space="preserve">188</w:t>
            </w:r>
          </w:p>
        </w:tc>
        <w:tc>
          <w:tcPr>
            <w:tcW w:type="dxa" w:w="1608"/>
          </w:tcPr>
          <w:p>
            <w:pPr>
              <w:pStyle w:val="Compact"/>
              <w:spacing w:before="20" w:after="20" w:line="240" w:lineRule="auto"/>
              <w:jc w:val="left"/>
            </w:pPr>
            <w:r>
              <w:rPr>
                <w:rFonts w:ascii="Liberation Sans Narrow" w:hAnsi="Liberation Sans Narrow"/>
                <w:b w:val="0"/>
                <w:sz w:val="18"/>
              </w:rPr>
              <w:t xml:space="preserve">Art. 898</w:t>
            </w:r>
          </w:p>
        </w:tc>
        <w:tc>
          <w:tcPr>
            <w:tcW w:type="dxa" w:w="731"/>
          </w:tcPr>
          <w:p>
            <w:pPr>
              <w:pStyle w:val="Compact"/>
              <w:spacing w:before="20" w:after="20" w:line="240" w:lineRule="auto"/>
              <w:jc w:val="right"/>
            </w:pPr>
            <w:r>
              <w:rPr>
                <w:rFonts w:ascii="Liberation Sans Narrow" w:hAnsi="Liberation Sans Narrow"/>
                <w:b/>
                <w:sz w:val="18"/>
              </w:rPr>
              <w:t xml:space="preserve">255</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332</w:t>
            </w:r>
          </w:p>
        </w:tc>
        <w:tc>
          <w:tcPr>
            <w:tcW w:type="dxa" w:w="731"/>
          </w:tcPr>
          <w:p>
            <w:pPr>
              <w:pStyle w:val="Compact"/>
              <w:spacing w:before="20" w:after="20" w:line="240" w:lineRule="auto"/>
              <w:jc w:val="right"/>
            </w:pPr>
            <w:r>
              <w:rPr>
                <w:rFonts w:ascii="Liberation Sans Narrow" w:hAnsi="Liberation Sans Narrow"/>
                <w:b/>
                <w:sz w:val="18"/>
              </w:rPr>
              <w:t xml:space="preserve">32</w:t>
            </w:r>
          </w:p>
        </w:tc>
        <w:tc>
          <w:tcPr>
            <w:tcW w:type="dxa" w:w="1608"/>
          </w:tcPr>
          <w:p>
            <w:pPr>
              <w:pStyle w:val="Compact"/>
              <w:spacing w:before="20" w:after="20" w:line="240" w:lineRule="auto"/>
              <w:jc w:val="left"/>
            </w:pPr>
            <w:r>
              <w:rPr>
                <w:rFonts w:ascii="Liberation Sans Narrow" w:hAnsi="Liberation Sans Narrow"/>
                <w:b w:val="0"/>
                <w:sz w:val="18"/>
              </w:rPr>
              <w:t xml:space="preserve">Art. 521</w:t>
            </w:r>
          </w:p>
        </w:tc>
        <w:tc>
          <w:tcPr>
            <w:tcW w:type="dxa" w:w="731"/>
          </w:tcPr>
          <w:p>
            <w:pPr>
              <w:pStyle w:val="Compact"/>
              <w:spacing w:before="20" w:after="20" w:line="240" w:lineRule="auto"/>
              <w:jc w:val="right"/>
            </w:pPr>
            <w:r>
              <w:rPr>
                <w:rFonts w:ascii="Liberation Sans Narrow" w:hAnsi="Liberation Sans Narrow"/>
                <w:b/>
                <w:sz w:val="18"/>
              </w:rPr>
              <w:t xml:space="preserve">118</w:t>
            </w:r>
          </w:p>
        </w:tc>
        <w:tc>
          <w:tcPr>
            <w:tcW w:type="dxa" w:w="1608"/>
          </w:tcPr>
          <w:p>
            <w:pPr>
              <w:pStyle w:val="Compact"/>
              <w:spacing w:before="20" w:after="20" w:line="240" w:lineRule="auto"/>
              <w:jc w:val="left"/>
            </w:pPr>
            <w:r>
              <w:rPr>
                <w:rFonts w:ascii="Liberation Sans Narrow" w:hAnsi="Liberation Sans Narrow"/>
                <w:b w:val="0"/>
                <w:sz w:val="18"/>
              </w:rPr>
              <w:t xml:space="preserve">Art. 710</w:t>
            </w:r>
          </w:p>
        </w:tc>
        <w:tc>
          <w:tcPr>
            <w:tcW w:type="dxa" w:w="731"/>
          </w:tcPr>
          <w:p>
            <w:pPr>
              <w:pStyle w:val="Compact"/>
              <w:spacing w:before="20" w:after="20" w:line="240" w:lineRule="auto"/>
              <w:jc w:val="right"/>
            </w:pPr>
            <w:r>
              <w:rPr>
                <w:rFonts w:ascii="Liberation Sans Narrow" w:hAnsi="Liberation Sans Narrow"/>
                <w:b/>
                <w:sz w:val="18"/>
              </w:rPr>
              <w:t xml:space="preserve">188</w:t>
            </w:r>
          </w:p>
        </w:tc>
        <w:tc>
          <w:tcPr>
            <w:tcW w:type="dxa" w:w="1608"/>
          </w:tcPr>
          <w:p>
            <w:pPr>
              <w:pStyle w:val="Compact"/>
              <w:spacing w:before="20" w:after="20" w:line="240" w:lineRule="auto"/>
              <w:jc w:val="left"/>
            </w:pPr>
            <w:r>
              <w:rPr>
                <w:rFonts w:ascii="Liberation Sans Narrow" w:hAnsi="Liberation Sans Narrow"/>
                <w:b w:val="0"/>
                <w:sz w:val="18"/>
              </w:rPr>
              <w:t xml:space="preserve">Art. 899</w:t>
            </w:r>
          </w:p>
        </w:tc>
        <w:tc>
          <w:tcPr>
            <w:tcW w:type="dxa" w:w="731"/>
          </w:tcPr>
          <w:p>
            <w:pPr>
              <w:pStyle w:val="Compact"/>
              <w:spacing w:before="20" w:after="20" w:line="240" w:lineRule="auto"/>
              <w:jc w:val="right"/>
            </w:pPr>
            <w:r>
              <w:rPr>
                <w:rFonts w:ascii="Liberation Sans Narrow" w:hAnsi="Liberation Sans Narrow"/>
                <w:b/>
                <w:sz w:val="18"/>
              </w:rPr>
              <w:t xml:space="preserve">255</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333</w:t>
            </w:r>
          </w:p>
        </w:tc>
        <w:tc>
          <w:tcPr>
            <w:tcW w:type="dxa" w:w="731"/>
          </w:tcPr>
          <w:p>
            <w:pPr>
              <w:pStyle w:val="Compact"/>
              <w:spacing w:before="20" w:after="20" w:line="240" w:lineRule="auto"/>
              <w:jc w:val="right"/>
            </w:pPr>
            <w:r>
              <w:rPr>
                <w:rFonts w:ascii="Liberation Sans Narrow" w:hAnsi="Liberation Sans Narrow"/>
                <w:b/>
                <w:sz w:val="18"/>
              </w:rPr>
              <w:t xml:space="preserve">34</w:t>
            </w:r>
          </w:p>
        </w:tc>
        <w:tc>
          <w:tcPr>
            <w:tcW w:type="dxa" w:w="1608"/>
          </w:tcPr>
          <w:p>
            <w:pPr>
              <w:pStyle w:val="Compact"/>
              <w:spacing w:before="20" w:after="20" w:line="240" w:lineRule="auto"/>
              <w:jc w:val="left"/>
            </w:pPr>
            <w:r>
              <w:rPr>
                <w:rFonts w:ascii="Liberation Sans Narrow" w:hAnsi="Liberation Sans Narrow"/>
                <w:b w:val="0"/>
                <w:sz w:val="18"/>
              </w:rPr>
              <w:t xml:space="preserve">Art. 522</w:t>
            </w:r>
          </w:p>
        </w:tc>
        <w:tc>
          <w:tcPr>
            <w:tcW w:type="dxa" w:w="731"/>
          </w:tcPr>
          <w:p>
            <w:pPr>
              <w:pStyle w:val="Compact"/>
              <w:spacing w:before="20" w:after="20" w:line="240" w:lineRule="auto"/>
              <w:jc w:val="right"/>
            </w:pPr>
            <w:r>
              <w:rPr>
                <w:rFonts w:ascii="Liberation Sans Narrow" w:hAnsi="Liberation Sans Narrow"/>
                <w:b/>
                <w:sz w:val="18"/>
              </w:rPr>
              <w:t xml:space="preserve">118</w:t>
            </w:r>
          </w:p>
        </w:tc>
        <w:tc>
          <w:tcPr>
            <w:tcW w:type="dxa" w:w="1608"/>
          </w:tcPr>
          <w:p>
            <w:pPr>
              <w:pStyle w:val="Compact"/>
              <w:spacing w:before="20" w:after="20" w:line="240" w:lineRule="auto"/>
              <w:jc w:val="left"/>
            </w:pPr>
            <w:r>
              <w:rPr>
                <w:rFonts w:ascii="Liberation Sans Narrow" w:hAnsi="Liberation Sans Narrow"/>
                <w:b w:val="0"/>
                <w:sz w:val="18"/>
              </w:rPr>
              <w:t xml:space="preserve">Art. 711</w:t>
            </w:r>
          </w:p>
        </w:tc>
        <w:tc>
          <w:tcPr>
            <w:tcW w:type="dxa" w:w="731"/>
          </w:tcPr>
          <w:p>
            <w:pPr>
              <w:pStyle w:val="Compact"/>
              <w:spacing w:before="20" w:after="20" w:line="240" w:lineRule="auto"/>
              <w:jc w:val="right"/>
            </w:pPr>
            <w:r>
              <w:rPr>
                <w:rFonts w:ascii="Liberation Sans Narrow" w:hAnsi="Liberation Sans Narrow"/>
                <w:b/>
                <w:sz w:val="18"/>
              </w:rPr>
              <w:t xml:space="preserve">189</w:t>
            </w:r>
          </w:p>
        </w:tc>
        <w:tc>
          <w:tcPr>
            <w:tcW w:type="dxa" w:w="1608"/>
          </w:tcPr>
          <w:p>
            <w:pPr>
              <w:pStyle w:val="Compact"/>
              <w:spacing w:before="20" w:after="20" w:line="240" w:lineRule="auto"/>
              <w:jc w:val="left"/>
            </w:pPr>
            <w:r>
              <w:rPr>
                <w:rFonts w:ascii="Liberation Sans Narrow" w:hAnsi="Liberation Sans Narrow"/>
                <w:b w:val="0"/>
                <w:sz w:val="18"/>
              </w:rPr>
              <w:t xml:space="preserve">Art. 900</w:t>
            </w:r>
          </w:p>
        </w:tc>
        <w:tc>
          <w:tcPr>
            <w:tcW w:type="dxa" w:w="731"/>
          </w:tcPr>
          <w:p>
            <w:pPr>
              <w:pStyle w:val="Compact"/>
              <w:spacing w:before="20" w:after="20" w:line="240" w:lineRule="auto"/>
              <w:jc w:val="right"/>
            </w:pPr>
            <w:r>
              <w:rPr>
                <w:rFonts w:ascii="Liberation Sans Narrow" w:hAnsi="Liberation Sans Narrow"/>
                <w:b/>
                <w:sz w:val="18"/>
              </w:rPr>
              <w:t xml:space="preserve">255</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334</w:t>
            </w:r>
          </w:p>
        </w:tc>
        <w:tc>
          <w:tcPr>
            <w:tcW w:type="dxa" w:w="731"/>
          </w:tcPr>
          <w:p>
            <w:pPr>
              <w:pStyle w:val="Compact"/>
              <w:spacing w:before="20" w:after="20" w:line="240" w:lineRule="auto"/>
              <w:jc w:val="right"/>
            </w:pPr>
            <w:r>
              <w:rPr>
                <w:rFonts w:ascii="Liberation Sans Narrow" w:hAnsi="Liberation Sans Narrow"/>
                <w:b/>
                <w:sz w:val="18"/>
              </w:rPr>
              <w:t xml:space="preserve">34</w:t>
            </w:r>
          </w:p>
        </w:tc>
        <w:tc>
          <w:tcPr>
            <w:tcW w:type="dxa" w:w="1608"/>
          </w:tcPr>
          <w:p>
            <w:pPr>
              <w:pStyle w:val="Compact"/>
              <w:spacing w:before="20" w:after="20" w:line="240" w:lineRule="auto"/>
              <w:jc w:val="left"/>
            </w:pPr>
            <w:r>
              <w:rPr>
                <w:rFonts w:ascii="Liberation Sans Narrow" w:hAnsi="Liberation Sans Narrow"/>
                <w:b w:val="0"/>
                <w:sz w:val="18"/>
              </w:rPr>
              <w:t xml:space="preserve">Art. 523</w:t>
            </w:r>
          </w:p>
        </w:tc>
        <w:tc>
          <w:tcPr>
            <w:tcW w:type="dxa" w:w="731"/>
          </w:tcPr>
          <w:p>
            <w:pPr>
              <w:pStyle w:val="Compact"/>
              <w:spacing w:before="20" w:after="20" w:line="240" w:lineRule="auto"/>
              <w:jc w:val="right"/>
            </w:pPr>
            <w:r>
              <w:rPr>
                <w:rFonts w:ascii="Liberation Sans Narrow" w:hAnsi="Liberation Sans Narrow"/>
                <w:b/>
                <w:sz w:val="18"/>
              </w:rPr>
              <w:t xml:space="preserve">119</w:t>
            </w:r>
          </w:p>
        </w:tc>
        <w:tc>
          <w:tcPr>
            <w:tcW w:type="dxa" w:w="1608"/>
          </w:tcPr>
          <w:p>
            <w:pPr>
              <w:pStyle w:val="Compact"/>
              <w:spacing w:before="20" w:after="20" w:line="240" w:lineRule="auto"/>
              <w:jc w:val="left"/>
            </w:pPr>
            <w:r>
              <w:rPr>
                <w:rFonts w:ascii="Liberation Sans Narrow" w:hAnsi="Liberation Sans Narrow"/>
                <w:b w:val="0"/>
                <w:sz w:val="18"/>
              </w:rPr>
              <w:t xml:space="preserve">Art. 712</w:t>
            </w:r>
          </w:p>
        </w:tc>
        <w:tc>
          <w:tcPr>
            <w:tcW w:type="dxa" w:w="731"/>
          </w:tcPr>
          <w:p>
            <w:pPr>
              <w:pStyle w:val="Compact"/>
              <w:spacing w:before="20" w:after="20" w:line="240" w:lineRule="auto"/>
              <w:jc w:val="right"/>
            </w:pPr>
            <w:r>
              <w:rPr>
                <w:rFonts w:ascii="Liberation Sans Narrow" w:hAnsi="Liberation Sans Narrow"/>
                <w:b/>
                <w:sz w:val="18"/>
              </w:rPr>
              <w:t xml:space="preserve">189</w:t>
            </w:r>
          </w:p>
        </w:tc>
        <w:tc>
          <w:tcPr>
            <w:tcW w:type="dxa" w:w="1608"/>
          </w:tcPr>
          <w:p>
            <w:pPr>
              <w:pStyle w:val="Compact"/>
              <w:spacing w:before="20" w:after="20" w:line="240" w:lineRule="auto"/>
              <w:jc w:val="left"/>
            </w:pPr>
            <w:r>
              <w:rPr>
                <w:rFonts w:ascii="Liberation Sans Narrow" w:hAnsi="Liberation Sans Narrow"/>
                <w:b w:val="0"/>
                <w:sz w:val="18"/>
              </w:rPr>
              <w:t xml:space="preserve">Art. 901</w:t>
            </w:r>
          </w:p>
        </w:tc>
        <w:tc>
          <w:tcPr>
            <w:tcW w:type="dxa" w:w="731"/>
          </w:tcPr>
          <w:p>
            <w:pPr>
              <w:pStyle w:val="Compact"/>
              <w:spacing w:before="20" w:after="20" w:line="240" w:lineRule="auto"/>
              <w:jc w:val="right"/>
            </w:pPr>
            <w:r>
              <w:rPr>
                <w:rFonts w:ascii="Liberation Sans Narrow" w:hAnsi="Liberation Sans Narrow"/>
                <w:b/>
                <w:sz w:val="18"/>
              </w:rPr>
              <w:t xml:space="preserve">256</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335</w:t>
            </w:r>
          </w:p>
        </w:tc>
        <w:tc>
          <w:tcPr>
            <w:tcW w:type="dxa" w:w="731"/>
          </w:tcPr>
          <w:p>
            <w:pPr>
              <w:pStyle w:val="Compact"/>
              <w:spacing w:before="20" w:after="20" w:line="240" w:lineRule="auto"/>
              <w:jc w:val="right"/>
            </w:pPr>
            <w:r>
              <w:rPr>
                <w:rFonts w:ascii="Liberation Sans Narrow" w:hAnsi="Liberation Sans Narrow"/>
                <w:b/>
                <w:sz w:val="18"/>
              </w:rPr>
              <w:t xml:space="preserve">36</w:t>
            </w:r>
          </w:p>
        </w:tc>
        <w:tc>
          <w:tcPr>
            <w:tcW w:type="dxa" w:w="1608"/>
          </w:tcPr>
          <w:p>
            <w:pPr>
              <w:pStyle w:val="Compact"/>
              <w:spacing w:before="20" w:after="20" w:line="240" w:lineRule="auto"/>
              <w:jc w:val="left"/>
            </w:pPr>
            <w:r>
              <w:rPr>
                <w:rFonts w:ascii="Liberation Sans Narrow" w:hAnsi="Liberation Sans Narrow"/>
                <w:b w:val="0"/>
                <w:sz w:val="18"/>
              </w:rPr>
              <w:t xml:space="preserve">Art. 524</w:t>
            </w:r>
          </w:p>
        </w:tc>
        <w:tc>
          <w:tcPr>
            <w:tcW w:type="dxa" w:w="731"/>
          </w:tcPr>
          <w:p>
            <w:pPr>
              <w:pStyle w:val="Compact"/>
              <w:spacing w:before="20" w:after="20" w:line="240" w:lineRule="auto"/>
              <w:jc w:val="right"/>
            </w:pPr>
            <w:r>
              <w:rPr>
                <w:rFonts w:ascii="Liberation Sans Narrow" w:hAnsi="Liberation Sans Narrow"/>
                <w:b/>
                <w:sz w:val="18"/>
              </w:rPr>
              <w:t xml:space="preserve">120</w:t>
            </w:r>
          </w:p>
        </w:tc>
        <w:tc>
          <w:tcPr>
            <w:tcW w:type="dxa" w:w="1608"/>
          </w:tcPr>
          <w:p>
            <w:pPr>
              <w:pStyle w:val="Compact"/>
              <w:spacing w:before="20" w:after="20" w:line="240" w:lineRule="auto"/>
              <w:jc w:val="left"/>
            </w:pPr>
            <w:r>
              <w:rPr>
                <w:rFonts w:ascii="Liberation Sans Narrow" w:hAnsi="Liberation Sans Narrow"/>
                <w:b w:val="0"/>
                <w:sz w:val="18"/>
              </w:rPr>
              <w:t xml:space="preserve">Art. 713</w:t>
            </w:r>
          </w:p>
        </w:tc>
        <w:tc>
          <w:tcPr>
            <w:tcW w:type="dxa" w:w="731"/>
          </w:tcPr>
          <w:p>
            <w:pPr>
              <w:pStyle w:val="Compact"/>
              <w:spacing w:before="20" w:after="20" w:line="240" w:lineRule="auto"/>
              <w:jc w:val="right"/>
            </w:pPr>
            <w:r>
              <w:rPr>
                <w:rFonts w:ascii="Liberation Sans Narrow" w:hAnsi="Liberation Sans Narrow"/>
                <w:b/>
                <w:sz w:val="18"/>
              </w:rPr>
              <w:t xml:space="preserve">189</w:t>
            </w:r>
          </w:p>
        </w:tc>
        <w:tc>
          <w:tcPr>
            <w:tcW w:type="dxa" w:w="1608"/>
          </w:tcPr>
          <w:p>
            <w:pPr>
              <w:pStyle w:val="Compact"/>
              <w:spacing w:before="20" w:after="20" w:line="240" w:lineRule="auto"/>
              <w:jc w:val="left"/>
            </w:pPr>
            <w:r>
              <w:rPr>
                <w:rFonts w:ascii="Liberation Sans Narrow" w:hAnsi="Liberation Sans Narrow"/>
                <w:b w:val="0"/>
                <w:sz w:val="18"/>
              </w:rPr>
              <w:t xml:space="preserve">Art. 902</w:t>
            </w:r>
          </w:p>
        </w:tc>
        <w:tc>
          <w:tcPr>
            <w:tcW w:type="dxa" w:w="731"/>
          </w:tcPr>
          <w:p>
            <w:pPr>
              <w:pStyle w:val="Compact"/>
              <w:spacing w:before="20" w:after="20" w:line="240" w:lineRule="auto"/>
              <w:jc w:val="right"/>
            </w:pPr>
            <w:r>
              <w:rPr>
                <w:rFonts w:ascii="Liberation Sans Narrow" w:hAnsi="Liberation Sans Narrow"/>
                <w:b/>
                <w:sz w:val="18"/>
              </w:rPr>
              <w:t xml:space="preserve">256</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336</w:t>
            </w:r>
          </w:p>
        </w:tc>
        <w:tc>
          <w:tcPr>
            <w:tcW w:type="dxa" w:w="731"/>
          </w:tcPr>
          <w:p>
            <w:pPr>
              <w:pStyle w:val="Compact"/>
              <w:spacing w:before="20" w:after="20" w:line="240" w:lineRule="auto"/>
              <w:jc w:val="right"/>
            </w:pPr>
            <w:r>
              <w:rPr>
                <w:rFonts w:ascii="Liberation Sans Narrow" w:hAnsi="Liberation Sans Narrow"/>
                <w:b/>
                <w:sz w:val="18"/>
              </w:rPr>
              <w:t xml:space="preserve">37</w:t>
            </w:r>
          </w:p>
        </w:tc>
        <w:tc>
          <w:tcPr>
            <w:tcW w:type="dxa" w:w="1608"/>
          </w:tcPr>
          <w:p>
            <w:pPr>
              <w:pStyle w:val="Compact"/>
              <w:spacing w:before="20" w:after="20" w:line="240" w:lineRule="auto"/>
              <w:jc w:val="left"/>
            </w:pPr>
            <w:r>
              <w:rPr>
                <w:rFonts w:ascii="Liberation Sans Narrow" w:hAnsi="Liberation Sans Narrow"/>
                <w:b w:val="0"/>
                <w:sz w:val="18"/>
              </w:rPr>
              <w:t xml:space="preserve">Art. 525</w:t>
            </w:r>
          </w:p>
        </w:tc>
        <w:tc>
          <w:tcPr>
            <w:tcW w:type="dxa" w:w="731"/>
          </w:tcPr>
          <w:p>
            <w:pPr>
              <w:pStyle w:val="Compact"/>
              <w:spacing w:before="20" w:after="20" w:line="240" w:lineRule="auto"/>
              <w:jc w:val="right"/>
            </w:pPr>
            <w:r>
              <w:rPr>
                <w:rFonts w:ascii="Liberation Sans Narrow" w:hAnsi="Liberation Sans Narrow"/>
                <w:b/>
                <w:sz w:val="18"/>
              </w:rPr>
              <w:t xml:space="preserve">121</w:t>
            </w:r>
          </w:p>
        </w:tc>
        <w:tc>
          <w:tcPr>
            <w:tcW w:type="dxa" w:w="1608"/>
          </w:tcPr>
          <w:p>
            <w:pPr>
              <w:pStyle w:val="Compact"/>
              <w:spacing w:before="20" w:after="20" w:line="240" w:lineRule="auto"/>
              <w:jc w:val="left"/>
            </w:pPr>
            <w:r>
              <w:rPr>
                <w:rFonts w:ascii="Liberation Sans Narrow" w:hAnsi="Liberation Sans Narrow"/>
                <w:b w:val="0"/>
                <w:sz w:val="18"/>
              </w:rPr>
              <w:t xml:space="preserve">Art. 714</w:t>
            </w:r>
          </w:p>
        </w:tc>
        <w:tc>
          <w:tcPr>
            <w:tcW w:type="dxa" w:w="731"/>
          </w:tcPr>
          <w:p>
            <w:pPr>
              <w:pStyle w:val="Compact"/>
              <w:spacing w:before="20" w:after="20" w:line="240" w:lineRule="auto"/>
              <w:jc w:val="right"/>
            </w:pPr>
            <w:r>
              <w:rPr>
                <w:rFonts w:ascii="Liberation Sans Narrow" w:hAnsi="Liberation Sans Narrow"/>
                <w:b/>
                <w:sz w:val="18"/>
              </w:rPr>
              <w:t xml:space="preserve">189</w:t>
            </w:r>
          </w:p>
        </w:tc>
        <w:tc>
          <w:tcPr>
            <w:tcW w:type="dxa" w:w="1608"/>
          </w:tcPr>
          <w:p>
            <w:pPr>
              <w:pStyle w:val="Compact"/>
              <w:spacing w:before="20" w:after="20" w:line="240" w:lineRule="auto"/>
              <w:jc w:val="left"/>
            </w:pPr>
            <w:r>
              <w:rPr>
                <w:rFonts w:ascii="Liberation Sans Narrow" w:hAnsi="Liberation Sans Narrow"/>
                <w:b w:val="0"/>
                <w:sz w:val="18"/>
              </w:rPr>
              <w:t xml:space="preserve">Art. 903</w:t>
            </w:r>
          </w:p>
        </w:tc>
        <w:tc>
          <w:tcPr>
            <w:tcW w:type="dxa" w:w="731"/>
          </w:tcPr>
          <w:p>
            <w:pPr>
              <w:pStyle w:val="Compact"/>
              <w:spacing w:before="20" w:after="20" w:line="240" w:lineRule="auto"/>
              <w:jc w:val="right"/>
            </w:pPr>
            <w:r>
              <w:rPr>
                <w:rFonts w:ascii="Liberation Sans Narrow" w:hAnsi="Liberation Sans Narrow"/>
                <w:b/>
                <w:sz w:val="18"/>
              </w:rPr>
              <w:t xml:space="preserve">256</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337</w:t>
            </w:r>
          </w:p>
        </w:tc>
        <w:tc>
          <w:tcPr>
            <w:tcW w:type="dxa" w:w="731"/>
          </w:tcPr>
          <w:p>
            <w:pPr>
              <w:pStyle w:val="Compact"/>
              <w:spacing w:before="20" w:after="20" w:line="240" w:lineRule="auto"/>
              <w:jc w:val="right"/>
            </w:pPr>
            <w:r>
              <w:rPr>
                <w:rFonts w:ascii="Liberation Sans Narrow" w:hAnsi="Liberation Sans Narrow"/>
                <w:b/>
                <w:sz w:val="18"/>
              </w:rPr>
              <w:t xml:space="preserve">37</w:t>
            </w:r>
          </w:p>
        </w:tc>
        <w:tc>
          <w:tcPr>
            <w:tcW w:type="dxa" w:w="1608"/>
          </w:tcPr>
          <w:p>
            <w:pPr>
              <w:pStyle w:val="Compact"/>
              <w:spacing w:before="20" w:after="20" w:line="240" w:lineRule="auto"/>
              <w:jc w:val="left"/>
            </w:pPr>
            <w:r>
              <w:rPr>
                <w:rFonts w:ascii="Liberation Sans Narrow" w:hAnsi="Liberation Sans Narrow"/>
                <w:b w:val="0"/>
                <w:sz w:val="18"/>
              </w:rPr>
              <w:t xml:space="preserve">Art. 526</w:t>
            </w:r>
          </w:p>
        </w:tc>
        <w:tc>
          <w:tcPr>
            <w:tcW w:type="dxa" w:w="731"/>
          </w:tcPr>
          <w:p>
            <w:pPr>
              <w:pStyle w:val="Compact"/>
              <w:spacing w:before="20" w:after="20" w:line="240" w:lineRule="auto"/>
              <w:jc w:val="right"/>
            </w:pPr>
            <w:r>
              <w:rPr>
                <w:rFonts w:ascii="Liberation Sans Narrow" w:hAnsi="Liberation Sans Narrow"/>
                <w:b/>
                <w:sz w:val="18"/>
              </w:rPr>
              <w:t xml:space="preserve">123</w:t>
            </w:r>
          </w:p>
        </w:tc>
        <w:tc>
          <w:tcPr>
            <w:tcW w:type="dxa" w:w="1608"/>
          </w:tcPr>
          <w:p>
            <w:pPr>
              <w:pStyle w:val="Compact"/>
              <w:spacing w:before="20" w:after="20" w:line="240" w:lineRule="auto"/>
              <w:jc w:val="left"/>
            </w:pPr>
            <w:r>
              <w:rPr>
                <w:rFonts w:ascii="Liberation Sans Narrow" w:hAnsi="Liberation Sans Narrow"/>
                <w:b w:val="0"/>
                <w:sz w:val="18"/>
              </w:rPr>
              <w:t xml:space="preserve">Art. 715</w:t>
            </w:r>
          </w:p>
        </w:tc>
        <w:tc>
          <w:tcPr>
            <w:tcW w:type="dxa" w:w="731"/>
          </w:tcPr>
          <w:p>
            <w:pPr>
              <w:pStyle w:val="Compact"/>
              <w:spacing w:before="20" w:after="20" w:line="240" w:lineRule="auto"/>
              <w:jc w:val="right"/>
            </w:pPr>
            <w:r>
              <w:rPr>
                <w:rFonts w:ascii="Liberation Sans Narrow" w:hAnsi="Liberation Sans Narrow"/>
                <w:b/>
                <w:sz w:val="18"/>
              </w:rPr>
              <w:t xml:space="preserve">190</w:t>
            </w:r>
          </w:p>
        </w:tc>
        <w:tc>
          <w:tcPr>
            <w:tcW w:type="dxa" w:w="1608"/>
          </w:tcPr>
          <w:p>
            <w:pPr>
              <w:pStyle w:val="Compact"/>
              <w:spacing w:before="20" w:after="20" w:line="240" w:lineRule="auto"/>
              <w:jc w:val="left"/>
            </w:pPr>
            <w:r>
              <w:rPr>
                <w:rFonts w:ascii="Liberation Sans Narrow" w:hAnsi="Liberation Sans Narrow"/>
                <w:b w:val="0"/>
                <w:sz w:val="18"/>
              </w:rPr>
              <w:t xml:space="preserve">Art. 904</w:t>
            </w:r>
          </w:p>
        </w:tc>
        <w:tc>
          <w:tcPr>
            <w:tcW w:type="dxa" w:w="731"/>
          </w:tcPr>
          <w:p>
            <w:pPr>
              <w:pStyle w:val="Compact"/>
              <w:spacing w:before="20" w:after="20" w:line="240" w:lineRule="auto"/>
              <w:jc w:val="right"/>
            </w:pPr>
            <w:r>
              <w:rPr>
                <w:rFonts w:ascii="Liberation Sans Narrow" w:hAnsi="Liberation Sans Narrow"/>
                <w:b/>
                <w:sz w:val="18"/>
              </w:rPr>
              <w:t xml:space="preserve">257</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338</w:t>
            </w:r>
          </w:p>
        </w:tc>
        <w:tc>
          <w:tcPr>
            <w:tcW w:type="dxa" w:w="731"/>
          </w:tcPr>
          <w:p>
            <w:pPr>
              <w:pStyle w:val="Compact"/>
              <w:spacing w:before="20" w:after="20" w:line="240" w:lineRule="auto"/>
              <w:jc w:val="right"/>
            </w:pPr>
            <w:r>
              <w:rPr>
                <w:rFonts w:ascii="Liberation Sans Narrow" w:hAnsi="Liberation Sans Narrow"/>
                <w:b/>
                <w:sz w:val="18"/>
              </w:rPr>
              <w:t xml:space="preserve">38</w:t>
            </w:r>
          </w:p>
        </w:tc>
        <w:tc>
          <w:tcPr>
            <w:tcW w:type="dxa" w:w="1608"/>
          </w:tcPr>
          <w:p>
            <w:pPr>
              <w:pStyle w:val="Compact"/>
              <w:spacing w:before="20" w:after="20" w:line="240" w:lineRule="auto"/>
              <w:jc w:val="left"/>
            </w:pPr>
            <w:r>
              <w:rPr>
                <w:rFonts w:ascii="Liberation Sans Narrow" w:hAnsi="Liberation Sans Narrow"/>
                <w:b w:val="0"/>
                <w:sz w:val="18"/>
              </w:rPr>
              <w:t xml:space="preserve">Art. 527</w:t>
            </w:r>
          </w:p>
        </w:tc>
        <w:tc>
          <w:tcPr>
            <w:tcW w:type="dxa" w:w="731"/>
          </w:tcPr>
          <w:p>
            <w:pPr>
              <w:pStyle w:val="Compact"/>
              <w:spacing w:before="20" w:after="20" w:line="240" w:lineRule="auto"/>
              <w:jc w:val="right"/>
            </w:pPr>
            <w:r>
              <w:rPr>
                <w:rFonts w:ascii="Liberation Sans Narrow" w:hAnsi="Liberation Sans Narrow"/>
                <w:b/>
                <w:sz w:val="18"/>
              </w:rPr>
              <w:t xml:space="preserve">124</w:t>
            </w:r>
          </w:p>
        </w:tc>
        <w:tc>
          <w:tcPr>
            <w:tcW w:type="dxa" w:w="1608"/>
          </w:tcPr>
          <w:p>
            <w:pPr>
              <w:pStyle w:val="Compact"/>
              <w:spacing w:before="20" w:after="20" w:line="240" w:lineRule="auto"/>
              <w:jc w:val="left"/>
            </w:pPr>
            <w:r>
              <w:rPr>
                <w:rFonts w:ascii="Liberation Sans Narrow" w:hAnsi="Liberation Sans Narrow"/>
                <w:b w:val="0"/>
                <w:sz w:val="18"/>
              </w:rPr>
              <w:t xml:space="preserve">Art. 716</w:t>
            </w:r>
          </w:p>
        </w:tc>
        <w:tc>
          <w:tcPr>
            <w:tcW w:type="dxa" w:w="731"/>
          </w:tcPr>
          <w:p>
            <w:pPr>
              <w:pStyle w:val="Compact"/>
              <w:spacing w:before="20" w:after="20" w:line="240" w:lineRule="auto"/>
              <w:jc w:val="right"/>
            </w:pPr>
            <w:r>
              <w:rPr>
                <w:rFonts w:ascii="Liberation Sans Narrow" w:hAnsi="Liberation Sans Narrow"/>
                <w:b/>
                <w:sz w:val="18"/>
              </w:rPr>
              <w:t xml:space="preserve">190</w:t>
            </w:r>
          </w:p>
        </w:tc>
        <w:tc>
          <w:tcPr>
            <w:tcW w:type="dxa" w:w="1608"/>
          </w:tcPr>
          <w:p>
            <w:pPr>
              <w:pStyle w:val="Compact"/>
              <w:spacing w:before="20" w:after="20" w:line="240" w:lineRule="auto"/>
              <w:jc w:val="left"/>
            </w:pPr>
            <w:r>
              <w:rPr>
                <w:rFonts w:ascii="Liberation Sans Narrow" w:hAnsi="Liberation Sans Narrow"/>
                <w:b w:val="0"/>
                <w:sz w:val="18"/>
              </w:rPr>
              <w:t xml:space="preserve">Art. 905</w:t>
            </w:r>
          </w:p>
        </w:tc>
        <w:tc>
          <w:tcPr>
            <w:tcW w:type="dxa" w:w="731"/>
          </w:tcPr>
          <w:p>
            <w:pPr>
              <w:pStyle w:val="Compact"/>
              <w:spacing w:before="20" w:after="20" w:line="240" w:lineRule="auto"/>
              <w:jc w:val="right"/>
            </w:pPr>
            <w:r>
              <w:rPr>
                <w:rFonts w:ascii="Liberation Sans Narrow" w:hAnsi="Liberation Sans Narrow"/>
                <w:b/>
                <w:sz w:val="18"/>
              </w:rPr>
              <w:t xml:space="preserve">258</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339</w:t>
            </w:r>
          </w:p>
        </w:tc>
        <w:tc>
          <w:tcPr>
            <w:tcW w:type="dxa" w:w="731"/>
          </w:tcPr>
          <w:p>
            <w:pPr>
              <w:pStyle w:val="Compact"/>
              <w:spacing w:before="20" w:after="20" w:line="240" w:lineRule="auto"/>
              <w:jc w:val="right"/>
            </w:pPr>
            <w:r>
              <w:rPr>
                <w:rFonts w:ascii="Liberation Sans Narrow" w:hAnsi="Liberation Sans Narrow"/>
                <w:b/>
                <w:sz w:val="18"/>
              </w:rPr>
              <w:t xml:space="preserve">39</w:t>
            </w:r>
          </w:p>
        </w:tc>
        <w:tc>
          <w:tcPr>
            <w:tcW w:type="dxa" w:w="1608"/>
          </w:tcPr>
          <w:p>
            <w:pPr>
              <w:pStyle w:val="Compact"/>
              <w:spacing w:before="20" w:after="20" w:line="240" w:lineRule="auto"/>
              <w:jc w:val="left"/>
            </w:pPr>
            <w:r>
              <w:rPr>
                <w:rFonts w:ascii="Liberation Sans Narrow" w:hAnsi="Liberation Sans Narrow"/>
                <w:b w:val="0"/>
                <w:sz w:val="18"/>
              </w:rPr>
              <w:t xml:space="preserve">Art. 528</w:t>
            </w:r>
          </w:p>
        </w:tc>
        <w:tc>
          <w:tcPr>
            <w:tcW w:type="dxa" w:w="731"/>
          </w:tcPr>
          <w:p>
            <w:pPr>
              <w:pStyle w:val="Compact"/>
              <w:spacing w:before="20" w:after="20" w:line="240" w:lineRule="auto"/>
              <w:jc w:val="right"/>
            </w:pPr>
            <w:r>
              <w:rPr>
                <w:rFonts w:ascii="Liberation Sans Narrow" w:hAnsi="Liberation Sans Narrow"/>
                <w:b/>
                <w:sz w:val="18"/>
              </w:rPr>
              <w:t xml:space="preserve">124</w:t>
            </w:r>
          </w:p>
        </w:tc>
        <w:tc>
          <w:tcPr>
            <w:tcW w:type="dxa" w:w="1608"/>
          </w:tcPr>
          <w:p>
            <w:pPr>
              <w:pStyle w:val="Compact"/>
              <w:spacing w:before="20" w:after="20" w:line="240" w:lineRule="auto"/>
              <w:jc w:val="left"/>
            </w:pPr>
            <w:r>
              <w:rPr>
                <w:rFonts w:ascii="Liberation Sans Narrow" w:hAnsi="Liberation Sans Narrow"/>
                <w:b w:val="0"/>
                <w:sz w:val="18"/>
              </w:rPr>
              <w:t xml:space="preserve">Art. 717</w:t>
            </w:r>
          </w:p>
        </w:tc>
        <w:tc>
          <w:tcPr>
            <w:tcW w:type="dxa" w:w="731"/>
          </w:tcPr>
          <w:p>
            <w:pPr>
              <w:pStyle w:val="Compact"/>
              <w:spacing w:before="20" w:after="20" w:line="240" w:lineRule="auto"/>
              <w:jc w:val="right"/>
            </w:pPr>
            <w:r>
              <w:rPr>
                <w:rFonts w:ascii="Liberation Sans Narrow" w:hAnsi="Liberation Sans Narrow"/>
                <w:b/>
                <w:sz w:val="18"/>
              </w:rPr>
              <w:t xml:space="preserve">190</w:t>
            </w:r>
          </w:p>
        </w:tc>
        <w:tc>
          <w:tcPr>
            <w:tcW w:type="dxa" w:w="1608"/>
          </w:tcPr>
          <w:p>
            <w:pPr>
              <w:pStyle w:val="Compact"/>
              <w:spacing w:before="20" w:after="20" w:line="240" w:lineRule="auto"/>
              <w:jc w:val="left"/>
            </w:pPr>
            <w:r>
              <w:rPr>
                <w:rFonts w:ascii="Liberation Sans Narrow" w:hAnsi="Liberation Sans Narrow"/>
                <w:b w:val="0"/>
                <w:sz w:val="18"/>
              </w:rPr>
              <w:t xml:space="preserve">Art. 906</w:t>
            </w:r>
          </w:p>
        </w:tc>
        <w:tc>
          <w:tcPr>
            <w:tcW w:type="dxa" w:w="731"/>
          </w:tcPr>
          <w:p>
            <w:pPr>
              <w:pStyle w:val="Compact"/>
              <w:spacing w:before="20" w:after="20" w:line="240" w:lineRule="auto"/>
              <w:jc w:val="right"/>
            </w:pPr>
            <w:r>
              <w:rPr>
                <w:rFonts w:ascii="Liberation Sans Narrow" w:hAnsi="Liberation Sans Narrow"/>
                <w:b/>
                <w:sz w:val="18"/>
              </w:rPr>
              <w:t xml:space="preserve">258</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340</w:t>
            </w:r>
          </w:p>
        </w:tc>
        <w:tc>
          <w:tcPr>
            <w:tcW w:type="dxa" w:w="731"/>
          </w:tcPr>
          <w:p>
            <w:pPr>
              <w:pStyle w:val="Compact"/>
              <w:spacing w:before="20" w:after="20" w:line="240" w:lineRule="auto"/>
              <w:jc w:val="right"/>
            </w:pPr>
            <w:r>
              <w:rPr>
                <w:rFonts w:ascii="Liberation Sans Narrow" w:hAnsi="Liberation Sans Narrow"/>
                <w:b/>
                <w:sz w:val="18"/>
              </w:rPr>
              <w:t xml:space="preserve">40</w:t>
            </w:r>
          </w:p>
        </w:tc>
        <w:tc>
          <w:tcPr>
            <w:tcW w:type="dxa" w:w="1608"/>
          </w:tcPr>
          <w:p>
            <w:pPr>
              <w:pStyle w:val="Compact"/>
              <w:spacing w:before="20" w:after="20" w:line="240" w:lineRule="auto"/>
              <w:jc w:val="left"/>
            </w:pPr>
            <w:r>
              <w:rPr>
                <w:rFonts w:ascii="Liberation Sans Narrow" w:hAnsi="Liberation Sans Narrow"/>
                <w:b w:val="0"/>
                <w:sz w:val="18"/>
              </w:rPr>
              <w:t xml:space="preserve">Art. 529</w:t>
            </w:r>
          </w:p>
        </w:tc>
        <w:tc>
          <w:tcPr>
            <w:tcW w:type="dxa" w:w="731"/>
          </w:tcPr>
          <w:p>
            <w:pPr>
              <w:pStyle w:val="Compact"/>
              <w:spacing w:before="20" w:after="20" w:line="240" w:lineRule="auto"/>
              <w:jc w:val="right"/>
            </w:pPr>
            <w:r>
              <w:rPr>
                <w:rFonts w:ascii="Liberation Sans Narrow" w:hAnsi="Liberation Sans Narrow"/>
                <w:b/>
                <w:sz w:val="18"/>
              </w:rPr>
              <w:t xml:space="preserve">125</w:t>
            </w:r>
          </w:p>
        </w:tc>
        <w:tc>
          <w:tcPr>
            <w:tcW w:type="dxa" w:w="1608"/>
          </w:tcPr>
          <w:p>
            <w:pPr>
              <w:pStyle w:val="Compact"/>
              <w:spacing w:before="20" w:after="20" w:line="240" w:lineRule="auto"/>
              <w:jc w:val="left"/>
            </w:pPr>
            <w:r>
              <w:rPr>
                <w:rFonts w:ascii="Liberation Sans Narrow" w:hAnsi="Liberation Sans Narrow"/>
                <w:b w:val="0"/>
                <w:sz w:val="18"/>
              </w:rPr>
              <w:t xml:space="preserve">Art. 718</w:t>
            </w:r>
          </w:p>
        </w:tc>
        <w:tc>
          <w:tcPr>
            <w:tcW w:type="dxa" w:w="731"/>
          </w:tcPr>
          <w:p>
            <w:pPr>
              <w:pStyle w:val="Compact"/>
              <w:spacing w:before="20" w:after="20" w:line="240" w:lineRule="auto"/>
              <w:jc w:val="right"/>
            </w:pPr>
            <w:r>
              <w:rPr>
                <w:rFonts w:ascii="Liberation Sans Narrow" w:hAnsi="Liberation Sans Narrow"/>
                <w:b/>
                <w:sz w:val="18"/>
              </w:rPr>
              <w:t xml:space="preserve">191</w:t>
            </w:r>
          </w:p>
        </w:tc>
        <w:tc>
          <w:tcPr>
            <w:tcW w:type="dxa" w:w="1608"/>
          </w:tcPr>
          <w:p>
            <w:pPr>
              <w:pStyle w:val="Compact"/>
              <w:spacing w:before="20" w:after="20" w:line="240" w:lineRule="auto"/>
              <w:jc w:val="left"/>
            </w:pPr>
            <w:r>
              <w:rPr>
                <w:rFonts w:ascii="Liberation Sans Narrow" w:hAnsi="Liberation Sans Narrow"/>
                <w:b w:val="0"/>
                <w:sz w:val="18"/>
              </w:rPr>
              <w:t xml:space="preserve">Art. 907</w:t>
            </w:r>
          </w:p>
        </w:tc>
        <w:tc>
          <w:tcPr>
            <w:tcW w:type="dxa" w:w="731"/>
          </w:tcPr>
          <w:p>
            <w:pPr>
              <w:pStyle w:val="Compact"/>
              <w:spacing w:before="20" w:after="20" w:line="240" w:lineRule="auto"/>
              <w:jc w:val="right"/>
            </w:pPr>
            <w:r>
              <w:rPr>
                <w:rFonts w:ascii="Liberation Sans Narrow" w:hAnsi="Liberation Sans Narrow"/>
                <w:b/>
                <w:sz w:val="18"/>
              </w:rPr>
              <w:t xml:space="preserve">258</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341</w:t>
            </w:r>
          </w:p>
        </w:tc>
        <w:tc>
          <w:tcPr>
            <w:tcW w:type="dxa" w:w="731"/>
          </w:tcPr>
          <w:p>
            <w:pPr>
              <w:pStyle w:val="Compact"/>
              <w:spacing w:before="20" w:after="20" w:line="240" w:lineRule="auto"/>
              <w:jc w:val="right"/>
            </w:pPr>
            <w:r>
              <w:rPr>
                <w:rFonts w:ascii="Liberation Sans Narrow" w:hAnsi="Liberation Sans Narrow"/>
                <w:b/>
                <w:sz w:val="18"/>
              </w:rPr>
              <w:t xml:space="preserve">40</w:t>
            </w:r>
          </w:p>
        </w:tc>
        <w:tc>
          <w:tcPr>
            <w:tcW w:type="dxa" w:w="1608"/>
          </w:tcPr>
          <w:p>
            <w:pPr>
              <w:pStyle w:val="Compact"/>
              <w:spacing w:before="20" w:after="20" w:line="240" w:lineRule="auto"/>
              <w:jc w:val="left"/>
            </w:pPr>
            <w:r>
              <w:rPr>
                <w:rFonts w:ascii="Liberation Sans Narrow" w:hAnsi="Liberation Sans Narrow"/>
                <w:b w:val="0"/>
                <w:sz w:val="18"/>
              </w:rPr>
              <w:t xml:space="preserve">Art. 530</w:t>
            </w:r>
          </w:p>
        </w:tc>
        <w:tc>
          <w:tcPr>
            <w:tcW w:type="dxa" w:w="731"/>
          </w:tcPr>
          <w:p>
            <w:pPr>
              <w:pStyle w:val="Compact"/>
              <w:spacing w:before="20" w:after="20" w:line="240" w:lineRule="auto"/>
              <w:jc w:val="right"/>
            </w:pPr>
            <w:r>
              <w:rPr>
                <w:rFonts w:ascii="Liberation Sans Narrow" w:hAnsi="Liberation Sans Narrow"/>
                <w:b/>
                <w:sz w:val="18"/>
              </w:rPr>
              <w:t xml:space="preserve">126</w:t>
            </w:r>
          </w:p>
        </w:tc>
        <w:tc>
          <w:tcPr>
            <w:tcW w:type="dxa" w:w="1608"/>
          </w:tcPr>
          <w:p>
            <w:pPr>
              <w:pStyle w:val="Compact"/>
              <w:spacing w:before="20" w:after="20" w:line="240" w:lineRule="auto"/>
              <w:jc w:val="left"/>
            </w:pPr>
            <w:r>
              <w:rPr>
                <w:rFonts w:ascii="Liberation Sans Narrow" w:hAnsi="Liberation Sans Narrow"/>
                <w:b w:val="0"/>
                <w:sz w:val="18"/>
              </w:rPr>
              <w:t xml:space="preserve">Art. 719</w:t>
            </w:r>
          </w:p>
        </w:tc>
        <w:tc>
          <w:tcPr>
            <w:tcW w:type="dxa" w:w="731"/>
          </w:tcPr>
          <w:p>
            <w:pPr>
              <w:pStyle w:val="Compact"/>
              <w:spacing w:before="20" w:after="20" w:line="240" w:lineRule="auto"/>
              <w:jc w:val="right"/>
            </w:pPr>
            <w:r>
              <w:rPr>
                <w:rFonts w:ascii="Liberation Sans Narrow" w:hAnsi="Liberation Sans Narrow"/>
                <w:b/>
                <w:sz w:val="18"/>
              </w:rPr>
              <w:t xml:space="preserve">191</w:t>
            </w:r>
          </w:p>
        </w:tc>
        <w:tc>
          <w:tcPr>
            <w:tcW w:type="dxa" w:w="1608"/>
          </w:tcPr>
          <w:p>
            <w:pPr>
              <w:pStyle w:val="Compact"/>
              <w:spacing w:before="20" w:after="20" w:line="240" w:lineRule="auto"/>
              <w:jc w:val="left"/>
            </w:pPr>
            <w:r>
              <w:rPr>
                <w:rFonts w:ascii="Liberation Sans Narrow" w:hAnsi="Liberation Sans Narrow"/>
                <w:b w:val="0"/>
                <w:sz w:val="18"/>
              </w:rPr>
              <w:t xml:space="preserve">Art. 908</w:t>
            </w:r>
          </w:p>
        </w:tc>
        <w:tc>
          <w:tcPr>
            <w:tcW w:type="dxa" w:w="731"/>
          </w:tcPr>
          <w:p>
            <w:pPr>
              <w:pStyle w:val="Compact"/>
              <w:spacing w:before="20" w:after="20" w:line="240" w:lineRule="auto"/>
              <w:jc w:val="right"/>
            </w:pPr>
            <w:r>
              <w:rPr>
                <w:rFonts w:ascii="Liberation Sans Narrow" w:hAnsi="Liberation Sans Narrow"/>
                <w:b/>
                <w:sz w:val="18"/>
              </w:rPr>
              <w:t xml:space="preserve">258</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342</w:t>
            </w:r>
          </w:p>
        </w:tc>
        <w:tc>
          <w:tcPr>
            <w:tcW w:type="dxa" w:w="731"/>
          </w:tcPr>
          <w:p>
            <w:pPr>
              <w:pStyle w:val="Compact"/>
              <w:spacing w:before="20" w:after="20" w:line="240" w:lineRule="auto"/>
              <w:jc w:val="right"/>
            </w:pPr>
            <w:r>
              <w:rPr>
                <w:rFonts w:ascii="Liberation Sans Narrow" w:hAnsi="Liberation Sans Narrow"/>
                <w:b/>
                <w:sz w:val="18"/>
              </w:rPr>
              <w:t xml:space="preserve">41</w:t>
            </w:r>
          </w:p>
        </w:tc>
        <w:tc>
          <w:tcPr>
            <w:tcW w:type="dxa" w:w="1608"/>
          </w:tcPr>
          <w:p>
            <w:pPr>
              <w:pStyle w:val="Compact"/>
              <w:spacing w:before="20" w:after="20" w:line="240" w:lineRule="auto"/>
              <w:jc w:val="left"/>
            </w:pPr>
            <w:r>
              <w:rPr>
                <w:rFonts w:ascii="Liberation Sans Narrow" w:hAnsi="Liberation Sans Narrow"/>
                <w:b w:val="0"/>
                <w:sz w:val="18"/>
              </w:rPr>
              <w:t xml:space="preserve">Art. 531</w:t>
            </w:r>
          </w:p>
        </w:tc>
        <w:tc>
          <w:tcPr>
            <w:tcW w:type="dxa" w:w="731"/>
          </w:tcPr>
          <w:p>
            <w:pPr>
              <w:pStyle w:val="Compact"/>
              <w:spacing w:before="20" w:after="20" w:line="240" w:lineRule="auto"/>
              <w:jc w:val="right"/>
            </w:pPr>
            <w:r>
              <w:rPr>
                <w:rFonts w:ascii="Liberation Sans Narrow" w:hAnsi="Liberation Sans Narrow"/>
                <w:b/>
                <w:sz w:val="18"/>
              </w:rPr>
              <w:t xml:space="preserve">126</w:t>
            </w:r>
          </w:p>
        </w:tc>
        <w:tc>
          <w:tcPr>
            <w:tcW w:type="dxa" w:w="1608"/>
          </w:tcPr>
          <w:p>
            <w:pPr>
              <w:pStyle w:val="Compact"/>
              <w:spacing w:before="20" w:after="20" w:line="240" w:lineRule="auto"/>
              <w:jc w:val="left"/>
            </w:pPr>
            <w:r>
              <w:rPr>
                <w:rFonts w:ascii="Liberation Sans Narrow" w:hAnsi="Liberation Sans Narrow"/>
                <w:b w:val="0"/>
                <w:sz w:val="18"/>
              </w:rPr>
              <w:t xml:space="preserve">Art. 720</w:t>
            </w:r>
          </w:p>
        </w:tc>
        <w:tc>
          <w:tcPr>
            <w:tcW w:type="dxa" w:w="731"/>
          </w:tcPr>
          <w:p>
            <w:pPr>
              <w:pStyle w:val="Compact"/>
              <w:spacing w:before="20" w:after="20" w:line="240" w:lineRule="auto"/>
              <w:jc w:val="right"/>
            </w:pPr>
            <w:r>
              <w:rPr>
                <w:rFonts w:ascii="Liberation Sans Narrow" w:hAnsi="Liberation Sans Narrow"/>
                <w:b/>
                <w:sz w:val="18"/>
              </w:rPr>
              <w:t xml:space="preserve">191</w:t>
            </w:r>
          </w:p>
        </w:tc>
        <w:tc>
          <w:tcPr>
            <w:tcW w:type="dxa" w:w="1608"/>
          </w:tcPr>
          <w:p>
            <w:pPr>
              <w:pStyle w:val="Compact"/>
              <w:spacing w:before="20" w:after="20" w:line="240" w:lineRule="auto"/>
              <w:jc w:val="left"/>
            </w:pPr>
            <w:r>
              <w:rPr>
                <w:rFonts w:ascii="Liberation Sans Narrow" w:hAnsi="Liberation Sans Narrow"/>
                <w:b w:val="0"/>
                <w:sz w:val="18"/>
              </w:rPr>
              <w:t xml:space="preserve">Art. 909</w:t>
            </w:r>
          </w:p>
        </w:tc>
        <w:tc>
          <w:tcPr>
            <w:tcW w:type="dxa" w:w="731"/>
          </w:tcPr>
          <w:p>
            <w:pPr>
              <w:pStyle w:val="Compact"/>
              <w:spacing w:before="20" w:after="20" w:line="240" w:lineRule="auto"/>
              <w:jc w:val="right"/>
            </w:pPr>
            <w:r>
              <w:rPr>
                <w:rFonts w:ascii="Liberation Sans Narrow" w:hAnsi="Liberation Sans Narrow"/>
                <w:b/>
                <w:sz w:val="18"/>
              </w:rPr>
              <w:t xml:space="preserve">259</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343</w:t>
            </w:r>
          </w:p>
        </w:tc>
        <w:tc>
          <w:tcPr>
            <w:tcW w:type="dxa" w:w="731"/>
          </w:tcPr>
          <w:p>
            <w:pPr>
              <w:pStyle w:val="Compact"/>
              <w:spacing w:before="20" w:after="20" w:line="240" w:lineRule="auto"/>
              <w:jc w:val="right"/>
            </w:pPr>
            <w:r>
              <w:rPr>
                <w:rFonts w:ascii="Liberation Sans Narrow" w:hAnsi="Liberation Sans Narrow"/>
                <w:b/>
                <w:sz w:val="18"/>
              </w:rPr>
              <w:t xml:space="preserve">41</w:t>
            </w:r>
          </w:p>
        </w:tc>
        <w:tc>
          <w:tcPr>
            <w:tcW w:type="dxa" w:w="1608"/>
          </w:tcPr>
          <w:p>
            <w:pPr>
              <w:pStyle w:val="Compact"/>
              <w:spacing w:before="20" w:after="20" w:line="240" w:lineRule="auto"/>
              <w:jc w:val="left"/>
            </w:pPr>
            <w:r>
              <w:rPr>
                <w:rFonts w:ascii="Liberation Sans Narrow" w:hAnsi="Liberation Sans Narrow"/>
                <w:b w:val="0"/>
                <w:sz w:val="18"/>
              </w:rPr>
              <w:t xml:space="preserve">Art. 532</w:t>
            </w:r>
          </w:p>
        </w:tc>
        <w:tc>
          <w:tcPr>
            <w:tcW w:type="dxa" w:w="731"/>
          </w:tcPr>
          <w:p>
            <w:pPr>
              <w:pStyle w:val="Compact"/>
              <w:spacing w:before="20" w:after="20" w:line="240" w:lineRule="auto"/>
              <w:jc w:val="right"/>
            </w:pPr>
            <w:r>
              <w:rPr>
                <w:rFonts w:ascii="Liberation Sans Narrow" w:hAnsi="Liberation Sans Narrow"/>
                <w:b/>
                <w:sz w:val="18"/>
              </w:rPr>
              <w:t xml:space="preserve">126</w:t>
            </w:r>
          </w:p>
        </w:tc>
        <w:tc>
          <w:tcPr>
            <w:tcW w:type="dxa" w:w="1608"/>
          </w:tcPr>
          <w:p>
            <w:pPr>
              <w:pStyle w:val="Compact"/>
              <w:spacing w:before="20" w:after="20" w:line="240" w:lineRule="auto"/>
              <w:jc w:val="left"/>
            </w:pPr>
            <w:r>
              <w:rPr>
                <w:rFonts w:ascii="Liberation Sans Narrow" w:hAnsi="Liberation Sans Narrow"/>
                <w:b w:val="0"/>
                <w:sz w:val="18"/>
              </w:rPr>
              <w:t xml:space="preserve">Art. 721</w:t>
            </w:r>
          </w:p>
        </w:tc>
        <w:tc>
          <w:tcPr>
            <w:tcW w:type="dxa" w:w="731"/>
          </w:tcPr>
          <w:p>
            <w:pPr>
              <w:pStyle w:val="Compact"/>
              <w:spacing w:before="20" w:after="20" w:line="240" w:lineRule="auto"/>
              <w:jc w:val="right"/>
            </w:pPr>
            <w:r>
              <w:rPr>
                <w:rFonts w:ascii="Liberation Sans Narrow" w:hAnsi="Liberation Sans Narrow"/>
                <w:b/>
                <w:sz w:val="18"/>
              </w:rPr>
              <w:t xml:space="preserve">191</w:t>
            </w:r>
          </w:p>
        </w:tc>
        <w:tc>
          <w:tcPr>
            <w:tcW w:type="dxa" w:w="1608"/>
          </w:tcPr>
          <w:p>
            <w:pPr>
              <w:pStyle w:val="Compact"/>
              <w:spacing w:before="20" w:after="20" w:line="240" w:lineRule="auto"/>
              <w:jc w:val="left"/>
            </w:pPr>
            <w:r>
              <w:rPr>
                <w:rFonts w:ascii="Liberation Sans Narrow" w:hAnsi="Liberation Sans Narrow"/>
                <w:b w:val="0"/>
                <w:sz w:val="18"/>
              </w:rPr>
              <w:t xml:space="preserve">Art. 910</w:t>
            </w:r>
          </w:p>
        </w:tc>
        <w:tc>
          <w:tcPr>
            <w:tcW w:type="dxa" w:w="731"/>
          </w:tcPr>
          <w:p>
            <w:pPr>
              <w:pStyle w:val="Compact"/>
              <w:spacing w:before="20" w:after="20" w:line="240" w:lineRule="auto"/>
              <w:jc w:val="right"/>
            </w:pPr>
            <w:r>
              <w:rPr>
                <w:rFonts w:ascii="Liberation Sans Narrow" w:hAnsi="Liberation Sans Narrow"/>
                <w:b/>
                <w:sz w:val="18"/>
              </w:rPr>
              <w:t xml:space="preserve">259</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344</w:t>
            </w:r>
          </w:p>
        </w:tc>
        <w:tc>
          <w:tcPr>
            <w:tcW w:type="dxa" w:w="731"/>
          </w:tcPr>
          <w:p>
            <w:pPr>
              <w:pStyle w:val="Compact"/>
              <w:spacing w:before="20" w:after="20" w:line="240" w:lineRule="auto"/>
              <w:jc w:val="right"/>
            </w:pPr>
            <w:r>
              <w:rPr>
                <w:rFonts w:ascii="Liberation Sans Narrow" w:hAnsi="Liberation Sans Narrow"/>
                <w:b/>
                <w:sz w:val="18"/>
              </w:rPr>
              <w:t xml:space="preserve">42</w:t>
            </w:r>
          </w:p>
        </w:tc>
        <w:tc>
          <w:tcPr>
            <w:tcW w:type="dxa" w:w="1608"/>
          </w:tcPr>
          <w:p>
            <w:pPr>
              <w:pStyle w:val="Compact"/>
              <w:spacing w:before="20" w:after="20" w:line="240" w:lineRule="auto"/>
              <w:jc w:val="left"/>
            </w:pPr>
            <w:r>
              <w:rPr>
                <w:rFonts w:ascii="Liberation Sans Narrow" w:hAnsi="Liberation Sans Narrow"/>
                <w:b w:val="0"/>
                <w:sz w:val="18"/>
              </w:rPr>
              <w:t xml:space="preserve">Art. 533</w:t>
            </w:r>
          </w:p>
        </w:tc>
        <w:tc>
          <w:tcPr>
            <w:tcW w:type="dxa" w:w="731"/>
          </w:tcPr>
          <w:p>
            <w:pPr>
              <w:pStyle w:val="Compact"/>
              <w:spacing w:before="20" w:after="20" w:line="240" w:lineRule="auto"/>
              <w:jc w:val="right"/>
            </w:pPr>
            <w:r>
              <w:rPr>
                <w:rFonts w:ascii="Liberation Sans Narrow" w:hAnsi="Liberation Sans Narrow"/>
                <w:b/>
                <w:sz w:val="18"/>
              </w:rPr>
              <w:t xml:space="preserve">126</w:t>
            </w:r>
          </w:p>
        </w:tc>
        <w:tc>
          <w:tcPr>
            <w:tcW w:type="dxa" w:w="1608"/>
          </w:tcPr>
          <w:p>
            <w:pPr>
              <w:pStyle w:val="Compact"/>
              <w:spacing w:before="20" w:after="20" w:line="240" w:lineRule="auto"/>
              <w:jc w:val="left"/>
            </w:pPr>
            <w:r>
              <w:rPr>
                <w:rFonts w:ascii="Liberation Sans Narrow" w:hAnsi="Liberation Sans Narrow"/>
                <w:b w:val="0"/>
                <w:sz w:val="18"/>
              </w:rPr>
              <w:t xml:space="preserve">Art. 722</w:t>
            </w:r>
          </w:p>
        </w:tc>
        <w:tc>
          <w:tcPr>
            <w:tcW w:type="dxa" w:w="731"/>
          </w:tcPr>
          <w:p>
            <w:pPr>
              <w:pStyle w:val="Compact"/>
              <w:spacing w:before="20" w:after="20" w:line="240" w:lineRule="auto"/>
              <w:jc w:val="right"/>
            </w:pPr>
            <w:r>
              <w:rPr>
                <w:rFonts w:ascii="Liberation Sans Narrow" w:hAnsi="Liberation Sans Narrow"/>
                <w:b/>
                <w:sz w:val="18"/>
              </w:rPr>
              <w:t xml:space="preserve">192</w:t>
            </w:r>
          </w:p>
        </w:tc>
        <w:tc>
          <w:tcPr>
            <w:tcW w:type="dxa" w:w="1608"/>
          </w:tcPr>
          <w:p>
            <w:pPr>
              <w:pStyle w:val="Compact"/>
              <w:spacing w:before="20" w:after="20" w:line="240" w:lineRule="auto"/>
              <w:jc w:val="left"/>
            </w:pPr>
            <w:r>
              <w:rPr>
                <w:rFonts w:ascii="Liberation Sans Narrow" w:hAnsi="Liberation Sans Narrow"/>
                <w:b w:val="0"/>
                <w:sz w:val="18"/>
              </w:rPr>
              <w:t xml:space="preserve">Art. 911</w:t>
            </w:r>
          </w:p>
        </w:tc>
        <w:tc>
          <w:tcPr>
            <w:tcW w:type="dxa" w:w="731"/>
          </w:tcPr>
          <w:p>
            <w:pPr>
              <w:pStyle w:val="Compact"/>
              <w:spacing w:before="20" w:after="20" w:line="240" w:lineRule="auto"/>
              <w:jc w:val="right"/>
            </w:pPr>
            <w:r>
              <w:rPr>
                <w:rFonts w:ascii="Liberation Sans Narrow" w:hAnsi="Liberation Sans Narrow"/>
                <w:b/>
                <w:sz w:val="18"/>
              </w:rPr>
              <w:t xml:space="preserve">260</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345</w:t>
            </w:r>
          </w:p>
        </w:tc>
        <w:tc>
          <w:tcPr>
            <w:tcW w:type="dxa" w:w="731"/>
          </w:tcPr>
          <w:p>
            <w:pPr>
              <w:pStyle w:val="Compact"/>
              <w:spacing w:before="20" w:after="20" w:line="240" w:lineRule="auto"/>
              <w:jc w:val="right"/>
            </w:pPr>
            <w:r>
              <w:rPr>
                <w:rFonts w:ascii="Liberation Sans Narrow" w:hAnsi="Liberation Sans Narrow"/>
                <w:b/>
                <w:sz w:val="18"/>
              </w:rPr>
              <w:t xml:space="preserve">43</w:t>
            </w:r>
          </w:p>
        </w:tc>
        <w:tc>
          <w:tcPr>
            <w:tcW w:type="dxa" w:w="1608"/>
          </w:tcPr>
          <w:p>
            <w:pPr>
              <w:pStyle w:val="Compact"/>
              <w:spacing w:before="20" w:after="20" w:line="240" w:lineRule="auto"/>
              <w:jc w:val="left"/>
            </w:pPr>
            <w:r>
              <w:rPr>
                <w:rFonts w:ascii="Liberation Sans Narrow" w:hAnsi="Liberation Sans Narrow"/>
                <w:b w:val="0"/>
                <w:sz w:val="18"/>
              </w:rPr>
              <w:t xml:space="preserve">Art. 534</w:t>
            </w:r>
          </w:p>
        </w:tc>
        <w:tc>
          <w:tcPr>
            <w:tcW w:type="dxa" w:w="731"/>
          </w:tcPr>
          <w:p>
            <w:pPr>
              <w:pStyle w:val="Compact"/>
              <w:spacing w:before="20" w:after="20" w:line="240" w:lineRule="auto"/>
              <w:jc w:val="right"/>
            </w:pPr>
            <w:r>
              <w:rPr>
                <w:rFonts w:ascii="Liberation Sans Narrow" w:hAnsi="Liberation Sans Narrow"/>
                <w:b/>
                <w:sz w:val="18"/>
              </w:rPr>
              <w:t xml:space="preserve">127</w:t>
            </w:r>
          </w:p>
        </w:tc>
        <w:tc>
          <w:tcPr>
            <w:tcW w:type="dxa" w:w="1608"/>
          </w:tcPr>
          <w:p>
            <w:pPr>
              <w:pStyle w:val="Compact"/>
              <w:spacing w:before="20" w:after="20" w:line="240" w:lineRule="auto"/>
              <w:jc w:val="left"/>
            </w:pPr>
            <w:r>
              <w:rPr>
                <w:rFonts w:ascii="Liberation Sans Narrow" w:hAnsi="Liberation Sans Narrow"/>
                <w:b w:val="0"/>
                <w:sz w:val="18"/>
              </w:rPr>
              <w:t xml:space="preserve">Art. 723</w:t>
            </w:r>
          </w:p>
        </w:tc>
        <w:tc>
          <w:tcPr>
            <w:tcW w:type="dxa" w:w="731"/>
          </w:tcPr>
          <w:p>
            <w:pPr>
              <w:pStyle w:val="Compact"/>
              <w:spacing w:before="20" w:after="20" w:line="240" w:lineRule="auto"/>
              <w:jc w:val="right"/>
            </w:pPr>
            <w:r>
              <w:rPr>
                <w:rFonts w:ascii="Liberation Sans Narrow" w:hAnsi="Liberation Sans Narrow"/>
                <w:b/>
                <w:sz w:val="18"/>
              </w:rPr>
              <w:t xml:space="preserve">192</w:t>
            </w:r>
          </w:p>
        </w:tc>
        <w:tc>
          <w:tcPr>
            <w:tcW w:type="dxa" w:w="1608"/>
          </w:tcPr>
          <w:p>
            <w:pPr>
              <w:pStyle w:val="Compact"/>
              <w:spacing w:before="20" w:after="20" w:line="240" w:lineRule="auto"/>
              <w:jc w:val="left"/>
            </w:pPr>
            <w:r>
              <w:rPr>
                <w:rFonts w:ascii="Liberation Sans Narrow" w:hAnsi="Liberation Sans Narrow"/>
                <w:b w:val="0"/>
                <w:sz w:val="18"/>
              </w:rPr>
              <w:t xml:space="preserve">Art. 912</w:t>
            </w:r>
          </w:p>
        </w:tc>
        <w:tc>
          <w:tcPr>
            <w:tcW w:type="dxa" w:w="731"/>
          </w:tcPr>
          <w:p>
            <w:pPr>
              <w:pStyle w:val="Compact"/>
              <w:spacing w:before="20" w:after="20" w:line="240" w:lineRule="auto"/>
              <w:jc w:val="right"/>
            </w:pPr>
            <w:r>
              <w:rPr>
                <w:rFonts w:ascii="Liberation Sans Narrow" w:hAnsi="Liberation Sans Narrow"/>
                <w:b/>
                <w:sz w:val="18"/>
              </w:rPr>
              <w:t xml:space="preserve">260</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346</w:t>
            </w:r>
          </w:p>
        </w:tc>
        <w:tc>
          <w:tcPr>
            <w:tcW w:type="dxa" w:w="731"/>
          </w:tcPr>
          <w:p>
            <w:pPr>
              <w:pStyle w:val="Compact"/>
              <w:spacing w:before="20" w:after="20" w:line="240" w:lineRule="auto"/>
              <w:jc w:val="right"/>
            </w:pPr>
            <w:r>
              <w:rPr>
                <w:rFonts w:ascii="Liberation Sans Narrow" w:hAnsi="Liberation Sans Narrow"/>
                <w:b/>
                <w:sz w:val="18"/>
              </w:rPr>
              <w:t xml:space="preserve">44</w:t>
            </w:r>
          </w:p>
        </w:tc>
        <w:tc>
          <w:tcPr>
            <w:tcW w:type="dxa" w:w="1608"/>
          </w:tcPr>
          <w:p>
            <w:pPr>
              <w:pStyle w:val="Compact"/>
              <w:spacing w:before="20" w:after="20" w:line="240" w:lineRule="auto"/>
              <w:jc w:val="left"/>
            </w:pPr>
            <w:r>
              <w:rPr>
                <w:rFonts w:ascii="Liberation Sans Narrow" w:hAnsi="Liberation Sans Narrow"/>
                <w:b w:val="0"/>
                <w:sz w:val="18"/>
              </w:rPr>
              <w:t xml:space="preserve">Art. 535</w:t>
            </w:r>
          </w:p>
        </w:tc>
        <w:tc>
          <w:tcPr>
            <w:tcW w:type="dxa" w:w="731"/>
          </w:tcPr>
          <w:p>
            <w:pPr>
              <w:pStyle w:val="Compact"/>
              <w:spacing w:before="20" w:after="20" w:line="240" w:lineRule="auto"/>
              <w:jc w:val="right"/>
            </w:pPr>
            <w:r>
              <w:rPr>
                <w:rFonts w:ascii="Liberation Sans Narrow" w:hAnsi="Liberation Sans Narrow"/>
                <w:b/>
                <w:sz w:val="18"/>
              </w:rPr>
              <w:t xml:space="preserve">128</w:t>
            </w:r>
          </w:p>
        </w:tc>
        <w:tc>
          <w:tcPr>
            <w:tcW w:type="dxa" w:w="1608"/>
          </w:tcPr>
          <w:p>
            <w:pPr>
              <w:pStyle w:val="Compact"/>
              <w:spacing w:before="20" w:after="20" w:line="240" w:lineRule="auto"/>
              <w:jc w:val="left"/>
            </w:pPr>
            <w:r>
              <w:rPr>
                <w:rFonts w:ascii="Liberation Sans Narrow" w:hAnsi="Liberation Sans Narrow"/>
                <w:b w:val="0"/>
                <w:sz w:val="18"/>
              </w:rPr>
              <w:t xml:space="preserve">Art. 724</w:t>
            </w:r>
          </w:p>
        </w:tc>
        <w:tc>
          <w:tcPr>
            <w:tcW w:type="dxa" w:w="731"/>
          </w:tcPr>
          <w:p>
            <w:pPr>
              <w:pStyle w:val="Compact"/>
              <w:spacing w:before="20" w:after="20" w:line="240" w:lineRule="auto"/>
              <w:jc w:val="right"/>
            </w:pPr>
            <w:r>
              <w:rPr>
                <w:rFonts w:ascii="Liberation Sans Narrow" w:hAnsi="Liberation Sans Narrow"/>
                <w:b/>
                <w:sz w:val="18"/>
              </w:rPr>
              <w:t xml:space="preserve">192</w:t>
            </w:r>
          </w:p>
        </w:tc>
        <w:tc>
          <w:tcPr>
            <w:tcW w:type="dxa" w:w="1608"/>
          </w:tcPr>
          <w:p>
            <w:pPr>
              <w:pStyle w:val="Compact"/>
              <w:spacing w:before="20" w:after="20" w:line="240" w:lineRule="auto"/>
              <w:jc w:val="left"/>
            </w:pPr>
            <w:r>
              <w:rPr>
                <w:rFonts w:ascii="Liberation Sans Narrow" w:hAnsi="Liberation Sans Narrow"/>
                <w:b w:val="0"/>
                <w:sz w:val="18"/>
              </w:rPr>
              <w:t xml:space="preserve">Art. 913</w:t>
            </w:r>
          </w:p>
        </w:tc>
        <w:tc>
          <w:tcPr>
            <w:tcW w:type="dxa" w:w="731"/>
          </w:tcPr>
          <w:p>
            <w:pPr>
              <w:pStyle w:val="Compact"/>
              <w:spacing w:before="20" w:after="20" w:line="240" w:lineRule="auto"/>
              <w:jc w:val="right"/>
            </w:pPr>
            <w:r>
              <w:rPr>
                <w:rFonts w:ascii="Liberation Sans Narrow" w:hAnsi="Liberation Sans Narrow"/>
                <w:b/>
                <w:sz w:val="18"/>
              </w:rPr>
              <w:t xml:space="preserve">260</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347</w:t>
            </w:r>
          </w:p>
        </w:tc>
        <w:tc>
          <w:tcPr>
            <w:tcW w:type="dxa" w:w="731"/>
          </w:tcPr>
          <w:p>
            <w:pPr>
              <w:pStyle w:val="Compact"/>
              <w:spacing w:before="20" w:after="20" w:line="240" w:lineRule="auto"/>
              <w:jc w:val="right"/>
            </w:pPr>
            <w:r>
              <w:rPr>
                <w:rFonts w:ascii="Liberation Sans Narrow" w:hAnsi="Liberation Sans Narrow"/>
                <w:b/>
                <w:sz w:val="18"/>
              </w:rPr>
              <w:t xml:space="preserve">44</w:t>
            </w:r>
          </w:p>
        </w:tc>
        <w:tc>
          <w:tcPr>
            <w:tcW w:type="dxa" w:w="1608"/>
          </w:tcPr>
          <w:p>
            <w:pPr>
              <w:pStyle w:val="Compact"/>
              <w:spacing w:before="20" w:after="20" w:line="240" w:lineRule="auto"/>
              <w:jc w:val="left"/>
            </w:pPr>
            <w:r>
              <w:rPr>
                <w:rFonts w:ascii="Liberation Sans Narrow" w:hAnsi="Liberation Sans Narrow"/>
                <w:b w:val="0"/>
                <w:sz w:val="18"/>
              </w:rPr>
              <w:t xml:space="preserve">Art. 536</w:t>
            </w:r>
          </w:p>
        </w:tc>
        <w:tc>
          <w:tcPr>
            <w:tcW w:type="dxa" w:w="731"/>
          </w:tcPr>
          <w:p>
            <w:pPr>
              <w:pStyle w:val="Compact"/>
              <w:spacing w:before="20" w:after="20" w:line="240" w:lineRule="auto"/>
              <w:jc w:val="right"/>
            </w:pPr>
            <w:r>
              <w:rPr>
                <w:rFonts w:ascii="Liberation Sans Narrow" w:hAnsi="Liberation Sans Narrow"/>
                <w:b/>
                <w:sz w:val="18"/>
              </w:rPr>
              <w:t xml:space="preserve">130</w:t>
            </w:r>
          </w:p>
        </w:tc>
        <w:tc>
          <w:tcPr>
            <w:tcW w:type="dxa" w:w="1608"/>
          </w:tcPr>
          <w:p>
            <w:pPr>
              <w:pStyle w:val="Compact"/>
              <w:spacing w:before="20" w:after="20" w:line="240" w:lineRule="auto"/>
              <w:jc w:val="left"/>
            </w:pPr>
            <w:r>
              <w:rPr>
                <w:rFonts w:ascii="Liberation Sans Narrow" w:hAnsi="Liberation Sans Narrow"/>
                <w:b w:val="0"/>
                <w:sz w:val="18"/>
              </w:rPr>
              <w:t xml:space="preserve">Art. 725</w:t>
            </w:r>
          </w:p>
        </w:tc>
        <w:tc>
          <w:tcPr>
            <w:tcW w:type="dxa" w:w="731"/>
          </w:tcPr>
          <w:p>
            <w:pPr>
              <w:pStyle w:val="Compact"/>
              <w:spacing w:before="20" w:after="20" w:line="240" w:lineRule="auto"/>
              <w:jc w:val="right"/>
            </w:pPr>
            <w:r>
              <w:rPr>
                <w:rFonts w:ascii="Liberation Sans Narrow" w:hAnsi="Liberation Sans Narrow"/>
                <w:b/>
                <w:sz w:val="18"/>
              </w:rPr>
              <w:t xml:space="preserve">192</w:t>
            </w:r>
          </w:p>
        </w:tc>
        <w:tc>
          <w:tcPr>
            <w:tcW w:type="dxa" w:w="1608"/>
          </w:tcPr>
          <w:p>
            <w:pPr>
              <w:pStyle w:val="Compact"/>
              <w:spacing w:before="20" w:after="20" w:line="240" w:lineRule="auto"/>
              <w:jc w:val="left"/>
            </w:pPr>
            <w:r>
              <w:rPr>
                <w:rFonts w:ascii="Liberation Sans Narrow" w:hAnsi="Liberation Sans Narrow"/>
                <w:b w:val="0"/>
                <w:sz w:val="18"/>
              </w:rPr>
              <w:t xml:space="preserve">Art. 914</w:t>
            </w:r>
          </w:p>
        </w:tc>
        <w:tc>
          <w:tcPr>
            <w:tcW w:type="dxa" w:w="731"/>
          </w:tcPr>
          <w:p>
            <w:pPr>
              <w:pStyle w:val="Compact"/>
              <w:spacing w:before="20" w:after="20" w:line="240" w:lineRule="auto"/>
              <w:jc w:val="right"/>
            </w:pPr>
            <w:r>
              <w:rPr>
                <w:rFonts w:ascii="Liberation Sans Narrow" w:hAnsi="Liberation Sans Narrow"/>
                <w:b/>
                <w:sz w:val="18"/>
              </w:rPr>
              <w:t xml:space="preserve">261</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348</w:t>
            </w:r>
          </w:p>
        </w:tc>
        <w:tc>
          <w:tcPr>
            <w:tcW w:type="dxa" w:w="731"/>
          </w:tcPr>
          <w:p>
            <w:pPr>
              <w:pStyle w:val="Compact"/>
              <w:spacing w:before="20" w:after="20" w:line="240" w:lineRule="auto"/>
              <w:jc w:val="right"/>
            </w:pPr>
            <w:r>
              <w:rPr>
                <w:rFonts w:ascii="Liberation Sans Narrow" w:hAnsi="Liberation Sans Narrow"/>
                <w:b/>
                <w:sz w:val="18"/>
              </w:rPr>
              <w:t xml:space="preserve">45</w:t>
            </w:r>
          </w:p>
        </w:tc>
        <w:tc>
          <w:tcPr>
            <w:tcW w:type="dxa" w:w="1608"/>
          </w:tcPr>
          <w:p>
            <w:pPr>
              <w:pStyle w:val="Compact"/>
              <w:spacing w:before="20" w:after="20" w:line="240" w:lineRule="auto"/>
              <w:jc w:val="left"/>
            </w:pPr>
            <w:r>
              <w:rPr>
                <w:rFonts w:ascii="Liberation Sans Narrow" w:hAnsi="Liberation Sans Narrow"/>
                <w:b w:val="0"/>
                <w:sz w:val="18"/>
              </w:rPr>
              <w:t xml:space="preserve">Art. 537</w:t>
            </w:r>
          </w:p>
        </w:tc>
        <w:tc>
          <w:tcPr>
            <w:tcW w:type="dxa" w:w="731"/>
          </w:tcPr>
          <w:p>
            <w:pPr>
              <w:pStyle w:val="Compact"/>
              <w:spacing w:before="20" w:after="20" w:line="240" w:lineRule="auto"/>
              <w:jc w:val="right"/>
            </w:pPr>
            <w:r>
              <w:rPr>
                <w:rFonts w:ascii="Liberation Sans Narrow" w:hAnsi="Liberation Sans Narrow"/>
                <w:b/>
                <w:sz w:val="18"/>
              </w:rPr>
              <w:t xml:space="preserve">131</w:t>
            </w:r>
          </w:p>
        </w:tc>
        <w:tc>
          <w:tcPr>
            <w:tcW w:type="dxa" w:w="1608"/>
          </w:tcPr>
          <w:p>
            <w:pPr>
              <w:pStyle w:val="Compact"/>
              <w:spacing w:before="20" w:after="20" w:line="240" w:lineRule="auto"/>
              <w:jc w:val="left"/>
            </w:pPr>
            <w:r>
              <w:rPr>
                <w:rFonts w:ascii="Liberation Sans Narrow" w:hAnsi="Liberation Sans Narrow"/>
                <w:b w:val="0"/>
                <w:sz w:val="18"/>
              </w:rPr>
              <w:t xml:space="preserve">Art. 726</w:t>
            </w:r>
          </w:p>
        </w:tc>
        <w:tc>
          <w:tcPr>
            <w:tcW w:type="dxa" w:w="731"/>
          </w:tcPr>
          <w:p>
            <w:pPr>
              <w:pStyle w:val="Compact"/>
              <w:spacing w:before="20" w:after="20" w:line="240" w:lineRule="auto"/>
              <w:jc w:val="right"/>
            </w:pPr>
            <w:r>
              <w:rPr>
                <w:rFonts w:ascii="Liberation Sans Narrow" w:hAnsi="Liberation Sans Narrow"/>
                <w:b/>
                <w:sz w:val="18"/>
              </w:rPr>
              <w:t xml:space="preserve">193</w:t>
            </w:r>
          </w:p>
        </w:tc>
        <w:tc>
          <w:tcPr>
            <w:tcW w:type="dxa" w:w="1608"/>
          </w:tcPr>
          <w:p>
            <w:pPr>
              <w:pStyle w:val="Compact"/>
              <w:spacing w:before="20" w:after="20" w:line="240" w:lineRule="auto"/>
              <w:jc w:val="left"/>
            </w:pPr>
            <w:r>
              <w:rPr>
                <w:rFonts w:ascii="Liberation Sans Narrow" w:hAnsi="Liberation Sans Narrow"/>
                <w:b w:val="0"/>
                <w:sz w:val="18"/>
              </w:rPr>
              <w:t xml:space="preserve">Art. 915</w:t>
            </w:r>
          </w:p>
        </w:tc>
        <w:tc>
          <w:tcPr>
            <w:tcW w:type="dxa" w:w="731"/>
          </w:tcPr>
          <w:p>
            <w:pPr>
              <w:pStyle w:val="Compact"/>
              <w:spacing w:before="20" w:after="20" w:line="240" w:lineRule="auto"/>
              <w:jc w:val="right"/>
            </w:pPr>
            <w:r>
              <w:rPr>
                <w:rFonts w:ascii="Liberation Sans Narrow" w:hAnsi="Liberation Sans Narrow"/>
                <w:b/>
                <w:sz w:val="18"/>
              </w:rPr>
              <w:t xml:space="preserve">261</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349</w:t>
            </w:r>
          </w:p>
        </w:tc>
        <w:tc>
          <w:tcPr>
            <w:tcW w:type="dxa" w:w="731"/>
          </w:tcPr>
          <w:p>
            <w:pPr>
              <w:pStyle w:val="Compact"/>
              <w:spacing w:before="20" w:after="20" w:line="240" w:lineRule="auto"/>
              <w:jc w:val="right"/>
            </w:pPr>
            <w:r>
              <w:rPr>
                <w:rFonts w:ascii="Liberation Sans Narrow" w:hAnsi="Liberation Sans Narrow"/>
                <w:b/>
                <w:sz w:val="18"/>
              </w:rPr>
              <w:t xml:space="preserve">45</w:t>
            </w:r>
          </w:p>
        </w:tc>
        <w:tc>
          <w:tcPr>
            <w:tcW w:type="dxa" w:w="1608"/>
          </w:tcPr>
          <w:p>
            <w:pPr>
              <w:pStyle w:val="Compact"/>
              <w:spacing w:before="20" w:after="20" w:line="240" w:lineRule="auto"/>
              <w:jc w:val="left"/>
            </w:pPr>
            <w:r>
              <w:rPr>
                <w:rFonts w:ascii="Liberation Sans Narrow" w:hAnsi="Liberation Sans Narrow"/>
                <w:b w:val="0"/>
                <w:sz w:val="18"/>
              </w:rPr>
              <w:t xml:space="preserve">Art. 538</w:t>
            </w:r>
          </w:p>
        </w:tc>
        <w:tc>
          <w:tcPr>
            <w:tcW w:type="dxa" w:w="731"/>
          </w:tcPr>
          <w:p>
            <w:pPr>
              <w:pStyle w:val="Compact"/>
              <w:spacing w:before="20" w:after="20" w:line="240" w:lineRule="auto"/>
              <w:jc w:val="right"/>
            </w:pPr>
            <w:r>
              <w:rPr>
                <w:rFonts w:ascii="Liberation Sans Narrow" w:hAnsi="Liberation Sans Narrow"/>
                <w:b/>
                <w:sz w:val="18"/>
              </w:rPr>
              <w:t xml:space="preserve">133</w:t>
            </w:r>
          </w:p>
        </w:tc>
        <w:tc>
          <w:tcPr>
            <w:tcW w:type="dxa" w:w="1608"/>
          </w:tcPr>
          <w:p>
            <w:pPr>
              <w:pStyle w:val="Compact"/>
              <w:spacing w:before="20" w:after="20" w:line="240" w:lineRule="auto"/>
              <w:jc w:val="left"/>
            </w:pPr>
            <w:r>
              <w:rPr>
                <w:rFonts w:ascii="Liberation Sans Narrow" w:hAnsi="Liberation Sans Narrow"/>
                <w:b w:val="0"/>
                <w:sz w:val="18"/>
              </w:rPr>
              <w:t xml:space="preserve">Art. 727</w:t>
            </w:r>
          </w:p>
        </w:tc>
        <w:tc>
          <w:tcPr>
            <w:tcW w:type="dxa" w:w="731"/>
          </w:tcPr>
          <w:p>
            <w:pPr>
              <w:pStyle w:val="Compact"/>
              <w:spacing w:before="20" w:after="20" w:line="240" w:lineRule="auto"/>
              <w:jc w:val="right"/>
            </w:pPr>
            <w:r>
              <w:rPr>
                <w:rFonts w:ascii="Liberation Sans Narrow" w:hAnsi="Liberation Sans Narrow"/>
                <w:b/>
                <w:sz w:val="18"/>
              </w:rPr>
              <w:t xml:space="preserve">193</w:t>
            </w:r>
          </w:p>
        </w:tc>
        <w:tc>
          <w:tcPr>
            <w:tcW w:type="dxa" w:w="1608"/>
          </w:tcPr>
          <w:p>
            <w:pPr>
              <w:pStyle w:val="Compact"/>
              <w:spacing w:before="20" w:after="20" w:line="240" w:lineRule="auto"/>
              <w:jc w:val="left"/>
            </w:pPr>
            <w:r>
              <w:rPr>
                <w:rFonts w:ascii="Liberation Sans Narrow" w:hAnsi="Liberation Sans Narrow"/>
                <w:b w:val="0"/>
                <w:sz w:val="18"/>
              </w:rPr>
              <w:t xml:space="preserve">Art. 916</w:t>
            </w:r>
          </w:p>
        </w:tc>
        <w:tc>
          <w:tcPr>
            <w:tcW w:type="dxa" w:w="731"/>
          </w:tcPr>
          <w:p>
            <w:pPr>
              <w:pStyle w:val="Compact"/>
              <w:spacing w:before="20" w:after="20" w:line="240" w:lineRule="auto"/>
              <w:jc w:val="right"/>
            </w:pPr>
            <w:r>
              <w:rPr>
                <w:rFonts w:ascii="Liberation Sans Narrow" w:hAnsi="Liberation Sans Narrow"/>
                <w:b/>
                <w:sz w:val="18"/>
              </w:rPr>
              <w:t xml:space="preserve">261</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350</w:t>
            </w:r>
          </w:p>
        </w:tc>
        <w:tc>
          <w:tcPr>
            <w:tcW w:type="dxa" w:w="731"/>
          </w:tcPr>
          <w:p>
            <w:pPr>
              <w:pStyle w:val="Compact"/>
              <w:spacing w:before="20" w:after="20" w:line="240" w:lineRule="auto"/>
              <w:jc w:val="right"/>
            </w:pPr>
            <w:r>
              <w:rPr>
                <w:rFonts w:ascii="Liberation Sans Narrow" w:hAnsi="Liberation Sans Narrow"/>
                <w:b/>
                <w:sz w:val="18"/>
              </w:rPr>
              <w:t xml:space="preserve">45</w:t>
            </w:r>
          </w:p>
        </w:tc>
        <w:tc>
          <w:tcPr>
            <w:tcW w:type="dxa" w:w="1608"/>
          </w:tcPr>
          <w:p>
            <w:pPr>
              <w:pStyle w:val="Compact"/>
              <w:spacing w:before="20" w:after="20" w:line="240" w:lineRule="auto"/>
              <w:jc w:val="left"/>
            </w:pPr>
            <w:r>
              <w:rPr>
                <w:rFonts w:ascii="Liberation Sans Narrow" w:hAnsi="Liberation Sans Narrow"/>
                <w:b w:val="0"/>
                <w:sz w:val="18"/>
              </w:rPr>
              <w:t xml:space="preserve">Art. 539</w:t>
            </w:r>
          </w:p>
        </w:tc>
        <w:tc>
          <w:tcPr>
            <w:tcW w:type="dxa" w:w="731"/>
          </w:tcPr>
          <w:p>
            <w:pPr>
              <w:pStyle w:val="Compact"/>
              <w:spacing w:before="20" w:after="20" w:line="240" w:lineRule="auto"/>
              <w:jc w:val="right"/>
            </w:pPr>
            <w:r>
              <w:rPr>
                <w:rFonts w:ascii="Liberation Sans Narrow" w:hAnsi="Liberation Sans Narrow"/>
                <w:b/>
                <w:sz w:val="18"/>
              </w:rPr>
              <w:t xml:space="preserve">133</w:t>
            </w:r>
          </w:p>
        </w:tc>
        <w:tc>
          <w:tcPr>
            <w:tcW w:type="dxa" w:w="1608"/>
          </w:tcPr>
          <w:p>
            <w:pPr>
              <w:pStyle w:val="Compact"/>
              <w:spacing w:before="20" w:after="20" w:line="240" w:lineRule="auto"/>
              <w:jc w:val="left"/>
            </w:pPr>
            <w:r>
              <w:rPr>
                <w:rFonts w:ascii="Liberation Sans Narrow" w:hAnsi="Liberation Sans Narrow"/>
                <w:b w:val="0"/>
                <w:sz w:val="18"/>
              </w:rPr>
              <w:t xml:space="preserve">Art. 728</w:t>
            </w:r>
          </w:p>
        </w:tc>
        <w:tc>
          <w:tcPr>
            <w:tcW w:type="dxa" w:w="731"/>
          </w:tcPr>
          <w:p>
            <w:pPr>
              <w:pStyle w:val="Compact"/>
              <w:spacing w:before="20" w:after="20" w:line="240" w:lineRule="auto"/>
              <w:jc w:val="right"/>
            </w:pPr>
            <w:r>
              <w:rPr>
                <w:rFonts w:ascii="Liberation Sans Narrow" w:hAnsi="Liberation Sans Narrow"/>
                <w:b/>
                <w:sz w:val="18"/>
              </w:rPr>
              <w:t xml:space="preserve">193</w:t>
            </w:r>
          </w:p>
        </w:tc>
        <w:tc>
          <w:tcPr>
            <w:tcW w:type="dxa" w:w="1608"/>
          </w:tcPr>
          <w:p>
            <w:pPr>
              <w:pStyle w:val="Compact"/>
              <w:spacing w:before="20" w:after="20" w:line="240" w:lineRule="auto"/>
              <w:jc w:val="left"/>
            </w:pPr>
            <w:r>
              <w:rPr>
                <w:rFonts w:ascii="Liberation Sans Narrow" w:hAnsi="Liberation Sans Narrow"/>
                <w:b w:val="0"/>
                <w:sz w:val="18"/>
              </w:rPr>
              <w:t xml:space="preserve">Art. 917</w:t>
            </w:r>
          </w:p>
        </w:tc>
        <w:tc>
          <w:tcPr>
            <w:tcW w:type="dxa" w:w="731"/>
          </w:tcPr>
          <w:p>
            <w:pPr>
              <w:pStyle w:val="Compact"/>
              <w:spacing w:before="20" w:after="20" w:line="240" w:lineRule="auto"/>
              <w:jc w:val="right"/>
            </w:pPr>
            <w:r>
              <w:rPr>
                <w:rFonts w:ascii="Liberation Sans Narrow" w:hAnsi="Liberation Sans Narrow"/>
                <w:b/>
                <w:sz w:val="18"/>
              </w:rPr>
              <w:t xml:space="preserve">262</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351</w:t>
            </w:r>
          </w:p>
        </w:tc>
        <w:tc>
          <w:tcPr>
            <w:tcW w:type="dxa" w:w="731"/>
          </w:tcPr>
          <w:p>
            <w:pPr>
              <w:pStyle w:val="Compact"/>
              <w:spacing w:before="20" w:after="20" w:line="240" w:lineRule="auto"/>
              <w:jc w:val="right"/>
            </w:pPr>
            <w:r>
              <w:rPr>
                <w:rFonts w:ascii="Liberation Sans Narrow" w:hAnsi="Liberation Sans Narrow"/>
                <w:b/>
                <w:sz w:val="18"/>
              </w:rPr>
              <w:t xml:space="preserve">46</w:t>
            </w:r>
          </w:p>
        </w:tc>
        <w:tc>
          <w:tcPr>
            <w:tcW w:type="dxa" w:w="1608"/>
          </w:tcPr>
          <w:p>
            <w:pPr>
              <w:pStyle w:val="Compact"/>
              <w:spacing w:before="20" w:after="20" w:line="240" w:lineRule="auto"/>
              <w:jc w:val="left"/>
            </w:pPr>
            <w:r>
              <w:rPr>
                <w:rFonts w:ascii="Liberation Sans Narrow" w:hAnsi="Liberation Sans Narrow"/>
                <w:b w:val="0"/>
                <w:sz w:val="18"/>
              </w:rPr>
              <w:t xml:space="preserve">Art. 540</w:t>
            </w:r>
          </w:p>
        </w:tc>
        <w:tc>
          <w:tcPr>
            <w:tcW w:type="dxa" w:w="731"/>
          </w:tcPr>
          <w:p>
            <w:pPr>
              <w:pStyle w:val="Compact"/>
              <w:spacing w:before="20" w:after="20" w:line="240" w:lineRule="auto"/>
              <w:jc w:val="right"/>
            </w:pPr>
            <w:r>
              <w:rPr>
                <w:rFonts w:ascii="Liberation Sans Narrow" w:hAnsi="Liberation Sans Narrow"/>
                <w:b/>
                <w:sz w:val="18"/>
              </w:rPr>
              <w:t xml:space="preserve">134</w:t>
            </w:r>
          </w:p>
        </w:tc>
        <w:tc>
          <w:tcPr>
            <w:tcW w:type="dxa" w:w="1608"/>
          </w:tcPr>
          <w:p>
            <w:pPr>
              <w:pStyle w:val="Compact"/>
              <w:spacing w:before="20" w:after="20" w:line="240" w:lineRule="auto"/>
              <w:jc w:val="left"/>
            </w:pPr>
            <w:r>
              <w:rPr>
                <w:rFonts w:ascii="Liberation Sans Narrow" w:hAnsi="Liberation Sans Narrow"/>
                <w:b w:val="0"/>
                <w:sz w:val="18"/>
              </w:rPr>
              <w:t xml:space="preserve">Art. 729</w:t>
            </w:r>
          </w:p>
        </w:tc>
        <w:tc>
          <w:tcPr>
            <w:tcW w:type="dxa" w:w="731"/>
          </w:tcPr>
          <w:p>
            <w:pPr>
              <w:pStyle w:val="Compact"/>
              <w:spacing w:before="20" w:after="20" w:line="240" w:lineRule="auto"/>
              <w:jc w:val="right"/>
            </w:pPr>
            <w:r>
              <w:rPr>
                <w:rFonts w:ascii="Liberation Sans Narrow" w:hAnsi="Liberation Sans Narrow"/>
                <w:b/>
                <w:sz w:val="18"/>
              </w:rPr>
              <w:t xml:space="preserve">193</w:t>
            </w:r>
          </w:p>
        </w:tc>
        <w:tc>
          <w:tcPr>
            <w:tcW w:type="dxa" w:w="1608"/>
          </w:tcPr>
          <w:p>
            <w:pPr>
              <w:pStyle w:val="Compact"/>
              <w:spacing w:before="20" w:after="20" w:line="240" w:lineRule="auto"/>
              <w:jc w:val="left"/>
            </w:pPr>
            <w:r>
              <w:rPr>
                <w:rFonts w:ascii="Liberation Sans Narrow" w:hAnsi="Liberation Sans Narrow"/>
                <w:b w:val="0"/>
                <w:sz w:val="18"/>
              </w:rPr>
              <w:t xml:space="preserve">Art. 918</w:t>
            </w:r>
          </w:p>
        </w:tc>
        <w:tc>
          <w:tcPr>
            <w:tcW w:type="dxa" w:w="731"/>
          </w:tcPr>
          <w:p>
            <w:pPr>
              <w:pStyle w:val="Compact"/>
              <w:spacing w:before="20" w:after="20" w:line="240" w:lineRule="auto"/>
              <w:jc w:val="right"/>
            </w:pPr>
            <w:r>
              <w:rPr>
                <w:rFonts w:ascii="Liberation Sans Narrow" w:hAnsi="Liberation Sans Narrow"/>
                <w:b/>
                <w:sz w:val="18"/>
              </w:rPr>
              <w:t xml:space="preserve">263</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352</w:t>
            </w:r>
          </w:p>
        </w:tc>
        <w:tc>
          <w:tcPr>
            <w:tcW w:type="dxa" w:w="731"/>
          </w:tcPr>
          <w:p>
            <w:pPr>
              <w:pStyle w:val="Compact"/>
              <w:spacing w:before="20" w:after="20" w:line="240" w:lineRule="auto"/>
              <w:jc w:val="right"/>
            </w:pPr>
            <w:r>
              <w:rPr>
                <w:rFonts w:ascii="Liberation Sans Narrow" w:hAnsi="Liberation Sans Narrow"/>
                <w:b/>
                <w:sz w:val="18"/>
              </w:rPr>
              <w:t xml:space="preserve">46</w:t>
            </w:r>
          </w:p>
        </w:tc>
        <w:tc>
          <w:tcPr>
            <w:tcW w:type="dxa" w:w="1608"/>
          </w:tcPr>
          <w:p>
            <w:pPr>
              <w:pStyle w:val="Compact"/>
              <w:spacing w:before="20" w:after="20" w:line="240" w:lineRule="auto"/>
              <w:jc w:val="left"/>
            </w:pPr>
            <w:r>
              <w:rPr>
                <w:rFonts w:ascii="Liberation Sans Narrow" w:hAnsi="Liberation Sans Narrow"/>
                <w:b w:val="0"/>
                <w:sz w:val="18"/>
              </w:rPr>
              <w:t xml:space="preserve">Art. 541</w:t>
            </w:r>
          </w:p>
        </w:tc>
        <w:tc>
          <w:tcPr>
            <w:tcW w:type="dxa" w:w="731"/>
          </w:tcPr>
          <w:p>
            <w:pPr>
              <w:pStyle w:val="Compact"/>
              <w:spacing w:before="20" w:after="20" w:line="240" w:lineRule="auto"/>
              <w:jc w:val="right"/>
            </w:pPr>
            <w:r>
              <w:rPr>
                <w:rFonts w:ascii="Liberation Sans Narrow" w:hAnsi="Liberation Sans Narrow"/>
                <w:b/>
                <w:sz w:val="18"/>
              </w:rPr>
              <w:t xml:space="preserve">134</w:t>
            </w:r>
          </w:p>
        </w:tc>
        <w:tc>
          <w:tcPr>
            <w:tcW w:type="dxa" w:w="1608"/>
          </w:tcPr>
          <w:p>
            <w:pPr>
              <w:pStyle w:val="Compact"/>
              <w:spacing w:before="20" w:after="20" w:line="240" w:lineRule="auto"/>
              <w:jc w:val="left"/>
            </w:pPr>
            <w:r>
              <w:rPr>
                <w:rFonts w:ascii="Liberation Sans Narrow" w:hAnsi="Liberation Sans Narrow"/>
                <w:b w:val="0"/>
                <w:sz w:val="18"/>
              </w:rPr>
              <w:t xml:space="preserve">Art. 730</w:t>
            </w:r>
          </w:p>
        </w:tc>
        <w:tc>
          <w:tcPr>
            <w:tcW w:type="dxa" w:w="731"/>
          </w:tcPr>
          <w:p>
            <w:pPr>
              <w:pStyle w:val="Compact"/>
              <w:spacing w:before="20" w:after="20" w:line="240" w:lineRule="auto"/>
              <w:jc w:val="right"/>
            </w:pPr>
            <w:r>
              <w:rPr>
                <w:rFonts w:ascii="Liberation Sans Narrow" w:hAnsi="Liberation Sans Narrow"/>
                <w:b/>
                <w:sz w:val="18"/>
              </w:rPr>
              <w:t xml:space="preserve">194</w:t>
            </w:r>
          </w:p>
        </w:tc>
        <w:tc>
          <w:tcPr>
            <w:tcW w:type="dxa" w:w="1608"/>
          </w:tcPr>
          <w:p>
            <w:pPr>
              <w:pStyle w:val="Compact"/>
              <w:spacing w:before="20" w:after="20" w:line="240" w:lineRule="auto"/>
              <w:jc w:val="left"/>
            </w:pPr>
            <w:r>
              <w:rPr>
                <w:rFonts w:ascii="Liberation Sans Narrow" w:hAnsi="Liberation Sans Narrow"/>
                <w:b w:val="0"/>
                <w:sz w:val="18"/>
              </w:rPr>
              <w:t xml:space="preserve">Art. 919</w:t>
            </w:r>
          </w:p>
        </w:tc>
        <w:tc>
          <w:tcPr>
            <w:tcW w:type="dxa" w:w="731"/>
          </w:tcPr>
          <w:p>
            <w:pPr>
              <w:pStyle w:val="Compact"/>
              <w:spacing w:before="20" w:after="20" w:line="240" w:lineRule="auto"/>
              <w:jc w:val="right"/>
            </w:pPr>
            <w:r>
              <w:rPr>
                <w:rFonts w:ascii="Liberation Sans Narrow" w:hAnsi="Liberation Sans Narrow"/>
                <w:b/>
                <w:sz w:val="18"/>
              </w:rPr>
              <w:t xml:space="preserve">264</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353</w:t>
            </w:r>
          </w:p>
        </w:tc>
        <w:tc>
          <w:tcPr>
            <w:tcW w:type="dxa" w:w="731"/>
          </w:tcPr>
          <w:p>
            <w:pPr>
              <w:pStyle w:val="Compact"/>
              <w:spacing w:before="20" w:after="20" w:line="240" w:lineRule="auto"/>
              <w:jc w:val="right"/>
            </w:pPr>
            <w:r>
              <w:rPr>
                <w:rFonts w:ascii="Liberation Sans Narrow" w:hAnsi="Liberation Sans Narrow"/>
                <w:b/>
                <w:sz w:val="18"/>
              </w:rPr>
              <w:t xml:space="preserve">46</w:t>
            </w:r>
          </w:p>
        </w:tc>
        <w:tc>
          <w:tcPr>
            <w:tcW w:type="dxa" w:w="1608"/>
          </w:tcPr>
          <w:p>
            <w:pPr>
              <w:pStyle w:val="Compact"/>
              <w:spacing w:before="20" w:after="20" w:line="240" w:lineRule="auto"/>
              <w:jc w:val="left"/>
            </w:pPr>
            <w:r>
              <w:rPr>
                <w:rFonts w:ascii="Liberation Sans Narrow" w:hAnsi="Liberation Sans Narrow"/>
                <w:b w:val="0"/>
                <w:sz w:val="18"/>
              </w:rPr>
              <w:t xml:space="preserve">Art. 542</w:t>
            </w:r>
          </w:p>
        </w:tc>
        <w:tc>
          <w:tcPr>
            <w:tcW w:type="dxa" w:w="731"/>
          </w:tcPr>
          <w:p>
            <w:pPr>
              <w:pStyle w:val="Compact"/>
              <w:spacing w:before="20" w:after="20" w:line="240" w:lineRule="auto"/>
              <w:jc w:val="right"/>
            </w:pPr>
            <w:r>
              <w:rPr>
                <w:rFonts w:ascii="Liberation Sans Narrow" w:hAnsi="Liberation Sans Narrow"/>
                <w:b/>
                <w:sz w:val="18"/>
              </w:rPr>
              <w:t xml:space="preserve">134</w:t>
            </w:r>
          </w:p>
        </w:tc>
        <w:tc>
          <w:tcPr>
            <w:tcW w:type="dxa" w:w="1608"/>
          </w:tcPr>
          <w:p>
            <w:pPr>
              <w:pStyle w:val="Compact"/>
              <w:spacing w:before="20" w:after="20" w:line="240" w:lineRule="auto"/>
              <w:jc w:val="left"/>
            </w:pPr>
            <w:r>
              <w:rPr>
                <w:rFonts w:ascii="Liberation Sans Narrow" w:hAnsi="Liberation Sans Narrow"/>
                <w:b w:val="0"/>
                <w:sz w:val="18"/>
              </w:rPr>
              <w:t xml:space="preserve">Art. 731</w:t>
            </w:r>
          </w:p>
        </w:tc>
        <w:tc>
          <w:tcPr>
            <w:tcW w:type="dxa" w:w="731"/>
          </w:tcPr>
          <w:p>
            <w:pPr>
              <w:pStyle w:val="Compact"/>
              <w:spacing w:before="20" w:after="20" w:line="240" w:lineRule="auto"/>
              <w:jc w:val="right"/>
            </w:pPr>
            <w:r>
              <w:rPr>
                <w:rFonts w:ascii="Liberation Sans Narrow" w:hAnsi="Liberation Sans Narrow"/>
                <w:b/>
                <w:sz w:val="18"/>
              </w:rPr>
              <w:t xml:space="preserve">194</w:t>
            </w:r>
          </w:p>
        </w:tc>
        <w:tc>
          <w:tcPr>
            <w:tcW w:type="dxa" w:w="1608"/>
          </w:tcPr>
          <w:p>
            <w:pPr>
              <w:pStyle w:val="Compact"/>
              <w:spacing w:before="20" w:after="20" w:line="240" w:lineRule="auto"/>
              <w:jc w:val="left"/>
            </w:pPr>
            <w:r>
              <w:rPr>
                <w:rFonts w:ascii="Liberation Sans Narrow" w:hAnsi="Liberation Sans Narrow"/>
                <w:b w:val="0"/>
                <w:sz w:val="18"/>
              </w:rPr>
              <w:t xml:space="preserve">Art. 920</w:t>
            </w:r>
          </w:p>
        </w:tc>
        <w:tc>
          <w:tcPr>
            <w:tcW w:type="dxa" w:w="731"/>
          </w:tcPr>
          <w:p>
            <w:pPr>
              <w:pStyle w:val="Compact"/>
              <w:spacing w:before="20" w:after="20" w:line="240" w:lineRule="auto"/>
              <w:jc w:val="right"/>
            </w:pPr>
            <w:r>
              <w:rPr>
                <w:rFonts w:ascii="Liberation Sans Narrow" w:hAnsi="Liberation Sans Narrow"/>
                <w:b/>
                <w:sz w:val="18"/>
              </w:rPr>
              <w:t xml:space="preserve">264</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354</w:t>
            </w:r>
          </w:p>
        </w:tc>
        <w:tc>
          <w:tcPr>
            <w:tcW w:type="dxa" w:w="731"/>
          </w:tcPr>
          <w:p>
            <w:pPr>
              <w:pStyle w:val="Compact"/>
              <w:spacing w:before="20" w:after="20" w:line="240" w:lineRule="auto"/>
              <w:jc w:val="right"/>
            </w:pPr>
            <w:r>
              <w:rPr>
                <w:rFonts w:ascii="Liberation Sans Narrow" w:hAnsi="Liberation Sans Narrow"/>
                <w:b/>
                <w:sz w:val="18"/>
              </w:rPr>
              <w:t xml:space="preserve">46</w:t>
            </w:r>
          </w:p>
        </w:tc>
        <w:tc>
          <w:tcPr>
            <w:tcW w:type="dxa" w:w="1608"/>
          </w:tcPr>
          <w:p>
            <w:pPr>
              <w:pStyle w:val="Compact"/>
              <w:spacing w:before="20" w:after="20" w:line="240" w:lineRule="auto"/>
              <w:jc w:val="left"/>
            </w:pPr>
            <w:r>
              <w:rPr>
                <w:rFonts w:ascii="Liberation Sans Narrow" w:hAnsi="Liberation Sans Narrow"/>
                <w:b w:val="0"/>
                <w:sz w:val="18"/>
              </w:rPr>
              <w:t xml:space="preserve">Art. 543</w:t>
            </w:r>
          </w:p>
        </w:tc>
        <w:tc>
          <w:tcPr>
            <w:tcW w:type="dxa" w:w="731"/>
          </w:tcPr>
          <w:p>
            <w:pPr>
              <w:pStyle w:val="Compact"/>
              <w:spacing w:before="20" w:after="20" w:line="240" w:lineRule="auto"/>
              <w:jc w:val="right"/>
            </w:pPr>
            <w:r>
              <w:rPr>
                <w:rFonts w:ascii="Liberation Sans Narrow" w:hAnsi="Liberation Sans Narrow"/>
                <w:b/>
                <w:sz w:val="18"/>
              </w:rPr>
              <w:t xml:space="preserve">134</w:t>
            </w:r>
          </w:p>
        </w:tc>
        <w:tc>
          <w:tcPr>
            <w:tcW w:type="dxa" w:w="1608"/>
          </w:tcPr>
          <w:p>
            <w:pPr>
              <w:pStyle w:val="Compact"/>
              <w:spacing w:before="20" w:after="20" w:line="240" w:lineRule="auto"/>
              <w:jc w:val="left"/>
            </w:pPr>
            <w:r>
              <w:rPr>
                <w:rFonts w:ascii="Liberation Sans Narrow" w:hAnsi="Liberation Sans Narrow"/>
                <w:b w:val="0"/>
                <w:sz w:val="18"/>
              </w:rPr>
              <w:t xml:space="preserve">Art. 732</w:t>
            </w:r>
          </w:p>
        </w:tc>
        <w:tc>
          <w:tcPr>
            <w:tcW w:type="dxa" w:w="731"/>
          </w:tcPr>
          <w:p>
            <w:pPr>
              <w:pStyle w:val="Compact"/>
              <w:spacing w:before="20" w:after="20" w:line="240" w:lineRule="auto"/>
              <w:jc w:val="right"/>
            </w:pPr>
            <w:r>
              <w:rPr>
                <w:rFonts w:ascii="Liberation Sans Narrow" w:hAnsi="Liberation Sans Narrow"/>
                <w:b/>
                <w:sz w:val="18"/>
              </w:rPr>
              <w:t xml:space="preserve">194</w:t>
            </w:r>
          </w:p>
        </w:tc>
        <w:tc>
          <w:tcPr>
            <w:tcW w:type="dxa" w:w="1608"/>
          </w:tcPr>
          <w:p>
            <w:pPr>
              <w:pStyle w:val="Compact"/>
              <w:spacing w:before="20" w:after="20" w:line="240" w:lineRule="auto"/>
              <w:jc w:val="left"/>
            </w:pPr>
            <w:r>
              <w:rPr>
                <w:rFonts w:ascii="Liberation Sans Narrow" w:hAnsi="Liberation Sans Narrow"/>
                <w:b w:val="0"/>
                <w:sz w:val="18"/>
              </w:rPr>
              <w:t xml:space="preserve">Art. 921</w:t>
            </w:r>
          </w:p>
        </w:tc>
        <w:tc>
          <w:tcPr>
            <w:tcW w:type="dxa" w:w="731"/>
          </w:tcPr>
          <w:p>
            <w:pPr>
              <w:pStyle w:val="Compact"/>
              <w:spacing w:before="20" w:after="20" w:line="240" w:lineRule="auto"/>
              <w:jc w:val="right"/>
            </w:pPr>
            <w:r>
              <w:rPr>
                <w:rFonts w:ascii="Liberation Sans Narrow" w:hAnsi="Liberation Sans Narrow"/>
                <w:b/>
                <w:sz w:val="18"/>
              </w:rPr>
              <w:t xml:space="preserve">265</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355</w:t>
            </w:r>
          </w:p>
        </w:tc>
        <w:tc>
          <w:tcPr>
            <w:tcW w:type="dxa" w:w="731"/>
          </w:tcPr>
          <w:p>
            <w:pPr>
              <w:pStyle w:val="Compact"/>
              <w:spacing w:before="20" w:after="20" w:line="240" w:lineRule="auto"/>
              <w:jc w:val="right"/>
            </w:pPr>
            <w:r>
              <w:rPr>
                <w:rFonts w:ascii="Liberation Sans Narrow" w:hAnsi="Liberation Sans Narrow"/>
                <w:b/>
                <w:sz w:val="18"/>
              </w:rPr>
              <w:t xml:space="preserve">47</w:t>
            </w:r>
          </w:p>
        </w:tc>
        <w:tc>
          <w:tcPr>
            <w:tcW w:type="dxa" w:w="1608"/>
          </w:tcPr>
          <w:p>
            <w:pPr>
              <w:pStyle w:val="Compact"/>
              <w:spacing w:before="20" w:after="20" w:line="240" w:lineRule="auto"/>
              <w:jc w:val="left"/>
            </w:pPr>
            <w:r>
              <w:rPr>
                <w:rFonts w:ascii="Liberation Sans Narrow" w:hAnsi="Liberation Sans Narrow"/>
                <w:b w:val="0"/>
                <w:sz w:val="18"/>
              </w:rPr>
              <w:t xml:space="preserve">Art. 544</w:t>
            </w:r>
          </w:p>
        </w:tc>
        <w:tc>
          <w:tcPr>
            <w:tcW w:type="dxa" w:w="731"/>
          </w:tcPr>
          <w:p>
            <w:pPr>
              <w:pStyle w:val="Compact"/>
              <w:spacing w:before="20" w:after="20" w:line="240" w:lineRule="auto"/>
              <w:jc w:val="right"/>
            </w:pPr>
            <w:r>
              <w:rPr>
                <w:rFonts w:ascii="Liberation Sans Narrow" w:hAnsi="Liberation Sans Narrow"/>
                <w:b/>
                <w:sz w:val="18"/>
              </w:rPr>
              <w:t xml:space="preserve">134</w:t>
            </w:r>
          </w:p>
        </w:tc>
        <w:tc>
          <w:tcPr>
            <w:tcW w:type="dxa" w:w="1608"/>
          </w:tcPr>
          <w:p>
            <w:pPr>
              <w:pStyle w:val="Compact"/>
              <w:spacing w:before="20" w:after="20" w:line="240" w:lineRule="auto"/>
              <w:jc w:val="left"/>
            </w:pPr>
            <w:r>
              <w:rPr>
                <w:rFonts w:ascii="Liberation Sans Narrow" w:hAnsi="Liberation Sans Narrow"/>
                <w:b w:val="0"/>
                <w:sz w:val="18"/>
              </w:rPr>
              <w:t xml:space="preserve">Art. 733</w:t>
            </w:r>
          </w:p>
        </w:tc>
        <w:tc>
          <w:tcPr>
            <w:tcW w:type="dxa" w:w="731"/>
          </w:tcPr>
          <w:p>
            <w:pPr>
              <w:pStyle w:val="Compact"/>
              <w:spacing w:before="20" w:after="20" w:line="240" w:lineRule="auto"/>
              <w:jc w:val="right"/>
            </w:pPr>
            <w:r>
              <w:rPr>
                <w:rFonts w:ascii="Liberation Sans Narrow" w:hAnsi="Liberation Sans Narrow"/>
                <w:b/>
                <w:sz w:val="18"/>
              </w:rPr>
              <w:t xml:space="preserve">195</w:t>
            </w:r>
          </w:p>
        </w:tc>
        <w:tc>
          <w:tcPr>
            <w:tcW w:type="dxa" w:w="1608"/>
          </w:tcPr>
          <w:p>
            <w:pPr>
              <w:pStyle w:val="Compact"/>
              <w:spacing w:before="20" w:after="20" w:line="240" w:lineRule="auto"/>
              <w:jc w:val="left"/>
            </w:pPr>
            <w:r>
              <w:rPr>
                <w:rFonts w:ascii="Liberation Sans Narrow" w:hAnsi="Liberation Sans Narrow"/>
                <w:b w:val="0"/>
                <w:sz w:val="18"/>
              </w:rPr>
              <w:t xml:space="preserve">Art. 922</w:t>
            </w:r>
          </w:p>
        </w:tc>
        <w:tc>
          <w:tcPr>
            <w:tcW w:type="dxa" w:w="731"/>
          </w:tcPr>
          <w:p>
            <w:pPr>
              <w:pStyle w:val="Compact"/>
              <w:spacing w:before="20" w:after="20" w:line="240" w:lineRule="auto"/>
              <w:jc w:val="right"/>
            </w:pPr>
            <w:r>
              <w:rPr>
                <w:rFonts w:ascii="Liberation Sans Narrow" w:hAnsi="Liberation Sans Narrow"/>
                <w:b/>
                <w:sz w:val="18"/>
              </w:rPr>
              <w:t xml:space="preserve">266</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356</w:t>
            </w:r>
          </w:p>
        </w:tc>
        <w:tc>
          <w:tcPr>
            <w:tcW w:type="dxa" w:w="731"/>
          </w:tcPr>
          <w:p>
            <w:pPr>
              <w:pStyle w:val="Compact"/>
              <w:spacing w:before="20" w:after="20" w:line="240" w:lineRule="auto"/>
              <w:jc w:val="right"/>
            </w:pPr>
            <w:r>
              <w:rPr>
                <w:rFonts w:ascii="Liberation Sans Narrow" w:hAnsi="Liberation Sans Narrow"/>
                <w:b/>
                <w:sz w:val="18"/>
              </w:rPr>
              <w:t xml:space="preserve">48</w:t>
            </w:r>
          </w:p>
        </w:tc>
        <w:tc>
          <w:tcPr>
            <w:tcW w:type="dxa" w:w="1608"/>
          </w:tcPr>
          <w:p>
            <w:pPr>
              <w:pStyle w:val="Compact"/>
              <w:spacing w:before="20" w:after="20" w:line="240" w:lineRule="auto"/>
              <w:jc w:val="left"/>
            </w:pPr>
            <w:r>
              <w:rPr>
                <w:rFonts w:ascii="Liberation Sans Narrow" w:hAnsi="Liberation Sans Narrow"/>
                <w:b w:val="0"/>
                <w:sz w:val="18"/>
              </w:rPr>
              <w:t xml:space="preserve">Art. 545</w:t>
            </w:r>
          </w:p>
        </w:tc>
        <w:tc>
          <w:tcPr>
            <w:tcW w:type="dxa" w:w="731"/>
          </w:tcPr>
          <w:p>
            <w:pPr>
              <w:pStyle w:val="Compact"/>
              <w:spacing w:before="20" w:after="20" w:line="240" w:lineRule="auto"/>
              <w:jc w:val="right"/>
            </w:pPr>
            <w:r>
              <w:rPr>
                <w:rFonts w:ascii="Liberation Sans Narrow" w:hAnsi="Liberation Sans Narrow"/>
                <w:b/>
                <w:sz w:val="18"/>
              </w:rPr>
              <w:t xml:space="preserve">135</w:t>
            </w:r>
          </w:p>
        </w:tc>
        <w:tc>
          <w:tcPr>
            <w:tcW w:type="dxa" w:w="1608"/>
          </w:tcPr>
          <w:p>
            <w:pPr>
              <w:pStyle w:val="Compact"/>
              <w:spacing w:before="20" w:after="20" w:line="240" w:lineRule="auto"/>
              <w:jc w:val="left"/>
            </w:pPr>
            <w:r>
              <w:rPr>
                <w:rFonts w:ascii="Liberation Sans Narrow" w:hAnsi="Liberation Sans Narrow"/>
                <w:b w:val="0"/>
                <w:sz w:val="18"/>
              </w:rPr>
              <w:t xml:space="preserve">Art. 734</w:t>
            </w:r>
          </w:p>
        </w:tc>
        <w:tc>
          <w:tcPr>
            <w:tcW w:type="dxa" w:w="731"/>
          </w:tcPr>
          <w:p>
            <w:pPr>
              <w:pStyle w:val="Compact"/>
              <w:spacing w:before="20" w:after="20" w:line="240" w:lineRule="auto"/>
              <w:jc w:val="right"/>
            </w:pPr>
            <w:r>
              <w:rPr>
                <w:rFonts w:ascii="Liberation Sans Narrow" w:hAnsi="Liberation Sans Narrow"/>
                <w:b/>
                <w:sz w:val="18"/>
              </w:rPr>
              <w:t xml:space="preserve">195</w:t>
            </w:r>
          </w:p>
        </w:tc>
        <w:tc>
          <w:tcPr>
            <w:tcW w:type="dxa" w:w="1608"/>
          </w:tcPr>
          <w:p>
            <w:pPr>
              <w:pStyle w:val="Compact"/>
              <w:spacing w:before="20" w:after="20" w:line="240" w:lineRule="auto"/>
              <w:jc w:val="left"/>
            </w:pPr>
            <w:r>
              <w:rPr>
                <w:rFonts w:ascii="Liberation Sans Narrow" w:hAnsi="Liberation Sans Narrow"/>
                <w:b w:val="0"/>
                <w:sz w:val="18"/>
              </w:rPr>
              <w:t xml:space="preserve">Art. 923</w:t>
            </w:r>
          </w:p>
        </w:tc>
        <w:tc>
          <w:tcPr>
            <w:tcW w:type="dxa" w:w="731"/>
          </w:tcPr>
          <w:p>
            <w:pPr>
              <w:pStyle w:val="Compact"/>
              <w:spacing w:before="20" w:after="20" w:line="240" w:lineRule="auto"/>
              <w:jc w:val="right"/>
            </w:pPr>
            <w:r>
              <w:rPr>
                <w:rFonts w:ascii="Liberation Sans Narrow" w:hAnsi="Liberation Sans Narrow"/>
                <w:b/>
                <w:sz w:val="18"/>
              </w:rPr>
              <w:t xml:space="preserve">266</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357</w:t>
            </w:r>
          </w:p>
        </w:tc>
        <w:tc>
          <w:tcPr>
            <w:tcW w:type="dxa" w:w="731"/>
          </w:tcPr>
          <w:p>
            <w:pPr>
              <w:pStyle w:val="Compact"/>
              <w:spacing w:before="20" w:after="20" w:line="240" w:lineRule="auto"/>
              <w:jc w:val="right"/>
            </w:pPr>
            <w:r>
              <w:rPr>
                <w:rFonts w:ascii="Liberation Sans Narrow" w:hAnsi="Liberation Sans Narrow"/>
                <w:b/>
                <w:sz w:val="18"/>
              </w:rPr>
              <w:t xml:space="preserve">48</w:t>
            </w:r>
          </w:p>
        </w:tc>
        <w:tc>
          <w:tcPr>
            <w:tcW w:type="dxa" w:w="1608"/>
          </w:tcPr>
          <w:p>
            <w:pPr>
              <w:pStyle w:val="Compact"/>
              <w:spacing w:before="20" w:after="20" w:line="240" w:lineRule="auto"/>
              <w:jc w:val="left"/>
            </w:pPr>
            <w:r>
              <w:rPr>
                <w:rFonts w:ascii="Liberation Sans Narrow" w:hAnsi="Liberation Sans Narrow"/>
                <w:b w:val="0"/>
                <w:sz w:val="18"/>
              </w:rPr>
              <w:t xml:space="preserve">Art. 546</w:t>
            </w:r>
          </w:p>
        </w:tc>
        <w:tc>
          <w:tcPr>
            <w:tcW w:type="dxa" w:w="731"/>
          </w:tcPr>
          <w:p>
            <w:pPr>
              <w:pStyle w:val="Compact"/>
              <w:spacing w:before="20" w:after="20" w:line="240" w:lineRule="auto"/>
              <w:jc w:val="right"/>
            </w:pPr>
            <w:r>
              <w:rPr>
                <w:rFonts w:ascii="Liberation Sans Narrow" w:hAnsi="Liberation Sans Narrow"/>
                <w:b/>
                <w:sz w:val="18"/>
              </w:rPr>
              <w:t xml:space="preserve">136</w:t>
            </w:r>
          </w:p>
        </w:tc>
        <w:tc>
          <w:tcPr>
            <w:tcW w:type="dxa" w:w="1608"/>
          </w:tcPr>
          <w:p>
            <w:pPr>
              <w:pStyle w:val="Compact"/>
              <w:spacing w:before="20" w:after="20" w:line="240" w:lineRule="auto"/>
              <w:jc w:val="left"/>
            </w:pPr>
            <w:r>
              <w:rPr>
                <w:rFonts w:ascii="Liberation Sans Narrow" w:hAnsi="Liberation Sans Narrow"/>
                <w:b w:val="0"/>
                <w:sz w:val="18"/>
              </w:rPr>
              <w:t xml:space="preserve">Art. 735</w:t>
            </w:r>
          </w:p>
        </w:tc>
        <w:tc>
          <w:tcPr>
            <w:tcW w:type="dxa" w:w="731"/>
          </w:tcPr>
          <w:p>
            <w:pPr>
              <w:pStyle w:val="Compact"/>
              <w:spacing w:before="20" w:after="20" w:line="240" w:lineRule="auto"/>
              <w:jc w:val="right"/>
            </w:pPr>
            <w:r>
              <w:rPr>
                <w:rFonts w:ascii="Liberation Sans Narrow" w:hAnsi="Liberation Sans Narrow"/>
                <w:b/>
                <w:sz w:val="18"/>
              </w:rPr>
              <w:t xml:space="preserve">196</w:t>
            </w:r>
          </w:p>
        </w:tc>
        <w:tc>
          <w:tcPr>
            <w:tcW w:type="dxa" w:w="1608"/>
          </w:tcPr>
          <w:p>
            <w:pPr>
              <w:pStyle w:val="Compact"/>
              <w:spacing w:before="20" w:after="20" w:line="240" w:lineRule="auto"/>
              <w:jc w:val="left"/>
            </w:pPr>
            <w:r>
              <w:rPr>
                <w:rFonts w:ascii="Liberation Sans Narrow" w:hAnsi="Liberation Sans Narrow"/>
                <w:b w:val="0"/>
                <w:sz w:val="18"/>
              </w:rPr>
              <w:t xml:space="preserve">Art. 924</w:t>
            </w:r>
          </w:p>
        </w:tc>
        <w:tc>
          <w:tcPr>
            <w:tcW w:type="dxa" w:w="731"/>
          </w:tcPr>
          <w:p>
            <w:pPr>
              <w:pStyle w:val="Compact"/>
              <w:spacing w:before="20" w:after="20" w:line="240" w:lineRule="auto"/>
              <w:jc w:val="right"/>
            </w:pPr>
            <w:r>
              <w:rPr>
                <w:rFonts w:ascii="Liberation Sans Narrow" w:hAnsi="Liberation Sans Narrow"/>
                <w:b/>
                <w:sz w:val="18"/>
              </w:rPr>
              <w:t xml:space="preserve">266</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358</w:t>
            </w:r>
          </w:p>
        </w:tc>
        <w:tc>
          <w:tcPr>
            <w:tcW w:type="dxa" w:w="731"/>
          </w:tcPr>
          <w:p>
            <w:pPr>
              <w:pStyle w:val="Compact"/>
              <w:spacing w:before="20" w:after="20" w:line="240" w:lineRule="auto"/>
              <w:jc w:val="right"/>
            </w:pPr>
            <w:r>
              <w:rPr>
                <w:rFonts w:ascii="Liberation Sans Narrow" w:hAnsi="Liberation Sans Narrow"/>
                <w:b/>
                <w:sz w:val="18"/>
              </w:rPr>
              <w:t xml:space="preserve">50</w:t>
            </w:r>
          </w:p>
        </w:tc>
        <w:tc>
          <w:tcPr>
            <w:tcW w:type="dxa" w:w="1608"/>
          </w:tcPr>
          <w:p>
            <w:pPr>
              <w:pStyle w:val="Compact"/>
              <w:spacing w:before="20" w:after="20" w:line="240" w:lineRule="auto"/>
              <w:jc w:val="left"/>
            </w:pPr>
            <w:r>
              <w:rPr>
                <w:rFonts w:ascii="Liberation Sans Narrow" w:hAnsi="Liberation Sans Narrow"/>
                <w:b w:val="0"/>
                <w:sz w:val="18"/>
              </w:rPr>
              <w:t xml:space="preserve">Art. 547</w:t>
            </w:r>
          </w:p>
        </w:tc>
        <w:tc>
          <w:tcPr>
            <w:tcW w:type="dxa" w:w="731"/>
          </w:tcPr>
          <w:p>
            <w:pPr>
              <w:pStyle w:val="Compact"/>
              <w:spacing w:before="20" w:after="20" w:line="240" w:lineRule="auto"/>
              <w:jc w:val="right"/>
            </w:pPr>
            <w:r>
              <w:rPr>
                <w:rFonts w:ascii="Liberation Sans Narrow" w:hAnsi="Liberation Sans Narrow"/>
                <w:b/>
                <w:sz w:val="18"/>
              </w:rPr>
              <w:t xml:space="preserve">136</w:t>
            </w:r>
          </w:p>
        </w:tc>
        <w:tc>
          <w:tcPr>
            <w:tcW w:type="dxa" w:w="1608"/>
          </w:tcPr>
          <w:p>
            <w:pPr>
              <w:pStyle w:val="Compact"/>
              <w:spacing w:before="20" w:after="20" w:line="240" w:lineRule="auto"/>
              <w:jc w:val="left"/>
            </w:pPr>
            <w:r>
              <w:rPr>
                <w:rFonts w:ascii="Liberation Sans Narrow" w:hAnsi="Liberation Sans Narrow"/>
                <w:b w:val="0"/>
                <w:sz w:val="18"/>
              </w:rPr>
              <w:t xml:space="preserve">Art. 736</w:t>
            </w:r>
          </w:p>
        </w:tc>
        <w:tc>
          <w:tcPr>
            <w:tcW w:type="dxa" w:w="731"/>
          </w:tcPr>
          <w:p>
            <w:pPr>
              <w:pStyle w:val="Compact"/>
              <w:spacing w:before="20" w:after="20" w:line="240" w:lineRule="auto"/>
              <w:jc w:val="right"/>
            </w:pPr>
            <w:r>
              <w:rPr>
                <w:rFonts w:ascii="Liberation Sans Narrow" w:hAnsi="Liberation Sans Narrow"/>
                <w:b/>
                <w:sz w:val="18"/>
              </w:rPr>
              <w:t xml:space="preserve">196</w:t>
            </w:r>
          </w:p>
        </w:tc>
        <w:tc>
          <w:tcPr>
            <w:tcW w:type="dxa" w:w="1608"/>
          </w:tcPr>
          <w:p>
            <w:pPr>
              <w:pStyle w:val="Compact"/>
              <w:spacing w:before="20" w:after="20" w:line="240" w:lineRule="auto"/>
              <w:jc w:val="left"/>
            </w:pPr>
            <w:r>
              <w:rPr>
                <w:rFonts w:ascii="Liberation Sans Narrow" w:hAnsi="Liberation Sans Narrow"/>
                <w:b w:val="0"/>
                <w:sz w:val="18"/>
              </w:rPr>
              <w:t xml:space="preserve">Art. 925</w:t>
            </w:r>
          </w:p>
        </w:tc>
        <w:tc>
          <w:tcPr>
            <w:tcW w:type="dxa" w:w="731"/>
          </w:tcPr>
          <w:p>
            <w:pPr>
              <w:pStyle w:val="Compact"/>
              <w:spacing w:before="20" w:after="20" w:line="240" w:lineRule="auto"/>
              <w:jc w:val="right"/>
            </w:pPr>
            <w:r>
              <w:rPr>
                <w:rFonts w:ascii="Liberation Sans Narrow" w:hAnsi="Liberation Sans Narrow"/>
                <w:b/>
                <w:sz w:val="18"/>
              </w:rPr>
              <w:t xml:space="preserve">267</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359</w:t>
            </w:r>
          </w:p>
        </w:tc>
        <w:tc>
          <w:tcPr>
            <w:tcW w:type="dxa" w:w="731"/>
          </w:tcPr>
          <w:p>
            <w:pPr>
              <w:pStyle w:val="Compact"/>
              <w:spacing w:before="20" w:after="20" w:line="240" w:lineRule="auto"/>
              <w:jc w:val="right"/>
            </w:pPr>
            <w:r>
              <w:rPr>
                <w:rFonts w:ascii="Liberation Sans Narrow" w:hAnsi="Liberation Sans Narrow"/>
                <w:b/>
                <w:sz w:val="18"/>
              </w:rPr>
              <w:t xml:space="preserve">50</w:t>
            </w:r>
          </w:p>
        </w:tc>
        <w:tc>
          <w:tcPr>
            <w:tcW w:type="dxa" w:w="1608"/>
          </w:tcPr>
          <w:p>
            <w:pPr>
              <w:pStyle w:val="Compact"/>
              <w:spacing w:before="20" w:after="20" w:line="240" w:lineRule="auto"/>
              <w:jc w:val="left"/>
            </w:pPr>
            <w:r>
              <w:rPr>
                <w:rFonts w:ascii="Liberation Sans Narrow" w:hAnsi="Liberation Sans Narrow"/>
                <w:b w:val="0"/>
                <w:sz w:val="18"/>
              </w:rPr>
              <w:t xml:space="preserve">Art. 548</w:t>
            </w:r>
          </w:p>
        </w:tc>
        <w:tc>
          <w:tcPr>
            <w:tcW w:type="dxa" w:w="731"/>
          </w:tcPr>
          <w:p>
            <w:pPr>
              <w:pStyle w:val="Compact"/>
              <w:spacing w:before="20" w:after="20" w:line="240" w:lineRule="auto"/>
              <w:jc w:val="right"/>
            </w:pPr>
            <w:r>
              <w:rPr>
                <w:rFonts w:ascii="Liberation Sans Narrow" w:hAnsi="Liberation Sans Narrow"/>
                <w:b/>
                <w:sz w:val="18"/>
              </w:rPr>
              <w:t xml:space="preserve">136</w:t>
            </w:r>
          </w:p>
        </w:tc>
        <w:tc>
          <w:tcPr>
            <w:tcW w:type="dxa" w:w="1608"/>
          </w:tcPr>
          <w:p>
            <w:pPr>
              <w:pStyle w:val="Compact"/>
              <w:spacing w:before="20" w:after="20" w:line="240" w:lineRule="auto"/>
              <w:jc w:val="left"/>
            </w:pPr>
            <w:r>
              <w:rPr>
                <w:rFonts w:ascii="Liberation Sans Narrow" w:hAnsi="Liberation Sans Narrow"/>
                <w:b w:val="0"/>
                <w:sz w:val="18"/>
              </w:rPr>
              <w:t xml:space="preserve">Art. 737</w:t>
            </w:r>
          </w:p>
        </w:tc>
        <w:tc>
          <w:tcPr>
            <w:tcW w:type="dxa" w:w="731"/>
          </w:tcPr>
          <w:p>
            <w:pPr>
              <w:pStyle w:val="Compact"/>
              <w:spacing w:before="20" w:after="20" w:line="240" w:lineRule="auto"/>
              <w:jc w:val="right"/>
            </w:pPr>
            <w:r>
              <w:rPr>
                <w:rFonts w:ascii="Liberation Sans Narrow" w:hAnsi="Liberation Sans Narrow"/>
                <w:b/>
                <w:sz w:val="18"/>
              </w:rPr>
              <w:t xml:space="preserve">196</w:t>
            </w:r>
          </w:p>
        </w:tc>
        <w:tc>
          <w:tcPr>
            <w:tcW w:type="dxa" w:w="1608"/>
          </w:tcPr>
          <w:p>
            <w:pPr>
              <w:pStyle w:val="Compact"/>
              <w:spacing w:before="20" w:after="20" w:line="240" w:lineRule="auto"/>
              <w:jc w:val="left"/>
            </w:pPr>
            <w:r>
              <w:rPr>
                <w:rFonts w:ascii="Liberation Sans Narrow" w:hAnsi="Liberation Sans Narrow"/>
                <w:b w:val="0"/>
                <w:sz w:val="18"/>
              </w:rPr>
              <w:t xml:space="preserve">Art. 926</w:t>
            </w:r>
          </w:p>
        </w:tc>
        <w:tc>
          <w:tcPr>
            <w:tcW w:type="dxa" w:w="731"/>
          </w:tcPr>
          <w:p>
            <w:pPr>
              <w:pStyle w:val="Compact"/>
              <w:spacing w:before="20" w:after="20" w:line="240" w:lineRule="auto"/>
              <w:jc w:val="right"/>
            </w:pPr>
            <w:r>
              <w:rPr>
                <w:rFonts w:ascii="Liberation Sans Narrow" w:hAnsi="Liberation Sans Narrow"/>
                <w:b/>
                <w:sz w:val="18"/>
              </w:rPr>
              <w:t xml:space="preserve">268</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360</w:t>
            </w:r>
          </w:p>
        </w:tc>
        <w:tc>
          <w:tcPr>
            <w:tcW w:type="dxa" w:w="731"/>
          </w:tcPr>
          <w:p>
            <w:pPr>
              <w:pStyle w:val="Compact"/>
              <w:spacing w:before="20" w:after="20" w:line="240" w:lineRule="auto"/>
              <w:jc w:val="right"/>
            </w:pPr>
            <w:r>
              <w:rPr>
                <w:rFonts w:ascii="Liberation Sans Narrow" w:hAnsi="Liberation Sans Narrow"/>
                <w:b/>
                <w:sz w:val="18"/>
              </w:rPr>
              <w:t xml:space="preserve">50</w:t>
            </w:r>
          </w:p>
        </w:tc>
        <w:tc>
          <w:tcPr>
            <w:tcW w:type="dxa" w:w="1608"/>
          </w:tcPr>
          <w:p>
            <w:pPr>
              <w:pStyle w:val="Compact"/>
              <w:spacing w:before="20" w:after="20" w:line="240" w:lineRule="auto"/>
              <w:jc w:val="left"/>
            </w:pPr>
            <w:r>
              <w:rPr>
                <w:rFonts w:ascii="Liberation Sans Narrow" w:hAnsi="Liberation Sans Narrow"/>
                <w:b w:val="0"/>
                <w:sz w:val="18"/>
              </w:rPr>
              <w:t xml:space="preserve">Art. 549</w:t>
            </w:r>
          </w:p>
        </w:tc>
        <w:tc>
          <w:tcPr>
            <w:tcW w:type="dxa" w:w="731"/>
          </w:tcPr>
          <w:p>
            <w:pPr>
              <w:pStyle w:val="Compact"/>
              <w:spacing w:before="20" w:after="20" w:line="240" w:lineRule="auto"/>
              <w:jc w:val="right"/>
            </w:pPr>
            <w:r>
              <w:rPr>
                <w:rFonts w:ascii="Liberation Sans Narrow" w:hAnsi="Liberation Sans Narrow"/>
                <w:b/>
                <w:sz w:val="18"/>
              </w:rPr>
              <w:t xml:space="preserve">136</w:t>
            </w:r>
          </w:p>
        </w:tc>
        <w:tc>
          <w:tcPr>
            <w:tcW w:type="dxa" w:w="1608"/>
          </w:tcPr>
          <w:p>
            <w:pPr>
              <w:pStyle w:val="Compact"/>
              <w:spacing w:before="20" w:after="20" w:line="240" w:lineRule="auto"/>
              <w:jc w:val="left"/>
            </w:pPr>
            <w:r>
              <w:rPr>
                <w:rFonts w:ascii="Liberation Sans Narrow" w:hAnsi="Liberation Sans Narrow"/>
                <w:b w:val="0"/>
                <w:sz w:val="18"/>
              </w:rPr>
              <w:t xml:space="preserve">Art. 738</w:t>
            </w:r>
          </w:p>
        </w:tc>
        <w:tc>
          <w:tcPr>
            <w:tcW w:type="dxa" w:w="731"/>
          </w:tcPr>
          <w:p>
            <w:pPr>
              <w:pStyle w:val="Compact"/>
              <w:spacing w:before="20" w:after="20" w:line="240" w:lineRule="auto"/>
              <w:jc w:val="right"/>
            </w:pPr>
            <w:r>
              <w:rPr>
                <w:rFonts w:ascii="Liberation Sans Narrow" w:hAnsi="Liberation Sans Narrow"/>
                <w:b/>
                <w:sz w:val="18"/>
              </w:rPr>
              <w:t xml:space="preserve">197</w:t>
            </w:r>
          </w:p>
        </w:tc>
        <w:tc>
          <w:tcPr>
            <w:tcW w:type="dxa" w:w="1608"/>
          </w:tcPr>
          <w:p>
            <w:pPr>
              <w:pStyle w:val="Compact"/>
              <w:spacing w:before="20" w:after="20" w:line="240" w:lineRule="auto"/>
              <w:jc w:val="left"/>
            </w:pPr>
            <w:r>
              <w:rPr>
                <w:rFonts w:ascii="Liberation Sans Narrow" w:hAnsi="Liberation Sans Narrow"/>
                <w:b w:val="0"/>
                <w:sz w:val="18"/>
              </w:rPr>
              <w:t xml:space="preserve">Art. 927</w:t>
            </w:r>
          </w:p>
        </w:tc>
        <w:tc>
          <w:tcPr>
            <w:tcW w:type="dxa" w:w="731"/>
          </w:tcPr>
          <w:p>
            <w:pPr>
              <w:pStyle w:val="Compact"/>
              <w:spacing w:before="20" w:after="20" w:line="240" w:lineRule="auto"/>
              <w:jc w:val="right"/>
            </w:pPr>
            <w:r>
              <w:rPr>
                <w:rFonts w:ascii="Liberation Sans Narrow" w:hAnsi="Liberation Sans Narrow"/>
                <w:b/>
                <w:sz w:val="18"/>
              </w:rPr>
              <w:t xml:space="preserve">268</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361</w:t>
            </w:r>
          </w:p>
        </w:tc>
        <w:tc>
          <w:tcPr>
            <w:tcW w:type="dxa" w:w="731"/>
          </w:tcPr>
          <w:p>
            <w:pPr>
              <w:pStyle w:val="Compact"/>
              <w:spacing w:before="20" w:after="20" w:line="240" w:lineRule="auto"/>
              <w:jc w:val="right"/>
            </w:pPr>
            <w:r>
              <w:rPr>
                <w:rFonts w:ascii="Liberation Sans Narrow" w:hAnsi="Liberation Sans Narrow"/>
                <w:b/>
                <w:sz w:val="18"/>
              </w:rPr>
              <w:t xml:space="preserve">50</w:t>
            </w:r>
          </w:p>
        </w:tc>
        <w:tc>
          <w:tcPr>
            <w:tcW w:type="dxa" w:w="1608"/>
          </w:tcPr>
          <w:p>
            <w:pPr>
              <w:pStyle w:val="Compact"/>
              <w:spacing w:before="20" w:after="20" w:line="240" w:lineRule="auto"/>
              <w:jc w:val="left"/>
            </w:pPr>
            <w:r>
              <w:rPr>
                <w:rFonts w:ascii="Liberation Sans Narrow" w:hAnsi="Liberation Sans Narrow"/>
                <w:b w:val="0"/>
                <w:sz w:val="18"/>
              </w:rPr>
              <w:t xml:space="preserve">Art. 550</w:t>
            </w:r>
          </w:p>
        </w:tc>
        <w:tc>
          <w:tcPr>
            <w:tcW w:type="dxa" w:w="731"/>
          </w:tcPr>
          <w:p>
            <w:pPr>
              <w:pStyle w:val="Compact"/>
              <w:spacing w:before="20" w:after="20" w:line="240" w:lineRule="auto"/>
              <w:jc w:val="right"/>
            </w:pPr>
            <w:r>
              <w:rPr>
                <w:rFonts w:ascii="Liberation Sans Narrow" w:hAnsi="Liberation Sans Narrow"/>
                <w:b/>
                <w:sz w:val="18"/>
              </w:rPr>
              <w:t xml:space="preserve">137</w:t>
            </w:r>
          </w:p>
        </w:tc>
        <w:tc>
          <w:tcPr>
            <w:tcW w:type="dxa" w:w="1608"/>
          </w:tcPr>
          <w:p>
            <w:pPr>
              <w:pStyle w:val="Compact"/>
              <w:spacing w:before="20" w:after="20" w:line="240" w:lineRule="auto"/>
              <w:jc w:val="left"/>
            </w:pPr>
            <w:r>
              <w:rPr>
                <w:rFonts w:ascii="Liberation Sans Narrow" w:hAnsi="Liberation Sans Narrow"/>
                <w:b w:val="0"/>
                <w:sz w:val="18"/>
              </w:rPr>
              <w:t xml:space="preserve">Art. 739</w:t>
            </w:r>
          </w:p>
        </w:tc>
        <w:tc>
          <w:tcPr>
            <w:tcW w:type="dxa" w:w="731"/>
          </w:tcPr>
          <w:p>
            <w:pPr>
              <w:pStyle w:val="Compact"/>
              <w:spacing w:before="20" w:after="20" w:line="240" w:lineRule="auto"/>
              <w:jc w:val="right"/>
            </w:pPr>
            <w:r>
              <w:rPr>
                <w:rFonts w:ascii="Liberation Sans Narrow" w:hAnsi="Liberation Sans Narrow"/>
                <w:b/>
                <w:sz w:val="18"/>
              </w:rPr>
              <w:t xml:space="preserve">197</w:t>
            </w:r>
          </w:p>
        </w:tc>
        <w:tc>
          <w:tcPr>
            <w:tcW w:type="dxa" w:w="1608"/>
          </w:tcPr>
          <w:p>
            <w:pPr>
              <w:pStyle w:val="Compact"/>
              <w:spacing w:before="20" w:after="20" w:line="240" w:lineRule="auto"/>
              <w:jc w:val="left"/>
            </w:pPr>
            <w:r>
              <w:rPr>
                <w:rFonts w:ascii="Liberation Sans Narrow" w:hAnsi="Liberation Sans Narrow"/>
                <w:b w:val="0"/>
                <w:sz w:val="18"/>
              </w:rPr>
              <w:t xml:space="preserve">Art. 928</w:t>
            </w:r>
          </w:p>
        </w:tc>
        <w:tc>
          <w:tcPr>
            <w:tcW w:type="dxa" w:w="731"/>
          </w:tcPr>
          <w:p>
            <w:pPr>
              <w:pStyle w:val="Compact"/>
              <w:spacing w:before="20" w:after="20" w:line="240" w:lineRule="auto"/>
              <w:jc w:val="right"/>
            </w:pPr>
            <w:r>
              <w:rPr>
                <w:rFonts w:ascii="Liberation Sans Narrow" w:hAnsi="Liberation Sans Narrow"/>
                <w:b/>
                <w:sz w:val="18"/>
              </w:rPr>
              <w:t xml:space="preserve">269</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362</w:t>
            </w:r>
          </w:p>
        </w:tc>
        <w:tc>
          <w:tcPr>
            <w:tcW w:type="dxa" w:w="731"/>
          </w:tcPr>
          <w:p>
            <w:pPr>
              <w:pStyle w:val="Compact"/>
              <w:spacing w:before="20" w:after="20" w:line="240" w:lineRule="auto"/>
              <w:jc w:val="right"/>
            </w:pPr>
            <w:r>
              <w:rPr>
                <w:rFonts w:ascii="Liberation Sans Narrow" w:hAnsi="Liberation Sans Narrow"/>
                <w:b/>
                <w:sz w:val="18"/>
              </w:rPr>
              <w:t xml:space="preserve">51</w:t>
            </w:r>
          </w:p>
        </w:tc>
        <w:tc>
          <w:tcPr>
            <w:tcW w:type="dxa" w:w="1608"/>
          </w:tcPr>
          <w:p>
            <w:pPr>
              <w:pStyle w:val="Compact"/>
              <w:spacing w:before="20" w:after="20" w:line="240" w:lineRule="auto"/>
              <w:jc w:val="left"/>
            </w:pPr>
            <w:r>
              <w:rPr>
                <w:rFonts w:ascii="Liberation Sans Narrow" w:hAnsi="Liberation Sans Narrow"/>
                <w:b w:val="0"/>
                <w:sz w:val="18"/>
              </w:rPr>
              <w:t xml:space="preserve">Art. 551</w:t>
            </w:r>
          </w:p>
        </w:tc>
        <w:tc>
          <w:tcPr>
            <w:tcW w:type="dxa" w:w="731"/>
          </w:tcPr>
          <w:p>
            <w:pPr>
              <w:pStyle w:val="Compact"/>
              <w:spacing w:before="20" w:after="20" w:line="240" w:lineRule="auto"/>
              <w:jc w:val="right"/>
            </w:pPr>
            <w:r>
              <w:rPr>
                <w:rFonts w:ascii="Liberation Sans Narrow" w:hAnsi="Liberation Sans Narrow"/>
                <w:b/>
                <w:sz w:val="18"/>
              </w:rPr>
              <w:t xml:space="preserve">137</w:t>
            </w:r>
          </w:p>
        </w:tc>
        <w:tc>
          <w:tcPr>
            <w:tcW w:type="dxa" w:w="1608"/>
          </w:tcPr>
          <w:p>
            <w:pPr>
              <w:pStyle w:val="Compact"/>
              <w:spacing w:before="20" w:after="20" w:line="240" w:lineRule="auto"/>
              <w:jc w:val="left"/>
            </w:pPr>
            <w:r>
              <w:rPr>
                <w:rFonts w:ascii="Liberation Sans Narrow" w:hAnsi="Liberation Sans Narrow"/>
                <w:b w:val="0"/>
                <w:sz w:val="18"/>
              </w:rPr>
              <w:t xml:space="preserve">Art. 740</w:t>
            </w:r>
          </w:p>
        </w:tc>
        <w:tc>
          <w:tcPr>
            <w:tcW w:type="dxa" w:w="731"/>
          </w:tcPr>
          <w:p>
            <w:pPr>
              <w:pStyle w:val="Compact"/>
              <w:spacing w:before="20" w:after="20" w:line="240" w:lineRule="auto"/>
              <w:jc w:val="right"/>
            </w:pPr>
            <w:r>
              <w:rPr>
                <w:rFonts w:ascii="Liberation Sans Narrow" w:hAnsi="Liberation Sans Narrow"/>
                <w:b/>
                <w:sz w:val="18"/>
              </w:rPr>
              <w:t xml:space="preserve">198</w:t>
            </w:r>
          </w:p>
        </w:tc>
        <w:tc>
          <w:tcPr>
            <w:tcW w:type="dxa" w:w="1608"/>
          </w:tcPr>
          <w:p>
            <w:pPr>
              <w:pStyle w:val="Compact"/>
              <w:spacing w:before="20" w:after="20" w:line="240" w:lineRule="auto"/>
              <w:jc w:val="left"/>
            </w:pPr>
            <w:r>
              <w:rPr>
                <w:rFonts w:ascii="Liberation Sans Narrow" w:hAnsi="Liberation Sans Narrow"/>
                <w:b w:val="0"/>
                <w:sz w:val="18"/>
              </w:rPr>
              <w:t xml:space="preserve">Art. 929</w:t>
            </w:r>
          </w:p>
        </w:tc>
        <w:tc>
          <w:tcPr>
            <w:tcW w:type="dxa" w:w="731"/>
          </w:tcPr>
          <w:p>
            <w:pPr>
              <w:pStyle w:val="Compact"/>
              <w:spacing w:before="20" w:after="20" w:line="240" w:lineRule="auto"/>
              <w:jc w:val="right"/>
            </w:pPr>
            <w:r>
              <w:rPr>
                <w:rFonts w:ascii="Liberation Sans Narrow" w:hAnsi="Liberation Sans Narrow"/>
                <w:b/>
                <w:sz w:val="18"/>
              </w:rPr>
              <w:t xml:space="preserve">270</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363</w:t>
            </w:r>
          </w:p>
        </w:tc>
        <w:tc>
          <w:tcPr>
            <w:tcW w:type="dxa" w:w="731"/>
          </w:tcPr>
          <w:p>
            <w:pPr>
              <w:pStyle w:val="Compact"/>
              <w:spacing w:before="20" w:after="20" w:line="240" w:lineRule="auto"/>
              <w:jc w:val="right"/>
            </w:pPr>
            <w:r>
              <w:rPr>
                <w:rFonts w:ascii="Liberation Sans Narrow" w:hAnsi="Liberation Sans Narrow"/>
                <w:b/>
                <w:sz w:val="18"/>
              </w:rPr>
              <w:t xml:space="preserve">52</w:t>
            </w:r>
          </w:p>
        </w:tc>
        <w:tc>
          <w:tcPr>
            <w:tcW w:type="dxa" w:w="1608"/>
          </w:tcPr>
          <w:p>
            <w:pPr>
              <w:pStyle w:val="Compact"/>
              <w:spacing w:before="20" w:after="20" w:line="240" w:lineRule="auto"/>
              <w:jc w:val="left"/>
            </w:pPr>
            <w:r>
              <w:rPr>
                <w:rFonts w:ascii="Liberation Sans Narrow" w:hAnsi="Liberation Sans Narrow"/>
                <w:b w:val="0"/>
                <w:sz w:val="18"/>
              </w:rPr>
              <w:t xml:space="preserve">Art. 552</w:t>
            </w:r>
          </w:p>
        </w:tc>
        <w:tc>
          <w:tcPr>
            <w:tcW w:type="dxa" w:w="731"/>
          </w:tcPr>
          <w:p>
            <w:pPr>
              <w:pStyle w:val="Compact"/>
              <w:spacing w:before="20" w:after="20" w:line="240" w:lineRule="auto"/>
              <w:jc w:val="right"/>
            </w:pPr>
            <w:r>
              <w:rPr>
                <w:rFonts w:ascii="Liberation Sans Narrow" w:hAnsi="Liberation Sans Narrow"/>
                <w:b/>
                <w:sz w:val="18"/>
              </w:rPr>
              <w:t xml:space="preserve">138</w:t>
            </w:r>
          </w:p>
        </w:tc>
        <w:tc>
          <w:tcPr>
            <w:tcW w:type="dxa" w:w="1608"/>
          </w:tcPr>
          <w:p>
            <w:pPr>
              <w:pStyle w:val="Compact"/>
              <w:spacing w:before="20" w:after="20" w:line="240" w:lineRule="auto"/>
              <w:jc w:val="left"/>
            </w:pPr>
            <w:r>
              <w:rPr>
                <w:rFonts w:ascii="Liberation Sans Narrow" w:hAnsi="Liberation Sans Narrow"/>
                <w:b w:val="0"/>
                <w:sz w:val="18"/>
              </w:rPr>
              <w:t xml:space="preserve">Art. 741</w:t>
            </w:r>
          </w:p>
        </w:tc>
        <w:tc>
          <w:tcPr>
            <w:tcW w:type="dxa" w:w="731"/>
          </w:tcPr>
          <w:p>
            <w:pPr>
              <w:pStyle w:val="Compact"/>
              <w:spacing w:before="20" w:after="20" w:line="240" w:lineRule="auto"/>
              <w:jc w:val="right"/>
            </w:pPr>
            <w:r>
              <w:rPr>
                <w:rFonts w:ascii="Liberation Sans Narrow" w:hAnsi="Liberation Sans Narrow"/>
                <w:b/>
                <w:sz w:val="18"/>
              </w:rPr>
              <w:t xml:space="preserve">198</w:t>
            </w:r>
          </w:p>
        </w:tc>
        <w:tc>
          <w:tcPr>
            <w:tcW w:type="dxa" w:w="1608"/>
          </w:tcPr>
          <w:p>
            <w:pPr>
              <w:pStyle w:val="Compact"/>
              <w:spacing w:before="20" w:after="20" w:line="240" w:lineRule="auto"/>
              <w:jc w:val="left"/>
            </w:pPr>
            <w:r>
              <w:rPr>
                <w:rFonts w:ascii="Liberation Sans Narrow" w:hAnsi="Liberation Sans Narrow"/>
                <w:b w:val="0"/>
                <w:sz w:val="18"/>
              </w:rPr>
              <w:t xml:space="preserve">Art. 930</w:t>
            </w:r>
          </w:p>
        </w:tc>
        <w:tc>
          <w:tcPr>
            <w:tcW w:type="dxa" w:w="731"/>
          </w:tcPr>
          <w:p>
            <w:pPr>
              <w:pStyle w:val="Compact"/>
              <w:spacing w:before="20" w:after="20" w:line="240" w:lineRule="auto"/>
              <w:jc w:val="right"/>
            </w:pPr>
            <w:r>
              <w:rPr>
                <w:rFonts w:ascii="Liberation Sans Narrow" w:hAnsi="Liberation Sans Narrow"/>
                <w:b/>
                <w:sz w:val="18"/>
              </w:rPr>
              <w:t xml:space="preserve">270</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364</w:t>
            </w:r>
          </w:p>
        </w:tc>
        <w:tc>
          <w:tcPr>
            <w:tcW w:type="dxa" w:w="731"/>
          </w:tcPr>
          <w:p>
            <w:pPr>
              <w:pStyle w:val="Compact"/>
              <w:spacing w:before="20" w:after="20" w:line="240" w:lineRule="auto"/>
              <w:jc w:val="right"/>
            </w:pPr>
            <w:r>
              <w:rPr>
                <w:rFonts w:ascii="Liberation Sans Narrow" w:hAnsi="Liberation Sans Narrow"/>
                <w:b/>
                <w:sz w:val="18"/>
              </w:rPr>
              <w:t xml:space="preserve">52</w:t>
            </w:r>
          </w:p>
        </w:tc>
        <w:tc>
          <w:tcPr>
            <w:tcW w:type="dxa" w:w="1608"/>
          </w:tcPr>
          <w:p>
            <w:pPr>
              <w:pStyle w:val="Compact"/>
              <w:spacing w:before="20" w:after="20" w:line="240" w:lineRule="auto"/>
              <w:jc w:val="left"/>
            </w:pPr>
            <w:r>
              <w:rPr>
                <w:rFonts w:ascii="Liberation Sans Narrow" w:hAnsi="Liberation Sans Narrow"/>
                <w:b w:val="0"/>
                <w:sz w:val="18"/>
              </w:rPr>
              <w:t xml:space="preserve">Art. 553</w:t>
            </w:r>
          </w:p>
        </w:tc>
        <w:tc>
          <w:tcPr>
            <w:tcW w:type="dxa" w:w="731"/>
          </w:tcPr>
          <w:p>
            <w:pPr>
              <w:pStyle w:val="Compact"/>
              <w:spacing w:before="20" w:after="20" w:line="240" w:lineRule="auto"/>
              <w:jc w:val="right"/>
            </w:pPr>
            <w:r>
              <w:rPr>
                <w:rFonts w:ascii="Liberation Sans Narrow" w:hAnsi="Liberation Sans Narrow"/>
                <w:b/>
                <w:sz w:val="18"/>
              </w:rPr>
              <w:t xml:space="preserve">138</w:t>
            </w:r>
          </w:p>
        </w:tc>
        <w:tc>
          <w:tcPr>
            <w:tcW w:type="dxa" w:w="1608"/>
          </w:tcPr>
          <w:p>
            <w:pPr>
              <w:pStyle w:val="Compact"/>
              <w:spacing w:before="20" w:after="20" w:line="240" w:lineRule="auto"/>
              <w:jc w:val="left"/>
            </w:pPr>
            <w:r>
              <w:rPr>
                <w:rFonts w:ascii="Liberation Sans Narrow" w:hAnsi="Liberation Sans Narrow"/>
                <w:b w:val="0"/>
                <w:sz w:val="18"/>
              </w:rPr>
              <w:t xml:space="preserve">Art. 742</w:t>
            </w:r>
          </w:p>
        </w:tc>
        <w:tc>
          <w:tcPr>
            <w:tcW w:type="dxa" w:w="731"/>
          </w:tcPr>
          <w:p>
            <w:pPr>
              <w:pStyle w:val="Compact"/>
              <w:spacing w:before="20" w:after="20" w:line="240" w:lineRule="auto"/>
              <w:jc w:val="right"/>
            </w:pPr>
            <w:r>
              <w:rPr>
                <w:rFonts w:ascii="Liberation Sans Narrow" w:hAnsi="Liberation Sans Narrow"/>
                <w:b/>
                <w:sz w:val="18"/>
              </w:rPr>
              <w:t xml:space="preserve">199</w:t>
            </w:r>
          </w:p>
        </w:tc>
        <w:tc>
          <w:tcPr>
            <w:tcW w:type="dxa" w:w="1608"/>
          </w:tcPr>
          <w:p>
            <w:pPr>
              <w:pStyle w:val="Compact"/>
              <w:spacing w:before="20" w:after="20" w:line="240" w:lineRule="auto"/>
              <w:jc w:val="left"/>
            </w:pPr>
            <w:r>
              <w:rPr>
                <w:rFonts w:ascii="Liberation Sans Narrow" w:hAnsi="Liberation Sans Narrow"/>
                <w:b w:val="0"/>
                <w:sz w:val="18"/>
              </w:rPr>
              <w:t xml:space="preserve">Art. 931</w:t>
            </w:r>
          </w:p>
        </w:tc>
        <w:tc>
          <w:tcPr>
            <w:tcW w:type="dxa" w:w="731"/>
          </w:tcPr>
          <w:p>
            <w:pPr>
              <w:pStyle w:val="Compact"/>
              <w:spacing w:before="20" w:after="20" w:line="240" w:lineRule="auto"/>
              <w:jc w:val="right"/>
            </w:pPr>
            <w:r>
              <w:rPr>
                <w:rFonts w:ascii="Liberation Sans Narrow" w:hAnsi="Liberation Sans Narrow"/>
                <w:b/>
                <w:sz w:val="18"/>
              </w:rPr>
              <w:t xml:space="preserve">270</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365</w:t>
            </w:r>
          </w:p>
        </w:tc>
        <w:tc>
          <w:tcPr>
            <w:tcW w:type="dxa" w:w="731"/>
          </w:tcPr>
          <w:p>
            <w:pPr>
              <w:pStyle w:val="Compact"/>
              <w:spacing w:before="20" w:after="20" w:line="240" w:lineRule="auto"/>
              <w:jc w:val="right"/>
            </w:pPr>
            <w:r>
              <w:rPr>
                <w:rFonts w:ascii="Liberation Sans Narrow" w:hAnsi="Liberation Sans Narrow"/>
                <w:b/>
                <w:sz w:val="18"/>
              </w:rPr>
              <w:t xml:space="preserve">53</w:t>
            </w:r>
          </w:p>
        </w:tc>
        <w:tc>
          <w:tcPr>
            <w:tcW w:type="dxa" w:w="1608"/>
          </w:tcPr>
          <w:p>
            <w:pPr>
              <w:pStyle w:val="Compact"/>
              <w:spacing w:before="20" w:after="20" w:line="240" w:lineRule="auto"/>
              <w:jc w:val="left"/>
            </w:pPr>
            <w:r>
              <w:rPr>
                <w:rFonts w:ascii="Liberation Sans Narrow" w:hAnsi="Liberation Sans Narrow"/>
                <w:b w:val="0"/>
                <w:sz w:val="18"/>
              </w:rPr>
              <w:t xml:space="preserve">Art. 554</w:t>
            </w:r>
          </w:p>
        </w:tc>
        <w:tc>
          <w:tcPr>
            <w:tcW w:type="dxa" w:w="731"/>
          </w:tcPr>
          <w:p>
            <w:pPr>
              <w:pStyle w:val="Compact"/>
              <w:spacing w:before="20" w:after="20" w:line="240" w:lineRule="auto"/>
              <w:jc w:val="right"/>
            </w:pPr>
            <w:r>
              <w:rPr>
                <w:rFonts w:ascii="Liberation Sans Narrow" w:hAnsi="Liberation Sans Narrow"/>
                <w:b/>
                <w:sz w:val="18"/>
              </w:rPr>
              <w:t xml:space="preserve">139</w:t>
            </w:r>
          </w:p>
        </w:tc>
        <w:tc>
          <w:tcPr>
            <w:tcW w:type="dxa" w:w="1608"/>
          </w:tcPr>
          <w:p>
            <w:pPr>
              <w:pStyle w:val="Compact"/>
              <w:spacing w:before="20" w:after="20" w:line="240" w:lineRule="auto"/>
              <w:jc w:val="left"/>
            </w:pPr>
            <w:r>
              <w:rPr>
                <w:rFonts w:ascii="Liberation Sans Narrow" w:hAnsi="Liberation Sans Narrow"/>
                <w:b w:val="0"/>
                <w:sz w:val="18"/>
              </w:rPr>
              <w:t xml:space="preserve">Art. 743</w:t>
            </w:r>
          </w:p>
        </w:tc>
        <w:tc>
          <w:tcPr>
            <w:tcW w:type="dxa" w:w="731"/>
          </w:tcPr>
          <w:p>
            <w:pPr>
              <w:pStyle w:val="Compact"/>
              <w:spacing w:before="20" w:after="20" w:line="240" w:lineRule="auto"/>
              <w:jc w:val="right"/>
            </w:pPr>
            <w:r>
              <w:rPr>
                <w:rFonts w:ascii="Liberation Sans Narrow" w:hAnsi="Liberation Sans Narrow"/>
                <w:b/>
                <w:sz w:val="18"/>
              </w:rPr>
              <w:t xml:space="preserve">199</w:t>
            </w:r>
          </w:p>
        </w:tc>
        <w:tc>
          <w:tcPr>
            <w:tcW w:type="dxa" w:w="1608"/>
          </w:tcPr>
          <w:p>
            <w:pPr>
              <w:pStyle w:val="Compact"/>
              <w:spacing w:before="20" w:after="20" w:line="240" w:lineRule="auto"/>
              <w:jc w:val="left"/>
            </w:pPr>
            <w:r>
              <w:rPr>
                <w:rFonts w:ascii="Liberation Sans Narrow" w:hAnsi="Liberation Sans Narrow"/>
                <w:b w:val="0"/>
                <w:sz w:val="18"/>
              </w:rPr>
              <w:t xml:space="preserve">Art. 932</w:t>
            </w:r>
          </w:p>
        </w:tc>
        <w:tc>
          <w:tcPr>
            <w:tcW w:type="dxa" w:w="731"/>
          </w:tcPr>
          <w:p>
            <w:pPr>
              <w:pStyle w:val="Compact"/>
              <w:spacing w:before="20" w:after="20" w:line="240" w:lineRule="auto"/>
              <w:jc w:val="right"/>
            </w:pPr>
            <w:r>
              <w:rPr>
                <w:rFonts w:ascii="Liberation Sans Narrow" w:hAnsi="Liberation Sans Narrow"/>
                <w:b/>
                <w:sz w:val="18"/>
              </w:rPr>
              <w:t xml:space="preserve">270</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366</w:t>
            </w:r>
          </w:p>
        </w:tc>
        <w:tc>
          <w:tcPr>
            <w:tcW w:type="dxa" w:w="731"/>
          </w:tcPr>
          <w:p>
            <w:pPr>
              <w:pStyle w:val="Compact"/>
              <w:spacing w:before="20" w:after="20" w:line="240" w:lineRule="auto"/>
              <w:jc w:val="right"/>
            </w:pPr>
            <w:r>
              <w:rPr>
                <w:rFonts w:ascii="Liberation Sans Narrow" w:hAnsi="Liberation Sans Narrow"/>
                <w:b/>
                <w:sz w:val="18"/>
              </w:rPr>
              <w:t xml:space="preserve">53</w:t>
            </w:r>
          </w:p>
        </w:tc>
        <w:tc>
          <w:tcPr>
            <w:tcW w:type="dxa" w:w="1608"/>
          </w:tcPr>
          <w:p>
            <w:pPr>
              <w:pStyle w:val="Compact"/>
              <w:spacing w:before="20" w:after="20" w:line="240" w:lineRule="auto"/>
              <w:jc w:val="left"/>
            </w:pPr>
            <w:r>
              <w:rPr>
                <w:rFonts w:ascii="Liberation Sans Narrow" w:hAnsi="Liberation Sans Narrow"/>
                <w:b w:val="0"/>
                <w:sz w:val="18"/>
              </w:rPr>
              <w:t xml:space="preserve">Art. 555</w:t>
            </w:r>
          </w:p>
        </w:tc>
        <w:tc>
          <w:tcPr>
            <w:tcW w:type="dxa" w:w="731"/>
          </w:tcPr>
          <w:p>
            <w:pPr>
              <w:pStyle w:val="Compact"/>
              <w:spacing w:before="20" w:after="20" w:line="240" w:lineRule="auto"/>
              <w:jc w:val="right"/>
            </w:pPr>
            <w:r>
              <w:rPr>
                <w:rFonts w:ascii="Liberation Sans Narrow" w:hAnsi="Liberation Sans Narrow"/>
                <w:b/>
                <w:sz w:val="18"/>
              </w:rPr>
              <w:t xml:space="preserve">139</w:t>
            </w:r>
          </w:p>
        </w:tc>
        <w:tc>
          <w:tcPr>
            <w:tcW w:type="dxa" w:w="1608"/>
          </w:tcPr>
          <w:p>
            <w:pPr>
              <w:pStyle w:val="Compact"/>
              <w:spacing w:before="20" w:after="20" w:line="240" w:lineRule="auto"/>
              <w:jc w:val="left"/>
            </w:pPr>
            <w:r>
              <w:rPr>
                <w:rFonts w:ascii="Liberation Sans Narrow" w:hAnsi="Liberation Sans Narrow"/>
                <w:b w:val="0"/>
                <w:sz w:val="18"/>
              </w:rPr>
              <w:t xml:space="preserve">Art. 744</w:t>
            </w:r>
          </w:p>
        </w:tc>
        <w:tc>
          <w:tcPr>
            <w:tcW w:type="dxa" w:w="731"/>
          </w:tcPr>
          <w:p>
            <w:pPr>
              <w:pStyle w:val="Compact"/>
              <w:spacing w:before="20" w:after="20" w:line="240" w:lineRule="auto"/>
              <w:jc w:val="right"/>
            </w:pPr>
            <w:r>
              <w:rPr>
                <w:rFonts w:ascii="Liberation Sans Narrow" w:hAnsi="Liberation Sans Narrow"/>
                <w:b/>
                <w:sz w:val="18"/>
              </w:rPr>
              <w:t xml:space="preserve">200</w:t>
            </w:r>
          </w:p>
        </w:tc>
        <w:tc>
          <w:tcPr>
            <w:tcW w:type="dxa" w:w="1608"/>
          </w:tcPr>
          <w:p>
            <w:pPr>
              <w:pStyle w:val="Compact"/>
              <w:spacing w:before="20" w:after="20" w:line="240" w:lineRule="auto"/>
              <w:jc w:val="left"/>
            </w:pPr>
            <w:r>
              <w:rPr>
                <w:rFonts w:ascii="Liberation Sans Narrow" w:hAnsi="Liberation Sans Narrow"/>
                <w:b w:val="0"/>
                <w:sz w:val="18"/>
              </w:rPr>
              <w:t xml:space="preserve">Art. 933</w:t>
            </w:r>
          </w:p>
        </w:tc>
        <w:tc>
          <w:tcPr>
            <w:tcW w:type="dxa" w:w="731"/>
          </w:tcPr>
          <w:p>
            <w:pPr>
              <w:pStyle w:val="Compact"/>
              <w:spacing w:before="20" w:after="20" w:line="240" w:lineRule="auto"/>
              <w:jc w:val="right"/>
            </w:pPr>
            <w:r>
              <w:rPr>
                <w:rFonts w:ascii="Liberation Sans Narrow" w:hAnsi="Liberation Sans Narrow"/>
                <w:b/>
                <w:sz w:val="18"/>
              </w:rPr>
              <w:t xml:space="preserve">272</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367</w:t>
            </w:r>
          </w:p>
        </w:tc>
        <w:tc>
          <w:tcPr>
            <w:tcW w:type="dxa" w:w="731"/>
          </w:tcPr>
          <w:p>
            <w:pPr>
              <w:pStyle w:val="Compact"/>
              <w:spacing w:before="20" w:after="20" w:line="240" w:lineRule="auto"/>
              <w:jc w:val="right"/>
            </w:pPr>
            <w:r>
              <w:rPr>
                <w:rFonts w:ascii="Liberation Sans Narrow" w:hAnsi="Liberation Sans Narrow"/>
                <w:b/>
                <w:sz w:val="18"/>
              </w:rPr>
              <w:t xml:space="preserve">53</w:t>
            </w:r>
          </w:p>
        </w:tc>
        <w:tc>
          <w:tcPr>
            <w:tcW w:type="dxa" w:w="1608"/>
          </w:tcPr>
          <w:p>
            <w:pPr>
              <w:pStyle w:val="Compact"/>
              <w:spacing w:before="20" w:after="20" w:line="240" w:lineRule="auto"/>
              <w:jc w:val="left"/>
            </w:pPr>
            <w:r>
              <w:rPr>
                <w:rFonts w:ascii="Liberation Sans Narrow" w:hAnsi="Liberation Sans Narrow"/>
                <w:b w:val="0"/>
                <w:sz w:val="18"/>
              </w:rPr>
              <w:t xml:space="preserve">Art. 556</w:t>
            </w:r>
          </w:p>
        </w:tc>
        <w:tc>
          <w:tcPr>
            <w:tcW w:type="dxa" w:w="731"/>
          </w:tcPr>
          <w:p>
            <w:pPr>
              <w:pStyle w:val="Compact"/>
              <w:spacing w:before="20" w:after="20" w:line="240" w:lineRule="auto"/>
              <w:jc w:val="right"/>
            </w:pPr>
            <w:r>
              <w:rPr>
                <w:rFonts w:ascii="Liberation Sans Narrow" w:hAnsi="Liberation Sans Narrow"/>
                <w:b/>
                <w:sz w:val="18"/>
              </w:rPr>
              <w:t xml:space="preserve">140</w:t>
            </w:r>
          </w:p>
        </w:tc>
        <w:tc>
          <w:tcPr>
            <w:tcW w:type="dxa" w:w="1608"/>
          </w:tcPr>
          <w:p>
            <w:pPr>
              <w:pStyle w:val="Compact"/>
              <w:spacing w:before="20" w:after="20" w:line="240" w:lineRule="auto"/>
              <w:jc w:val="left"/>
            </w:pPr>
            <w:r>
              <w:rPr>
                <w:rFonts w:ascii="Liberation Sans Narrow" w:hAnsi="Liberation Sans Narrow"/>
                <w:b w:val="0"/>
                <w:sz w:val="18"/>
              </w:rPr>
              <w:t xml:space="preserve">Art. 745</w:t>
            </w:r>
          </w:p>
        </w:tc>
        <w:tc>
          <w:tcPr>
            <w:tcW w:type="dxa" w:w="731"/>
          </w:tcPr>
          <w:p>
            <w:pPr>
              <w:pStyle w:val="Compact"/>
              <w:spacing w:before="20" w:after="20" w:line="240" w:lineRule="auto"/>
              <w:jc w:val="right"/>
            </w:pPr>
            <w:r>
              <w:rPr>
                <w:rFonts w:ascii="Liberation Sans Narrow" w:hAnsi="Liberation Sans Narrow"/>
                <w:b/>
                <w:sz w:val="18"/>
              </w:rPr>
              <w:t xml:space="preserve">200</w:t>
            </w:r>
          </w:p>
        </w:tc>
        <w:tc>
          <w:tcPr>
            <w:tcW w:type="dxa" w:w="1608"/>
          </w:tcPr>
          <w:p>
            <w:pPr>
              <w:pStyle w:val="Compact"/>
              <w:spacing w:before="20" w:after="20" w:line="240" w:lineRule="auto"/>
              <w:jc w:val="left"/>
            </w:pPr>
            <w:r>
              <w:rPr>
                <w:rFonts w:ascii="Liberation Sans Narrow" w:hAnsi="Liberation Sans Narrow"/>
                <w:b w:val="0"/>
                <w:sz w:val="18"/>
              </w:rPr>
              <w:t xml:space="preserve">Art. 934</w:t>
            </w:r>
          </w:p>
        </w:tc>
        <w:tc>
          <w:tcPr>
            <w:tcW w:type="dxa" w:w="731"/>
          </w:tcPr>
          <w:p>
            <w:pPr>
              <w:pStyle w:val="Compact"/>
              <w:spacing w:before="20" w:after="20" w:line="240" w:lineRule="auto"/>
              <w:jc w:val="right"/>
            </w:pPr>
            <w:r>
              <w:rPr>
                <w:rFonts w:ascii="Liberation Sans Narrow" w:hAnsi="Liberation Sans Narrow"/>
                <w:b/>
                <w:sz w:val="18"/>
              </w:rPr>
              <w:t xml:space="preserve">272</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368</w:t>
            </w:r>
          </w:p>
        </w:tc>
        <w:tc>
          <w:tcPr>
            <w:tcW w:type="dxa" w:w="731"/>
          </w:tcPr>
          <w:p>
            <w:pPr>
              <w:pStyle w:val="Compact"/>
              <w:spacing w:before="20" w:after="20" w:line="240" w:lineRule="auto"/>
              <w:jc w:val="right"/>
            </w:pPr>
            <w:r>
              <w:rPr>
                <w:rFonts w:ascii="Liberation Sans Narrow" w:hAnsi="Liberation Sans Narrow"/>
                <w:b/>
                <w:sz w:val="18"/>
              </w:rPr>
              <w:t xml:space="preserve">53</w:t>
            </w:r>
          </w:p>
        </w:tc>
        <w:tc>
          <w:tcPr>
            <w:tcW w:type="dxa" w:w="1608"/>
          </w:tcPr>
          <w:p>
            <w:pPr>
              <w:pStyle w:val="Compact"/>
              <w:spacing w:before="20" w:after="20" w:line="240" w:lineRule="auto"/>
              <w:jc w:val="left"/>
            </w:pPr>
            <w:r>
              <w:rPr>
                <w:rFonts w:ascii="Liberation Sans Narrow" w:hAnsi="Liberation Sans Narrow"/>
                <w:b w:val="0"/>
                <w:sz w:val="18"/>
              </w:rPr>
              <w:t xml:space="preserve">Art. 557</w:t>
            </w:r>
          </w:p>
        </w:tc>
        <w:tc>
          <w:tcPr>
            <w:tcW w:type="dxa" w:w="731"/>
          </w:tcPr>
          <w:p>
            <w:pPr>
              <w:pStyle w:val="Compact"/>
              <w:spacing w:before="20" w:after="20" w:line="240" w:lineRule="auto"/>
              <w:jc w:val="right"/>
            </w:pPr>
            <w:r>
              <w:rPr>
                <w:rFonts w:ascii="Liberation Sans Narrow" w:hAnsi="Liberation Sans Narrow"/>
                <w:b/>
                <w:sz w:val="18"/>
              </w:rPr>
              <w:t xml:space="preserve">140</w:t>
            </w:r>
          </w:p>
        </w:tc>
        <w:tc>
          <w:tcPr>
            <w:tcW w:type="dxa" w:w="1608"/>
          </w:tcPr>
          <w:p>
            <w:pPr>
              <w:pStyle w:val="Compact"/>
              <w:spacing w:before="20" w:after="20" w:line="240" w:lineRule="auto"/>
              <w:jc w:val="left"/>
            </w:pPr>
            <w:r>
              <w:rPr>
                <w:rFonts w:ascii="Liberation Sans Narrow" w:hAnsi="Liberation Sans Narrow"/>
                <w:b w:val="0"/>
                <w:sz w:val="18"/>
              </w:rPr>
              <w:t xml:space="preserve">Art. 746</w:t>
            </w:r>
          </w:p>
        </w:tc>
        <w:tc>
          <w:tcPr>
            <w:tcW w:type="dxa" w:w="731"/>
          </w:tcPr>
          <w:p>
            <w:pPr>
              <w:pStyle w:val="Compact"/>
              <w:spacing w:before="20" w:after="20" w:line="240" w:lineRule="auto"/>
              <w:jc w:val="right"/>
            </w:pPr>
            <w:r>
              <w:rPr>
                <w:rFonts w:ascii="Liberation Sans Narrow" w:hAnsi="Liberation Sans Narrow"/>
                <w:b/>
                <w:sz w:val="18"/>
              </w:rPr>
              <w:t xml:space="preserve">200</w:t>
            </w:r>
          </w:p>
        </w:tc>
        <w:tc>
          <w:tcPr>
            <w:tcW w:type="dxa" w:w="1608"/>
          </w:tcPr>
          <w:p>
            <w:pPr>
              <w:pStyle w:val="Compact"/>
              <w:spacing w:before="20" w:after="20" w:line="240" w:lineRule="auto"/>
              <w:jc w:val="left"/>
            </w:pPr>
            <w:r>
              <w:rPr>
                <w:rFonts w:ascii="Liberation Sans Narrow" w:hAnsi="Liberation Sans Narrow"/>
                <w:b w:val="0"/>
                <w:sz w:val="18"/>
              </w:rPr>
              <w:t xml:space="preserve">Art. 935</w:t>
            </w:r>
          </w:p>
        </w:tc>
        <w:tc>
          <w:tcPr>
            <w:tcW w:type="dxa" w:w="731"/>
          </w:tcPr>
          <w:p>
            <w:pPr>
              <w:pStyle w:val="Compact"/>
              <w:spacing w:before="20" w:after="20" w:line="240" w:lineRule="auto"/>
              <w:jc w:val="right"/>
            </w:pPr>
            <w:r>
              <w:rPr>
                <w:rFonts w:ascii="Liberation Sans Narrow" w:hAnsi="Liberation Sans Narrow"/>
                <w:b/>
                <w:sz w:val="18"/>
              </w:rPr>
              <w:t xml:space="preserve">272</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369</w:t>
            </w:r>
          </w:p>
        </w:tc>
        <w:tc>
          <w:tcPr>
            <w:tcW w:type="dxa" w:w="731"/>
          </w:tcPr>
          <w:p>
            <w:pPr>
              <w:pStyle w:val="Compact"/>
              <w:spacing w:before="20" w:after="20" w:line="240" w:lineRule="auto"/>
              <w:jc w:val="right"/>
            </w:pPr>
            <w:r>
              <w:rPr>
                <w:rFonts w:ascii="Liberation Sans Narrow" w:hAnsi="Liberation Sans Narrow"/>
                <w:b/>
                <w:sz w:val="18"/>
              </w:rPr>
              <w:t xml:space="preserve">54</w:t>
            </w:r>
          </w:p>
        </w:tc>
        <w:tc>
          <w:tcPr>
            <w:tcW w:type="dxa" w:w="1608"/>
          </w:tcPr>
          <w:p>
            <w:pPr>
              <w:pStyle w:val="Compact"/>
              <w:spacing w:before="20" w:after="20" w:line="240" w:lineRule="auto"/>
              <w:jc w:val="left"/>
            </w:pPr>
            <w:r>
              <w:rPr>
                <w:rFonts w:ascii="Liberation Sans Narrow" w:hAnsi="Liberation Sans Narrow"/>
                <w:b w:val="0"/>
                <w:sz w:val="18"/>
              </w:rPr>
              <w:t xml:space="preserve">Art. 558</w:t>
            </w:r>
          </w:p>
        </w:tc>
        <w:tc>
          <w:tcPr>
            <w:tcW w:type="dxa" w:w="731"/>
          </w:tcPr>
          <w:p>
            <w:pPr>
              <w:pStyle w:val="Compact"/>
              <w:spacing w:before="20" w:after="20" w:line="240" w:lineRule="auto"/>
              <w:jc w:val="right"/>
            </w:pPr>
            <w:r>
              <w:rPr>
                <w:rFonts w:ascii="Liberation Sans Narrow" w:hAnsi="Liberation Sans Narrow"/>
                <w:b/>
                <w:sz w:val="18"/>
              </w:rPr>
              <w:t xml:space="preserve">140</w:t>
            </w:r>
          </w:p>
        </w:tc>
        <w:tc>
          <w:tcPr>
            <w:tcW w:type="dxa" w:w="1608"/>
          </w:tcPr>
          <w:p>
            <w:pPr>
              <w:pStyle w:val="Compact"/>
              <w:spacing w:before="20" w:after="20" w:line="240" w:lineRule="auto"/>
              <w:jc w:val="left"/>
            </w:pPr>
            <w:r>
              <w:rPr>
                <w:rFonts w:ascii="Liberation Sans Narrow" w:hAnsi="Liberation Sans Narrow"/>
                <w:b w:val="0"/>
                <w:sz w:val="18"/>
              </w:rPr>
              <w:t xml:space="preserve">Art. 747</w:t>
            </w:r>
          </w:p>
        </w:tc>
        <w:tc>
          <w:tcPr>
            <w:tcW w:type="dxa" w:w="731"/>
          </w:tcPr>
          <w:p>
            <w:pPr>
              <w:pStyle w:val="Compact"/>
              <w:spacing w:before="20" w:after="20" w:line="240" w:lineRule="auto"/>
              <w:jc w:val="right"/>
            </w:pPr>
            <w:r>
              <w:rPr>
                <w:rFonts w:ascii="Liberation Sans Narrow" w:hAnsi="Liberation Sans Narrow"/>
                <w:b/>
                <w:sz w:val="18"/>
              </w:rPr>
              <w:t xml:space="preserve">201</w:t>
            </w:r>
          </w:p>
        </w:tc>
        <w:tc>
          <w:tcPr>
            <w:tcW w:type="dxa" w:w="1608"/>
          </w:tcPr>
          <w:p>
            <w:pPr>
              <w:pStyle w:val="Compact"/>
              <w:spacing w:before="20" w:after="20" w:line="240" w:lineRule="auto"/>
              <w:jc w:val="left"/>
            </w:pPr>
            <w:r>
              <w:rPr>
                <w:rFonts w:ascii="Liberation Sans Narrow" w:hAnsi="Liberation Sans Narrow"/>
                <w:b w:val="0"/>
                <w:sz w:val="18"/>
              </w:rPr>
              <w:t xml:space="preserve">Art. 936</w:t>
            </w:r>
          </w:p>
        </w:tc>
        <w:tc>
          <w:tcPr>
            <w:tcW w:type="dxa" w:w="731"/>
          </w:tcPr>
          <w:p>
            <w:pPr>
              <w:pStyle w:val="Compact"/>
              <w:spacing w:before="20" w:after="20" w:line="240" w:lineRule="auto"/>
              <w:jc w:val="right"/>
            </w:pPr>
            <w:r>
              <w:rPr>
                <w:rFonts w:ascii="Liberation Sans Narrow" w:hAnsi="Liberation Sans Narrow"/>
                <w:b/>
                <w:sz w:val="18"/>
              </w:rPr>
              <w:t xml:space="preserve">272</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370</w:t>
            </w:r>
          </w:p>
        </w:tc>
        <w:tc>
          <w:tcPr>
            <w:tcW w:type="dxa" w:w="731"/>
          </w:tcPr>
          <w:p>
            <w:pPr>
              <w:pStyle w:val="Compact"/>
              <w:spacing w:before="20" w:after="20" w:line="240" w:lineRule="auto"/>
              <w:jc w:val="right"/>
            </w:pPr>
            <w:r>
              <w:rPr>
                <w:rFonts w:ascii="Liberation Sans Narrow" w:hAnsi="Liberation Sans Narrow"/>
                <w:b/>
                <w:sz w:val="18"/>
              </w:rPr>
              <w:t xml:space="preserve">54</w:t>
            </w:r>
          </w:p>
        </w:tc>
        <w:tc>
          <w:tcPr>
            <w:tcW w:type="dxa" w:w="1608"/>
          </w:tcPr>
          <w:p>
            <w:pPr>
              <w:pStyle w:val="Compact"/>
              <w:spacing w:before="20" w:after="20" w:line="240" w:lineRule="auto"/>
              <w:jc w:val="left"/>
            </w:pPr>
            <w:r>
              <w:rPr>
                <w:rFonts w:ascii="Liberation Sans Narrow" w:hAnsi="Liberation Sans Narrow"/>
                <w:b w:val="0"/>
                <w:sz w:val="18"/>
              </w:rPr>
              <w:t xml:space="preserve">Art. 559</w:t>
            </w:r>
          </w:p>
        </w:tc>
        <w:tc>
          <w:tcPr>
            <w:tcW w:type="dxa" w:w="731"/>
          </w:tcPr>
          <w:p>
            <w:pPr>
              <w:pStyle w:val="Compact"/>
              <w:spacing w:before="20" w:after="20" w:line="240" w:lineRule="auto"/>
              <w:jc w:val="right"/>
            </w:pPr>
            <w:r>
              <w:rPr>
                <w:rFonts w:ascii="Liberation Sans Narrow" w:hAnsi="Liberation Sans Narrow"/>
                <w:b/>
                <w:sz w:val="18"/>
              </w:rPr>
              <w:t xml:space="preserve">141</w:t>
            </w:r>
          </w:p>
        </w:tc>
        <w:tc>
          <w:tcPr>
            <w:tcW w:type="dxa" w:w="1608"/>
          </w:tcPr>
          <w:p>
            <w:pPr>
              <w:pStyle w:val="Compact"/>
              <w:spacing w:before="20" w:after="20" w:line="240" w:lineRule="auto"/>
              <w:jc w:val="left"/>
            </w:pPr>
            <w:r>
              <w:rPr>
                <w:rFonts w:ascii="Liberation Sans Narrow" w:hAnsi="Liberation Sans Narrow"/>
                <w:b w:val="0"/>
                <w:sz w:val="18"/>
              </w:rPr>
              <w:t xml:space="preserve">Art. 748</w:t>
            </w:r>
          </w:p>
        </w:tc>
        <w:tc>
          <w:tcPr>
            <w:tcW w:type="dxa" w:w="731"/>
          </w:tcPr>
          <w:p>
            <w:pPr>
              <w:pStyle w:val="Compact"/>
              <w:spacing w:before="20" w:after="20" w:line="240" w:lineRule="auto"/>
              <w:jc w:val="right"/>
            </w:pPr>
            <w:r>
              <w:rPr>
                <w:rFonts w:ascii="Liberation Sans Narrow" w:hAnsi="Liberation Sans Narrow"/>
                <w:b/>
                <w:sz w:val="18"/>
              </w:rPr>
              <w:t xml:space="preserve">201</w:t>
            </w:r>
          </w:p>
        </w:tc>
        <w:tc>
          <w:tcPr>
            <w:tcW w:type="dxa" w:w="1608"/>
          </w:tcPr>
          <w:p>
            <w:pPr>
              <w:pStyle w:val="Compact"/>
              <w:spacing w:before="20" w:after="20" w:line="240" w:lineRule="auto"/>
              <w:jc w:val="left"/>
            </w:pPr>
            <w:r>
              <w:rPr>
                <w:rFonts w:ascii="Liberation Sans Narrow" w:hAnsi="Liberation Sans Narrow"/>
                <w:b w:val="0"/>
                <w:sz w:val="18"/>
              </w:rPr>
              <w:t xml:space="preserve">Art. 937</w:t>
            </w:r>
          </w:p>
        </w:tc>
        <w:tc>
          <w:tcPr>
            <w:tcW w:type="dxa" w:w="731"/>
          </w:tcPr>
          <w:p>
            <w:pPr>
              <w:pStyle w:val="Compact"/>
              <w:spacing w:before="20" w:after="20" w:line="240" w:lineRule="auto"/>
              <w:jc w:val="right"/>
            </w:pPr>
            <w:r>
              <w:rPr>
                <w:rFonts w:ascii="Liberation Sans Narrow" w:hAnsi="Liberation Sans Narrow"/>
                <w:b/>
                <w:sz w:val="18"/>
              </w:rPr>
              <w:t xml:space="preserve">273</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371</w:t>
            </w:r>
          </w:p>
        </w:tc>
        <w:tc>
          <w:tcPr>
            <w:tcW w:type="dxa" w:w="731"/>
          </w:tcPr>
          <w:p>
            <w:pPr>
              <w:pStyle w:val="Compact"/>
              <w:spacing w:before="20" w:after="20" w:line="240" w:lineRule="auto"/>
              <w:jc w:val="right"/>
            </w:pPr>
            <w:r>
              <w:rPr>
                <w:rFonts w:ascii="Liberation Sans Narrow" w:hAnsi="Liberation Sans Narrow"/>
                <w:b/>
                <w:sz w:val="18"/>
              </w:rPr>
              <w:t xml:space="preserve">55</w:t>
            </w:r>
          </w:p>
        </w:tc>
        <w:tc>
          <w:tcPr>
            <w:tcW w:type="dxa" w:w="1608"/>
          </w:tcPr>
          <w:p>
            <w:pPr>
              <w:pStyle w:val="Compact"/>
              <w:spacing w:before="20" w:after="20" w:line="240" w:lineRule="auto"/>
              <w:jc w:val="left"/>
            </w:pPr>
            <w:r>
              <w:rPr>
                <w:rFonts w:ascii="Liberation Sans Narrow" w:hAnsi="Liberation Sans Narrow"/>
                <w:b w:val="0"/>
                <w:sz w:val="18"/>
              </w:rPr>
              <w:t xml:space="preserve">Art. 560</w:t>
            </w:r>
          </w:p>
        </w:tc>
        <w:tc>
          <w:tcPr>
            <w:tcW w:type="dxa" w:w="731"/>
          </w:tcPr>
          <w:p>
            <w:pPr>
              <w:pStyle w:val="Compact"/>
              <w:spacing w:before="20" w:after="20" w:line="240" w:lineRule="auto"/>
              <w:jc w:val="right"/>
            </w:pPr>
            <w:r>
              <w:rPr>
                <w:rFonts w:ascii="Liberation Sans Narrow" w:hAnsi="Liberation Sans Narrow"/>
                <w:b/>
                <w:sz w:val="18"/>
              </w:rPr>
              <w:t xml:space="preserve">141</w:t>
            </w:r>
          </w:p>
        </w:tc>
        <w:tc>
          <w:tcPr>
            <w:tcW w:type="dxa" w:w="1608"/>
          </w:tcPr>
          <w:p>
            <w:pPr>
              <w:pStyle w:val="Compact"/>
              <w:spacing w:before="20" w:after="20" w:line="240" w:lineRule="auto"/>
              <w:jc w:val="left"/>
            </w:pPr>
            <w:r>
              <w:rPr>
                <w:rFonts w:ascii="Liberation Sans Narrow" w:hAnsi="Liberation Sans Narrow"/>
                <w:b w:val="0"/>
                <w:sz w:val="18"/>
              </w:rPr>
              <w:t xml:space="preserve">Art. 749</w:t>
            </w:r>
          </w:p>
        </w:tc>
        <w:tc>
          <w:tcPr>
            <w:tcW w:type="dxa" w:w="731"/>
          </w:tcPr>
          <w:p>
            <w:pPr>
              <w:pStyle w:val="Compact"/>
              <w:spacing w:before="20" w:after="20" w:line="240" w:lineRule="auto"/>
              <w:jc w:val="right"/>
            </w:pPr>
            <w:r>
              <w:rPr>
                <w:rFonts w:ascii="Liberation Sans Narrow" w:hAnsi="Liberation Sans Narrow"/>
                <w:b/>
                <w:sz w:val="18"/>
              </w:rPr>
              <w:t xml:space="preserve">201</w:t>
            </w:r>
          </w:p>
        </w:tc>
        <w:tc>
          <w:tcPr>
            <w:tcW w:type="dxa" w:w="1608"/>
          </w:tcPr>
          <w:p>
            <w:pPr>
              <w:pStyle w:val="Compact"/>
              <w:spacing w:before="20" w:after="20" w:line="240" w:lineRule="auto"/>
              <w:jc w:val="left"/>
            </w:pPr>
            <w:r>
              <w:rPr>
                <w:rFonts w:ascii="Liberation Sans Narrow" w:hAnsi="Liberation Sans Narrow"/>
                <w:b w:val="0"/>
                <w:sz w:val="18"/>
              </w:rPr>
              <w:t xml:space="preserve">Art. 938</w:t>
            </w:r>
          </w:p>
        </w:tc>
        <w:tc>
          <w:tcPr>
            <w:tcW w:type="dxa" w:w="731"/>
          </w:tcPr>
          <w:p>
            <w:pPr>
              <w:pStyle w:val="Compact"/>
              <w:spacing w:before="20" w:after="20" w:line="240" w:lineRule="auto"/>
              <w:jc w:val="right"/>
            </w:pPr>
            <w:r>
              <w:rPr>
                <w:rFonts w:ascii="Liberation Sans Narrow" w:hAnsi="Liberation Sans Narrow"/>
                <w:b/>
                <w:sz w:val="18"/>
              </w:rPr>
              <w:t xml:space="preserve">274</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372</w:t>
            </w:r>
          </w:p>
        </w:tc>
        <w:tc>
          <w:tcPr>
            <w:tcW w:type="dxa" w:w="731"/>
          </w:tcPr>
          <w:p>
            <w:pPr>
              <w:pStyle w:val="Compact"/>
              <w:spacing w:before="20" w:after="20" w:line="240" w:lineRule="auto"/>
              <w:jc w:val="right"/>
            </w:pPr>
            <w:r>
              <w:rPr>
                <w:rFonts w:ascii="Liberation Sans Narrow" w:hAnsi="Liberation Sans Narrow"/>
                <w:b/>
                <w:sz w:val="18"/>
              </w:rPr>
              <w:t xml:space="preserve">56</w:t>
            </w:r>
          </w:p>
        </w:tc>
        <w:tc>
          <w:tcPr>
            <w:tcW w:type="dxa" w:w="1608"/>
          </w:tcPr>
          <w:p>
            <w:pPr>
              <w:pStyle w:val="Compact"/>
              <w:spacing w:before="20" w:after="20" w:line="240" w:lineRule="auto"/>
              <w:jc w:val="left"/>
            </w:pPr>
            <w:r>
              <w:rPr>
                <w:rFonts w:ascii="Liberation Sans Narrow" w:hAnsi="Liberation Sans Narrow"/>
                <w:b w:val="0"/>
                <w:sz w:val="18"/>
              </w:rPr>
              <w:t xml:space="preserve">Art. 561</w:t>
            </w:r>
          </w:p>
        </w:tc>
        <w:tc>
          <w:tcPr>
            <w:tcW w:type="dxa" w:w="731"/>
          </w:tcPr>
          <w:p>
            <w:pPr>
              <w:pStyle w:val="Compact"/>
              <w:spacing w:before="20" w:after="20" w:line="240" w:lineRule="auto"/>
              <w:jc w:val="right"/>
            </w:pPr>
            <w:r>
              <w:rPr>
                <w:rFonts w:ascii="Liberation Sans Narrow" w:hAnsi="Liberation Sans Narrow"/>
                <w:b/>
                <w:sz w:val="18"/>
              </w:rPr>
              <w:t xml:space="preserve">141</w:t>
            </w:r>
          </w:p>
        </w:tc>
        <w:tc>
          <w:tcPr>
            <w:tcW w:type="dxa" w:w="1608"/>
          </w:tcPr>
          <w:p>
            <w:pPr>
              <w:pStyle w:val="Compact"/>
              <w:spacing w:before="20" w:after="20" w:line="240" w:lineRule="auto"/>
              <w:jc w:val="left"/>
            </w:pPr>
            <w:r>
              <w:rPr>
                <w:rFonts w:ascii="Liberation Sans Narrow" w:hAnsi="Liberation Sans Narrow"/>
                <w:b w:val="0"/>
                <w:sz w:val="18"/>
              </w:rPr>
              <w:t xml:space="preserve">Art. 750</w:t>
            </w:r>
          </w:p>
        </w:tc>
        <w:tc>
          <w:tcPr>
            <w:tcW w:type="dxa" w:w="731"/>
          </w:tcPr>
          <w:p>
            <w:pPr>
              <w:pStyle w:val="Compact"/>
              <w:spacing w:before="20" w:after="20" w:line="240" w:lineRule="auto"/>
              <w:jc w:val="right"/>
            </w:pPr>
            <w:r>
              <w:rPr>
                <w:rFonts w:ascii="Liberation Sans Narrow" w:hAnsi="Liberation Sans Narrow"/>
                <w:b/>
                <w:sz w:val="18"/>
              </w:rPr>
              <w:t xml:space="preserve">202</w:t>
            </w:r>
          </w:p>
        </w:tc>
        <w:tc>
          <w:tcPr>
            <w:tcW w:type="dxa" w:w="1608"/>
          </w:tcPr>
          <w:p>
            <w:pPr>
              <w:pStyle w:val="Compact"/>
              <w:spacing w:before="20" w:after="20" w:line="240" w:lineRule="auto"/>
              <w:jc w:val="left"/>
            </w:pPr>
            <w:r>
              <w:rPr>
                <w:rFonts w:ascii="Liberation Sans Narrow" w:hAnsi="Liberation Sans Narrow"/>
                <w:b w:val="0"/>
                <w:sz w:val="18"/>
              </w:rPr>
              <w:t xml:space="preserve">Art. 939</w:t>
            </w:r>
          </w:p>
        </w:tc>
        <w:tc>
          <w:tcPr>
            <w:tcW w:type="dxa" w:w="731"/>
          </w:tcPr>
          <w:p>
            <w:pPr>
              <w:pStyle w:val="Compact"/>
              <w:spacing w:before="20" w:after="20" w:line="240" w:lineRule="auto"/>
              <w:jc w:val="right"/>
            </w:pPr>
            <w:r>
              <w:rPr>
                <w:rFonts w:ascii="Liberation Sans Narrow" w:hAnsi="Liberation Sans Narrow"/>
                <w:b/>
                <w:sz w:val="18"/>
              </w:rPr>
              <w:t xml:space="preserve">274</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373</w:t>
            </w:r>
          </w:p>
        </w:tc>
        <w:tc>
          <w:tcPr>
            <w:tcW w:type="dxa" w:w="731"/>
          </w:tcPr>
          <w:p>
            <w:pPr>
              <w:pStyle w:val="Compact"/>
              <w:spacing w:before="20" w:after="20" w:line="240" w:lineRule="auto"/>
              <w:jc w:val="right"/>
            </w:pPr>
            <w:r>
              <w:rPr>
                <w:rFonts w:ascii="Liberation Sans Narrow" w:hAnsi="Liberation Sans Narrow"/>
                <w:b/>
                <w:sz w:val="18"/>
              </w:rPr>
              <w:t xml:space="preserve">56</w:t>
            </w:r>
          </w:p>
        </w:tc>
        <w:tc>
          <w:tcPr>
            <w:tcW w:type="dxa" w:w="1608"/>
          </w:tcPr>
          <w:p>
            <w:pPr>
              <w:pStyle w:val="Compact"/>
              <w:spacing w:before="20" w:after="20" w:line="240" w:lineRule="auto"/>
              <w:jc w:val="left"/>
            </w:pPr>
            <w:r>
              <w:rPr>
                <w:rFonts w:ascii="Liberation Sans Narrow" w:hAnsi="Liberation Sans Narrow"/>
                <w:b w:val="0"/>
                <w:sz w:val="18"/>
              </w:rPr>
              <w:t xml:space="preserve">Art. 562</w:t>
            </w:r>
          </w:p>
        </w:tc>
        <w:tc>
          <w:tcPr>
            <w:tcW w:type="dxa" w:w="731"/>
          </w:tcPr>
          <w:p>
            <w:pPr>
              <w:pStyle w:val="Compact"/>
              <w:spacing w:before="20" w:after="20" w:line="240" w:lineRule="auto"/>
              <w:jc w:val="right"/>
            </w:pPr>
            <w:r>
              <w:rPr>
                <w:rFonts w:ascii="Liberation Sans Narrow" w:hAnsi="Liberation Sans Narrow"/>
                <w:b/>
                <w:sz w:val="18"/>
              </w:rPr>
              <w:t xml:space="preserve">142</w:t>
            </w:r>
          </w:p>
        </w:tc>
        <w:tc>
          <w:tcPr>
            <w:tcW w:type="dxa" w:w="1608"/>
          </w:tcPr>
          <w:p>
            <w:pPr>
              <w:pStyle w:val="Compact"/>
              <w:spacing w:before="20" w:after="20" w:line="240" w:lineRule="auto"/>
              <w:jc w:val="left"/>
            </w:pPr>
            <w:r>
              <w:rPr>
                <w:rFonts w:ascii="Liberation Sans Narrow" w:hAnsi="Liberation Sans Narrow"/>
                <w:b w:val="0"/>
                <w:sz w:val="18"/>
              </w:rPr>
              <w:t xml:space="preserve">Art. 751</w:t>
            </w:r>
          </w:p>
        </w:tc>
        <w:tc>
          <w:tcPr>
            <w:tcW w:type="dxa" w:w="731"/>
          </w:tcPr>
          <w:p>
            <w:pPr>
              <w:pStyle w:val="Compact"/>
              <w:spacing w:before="20" w:after="20" w:line="240" w:lineRule="auto"/>
              <w:jc w:val="right"/>
            </w:pPr>
            <w:r>
              <w:rPr>
                <w:rFonts w:ascii="Liberation Sans Narrow" w:hAnsi="Liberation Sans Narrow"/>
                <w:b/>
                <w:sz w:val="18"/>
              </w:rPr>
              <w:t xml:space="preserve">202</w:t>
            </w:r>
          </w:p>
        </w:tc>
        <w:tc>
          <w:tcPr>
            <w:tcW w:type="dxa" w:w="1608"/>
          </w:tcPr>
          <w:p>
            <w:pPr>
              <w:pStyle w:val="Compact"/>
              <w:spacing w:before="20" w:after="20" w:line="240" w:lineRule="auto"/>
              <w:jc w:val="left"/>
            </w:pPr>
            <w:r>
              <w:rPr>
                <w:rFonts w:ascii="Liberation Sans Narrow" w:hAnsi="Liberation Sans Narrow"/>
                <w:b w:val="0"/>
                <w:sz w:val="18"/>
              </w:rPr>
              <w:t xml:space="preserve">Art. 940</w:t>
            </w:r>
          </w:p>
        </w:tc>
        <w:tc>
          <w:tcPr>
            <w:tcW w:type="dxa" w:w="731"/>
          </w:tcPr>
          <w:p>
            <w:pPr>
              <w:pStyle w:val="Compact"/>
              <w:spacing w:before="20" w:after="20" w:line="240" w:lineRule="auto"/>
              <w:jc w:val="right"/>
            </w:pPr>
            <w:r>
              <w:rPr>
                <w:rFonts w:ascii="Liberation Sans Narrow" w:hAnsi="Liberation Sans Narrow"/>
                <w:b/>
                <w:sz w:val="18"/>
              </w:rPr>
              <w:t xml:space="preserve">274</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374</w:t>
            </w:r>
          </w:p>
        </w:tc>
        <w:tc>
          <w:tcPr>
            <w:tcW w:type="dxa" w:w="731"/>
          </w:tcPr>
          <w:p>
            <w:pPr>
              <w:pStyle w:val="Compact"/>
              <w:spacing w:before="20" w:after="20" w:line="240" w:lineRule="auto"/>
              <w:jc w:val="right"/>
            </w:pPr>
            <w:r>
              <w:rPr>
                <w:rFonts w:ascii="Liberation Sans Narrow" w:hAnsi="Liberation Sans Narrow"/>
                <w:b/>
                <w:sz w:val="18"/>
              </w:rPr>
              <w:t xml:space="preserve">57</w:t>
            </w:r>
          </w:p>
        </w:tc>
        <w:tc>
          <w:tcPr>
            <w:tcW w:type="dxa" w:w="1608"/>
          </w:tcPr>
          <w:p>
            <w:pPr>
              <w:pStyle w:val="Compact"/>
              <w:spacing w:before="20" w:after="20" w:line="240" w:lineRule="auto"/>
              <w:jc w:val="left"/>
            </w:pPr>
            <w:r>
              <w:rPr>
                <w:rFonts w:ascii="Liberation Sans Narrow" w:hAnsi="Liberation Sans Narrow"/>
                <w:b w:val="0"/>
                <w:sz w:val="18"/>
              </w:rPr>
              <w:t xml:space="preserve">Art. 563</w:t>
            </w:r>
          </w:p>
        </w:tc>
        <w:tc>
          <w:tcPr>
            <w:tcW w:type="dxa" w:w="731"/>
          </w:tcPr>
          <w:p>
            <w:pPr>
              <w:pStyle w:val="Compact"/>
              <w:spacing w:before="20" w:after="20" w:line="240" w:lineRule="auto"/>
              <w:jc w:val="right"/>
            </w:pPr>
            <w:r>
              <w:rPr>
                <w:rFonts w:ascii="Liberation Sans Narrow" w:hAnsi="Liberation Sans Narrow"/>
                <w:b/>
                <w:sz w:val="18"/>
              </w:rPr>
              <w:t xml:space="preserve">142</w:t>
            </w:r>
          </w:p>
        </w:tc>
        <w:tc>
          <w:tcPr>
            <w:tcW w:type="dxa" w:w="1608"/>
          </w:tcPr>
          <w:p>
            <w:pPr>
              <w:pStyle w:val="Compact"/>
              <w:spacing w:before="20" w:after="20" w:line="240" w:lineRule="auto"/>
              <w:jc w:val="left"/>
            </w:pPr>
            <w:r>
              <w:rPr>
                <w:rFonts w:ascii="Liberation Sans Narrow" w:hAnsi="Liberation Sans Narrow"/>
                <w:b w:val="0"/>
                <w:sz w:val="18"/>
              </w:rPr>
              <w:t xml:space="preserve">Art. 752</w:t>
            </w:r>
          </w:p>
        </w:tc>
        <w:tc>
          <w:tcPr>
            <w:tcW w:type="dxa" w:w="731"/>
          </w:tcPr>
          <w:p>
            <w:pPr>
              <w:pStyle w:val="Compact"/>
              <w:spacing w:before="20" w:after="20" w:line="240" w:lineRule="auto"/>
              <w:jc w:val="right"/>
            </w:pPr>
            <w:r>
              <w:rPr>
                <w:rFonts w:ascii="Liberation Sans Narrow" w:hAnsi="Liberation Sans Narrow"/>
                <w:b/>
                <w:sz w:val="18"/>
              </w:rPr>
              <w:t xml:space="preserve">202</w:t>
            </w:r>
          </w:p>
        </w:tc>
        <w:tc>
          <w:tcPr>
            <w:tcW w:type="dxa" w:w="1608"/>
          </w:tcPr>
          <w:p>
            <w:pPr>
              <w:pStyle w:val="Compact"/>
              <w:spacing w:before="20" w:after="20" w:line="240" w:lineRule="auto"/>
              <w:jc w:val="left"/>
            </w:pPr>
            <w:r>
              <w:rPr>
                <w:rFonts w:ascii="Liberation Sans Narrow" w:hAnsi="Liberation Sans Narrow"/>
                <w:b w:val="0"/>
                <w:sz w:val="18"/>
              </w:rPr>
              <w:t xml:space="preserve">Art. 941</w:t>
            </w:r>
          </w:p>
        </w:tc>
        <w:tc>
          <w:tcPr>
            <w:tcW w:type="dxa" w:w="731"/>
          </w:tcPr>
          <w:p>
            <w:pPr>
              <w:pStyle w:val="Compact"/>
              <w:spacing w:before="20" w:after="20" w:line="240" w:lineRule="auto"/>
              <w:jc w:val="right"/>
            </w:pPr>
            <w:r>
              <w:rPr>
                <w:rFonts w:ascii="Liberation Sans Narrow" w:hAnsi="Liberation Sans Narrow"/>
                <w:b/>
                <w:sz w:val="18"/>
              </w:rPr>
              <w:t xml:space="preserve">275</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375</w:t>
            </w:r>
          </w:p>
        </w:tc>
        <w:tc>
          <w:tcPr>
            <w:tcW w:type="dxa" w:w="731"/>
          </w:tcPr>
          <w:p>
            <w:pPr>
              <w:pStyle w:val="Compact"/>
              <w:spacing w:before="20" w:after="20" w:line="240" w:lineRule="auto"/>
              <w:jc w:val="right"/>
            </w:pPr>
            <w:r>
              <w:rPr>
                <w:rFonts w:ascii="Liberation Sans Narrow" w:hAnsi="Liberation Sans Narrow"/>
                <w:b/>
                <w:sz w:val="18"/>
              </w:rPr>
              <w:t xml:space="preserve">59</w:t>
            </w:r>
          </w:p>
        </w:tc>
        <w:tc>
          <w:tcPr>
            <w:tcW w:type="dxa" w:w="1608"/>
          </w:tcPr>
          <w:p>
            <w:pPr>
              <w:pStyle w:val="Compact"/>
              <w:spacing w:before="20" w:after="20" w:line="240" w:lineRule="auto"/>
              <w:jc w:val="left"/>
            </w:pPr>
            <w:r>
              <w:rPr>
                <w:rFonts w:ascii="Liberation Sans Narrow" w:hAnsi="Liberation Sans Narrow"/>
                <w:b w:val="0"/>
                <w:sz w:val="18"/>
              </w:rPr>
              <w:t xml:space="preserve">Art. 564</w:t>
            </w:r>
          </w:p>
        </w:tc>
        <w:tc>
          <w:tcPr>
            <w:tcW w:type="dxa" w:w="731"/>
          </w:tcPr>
          <w:p>
            <w:pPr>
              <w:pStyle w:val="Compact"/>
              <w:spacing w:before="20" w:after="20" w:line="240" w:lineRule="auto"/>
              <w:jc w:val="right"/>
            </w:pPr>
            <w:r>
              <w:rPr>
                <w:rFonts w:ascii="Liberation Sans Narrow" w:hAnsi="Liberation Sans Narrow"/>
                <w:b/>
                <w:sz w:val="18"/>
              </w:rPr>
              <w:t xml:space="preserve">142</w:t>
            </w:r>
          </w:p>
        </w:tc>
        <w:tc>
          <w:tcPr>
            <w:tcW w:type="dxa" w:w="1608"/>
          </w:tcPr>
          <w:p>
            <w:pPr>
              <w:pStyle w:val="Compact"/>
              <w:spacing w:before="20" w:after="20" w:line="240" w:lineRule="auto"/>
              <w:jc w:val="left"/>
            </w:pPr>
            <w:r>
              <w:rPr>
                <w:rFonts w:ascii="Liberation Sans Narrow" w:hAnsi="Liberation Sans Narrow"/>
                <w:b w:val="0"/>
                <w:sz w:val="18"/>
              </w:rPr>
              <w:t xml:space="preserve">Art. 753</w:t>
            </w:r>
          </w:p>
        </w:tc>
        <w:tc>
          <w:tcPr>
            <w:tcW w:type="dxa" w:w="731"/>
          </w:tcPr>
          <w:p>
            <w:pPr>
              <w:pStyle w:val="Compact"/>
              <w:spacing w:before="20" w:after="20" w:line="240" w:lineRule="auto"/>
              <w:jc w:val="right"/>
            </w:pPr>
            <w:r>
              <w:rPr>
                <w:rFonts w:ascii="Liberation Sans Narrow" w:hAnsi="Liberation Sans Narrow"/>
                <w:b/>
                <w:sz w:val="18"/>
              </w:rPr>
              <w:t xml:space="preserve">203</w:t>
            </w:r>
          </w:p>
        </w:tc>
        <w:tc>
          <w:tcPr>
            <w:tcW w:type="dxa" w:w="1608"/>
          </w:tcPr>
          <w:p>
            <w:pPr>
              <w:pStyle w:val="Compact"/>
              <w:spacing w:before="20" w:after="20" w:line="240" w:lineRule="auto"/>
              <w:jc w:val="left"/>
            </w:pPr>
            <w:r>
              <w:rPr>
                <w:rFonts w:ascii="Liberation Sans Narrow" w:hAnsi="Liberation Sans Narrow"/>
                <w:b w:val="0"/>
                <w:sz w:val="18"/>
              </w:rPr>
              <w:t xml:space="preserve">Art. 942</w:t>
            </w:r>
          </w:p>
        </w:tc>
        <w:tc>
          <w:tcPr>
            <w:tcW w:type="dxa" w:w="731"/>
          </w:tcPr>
          <w:p>
            <w:pPr>
              <w:pStyle w:val="Compact"/>
              <w:spacing w:before="20" w:after="20" w:line="240" w:lineRule="auto"/>
              <w:jc w:val="right"/>
            </w:pPr>
            <w:r>
              <w:rPr>
                <w:rFonts w:ascii="Liberation Sans Narrow" w:hAnsi="Liberation Sans Narrow"/>
                <w:b/>
                <w:sz w:val="18"/>
              </w:rPr>
              <w:t xml:space="preserve">275</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376</w:t>
            </w:r>
          </w:p>
        </w:tc>
        <w:tc>
          <w:tcPr>
            <w:tcW w:type="dxa" w:w="731"/>
          </w:tcPr>
          <w:p>
            <w:pPr>
              <w:pStyle w:val="Compact"/>
              <w:spacing w:before="20" w:after="20" w:line="240" w:lineRule="auto"/>
              <w:jc w:val="right"/>
            </w:pPr>
            <w:r>
              <w:rPr>
                <w:rFonts w:ascii="Liberation Sans Narrow" w:hAnsi="Liberation Sans Narrow"/>
                <w:b/>
                <w:sz w:val="18"/>
              </w:rPr>
              <w:t xml:space="preserve">59</w:t>
            </w:r>
          </w:p>
        </w:tc>
        <w:tc>
          <w:tcPr>
            <w:tcW w:type="dxa" w:w="1608"/>
          </w:tcPr>
          <w:p>
            <w:pPr>
              <w:pStyle w:val="Compact"/>
              <w:spacing w:before="20" w:after="20" w:line="240" w:lineRule="auto"/>
              <w:jc w:val="left"/>
            </w:pPr>
            <w:r>
              <w:rPr>
                <w:rFonts w:ascii="Liberation Sans Narrow" w:hAnsi="Liberation Sans Narrow"/>
                <w:b w:val="0"/>
                <w:sz w:val="18"/>
              </w:rPr>
              <w:t xml:space="preserve">Art. 565</w:t>
            </w:r>
          </w:p>
        </w:tc>
        <w:tc>
          <w:tcPr>
            <w:tcW w:type="dxa" w:w="731"/>
          </w:tcPr>
          <w:p>
            <w:pPr>
              <w:pStyle w:val="Compact"/>
              <w:spacing w:before="20" w:after="20" w:line="240" w:lineRule="auto"/>
              <w:jc w:val="right"/>
            </w:pPr>
            <w:r>
              <w:rPr>
                <w:rFonts w:ascii="Liberation Sans Narrow" w:hAnsi="Liberation Sans Narrow"/>
                <w:b/>
                <w:sz w:val="18"/>
              </w:rPr>
              <w:t xml:space="preserve">143</w:t>
            </w:r>
          </w:p>
        </w:tc>
        <w:tc>
          <w:tcPr>
            <w:tcW w:type="dxa" w:w="1608"/>
          </w:tcPr>
          <w:p>
            <w:pPr>
              <w:pStyle w:val="Compact"/>
              <w:spacing w:before="20" w:after="20" w:line="240" w:lineRule="auto"/>
              <w:jc w:val="left"/>
            </w:pPr>
            <w:r>
              <w:rPr>
                <w:rFonts w:ascii="Liberation Sans Narrow" w:hAnsi="Liberation Sans Narrow"/>
                <w:b w:val="0"/>
                <w:sz w:val="18"/>
              </w:rPr>
              <w:t xml:space="preserve">Art. 754</w:t>
            </w:r>
          </w:p>
        </w:tc>
        <w:tc>
          <w:tcPr>
            <w:tcW w:type="dxa" w:w="731"/>
          </w:tcPr>
          <w:p>
            <w:pPr>
              <w:pStyle w:val="Compact"/>
              <w:spacing w:before="20" w:after="20" w:line="240" w:lineRule="auto"/>
              <w:jc w:val="right"/>
            </w:pPr>
            <w:r>
              <w:rPr>
                <w:rFonts w:ascii="Liberation Sans Narrow" w:hAnsi="Liberation Sans Narrow"/>
                <w:b/>
                <w:sz w:val="18"/>
              </w:rPr>
              <w:t xml:space="preserve">203</w:t>
            </w:r>
          </w:p>
        </w:tc>
        <w:tc>
          <w:tcPr>
            <w:tcW w:type="dxa" w:w="1608"/>
          </w:tcPr>
          <w:p>
            <w:pPr>
              <w:pStyle w:val="Compact"/>
              <w:spacing w:before="20" w:after="20" w:line="240" w:lineRule="auto"/>
              <w:jc w:val="left"/>
            </w:pPr>
            <w:r>
              <w:rPr>
                <w:rFonts w:ascii="Liberation Sans Narrow" w:hAnsi="Liberation Sans Narrow"/>
                <w:b w:val="0"/>
                <w:sz w:val="18"/>
              </w:rPr>
              <w:t xml:space="preserve">Art. 943</w:t>
            </w:r>
          </w:p>
        </w:tc>
        <w:tc>
          <w:tcPr>
            <w:tcW w:type="dxa" w:w="731"/>
          </w:tcPr>
          <w:p>
            <w:pPr>
              <w:pStyle w:val="Compact"/>
              <w:spacing w:before="20" w:after="20" w:line="240" w:lineRule="auto"/>
              <w:jc w:val="right"/>
            </w:pPr>
            <w:r>
              <w:rPr>
                <w:rFonts w:ascii="Liberation Sans Narrow" w:hAnsi="Liberation Sans Narrow"/>
                <w:b/>
                <w:sz w:val="18"/>
              </w:rPr>
              <w:t xml:space="preserve">276</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377</w:t>
            </w:r>
          </w:p>
        </w:tc>
        <w:tc>
          <w:tcPr>
            <w:tcW w:type="dxa" w:w="731"/>
          </w:tcPr>
          <w:p>
            <w:pPr>
              <w:pStyle w:val="Compact"/>
              <w:spacing w:before="20" w:after="20" w:line="240" w:lineRule="auto"/>
              <w:jc w:val="right"/>
            </w:pPr>
            <w:r>
              <w:rPr>
                <w:rFonts w:ascii="Liberation Sans Narrow" w:hAnsi="Liberation Sans Narrow"/>
                <w:b/>
                <w:sz w:val="18"/>
              </w:rPr>
              <w:t xml:space="preserve">60</w:t>
            </w:r>
          </w:p>
        </w:tc>
        <w:tc>
          <w:tcPr>
            <w:tcW w:type="dxa" w:w="1608"/>
          </w:tcPr>
          <w:p>
            <w:pPr>
              <w:pStyle w:val="Compact"/>
              <w:spacing w:before="20" w:after="20" w:line="240" w:lineRule="auto"/>
              <w:jc w:val="left"/>
            </w:pPr>
            <w:r>
              <w:rPr>
                <w:rFonts w:ascii="Liberation Sans Narrow" w:hAnsi="Liberation Sans Narrow"/>
                <w:b w:val="0"/>
                <w:sz w:val="18"/>
              </w:rPr>
              <w:t xml:space="preserve">Art. 566</w:t>
            </w:r>
          </w:p>
        </w:tc>
        <w:tc>
          <w:tcPr>
            <w:tcW w:type="dxa" w:w="731"/>
          </w:tcPr>
          <w:p>
            <w:pPr>
              <w:pStyle w:val="Compact"/>
              <w:spacing w:before="20" w:after="20" w:line="240" w:lineRule="auto"/>
              <w:jc w:val="right"/>
            </w:pPr>
            <w:r>
              <w:rPr>
                <w:rFonts w:ascii="Liberation Sans Narrow" w:hAnsi="Liberation Sans Narrow"/>
                <w:b/>
                <w:sz w:val="18"/>
              </w:rPr>
              <w:t xml:space="preserve">143</w:t>
            </w:r>
          </w:p>
        </w:tc>
        <w:tc>
          <w:tcPr>
            <w:tcW w:type="dxa" w:w="1608"/>
          </w:tcPr>
          <w:p>
            <w:pPr>
              <w:pStyle w:val="Compact"/>
              <w:spacing w:before="20" w:after="20" w:line="240" w:lineRule="auto"/>
              <w:jc w:val="left"/>
            </w:pPr>
            <w:r>
              <w:rPr>
                <w:rFonts w:ascii="Liberation Sans Narrow" w:hAnsi="Liberation Sans Narrow"/>
                <w:b w:val="0"/>
                <w:sz w:val="18"/>
              </w:rPr>
              <w:t xml:space="preserve">Art. 755</w:t>
            </w:r>
          </w:p>
        </w:tc>
        <w:tc>
          <w:tcPr>
            <w:tcW w:type="dxa" w:w="731"/>
          </w:tcPr>
          <w:p>
            <w:pPr>
              <w:pStyle w:val="Compact"/>
              <w:spacing w:before="20" w:after="20" w:line="240" w:lineRule="auto"/>
              <w:jc w:val="right"/>
            </w:pPr>
            <w:r>
              <w:rPr>
                <w:rFonts w:ascii="Liberation Sans Narrow" w:hAnsi="Liberation Sans Narrow"/>
                <w:b/>
                <w:sz w:val="18"/>
              </w:rPr>
              <w:t xml:space="preserve">203</w:t>
            </w:r>
          </w:p>
        </w:tc>
        <w:tc>
          <w:tcPr>
            <w:tcW w:type="dxa" w:w="1608"/>
          </w:tcPr>
          <w:p>
            <w:pPr>
              <w:pStyle w:val="Compact"/>
              <w:spacing w:before="20" w:after="20" w:line="240" w:lineRule="auto"/>
              <w:jc w:val="left"/>
            </w:pPr>
            <w:r>
              <w:rPr>
                <w:rFonts w:ascii="Liberation Sans Narrow" w:hAnsi="Liberation Sans Narrow"/>
                <w:b w:val="0"/>
                <w:sz w:val="18"/>
              </w:rPr>
              <w:t xml:space="preserve">Art. 944</w:t>
            </w:r>
          </w:p>
        </w:tc>
        <w:tc>
          <w:tcPr>
            <w:tcW w:type="dxa" w:w="731"/>
          </w:tcPr>
          <w:p>
            <w:pPr>
              <w:pStyle w:val="Compact"/>
              <w:spacing w:before="20" w:after="20" w:line="240" w:lineRule="auto"/>
              <w:jc w:val="right"/>
            </w:pPr>
            <w:r>
              <w:rPr>
                <w:rFonts w:ascii="Liberation Sans Narrow" w:hAnsi="Liberation Sans Narrow"/>
                <w:b/>
                <w:sz w:val="18"/>
              </w:rPr>
              <w:t xml:space="preserve">276</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378</w:t>
            </w:r>
          </w:p>
        </w:tc>
        <w:tc>
          <w:tcPr>
            <w:tcW w:type="dxa" w:w="731"/>
          </w:tcPr>
          <w:p>
            <w:pPr>
              <w:pStyle w:val="Compact"/>
              <w:spacing w:before="20" w:after="20" w:line="240" w:lineRule="auto"/>
              <w:jc w:val="right"/>
            </w:pPr>
            <w:r>
              <w:rPr>
                <w:rFonts w:ascii="Liberation Sans Narrow" w:hAnsi="Liberation Sans Narrow"/>
                <w:b/>
                <w:sz w:val="18"/>
              </w:rPr>
              <w:t xml:space="preserve">60</w:t>
            </w:r>
          </w:p>
        </w:tc>
        <w:tc>
          <w:tcPr>
            <w:tcW w:type="dxa" w:w="1608"/>
          </w:tcPr>
          <w:p>
            <w:pPr>
              <w:pStyle w:val="Compact"/>
              <w:spacing w:before="20" w:after="20" w:line="240" w:lineRule="auto"/>
              <w:jc w:val="left"/>
            </w:pPr>
            <w:r>
              <w:rPr>
                <w:rFonts w:ascii="Liberation Sans Narrow" w:hAnsi="Liberation Sans Narrow"/>
                <w:b w:val="0"/>
                <w:sz w:val="18"/>
              </w:rPr>
              <w:t xml:space="preserve">Art. 567</w:t>
            </w:r>
          </w:p>
        </w:tc>
        <w:tc>
          <w:tcPr>
            <w:tcW w:type="dxa" w:w="731"/>
          </w:tcPr>
          <w:p>
            <w:pPr>
              <w:pStyle w:val="Compact"/>
              <w:spacing w:before="20" w:after="20" w:line="240" w:lineRule="auto"/>
              <w:jc w:val="right"/>
            </w:pPr>
            <w:r>
              <w:rPr>
                <w:rFonts w:ascii="Liberation Sans Narrow" w:hAnsi="Liberation Sans Narrow"/>
                <w:b/>
                <w:sz w:val="18"/>
              </w:rPr>
              <w:t xml:space="preserve">144</w:t>
            </w:r>
          </w:p>
        </w:tc>
        <w:tc>
          <w:tcPr>
            <w:tcW w:type="dxa" w:w="1608"/>
          </w:tcPr>
          <w:p>
            <w:pPr>
              <w:pStyle w:val="Compact"/>
              <w:spacing w:before="20" w:after="20" w:line="240" w:lineRule="auto"/>
              <w:jc w:val="left"/>
            </w:pPr>
            <w:r>
              <w:rPr>
                <w:rFonts w:ascii="Liberation Sans Narrow" w:hAnsi="Liberation Sans Narrow"/>
                <w:b w:val="0"/>
                <w:sz w:val="18"/>
              </w:rPr>
              <w:t xml:space="preserve">Art. 756</w:t>
            </w:r>
          </w:p>
        </w:tc>
        <w:tc>
          <w:tcPr>
            <w:tcW w:type="dxa" w:w="731"/>
          </w:tcPr>
          <w:p>
            <w:pPr>
              <w:pStyle w:val="Compact"/>
              <w:spacing w:before="20" w:after="20" w:line="240" w:lineRule="auto"/>
              <w:jc w:val="right"/>
            </w:pPr>
            <w:r>
              <w:rPr>
                <w:rFonts w:ascii="Liberation Sans Narrow" w:hAnsi="Liberation Sans Narrow"/>
                <w:b/>
                <w:sz w:val="18"/>
              </w:rPr>
              <w:t xml:space="preserve">204</w:t>
            </w:r>
          </w:p>
        </w:tc>
        <w:tc>
          <w:tcPr>
            <w:tcW w:type="dxa" w:w="1608"/>
          </w:tcPr>
          <w:p>
            <w:pPr>
              <w:pStyle w:val="Compact"/>
              <w:spacing w:before="20" w:after="20" w:line="240" w:lineRule="auto"/>
              <w:jc w:val="left"/>
            </w:pPr>
            <w:r>
              <w:rPr>
                <w:rFonts w:ascii="Liberation Sans Narrow" w:hAnsi="Liberation Sans Narrow"/>
                <w:b w:val="0"/>
                <w:sz w:val="18"/>
              </w:rPr>
              <w:t xml:space="preserve">Art. 945</w:t>
            </w:r>
          </w:p>
        </w:tc>
        <w:tc>
          <w:tcPr>
            <w:tcW w:type="dxa" w:w="731"/>
          </w:tcPr>
          <w:p>
            <w:pPr>
              <w:pStyle w:val="Compact"/>
              <w:spacing w:before="20" w:after="20" w:line="240" w:lineRule="auto"/>
              <w:jc w:val="right"/>
            </w:pPr>
            <w:r>
              <w:rPr>
                <w:rFonts w:ascii="Liberation Sans Narrow" w:hAnsi="Liberation Sans Narrow"/>
                <w:b/>
                <w:sz w:val="18"/>
              </w:rPr>
              <w:t xml:space="preserve">276</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379</w:t>
            </w:r>
          </w:p>
        </w:tc>
        <w:tc>
          <w:tcPr>
            <w:tcW w:type="dxa" w:w="731"/>
          </w:tcPr>
          <w:p>
            <w:pPr>
              <w:pStyle w:val="Compact"/>
              <w:spacing w:before="20" w:after="20" w:line="240" w:lineRule="auto"/>
              <w:jc w:val="right"/>
            </w:pPr>
            <w:r>
              <w:rPr>
                <w:rFonts w:ascii="Liberation Sans Narrow" w:hAnsi="Liberation Sans Narrow"/>
                <w:b/>
                <w:sz w:val="18"/>
              </w:rPr>
              <w:t xml:space="preserve">60</w:t>
            </w:r>
          </w:p>
        </w:tc>
        <w:tc>
          <w:tcPr>
            <w:tcW w:type="dxa" w:w="1608"/>
          </w:tcPr>
          <w:p>
            <w:pPr>
              <w:pStyle w:val="Compact"/>
              <w:spacing w:before="20" w:after="20" w:line="240" w:lineRule="auto"/>
              <w:jc w:val="left"/>
            </w:pPr>
            <w:r>
              <w:rPr>
                <w:rFonts w:ascii="Liberation Sans Narrow" w:hAnsi="Liberation Sans Narrow"/>
                <w:b w:val="0"/>
                <w:sz w:val="18"/>
              </w:rPr>
              <w:t xml:space="preserve">Art. 568</w:t>
            </w:r>
          </w:p>
        </w:tc>
        <w:tc>
          <w:tcPr>
            <w:tcW w:type="dxa" w:w="731"/>
          </w:tcPr>
          <w:p>
            <w:pPr>
              <w:pStyle w:val="Compact"/>
              <w:spacing w:before="20" w:after="20" w:line="240" w:lineRule="auto"/>
              <w:jc w:val="right"/>
            </w:pPr>
            <w:r>
              <w:rPr>
                <w:rFonts w:ascii="Liberation Sans Narrow" w:hAnsi="Liberation Sans Narrow"/>
                <w:b/>
                <w:sz w:val="18"/>
              </w:rPr>
              <w:t xml:space="preserve">144</w:t>
            </w:r>
          </w:p>
        </w:tc>
        <w:tc>
          <w:tcPr>
            <w:tcW w:type="dxa" w:w="1608"/>
          </w:tcPr>
          <w:p>
            <w:pPr>
              <w:pStyle w:val="Compact"/>
              <w:spacing w:before="20" w:after="20" w:line="240" w:lineRule="auto"/>
              <w:jc w:val="left"/>
            </w:pPr>
            <w:r>
              <w:rPr>
                <w:rFonts w:ascii="Liberation Sans Narrow" w:hAnsi="Liberation Sans Narrow"/>
                <w:b w:val="0"/>
                <w:sz w:val="18"/>
              </w:rPr>
              <w:t xml:space="preserve">Art. 757</w:t>
            </w:r>
          </w:p>
        </w:tc>
        <w:tc>
          <w:tcPr>
            <w:tcW w:type="dxa" w:w="731"/>
          </w:tcPr>
          <w:p>
            <w:pPr>
              <w:pStyle w:val="Compact"/>
              <w:spacing w:before="20" w:after="20" w:line="240" w:lineRule="auto"/>
              <w:jc w:val="right"/>
            </w:pPr>
            <w:r>
              <w:rPr>
                <w:rFonts w:ascii="Liberation Sans Narrow" w:hAnsi="Liberation Sans Narrow"/>
                <w:b/>
                <w:sz w:val="18"/>
              </w:rPr>
              <w:t xml:space="preserve">204</w:t>
            </w:r>
          </w:p>
        </w:tc>
        <w:tc>
          <w:tcPr>
            <w:tcW w:type="dxa" w:w="1608"/>
          </w:tcPr>
          <w:p>
            <w:pPr>
              <w:pStyle w:val="Compact"/>
              <w:spacing w:before="20" w:after="20" w:line="240" w:lineRule="auto"/>
              <w:jc w:val="left"/>
            </w:pPr>
            <w:r>
              <w:rPr>
                <w:rFonts w:ascii="Liberation Sans Narrow" w:hAnsi="Liberation Sans Narrow"/>
                <w:b w:val="0"/>
                <w:sz w:val="18"/>
              </w:rPr>
              <w:t xml:space="preserve">Art. 946</w:t>
            </w:r>
          </w:p>
        </w:tc>
        <w:tc>
          <w:tcPr>
            <w:tcW w:type="dxa" w:w="731"/>
          </w:tcPr>
          <w:p>
            <w:pPr>
              <w:pStyle w:val="Compact"/>
              <w:spacing w:before="20" w:after="20" w:line="240" w:lineRule="auto"/>
              <w:jc w:val="right"/>
            </w:pPr>
            <w:r>
              <w:rPr>
                <w:rFonts w:ascii="Liberation Sans Narrow" w:hAnsi="Liberation Sans Narrow"/>
                <w:b/>
                <w:sz w:val="18"/>
              </w:rPr>
              <w:t xml:space="preserve">276</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380</w:t>
            </w:r>
          </w:p>
        </w:tc>
        <w:tc>
          <w:tcPr>
            <w:tcW w:type="dxa" w:w="731"/>
          </w:tcPr>
          <w:p>
            <w:pPr>
              <w:pStyle w:val="Compact"/>
              <w:spacing w:before="20" w:after="20" w:line="240" w:lineRule="auto"/>
              <w:jc w:val="right"/>
            </w:pPr>
            <w:r>
              <w:rPr>
                <w:rFonts w:ascii="Liberation Sans Narrow" w:hAnsi="Liberation Sans Narrow"/>
                <w:b/>
                <w:sz w:val="18"/>
              </w:rPr>
              <w:t xml:space="preserve">60</w:t>
            </w:r>
          </w:p>
        </w:tc>
        <w:tc>
          <w:tcPr>
            <w:tcW w:type="dxa" w:w="1608"/>
          </w:tcPr>
          <w:p>
            <w:pPr>
              <w:pStyle w:val="Compact"/>
              <w:spacing w:before="20" w:after="20" w:line="240" w:lineRule="auto"/>
              <w:jc w:val="left"/>
            </w:pPr>
            <w:r>
              <w:rPr>
                <w:rFonts w:ascii="Liberation Sans Narrow" w:hAnsi="Liberation Sans Narrow"/>
                <w:b w:val="0"/>
                <w:sz w:val="18"/>
              </w:rPr>
              <w:t xml:space="preserve">Art. 569</w:t>
            </w:r>
          </w:p>
        </w:tc>
        <w:tc>
          <w:tcPr>
            <w:tcW w:type="dxa" w:w="731"/>
          </w:tcPr>
          <w:p>
            <w:pPr>
              <w:pStyle w:val="Compact"/>
              <w:spacing w:before="20" w:after="20" w:line="240" w:lineRule="auto"/>
              <w:jc w:val="right"/>
            </w:pPr>
            <w:r>
              <w:rPr>
                <w:rFonts w:ascii="Liberation Sans Narrow" w:hAnsi="Liberation Sans Narrow"/>
                <w:b/>
                <w:sz w:val="18"/>
              </w:rPr>
              <w:t xml:space="preserve">144</w:t>
            </w:r>
          </w:p>
        </w:tc>
        <w:tc>
          <w:tcPr>
            <w:tcW w:type="dxa" w:w="1608"/>
          </w:tcPr>
          <w:p>
            <w:pPr>
              <w:pStyle w:val="Compact"/>
              <w:spacing w:before="20" w:after="20" w:line="240" w:lineRule="auto"/>
              <w:jc w:val="left"/>
            </w:pPr>
            <w:r>
              <w:rPr>
                <w:rFonts w:ascii="Liberation Sans Narrow" w:hAnsi="Liberation Sans Narrow"/>
                <w:b w:val="0"/>
                <w:sz w:val="18"/>
              </w:rPr>
              <w:t xml:space="preserve">Art. 758</w:t>
            </w:r>
          </w:p>
        </w:tc>
        <w:tc>
          <w:tcPr>
            <w:tcW w:type="dxa" w:w="731"/>
          </w:tcPr>
          <w:p>
            <w:pPr>
              <w:pStyle w:val="Compact"/>
              <w:spacing w:before="20" w:after="20" w:line="240" w:lineRule="auto"/>
              <w:jc w:val="right"/>
            </w:pPr>
            <w:r>
              <w:rPr>
                <w:rFonts w:ascii="Liberation Sans Narrow" w:hAnsi="Liberation Sans Narrow"/>
                <w:b/>
                <w:sz w:val="18"/>
              </w:rPr>
              <w:t xml:space="preserve">204</w:t>
            </w:r>
          </w:p>
        </w:tc>
        <w:tc>
          <w:tcPr>
            <w:tcW w:type="dxa" w:w="1608"/>
          </w:tcPr>
          <w:p>
            <w:pPr>
              <w:pStyle w:val="Compact"/>
              <w:spacing w:before="20" w:after="20" w:line="240" w:lineRule="auto"/>
              <w:jc w:val="left"/>
            </w:pPr>
            <w:r>
              <w:rPr>
                <w:rFonts w:ascii="Liberation Sans Narrow" w:hAnsi="Liberation Sans Narrow"/>
                <w:b w:val="0"/>
                <w:sz w:val="18"/>
              </w:rPr>
              <w:t xml:space="preserve">Art. 947</w:t>
            </w:r>
          </w:p>
        </w:tc>
        <w:tc>
          <w:tcPr>
            <w:tcW w:type="dxa" w:w="731"/>
          </w:tcPr>
          <w:p>
            <w:pPr>
              <w:pStyle w:val="Compact"/>
              <w:spacing w:before="20" w:after="20" w:line="240" w:lineRule="auto"/>
              <w:jc w:val="right"/>
            </w:pPr>
            <w:r>
              <w:rPr>
                <w:rFonts w:ascii="Liberation Sans Narrow" w:hAnsi="Liberation Sans Narrow"/>
                <w:b/>
                <w:sz w:val="18"/>
              </w:rPr>
              <w:t xml:space="preserve">277</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381</w:t>
            </w:r>
          </w:p>
        </w:tc>
        <w:tc>
          <w:tcPr>
            <w:tcW w:type="dxa" w:w="731"/>
          </w:tcPr>
          <w:p>
            <w:pPr>
              <w:pStyle w:val="Compact"/>
              <w:spacing w:before="20" w:after="20" w:line="240" w:lineRule="auto"/>
              <w:jc w:val="right"/>
            </w:pPr>
            <w:r>
              <w:rPr>
                <w:rFonts w:ascii="Liberation Sans Narrow" w:hAnsi="Liberation Sans Narrow"/>
                <w:b/>
                <w:sz w:val="18"/>
              </w:rPr>
              <w:t xml:space="preserve">61</w:t>
            </w:r>
          </w:p>
        </w:tc>
        <w:tc>
          <w:tcPr>
            <w:tcW w:type="dxa" w:w="1608"/>
          </w:tcPr>
          <w:p>
            <w:pPr>
              <w:pStyle w:val="Compact"/>
              <w:spacing w:before="20" w:after="20" w:line="240" w:lineRule="auto"/>
              <w:jc w:val="left"/>
            </w:pPr>
            <w:r>
              <w:rPr>
                <w:rFonts w:ascii="Liberation Sans Narrow" w:hAnsi="Liberation Sans Narrow"/>
                <w:b w:val="0"/>
                <w:sz w:val="18"/>
              </w:rPr>
              <w:t xml:space="preserve">Art. 570</w:t>
            </w:r>
          </w:p>
        </w:tc>
        <w:tc>
          <w:tcPr>
            <w:tcW w:type="dxa" w:w="731"/>
          </w:tcPr>
          <w:p>
            <w:pPr>
              <w:pStyle w:val="Compact"/>
              <w:spacing w:before="20" w:after="20" w:line="240" w:lineRule="auto"/>
              <w:jc w:val="right"/>
            </w:pPr>
            <w:r>
              <w:rPr>
                <w:rFonts w:ascii="Liberation Sans Narrow" w:hAnsi="Liberation Sans Narrow"/>
                <w:b/>
                <w:sz w:val="18"/>
              </w:rPr>
              <w:t xml:space="preserve">145</w:t>
            </w:r>
          </w:p>
        </w:tc>
        <w:tc>
          <w:tcPr>
            <w:tcW w:type="dxa" w:w="1608"/>
          </w:tcPr>
          <w:p>
            <w:pPr>
              <w:pStyle w:val="Compact"/>
              <w:spacing w:before="20" w:after="20" w:line="240" w:lineRule="auto"/>
              <w:jc w:val="left"/>
            </w:pPr>
            <w:r>
              <w:rPr>
                <w:rFonts w:ascii="Liberation Sans Narrow" w:hAnsi="Liberation Sans Narrow"/>
                <w:b w:val="0"/>
                <w:sz w:val="18"/>
              </w:rPr>
              <w:t xml:space="preserve">Art. 759</w:t>
            </w:r>
          </w:p>
        </w:tc>
        <w:tc>
          <w:tcPr>
            <w:tcW w:type="dxa" w:w="731"/>
          </w:tcPr>
          <w:p>
            <w:pPr>
              <w:pStyle w:val="Compact"/>
              <w:spacing w:before="20" w:after="20" w:line="240" w:lineRule="auto"/>
              <w:jc w:val="right"/>
            </w:pPr>
            <w:r>
              <w:rPr>
                <w:rFonts w:ascii="Liberation Sans Narrow" w:hAnsi="Liberation Sans Narrow"/>
                <w:b/>
                <w:sz w:val="18"/>
              </w:rPr>
              <w:t xml:space="preserve">205</w:t>
            </w:r>
          </w:p>
        </w:tc>
        <w:tc>
          <w:tcPr>
            <w:tcW w:type="dxa" w:w="1608"/>
          </w:tcPr>
          <w:p>
            <w:pPr>
              <w:pStyle w:val="Compact"/>
              <w:spacing w:before="20" w:after="20" w:line="240" w:lineRule="auto"/>
              <w:jc w:val="left"/>
            </w:pPr>
            <w:r>
              <w:rPr>
                <w:rFonts w:ascii="Liberation Sans Narrow" w:hAnsi="Liberation Sans Narrow"/>
                <w:b w:val="0"/>
                <w:sz w:val="18"/>
              </w:rPr>
              <w:t xml:space="preserve">Art. 948</w:t>
            </w:r>
          </w:p>
        </w:tc>
        <w:tc>
          <w:tcPr>
            <w:tcW w:type="dxa" w:w="731"/>
          </w:tcPr>
          <w:p>
            <w:pPr>
              <w:pStyle w:val="Compact"/>
              <w:spacing w:before="20" w:after="20" w:line="240" w:lineRule="auto"/>
              <w:jc w:val="right"/>
            </w:pPr>
            <w:r>
              <w:rPr>
                <w:rFonts w:ascii="Liberation Sans Narrow" w:hAnsi="Liberation Sans Narrow"/>
                <w:b/>
                <w:sz w:val="18"/>
              </w:rPr>
              <w:t xml:space="preserve">278</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382</w:t>
            </w:r>
          </w:p>
        </w:tc>
        <w:tc>
          <w:tcPr>
            <w:tcW w:type="dxa" w:w="731"/>
          </w:tcPr>
          <w:p>
            <w:pPr>
              <w:pStyle w:val="Compact"/>
              <w:spacing w:before="20" w:after="20" w:line="240" w:lineRule="auto"/>
              <w:jc w:val="right"/>
            </w:pPr>
            <w:r>
              <w:rPr>
                <w:rFonts w:ascii="Liberation Sans Narrow" w:hAnsi="Liberation Sans Narrow"/>
                <w:b/>
                <w:sz w:val="18"/>
              </w:rPr>
              <w:t xml:space="preserve">62</w:t>
            </w:r>
          </w:p>
        </w:tc>
        <w:tc>
          <w:tcPr>
            <w:tcW w:type="dxa" w:w="1608"/>
          </w:tcPr>
          <w:p>
            <w:pPr>
              <w:pStyle w:val="Compact"/>
              <w:spacing w:before="20" w:after="20" w:line="240" w:lineRule="auto"/>
              <w:jc w:val="left"/>
            </w:pPr>
            <w:r>
              <w:rPr>
                <w:rFonts w:ascii="Liberation Sans Narrow" w:hAnsi="Liberation Sans Narrow"/>
                <w:b w:val="0"/>
                <w:sz w:val="18"/>
              </w:rPr>
              <w:t xml:space="preserve">Art. 571</w:t>
            </w:r>
          </w:p>
        </w:tc>
        <w:tc>
          <w:tcPr>
            <w:tcW w:type="dxa" w:w="731"/>
          </w:tcPr>
          <w:p>
            <w:pPr>
              <w:pStyle w:val="Compact"/>
              <w:spacing w:before="20" w:after="20" w:line="240" w:lineRule="auto"/>
              <w:jc w:val="right"/>
            </w:pPr>
            <w:r>
              <w:rPr>
                <w:rFonts w:ascii="Liberation Sans Narrow" w:hAnsi="Liberation Sans Narrow"/>
                <w:b/>
                <w:sz w:val="18"/>
              </w:rPr>
              <w:t xml:space="preserve">145</w:t>
            </w:r>
          </w:p>
        </w:tc>
        <w:tc>
          <w:tcPr>
            <w:tcW w:type="dxa" w:w="1608"/>
          </w:tcPr>
          <w:p>
            <w:pPr>
              <w:pStyle w:val="Compact"/>
              <w:spacing w:before="20" w:after="20" w:line="240" w:lineRule="auto"/>
              <w:jc w:val="left"/>
            </w:pPr>
            <w:r>
              <w:rPr>
                <w:rFonts w:ascii="Liberation Sans Narrow" w:hAnsi="Liberation Sans Narrow"/>
                <w:b w:val="0"/>
                <w:sz w:val="18"/>
              </w:rPr>
              <w:t xml:space="preserve">Art. 760</w:t>
            </w:r>
          </w:p>
        </w:tc>
        <w:tc>
          <w:tcPr>
            <w:tcW w:type="dxa" w:w="731"/>
          </w:tcPr>
          <w:p>
            <w:pPr>
              <w:pStyle w:val="Compact"/>
              <w:spacing w:before="20" w:after="20" w:line="240" w:lineRule="auto"/>
              <w:jc w:val="right"/>
            </w:pPr>
            <w:r>
              <w:rPr>
                <w:rFonts w:ascii="Liberation Sans Narrow" w:hAnsi="Liberation Sans Narrow"/>
                <w:b/>
                <w:sz w:val="18"/>
              </w:rPr>
              <w:t xml:space="preserve">205</w:t>
            </w:r>
          </w:p>
        </w:tc>
        <w:tc>
          <w:tcPr>
            <w:tcW w:type="dxa" w:w="1608"/>
          </w:tcPr>
          <w:p>
            <w:pPr>
              <w:pStyle w:val="Compact"/>
              <w:spacing w:before="20" w:after="20" w:line="240" w:lineRule="auto"/>
              <w:jc w:val="left"/>
            </w:pPr>
            <w:r>
              <w:rPr>
                <w:rFonts w:ascii="Liberation Sans Narrow" w:hAnsi="Liberation Sans Narrow"/>
                <w:b w:val="0"/>
                <w:sz w:val="18"/>
              </w:rPr>
              <w:t xml:space="preserve">Art. 949</w:t>
            </w:r>
          </w:p>
        </w:tc>
        <w:tc>
          <w:tcPr>
            <w:tcW w:type="dxa" w:w="731"/>
          </w:tcPr>
          <w:p>
            <w:pPr>
              <w:pStyle w:val="Compact"/>
              <w:spacing w:before="20" w:after="20" w:line="240" w:lineRule="auto"/>
              <w:jc w:val="right"/>
            </w:pPr>
            <w:r>
              <w:rPr>
                <w:rFonts w:ascii="Liberation Sans Narrow" w:hAnsi="Liberation Sans Narrow"/>
                <w:b/>
                <w:sz w:val="18"/>
              </w:rPr>
              <w:t xml:space="preserve">278</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383</w:t>
            </w:r>
          </w:p>
        </w:tc>
        <w:tc>
          <w:tcPr>
            <w:tcW w:type="dxa" w:w="731"/>
          </w:tcPr>
          <w:p>
            <w:pPr>
              <w:pStyle w:val="Compact"/>
              <w:spacing w:before="20" w:after="20" w:line="240" w:lineRule="auto"/>
              <w:jc w:val="right"/>
            </w:pPr>
            <w:r>
              <w:rPr>
                <w:rFonts w:ascii="Liberation Sans Narrow" w:hAnsi="Liberation Sans Narrow"/>
                <w:b/>
                <w:sz w:val="18"/>
              </w:rPr>
              <w:t xml:space="preserve">63</w:t>
            </w:r>
          </w:p>
        </w:tc>
        <w:tc>
          <w:tcPr>
            <w:tcW w:type="dxa" w:w="1608"/>
          </w:tcPr>
          <w:p>
            <w:pPr>
              <w:pStyle w:val="Compact"/>
              <w:spacing w:before="20" w:after="20" w:line="240" w:lineRule="auto"/>
              <w:jc w:val="left"/>
            </w:pPr>
            <w:r>
              <w:rPr>
                <w:rFonts w:ascii="Liberation Sans Narrow" w:hAnsi="Liberation Sans Narrow"/>
                <w:b w:val="0"/>
                <w:sz w:val="18"/>
              </w:rPr>
              <w:t xml:space="preserve">Art. 572</w:t>
            </w:r>
          </w:p>
        </w:tc>
        <w:tc>
          <w:tcPr>
            <w:tcW w:type="dxa" w:w="731"/>
          </w:tcPr>
          <w:p>
            <w:pPr>
              <w:pStyle w:val="Compact"/>
              <w:spacing w:before="20" w:after="20" w:line="240" w:lineRule="auto"/>
              <w:jc w:val="right"/>
            </w:pPr>
            <w:r>
              <w:rPr>
                <w:rFonts w:ascii="Liberation Sans Narrow" w:hAnsi="Liberation Sans Narrow"/>
                <w:b/>
                <w:sz w:val="18"/>
              </w:rPr>
              <w:t xml:space="preserve">145</w:t>
            </w:r>
          </w:p>
        </w:tc>
        <w:tc>
          <w:tcPr>
            <w:tcW w:type="dxa" w:w="1608"/>
          </w:tcPr>
          <w:p>
            <w:pPr>
              <w:pStyle w:val="Compact"/>
              <w:spacing w:before="20" w:after="20" w:line="240" w:lineRule="auto"/>
              <w:jc w:val="left"/>
            </w:pPr>
            <w:r>
              <w:rPr>
                <w:rFonts w:ascii="Liberation Sans Narrow" w:hAnsi="Liberation Sans Narrow"/>
                <w:b w:val="0"/>
                <w:sz w:val="18"/>
              </w:rPr>
              <w:t xml:space="preserve">Art. 761</w:t>
            </w:r>
          </w:p>
        </w:tc>
        <w:tc>
          <w:tcPr>
            <w:tcW w:type="dxa" w:w="731"/>
          </w:tcPr>
          <w:p>
            <w:pPr>
              <w:pStyle w:val="Compact"/>
              <w:spacing w:before="20" w:after="20" w:line="240" w:lineRule="auto"/>
              <w:jc w:val="right"/>
            </w:pPr>
            <w:r>
              <w:rPr>
                <w:rFonts w:ascii="Liberation Sans Narrow" w:hAnsi="Liberation Sans Narrow"/>
                <w:b/>
                <w:sz w:val="18"/>
              </w:rPr>
              <w:t xml:space="preserve">205</w:t>
            </w:r>
          </w:p>
        </w:tc>
        <w:tc>
          <w:tcPr>
            <w:tcW w:type="dxa" w:w="1608"/>
          </w:tcPr>
          <w:p>
            <w:pPr>
              <w:pStyle w:val="Compact"/>
              <w:spacing w:before="20" w:after="20" w:line="240" w:lineRule="auto"/>
              <w:jc w:val="left"/>
            </w:pPr>
            <w:r>
              <w:rPr>
                <w:rFonts w:ascii="Liberation Sans Narrow" w:hAnsi="Liberation Sans Narrow"/>
                <w:b w:val="0"/>
                <w:sz w:val="18"/>
              </w:rPr>
              <w:t xml:space="preserve">Art. 950</w:t>
            </w:r>
          </w:p>
        </w:tc>
        <w:tc>
          <w:tcPr>
            <w:tcW w:type="dxa" w:w="731"/>
          </w:tcPr>
          <w:p>
            <w:pPr>
              <w:pStyle w:val="Compact"/>
              <w:spacing w:before="20" w:after="20" w:line="240" w:lineRule="auto"/>
              <w:jc w:val="right"/>
            </w:pPr>
            <w:r>
              <w:rPr>
                <w:rFonts w:ascii="Liberation Sans Narrow" w:hAnsi="Liberation Sans Narrow"/>
                <w:b/>
                <w:sz w:val="18"/>
              </w:rPr>
              <w:t xml:space="preserve">278</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384</w:t>
            </w:r>
          </w:p>
        </w:tc>
        <w:tc>
          <w:tcPr>
            <w:tcW w:type="dxa" w:w="731"/>
          </w:tcPr>
          <w:p>
            <w:pPr>
              <w:pStyle w:val="Compact"/>
              <w:spacing w:before="20" w:after="20" w:line="240" w:lineRule="auto"/>
              <w:jc w:val="right"/>
            </w:pPr>
            <w:r>
              <w:rPr>
                <w:rFonts w:ascii="Liberation Sans Narrow" w:hAnsi="Liberation Sans Narrow"/>
                <w:b/>
                <w:sz w:val="18"/>
              </w:rPr>
              <w:t xml:space="preserve">63</w:t>
            </w:r>
          </w:p>
        </w:tc>
        <w:tc>
          <w:tcPr>
            <w:tcW w:type="dxa" w:w="1608"/>
          </w:tcPr>
          <w:p>
            <w:pPr>
              <w:pStyle w:val="Compact"/>
              <w:spacing w:before="20" w:after="20" w:line="240" w:lineRule="auto"/>
              <w:jc w:val="left"/>
            </w:pPr>
            <w:r>
              <w:rPr>
                <w:rFonts w:ascii="Liberation Sans Narrow" w:hAnsi="Liberation Sans Narrow"/>
                <w:b w:val="0"/>
                <w:sz w:val="18"/>
              </w:rPr>
              <w:t xml:space="preserve">Art. 573</w:t>
            </w:r>
          </w:p>
        </w:tc>
        <w:tc>
          <w:tcPr>
            <w:tcW w:type="dxa" w:w="731"/>
          </w:tcPr>
          <w:p>
            <w:pPr>
              <w:pStyle w:val="Compact"/>
              <w:spacing w:before="20" w:after="20" w:line="240" w:lineRule="auto"/>
              <w:jc w:val="right"/>
            </w:pPr>
            <w:r>
              <w:rPr>
                <w:rFonts w:ascii="Liberation Sans Narrow" w:hAnsi="Liberation Sans Narrow"/>
                <w:b/>
                <w:sz w:val="18"/>
              </w:rPr>
              <w:t xml:space="preserve">145</w:t>
            </w:r>
          </w:p>
        </w:tc>
        <w:tc>
          <w:tcPr>
            <w:tcW w:type="dxa" w:w="1608"/>
          </w:tcPr>
          <w:p>
            <w:pPr>
              <w:pStyle w:val="Compact"/>
              <w:spacing w:before="20" w:after="20" w:line="240" w:lineRule="auto"/>
              <w:jc w:val="left"/>
            </w:pPr>
            <w:r>
              <w:rPr>
                <w:rFonts w:ascii="Liberation Sans Narrow" w:hAnsi="Liberation Sans Narrow"/>
                <w:b w:val="0"/>
                <w:sz w:val="18"/>
              </w:rPr>
              <w:t xml:space="preserve">Art. 762</w:t>
            </w:r>
          </w:p>
        </w:tc>
        <w:tc>
          <w:tcPr>
            <w:tcW w:type="dxa" w:w="731"/>
          </w:tcPr>
          <w:p>
            <w:pPr>
              <w:pStyle w:val="Compact"/>
              <w:spacing w:before="20" w:after="20" w:line="240" w:lineRule="auto"/>
              <w:jc w:val="right"/>
            </w:pPr>
            <w:r>
              <w:rPr>
                <w:rFonts w:ascii="Liberation Sans Narrow" w:hAnsi="Liberation Sans Narrow"/>
                <w:b/>
                <w:sz w:val="18"/>
              </w:rPr>
              <w:t xml:space="preserve">205</w:t>
            </w:r>
          </w:p>
        </w:tc>
        <w:tc>
          <w:tcPr>
            <w:tcW w:type="dxa" w:w="1608"/>
          </w:tcPr>
          <w:p>
            <w:pPr>
              <w:pStyle w:val="Compact"/>
              <w:spacing w:before="20" w:after="20" w:line="240" w:lineRule="auto"/>
              <w:jc w:val="left"/>
            </w:pPr>
            <w:r>
              <w:rPr>
                <w:rFonts w:ascii="Liberation Sans Narrow" w:hAnsi="Liberation Sans Narrow"/>
                <w:b w:val="0"/>
                <w:sz w:val="18"/>
              </w:rPr>
              <w:t xml:space="preserve">Art. 951</w:t>
            </w:r>
          </w:p>
        </w:tc>
        <w:tc>
          <w:tcPr>
            <w:tcW w:type="dxa" w:w="731"/>
          </w:tcPr>
          <w:p>
            <w:pPr>
              <w:pStyle w:val="Compact"/>
              <w:spacing w:before="20" w:after="20" w:line="240" w:lineRule="auto"/>
              <w:jc w:val="right"/>
            </w:pPr>
            <w:r>
              <w:rPr>
                <w:rFonts w:ascii="Liberation Sans Narrow" w:hAnsi="Liberation Sans Narrow"/>
                <w:b/>
                <w:sz w:val="18"/>
              </w:rPr>
              <w:t xml:space="preserve">279</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385</w:t>
            </w:r>
          </w:p>
        </w:tc>
        <w:tc>
          <w:tcPr>
            <w:tcW w:type="dxa" w:w="731"/>
          </w:tcPr>
          <w:p>
            <w:pPr>
              <w:pStyle w:val="Compact"/>
              <w:spacing w:before="20" w:after="20" w:line="240" w:lineRule="auto"/>
              <w:jc w:val="right"/>
            </w:pPr>
            <w:r>
              <w:rPr>
                <w:rFonts w:ascii="Liberation Sans Narrow" w:hAnsi="Liberation Sans Narrow"/>
                <w:b/>
                <w:sz w:val="18"/>
              </w:rPr>
              <w:t xml:space="preserve">63</w:t>
            </w:r>
          </w:p>
        </w:tc>
        <w:tc>
          <w:tcPr>
            <w:tcW w:type="dxa" w:w="1608"/>
          </w:tcPr>
          <w:p>
            <w:pPr>
              <w:pStyle w:val="Compact"/>
              <w:spacing w:before="20" w:after="20" w:line="240" w:lineRule="auto"/>
              <w:jc w:val="left"/>
            </w:pPr>
            <w:r>
              <w:rPr>
                <w:rFonts w:ascii="Liberation Sans Narrow" w:hAnsi="Liberation Sans Narrow"/>
                <w:b w:val="0"/>
                <w:sz w:val="18"/>
              </w:rPr>
              <w:t xml:space="preserve">Art. 574</w:t>
            </w:r>
          </w:p>
        </w:tc>
        <w:tc>
          <w:tcPr>
            <w:tcW w:type="dxa" w:w="731"/>
          </w:tcPr>
          <w:p>
            <w:pPr>
              <w:pStyle w:val="Compact"/>
              <w:spacing w:before="20" w:after="20" w:line="240" w:lineRule="auto"/>
              <w:jc w:val="right"/>
            </w:pPr>
            <w:r>
              <w:rPr>
                <w:rFonts w:ascii="Liberation Sans Narrow" w:hAnsi="Liberation Sans Narrow"/>
                <w:b/>
                <w:sz w:val="18"/>
              </w:rPr>
              <w:t xml:space="preserve">145</w:t>
            </w:r>
          </w:p>
        </w:tc>
        <w:tc>
          <w:tcPr>
            <w:tcW w:type="dxa" w:w="1608"/>
          </w:tcPr>
          <w:p>
            <w:pPr>
              <w:pStyle w:val="Compact"/>
              <w:spacing w:before="20" w:after="20" w:line="240" w:lineRule="auto"/>
              <w:jc w:val="left"/>
            </w:pPr>
            <w:r>
              <w:rPr>
                <w:rFonts w:ascii="Liberation Sans Narrow" w:hAnsi="Liberation Sans Narrow"/>
                <w:b w:val="0"/>
                <w:sz w:val="18"/>
              </w:rPr>
              <w:t xml:space="preserve">Art. 763</w:t>
            </w:r>
          </w:p>
        </w:tc>
        <w:tc>
          <w:tcPr>
            <w:tcW w:type="dxa" w:w="731"/>
          </w:tcPr>
          <w:p>
            <w:pPr>
              <w:pStyle w:val="Compact"/>
              <w:spacing w:before="20" w:after="20" w:line="240" w:lineRule="auto"/>
              <w:jc w:val="right"/>
            </w:pPr>
            <w:r>
              <w:rPr>
                <w:rFonts w:ascii="Liberation Sans Narrow" w:hAnsi="Liberation Sans Narrow"/>
                <w:b/>
                <w:sz w:val="18"/>
              </w:rPr>
              <w:t xml:space="preserve">205</w:t>
            </w:r>
          </w:p>
        </w:tc>
        <w:tc>
          <w:tcPr>
            <w:tcW w:type="dxa" w:w="1608"/>
          </w:tcPr>
          <w:p>
            <w:pPr>
              <w:pStyle w:val="Compact"/>
              <w:spacing w:before="20" w:after="20" w:line="240" w:lineRule="auto"/>
              <w:jc w:val="left"/>
            </w:pPr>
            <w:r>
              <w:rPr>
                <w:rFonts w:ascii="Liberation Sans Narrow" w:hAnsi="Liberation Sans Narrow"/>
                <w:b w:val="0"/>
                <w:sz w:val="18"/>
              </w:rPr>
              <w:t xml:space="preserve">Art. 952</w:t>
            </w:r>
          </w:p>
        </w:tc>
        <w:tc>
          <w:tcPr>
            <w:tcW w:type="dxa" w:w="731"/>
          </w:tcPr>
          <w:p>
            <w:pPr>
              <w:pStyle w:val="Compact"/>
              <w:spacing w:before="20" w:after="20" w:line="240" w:lineRule="auto"/>
              <w:jc w:val="right"/>
            </w:pPr>
            <w:r>
              <w:rPr>
                <w:rFonts w:ascii="Liberation Sans Narrow" w:hAnsi="Liberation Sans Narrow"/>
                <w:b/>
                <w:sz w:val="18"/>
              </w:rPr>
              <w:t xml:space="preserve">279</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386</w:t>
            </w:r>
          </w:p>
        </w:tc>
        <w:tc>
          <w:tcPr>
            <w:tcW w:type="dxa" w:w="731"/>
          </w:tcPr>
          <w:p>
            <w:pPr>
              <w:pStyle w:val="Compact"/>
              <w:spacing w:before="20" w:after="20" w:line="240" w:lineRule="auto"/>
              <w:jc w:val="right"/>
            </w:pPr>
            <w:r>
              <w:rPr>
                <w:rFonts w:ascii="Liberation Sans Narrow" w:hAnsi="Liberation Sans Narrow"/>
                <w:b/>
                <w:sz w:val="18"/>
              </w:rPr>
              <w:t xml:space="preserve">64</w:t>
            </w:r>
          </w:p>
        </w:tc>
        <w:tc>
          <w:tcPr>
            <w:tcW w:type="dxa" w:w="1608"/>
          </w:tcPr>
          <w:p>
            <w:pPr>
              <w:pStyle w:val="Compact"/>
              <w:spacing w:before="20" w:after="20" w:line="240" w:lineRule="auto"/>
              <w:jc w:val="left"/>
            </w:pPr>
            <w:r>
              <w:rPr>
                <w:rFonts w:ascii="Liberation Sans Narrow" w:hAnsi="Liberation Sans Narrow"/>
                <w:b w:val="0"/>
                <w:sz w:val="18"/>
              </w:rPr>
              <w:t xml:space="preserve">Art. 575</w:t>
            </w:r>
          </w:p>
        </w:tc>
        <w:tc>
          <w:tcPr>
            <w:tcW w:type="dxa" w:w="731"/>
          </w:tcPr>
          <w:p>
            <w:pPr>
              <w:pStyle w:val="Compact"/>
              <w:spacing w:before="20" w:after="20" w:line="240" w:lineRule="auto"/>
              <w:jc w:val="right"/>
            </w:pPr>
            <w:r>
              <w:rPr>
                <w:rFonts w:ascii="Liberation Sans Narrow" w:hAnsi="Liberation Sans Narrow"/>
                <w:b/>
                <w:sz w:val="18"/>
              </w:rPr>
              <w:t xml:space="preserve">146</w:t>
            </w:r>
          </w:p>
        </w:tc>
        <w:tc>
          <w:tcPr>
            <w:tcW w:type="dxa" w:w="1608"/>
          </w:tcPr>
          <w:p>
            <w:pPr>
              <w:pStyle w:val="Compact"/>
              <w:spacing w:before="20" w:after="20" w:line="240" w:lineRule="auto"/>
              <w:jc w:val="left"/>
            </w:pPr>
            <w:r>
              <w:rPr>
                <w:rFonts w:ascii="Liberation Sans Narrow" w:hAnsi="Liberation Sans Narrow"/>
                <w:b w:val="0"/>
                <w:sz w:val="18"/>
              </w:rPr>
              <w:t xml:space="preserve">Art. 764</w:t>
            </w:r>
          </w:p>
        </w:tc>
        <w:tc>
          <w:tcPr>
            <w:tcW w:type="dxa" w:w="731"/>
          </w:tcPr>
          <w:p>
            <w:pPr>
              <w:pStyle w:val="Compact"/>
              <w:spacing w:before="20" w:after="20" w:line="240" w:lineRule="auto"/>
              <w:jc w:val="right"/>
            </w:pPr>
            <w:r>
              <w:rPr>
                <w:rFonts w:ascii="Liberation Sans Narrow" w:hAnsi="Liberation Sans Narrow"/>
                <w:b/>
                <w:sz w:val="18"/>
              </w:rPr>
              <w:t xml:space="preserve">206</w:t>
            </w:r>
          </w:p>
        </w:tc>
        <w:tc>
          <w:tcPr>
            <w:tcW w:type="dxa" w:w="1608"/>
          </w:tcPr>
          <w:p>
            <w:pPr>
              <w:pStyle w:val="Compact"/>
              <w:spacing w:before="20" w:after="20" w:line="240" w:lineRule="auto"/>
              <w:jc w:val="left"/>
            </w:pPr>
            <w:r>
              <w:rPr>
                <w:rFonts w:ascii="Liberation Sans Narrow" w:hAnsi="Liberation Sans Narrow"/>
                <w:b w:val="0"/>
                <w:sz w:val="18"/>
              </w:rPr>
              <w:t xml:space="preserve">Art. 953</w:t>
            </w:r>
          </w:p>
        </w:tc>
        <w:tc>
          <w:tcPr>
            <w:tcW w:type="dxa" w:w="731"/>
          </w:tcPr>
          <w:p>
            <w:pPr>
              <w:pStyle w:val="Compact"/>
              <w:spacing w:before="20" w:after="20" w:line="240" w:lineRule="auto"/>
              <w:jc w:val="right"/>
            </w:pPr>
            <w:r>
              <w:rPr>
                <w:rFonts w:ascii="Liberation Sans Narrow" w:hAnsi="Liberation Sans Narrow"/>
                <w:b/>
                <w:sz w:val="18"/>
              </w:rPr>
              <w:t xml:space="preserve">279</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387</w:t>
            </w:r>
          </w:p>
        </w:tc>
        <w:tc>
          <w:tcPr>
            <w:tcW w:type="dxa" w:w="731"/>
          </w:tcPr>
          <w:p>
            <w:pPr>
              <w:pStyle w:val="Compact"/>
              <w:spacing w:before="20" w:after="20" w:line="240" w:lineRule="auto"/>
              <w:jc w:val="right"/>
            </w:pPr>
            <w:r>
              <w:rPr>
                <w:rFonts w:ascii="Liberation Sans Narrow" w:hAnsi="Liberation Sans Narrow"/>
                <w:b/>
                <w:sz w:val="18"/>
              </w:rPr>
              <w:t xml:space="preserve">64</w:t>
            </w:r>
          </w:p>
        </w:tc>
        <w:tc>
          <w:tcPr>
            <w:tcW w:type="dxa" w:w="1608"/>
          </w:tcPr>
          <w:p>
            <w:pPr>
              <w:pStyle w:val="Compact"/>
              <w:spacing w:before="20" w:after="20" w:line="240" w:lineRule="auto"/>
              <w:jc w:val="left"/>
            </w:pPr>
            <w:r>
              <w:rPr>
                <w:rFonts w:ascii="Liberation Sans Narrow" w:hAnsi="Liberation Sans Narrow"/>
                <w:b w:val="0"/>
                <w:sz w:val="18"/>
              </w:rPr>
              <w:t xml:space="preserve">Art. 576</w:t>
            </w:r>
          </w:p>
        </w:tc>
        <w:tc>
          <w:tcPr>
            <w:tcW w:type="dxa" w:w="731"/>
          </w:tcPr>
          <w:p>
            <w:pPr>
              <w:pStyle w:val="Compact"/>
              <w:spacing w:before="20" w:after="20" w:line="240" w:lineRule="auto"/>
              <w:jc w:val="right"/>
            </w:pPr>
            <w:r>
              <w:rPr>
                <w:rFonts w:ascii="Liberation Sans Narrow" w:hAnsi="Liberation Sans Narrow"/>
                <w:b/>
                <w:sz w:val="18"/>
              </w:rPr>
              <w:t xml:space="preserve">146</w:t>
            </w:r>
          </w:p>
        </w:tc>
        <w:tc>
          <w:tcPr>
            <w:tcW w:type="dxa" w:w="1608"/>
          </w:tcPr>
          <w:p>
            <w:pPr>
              <w:pStyle w:val="Compact"/>
              <w:spacing w:before="20" w:after="20" w:line="240" w:lineRule="auto"/>
              <w:jc w:val="left"/>
            </w:pPr>
            <w:r>
              <w:rPr>
                <w:rFonts w:ascii="Liberation Sans Narrow" w:hAnsi="Liberation Sans Narrow"/>
                <w:b w:val="0"/>
                <w:sz w:val="18"/>
              </w:rPr>
              <w:t xml:space="preserve">Art. 765</w:t>
            </w:r>
          </w:p>
        </w:tc>
        <w:tc>
          <w:tcPr>
            <w:tcW w:type="dxa" w:w="731"/>
          </w:tcPr>
          <w:p>
            <w:pPr>
              <w:pStyle w:val="Compact"/>
              <w:spacing w:before="20" w:after="20" w:line="240" w:lineRule="auto"/>
              <w:jc w:val="right"/>
            </w:pPr>
            <w:r>
              <w:rPr>
                <w:rFonts w:ascii="Liberation Sans Narrow" w:hAnsi="Liberation Sans Narrow"/>
                <w:b/>
                <w:sz w:val="18"/>
              </w:rPr>
              <w:t xml:space="preserve">206</w:t>
            </w:r>
          </w:p>
        </w:tc>
        <w:tc>
          <w:tcPr>
            <w:tcW w:type="dxa" w:w="1608"/>
          </w:tcPr>
          <w:p>
            <w:pPr>
              <w:pStyle w:val="Compact"/>
              <w:spacing w:before="20" w:after="20" w:line="240" w:lineRule="auto"/>
              <w:jc w:val="left"/>
            </w:pPr>
            <w:r>
              <w:rPr>
                <w:rFonts w:ascii="Liberation Sans Narrow" w:hAnsi="Liberation Sans Narrow"/>
                <w:b w:val="0"/>
                <w:sz w:val="18"/>
              </w:rPr>
              <w:t xml:space="preserve">Art. 954</w:t>
            </w:r>
          </w:p>
        </w:tc>
        <w:tc>
          <w:tcPr>
            <w:tcW w:type="dxa" w:w="731"/>
          </w:tcPr>
          <w:p>
            <w:pPr>
              <w:pStyle w:val="Compact"/>
              <w:spacing w:before="20" w:after="20" w:line="240" w:lineRule="auto"/>
              <w:jc w:val="right"/>
            </w:pPr>
            <w:r>
              <w:rPr>
                <w:rFonts w:ascii="Liberation Sans Narrow" w:hAnsi="Liberation Sans Narrow"/>
                <w:b/>
                <w:sz w:val="18"/>
              </w:rPr>
              <w:t xml:space="preserve">280</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388</w:t>
            </w:r>
          </w:p>
        </w:tc>
        <w:tc>
          <w:tcPr>
            <w:tcW w:type="dxa" w:w="731"/>
          </w:tcPr>
          <w:p>
            <w:pPr>
              <w:pStyle w:val="Compact"/>
              <w:spacing w:before="20" w:after="20" w:line="240" w:lineRule="auto"/>
              <w:jc w:val="right"/>
            </w:pPr>
            <w:r>
              <w:rPr>
                <w:rFonts w:ascii="Liberation Sans Narrow" w:hAnsi="Liberation Sans Narrow"/>
                <w:b/>
                <w:sz w:val="18"/>
              </w:rPr>
              <w:t xml:space="preserve">64</w:t>
            </w:r>
          </w:p>
        </w:tc>
        <w:tc>
          <w:tcPr>
            <w:tcW w:type="dxa" w:w="1608"/>
          </w:tcPr>
          <w:p>
            <w:pPr>
              <w:pStyle w:val="Compact"/>
              <w:spacing w:before="20" w:after="20" w:line="240" w:lineRule="auto"/>
              <w:jc w:val="left"/>
            </w:pPr>
            <w:r>
              <w:rPr>
                <w:rFonts w:ascii="Liberation Sans Narrow" w:hAnsi="Liberation Sans Narrow"/>
                <w:b w:val="0"/>
                <w:sz w:val="18"/>
              </w:rPr>
              <w:t xml:space="preserve">Art. 577</w:t>
            </w:r>
          </w:p>
        </w:tc>
        <w:tc>
          <w:tcPr>
            <w:tcW w:type="dxa" w:w="731"/>
          </w:tcPr>
          <w:p>
            <w:pPr>
              <w:pStyle w:val="Compact"/>
              <w:spacing w:before="20" w:after="20" w:line="240" w:lineRule="auto"/>
              <w:jc w:val="right"/>
            </w:pPr>
            <w:r>
              <w:rPr>
                <w:rFonts w:ascii="Liberation Sans Narrow" w:hAnsi="Liberation Sans Narrow"/>
                <w:b/>
                <w:sz w:val="18"/>
              </w:rPr>
              <w:t xml:space="preserve">146</w:t>
            </w:r>
          </w:p>
        </w:tc>
        <w:tc>
          <w:tcPr>
            <w:tcW w:type="dxa" w:w="1608"/>
          </w:tcPr>
          <w:p>
            <w:pPr>
              <w:pStyle w:val="Compact"/>
              <w:spacing w:before="20" w:after="20" w:line="240" w:lineRule="auto"/>
              <w:jc w:val="left"/>
            </w:pPr>
            <w:r>
              <w:rPr>
                <w:rFonts w:ascii="Liberation Sans Narrow" w:hAnsi="Liberation Sans Narrow"/>
                <w:b w:val="0"/>
                <w:sz w:val="18"/>
              </w:rPr>
              <w:t xml:space="preserve">Art. 766</w:t>
            </w:r>
          </w:p>
        </w:tc>
        <w:tc>
          <w:tcPr>
            <w:tcW w:type="dxa" w:w="731"/>
          </w:tcPr>
          <w:p>
            <w:pPr>
              <w:pStyle w:val="Compact"/>
              <w:spacing w:before="20" w:after="20" w:line="240" w:lineRule="auto"/>
              <w:jc w:val="right"/>
            </w:pPr>
            <w:r>
              <w:rPr>
                <w:rFonts w:ascii="Liberation Sans Narrow" w:hAnsi="Liberation Sans Narrow"/>
                <w:b/>
                <w:sz w:val="18"/>
              </w:rPr>
              <w:t xml:space="preserve">206</w:t>
            </w:r>
          </w:p>
        </w:tc>
        <w:tc>
          <w:tcPr>
            <w:tcW w:type="dxa" w:w="1608"/>
          </w:tcPr>
          <w:p>
            <w:pPr>
              <w:pStyle w:val="Compact"/>
              <w:spacing w:before="20" w:after="20" w:line="240" w:lineRule="auto"/>
              <w:jc w:val="left"/>
            </w:pPr>
            <w:r>
              <w:rPr>
                <w:rFonts w:ascii="Liberation Sans Narrow" w:hAnsi="Liberation Sans Narrow"/>
                <w:b w:val="0"/>
                <w:sz w:val="18"/>
              </w:rPr>
              <w:t xml:space="preserve">Art. 955</w:t>
            </w:r>
          </w:p>
        </w:tc>
        <w:tc>
          <w:tcPr>
            <w:tcW w:type="dxa" w:w="731"/>
          </w:tcPr>
          <w:p>
            <w:pPr>
              <w:pStyle w:val="Compact"/>
              <w:spacing w:before="20" w:after="20" w:line="240" w:lineRule="auto"/>
              <w:jc w:val="right"/>
            </w:pPr>
            <w:r>
              <w:rPr>
                <w:rFonts w:ascii="Liberation Sans Narrow" w:hAnsi="Liberation Sans Narrow"/>
                <w:b/>
                <w:sz w:val="18"/>
              </w:rPr>
              <w:t xml:space="preserve">280</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389</w:t>
            </w:r>
          </w:p>
        </w:tc>
        <w:tc>
          <w:tcPr>
            <w:tcW w:type="dxa" w:w="731"/>
          </w:tcPr>
          <w:p>
            <w:pPr>
              <w:pStyle w:val="Compact"/>
              <w:spacing w:before="20" w:after="20" w:line="240" w:lineRule="auto"/>
              <w:jc w:val="right"/>
            </w:pPr>
            <w:r>
              <w:rPr>
                <w:rFonts w:ascii="Liberation Sans Narrow" w:hAnsi="Liberation Sans Narrow"/>
                <w:b/>
                <w:sz w:val="18"/>
              </w:rPr>
              <w:t xml:space="preserve">64</w:t>
            </w:r>
          </w:p>
        </w:tc>
        <w:tc>
          <w:tcPr>
            <w:tcW w:type="dxa" w:w="1608"/>
          </w:tcPr>
          <w:p>
            <w:pPr>
              <w:pStyle w:val="Compact"/>
              <w:spacing w:before="20" w:after="20" w:line="240" w:lineRule="auto"/>
              <w:jc w:val="left"/>
            </w:pPr>
            <w:r>
              <w:rPr>
                <w:rFonts w:ascii="Liberation Sans Narrow" w:hAnsi="Liberation Sans Narrow"/>
                <w:b w:val="0"/>
                <w:sz w:val="18"/>
              </w:rPr>
              <w:t xml:space="preserve">Art. 578</w:t>
            </w:r>
          </w:p>
        </w:tc>
        <w:tc>
          <w:tcPr>
            <w:tcW w:type="dxa" w:w="731"/>
          </w:tcPr>
          <w:p>
            <w:pPr>
              <w:pStyle w:val="Compact"/>
              <w:spacing w:before="20" w:after="20" w:line="240" w:lineRule="auto"/>
              <w:jc w:val="right"/>
            </w:pPr>
            <w:r>
              <w:rPr>
                <w:rFonts w:ascii="Liberation Sans Narrow" w:hAnsi="Liberation Sans Narrow"/>
                <w:b/>
                <w:sz w:val="18"/>
              </w:rPr>
              <w:t xml:space="preserve">146</w:t>
            </w:r>
          </w:p>
        </w:tc>
        <w:tc>
          <w:tcPr>
            <w:tcW w:type="dxa" w:w="1608"/>
          </w:tcPr>
          <w:p>
            <w:pPr>
              <w:pStyle w:val="Compact"/>
              <w:spacing w:before="20" w:after="20" w:line="240" w:lineRule="auto"/>
              <w:jc w:val="left"/>
            </w:pPr>
            <w:r>
              <w:rPr>
                <w:rFonts w:ascii="Liberation Sans Narrow" w:hAnsi="Liberation Sans Narrow"/>
                <w:b w:val="0"/>
                <w:sz w:val="18"/>
              </w:rPr>
              <w:t xml:space="preserve">Art. 767</w:t>
            </w:r>
          </w:p>
        </w:tc>
        <w:tc>
          <w:tcPr>
            <w:tcW w:type="dxa" w:w="731"/>
          </w:tcPr>
          <w:p>
            <w:pPr>
              <w:pStyle w:val="Compact"/>
              <w:spacing w:before="20" w:after="20" w:line="240" w:lineRule="auto"/>
              <w:jc w:val="right"/>
            </w:pPr>
            <w:r>
              <w:rPr>
                <w:rFonts w:ascii="Liberation Sans Narrow" w:hAnsi="Liberation Sans Narrow"/>
                <w:b/>
                <w:sz w:val="18"/>
              </w:rPr>
              <w:t xml:space="preserve">207</w:t>
            </w:r>
          </w:p>
        </w:tc>
        <w:tc>
          <w:tcPr>
            <w:tcW w:type="dxa" w:w="1608"/>
          </w:tcPr>
          <w:p>
            <w:pPr>
              <w:pStyle w:val="Compact"/>
              <w:spacing w:before="20" w:after="20" w:line="240" w:lineRule="auto"/>
              <w:jc w:val="left"/>
            </w:pPr>
            <w:r>
              <w:rPr>
                <w:rFonts w:ascii="Liberation Sans Narrow" w:hAnsi="Liberation Sans Narrow"/>
                <w:b w:val="0"/>
                <w:sz w:val="18"/>
              </w:rPr>
              <w:t xml:space="preserve">Art. 956</w:t>
            </w:r>
          </w:p>
        </w:tc>
        <w:tc>
          <w:tcPr>
            <w:tcW w:type="dxa" w:w="731"/>
          </w:tcPr>
          <w:p>
            <w:pPr>
              <w:pStyle w:val="Compact"/>
              <w:spacing w:before="20" w:after="20" w:line="240" w:lineRule="auto"/>
              <w:jc w:val="right"/>
            </w:pPr>
            <w:r>
              <w:rPr>
                <w:rFonts w:ascii="Liberation Sans Narrow" w:hAnsi="Liberation Sans Narrow"/>
                <w:b/>
                <w:sz w:val="18"/>
              </w:rPr>
              <w:t xml:space="preserve">280</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390</w:t>
            </w:r>
          </w:p>
        </w:tc>
        <w:tc>
          <w:tcPr>
            <w:tcW w:type="dxa" w:w="731"/>
          </w:tcPr>
          <w:p>
            <w:pPr>
              <w:pStyle w:val="Compact"/>
              <w:spacing w:before="20" w:after="20" w:line="240" w:lineRule="auto"/>
              <w:jc w:val="right"/>
            </w:pPr>
            <w:r>
              <w:rPr>
                <w:rFonts w:ascii="Liberation Sans Narrow" w:hAnsi="Liberation Sans Narrow"/>
                <w:b/>
                <w:sz w:val="18"/>
              </w:rPr>
              <w:t xml:space="preserve">65</w:t>
            </w:r>
          </w:p>
        </w:tc>
        <w:tc>
          <w:tcPr>
            <w:tcW w:type="dxa" w:w="1608"/>
          </w:tcPr>
          <w:p>
            <w:pPr>
              <w:pStyle w:val="Compact"/>
              <w:spacing w:before="20" w:after="20" w:line="240" w:lineRule="auto"/>
              <w:jc w:val="left"/>
            </w:pPr>
            <w:r>
              <w:rPr>
                <w:rFonts w:ascii="Liberation Sans Narrow" w:hAnsi="Liberation Sans Narrow"/>
                <w:b w:val="0"/>
                <w:sz w:val="18"/>
              </w:rPr>
              <w:t xml:space="preserve">Art. 579</w:t>
            </w:r>
          </w:p>
        </w:tc>
        <w:tc>
          <w:tcPr>
            <w:tcW w:type="dxa" w:w="731"/>
          </w:tcPr>
          <w:p>
            <w:pPr>
              <w:pStyle w:val="Compact"/>
              <w:spacing w:before="20" w:after="20" w:line="240" w:lineRule="auto"/>
              <w:jc w:val="right"/>
            </w:pPr>
            <w:r>
              <w:rPr>
                <w:rFonts w:ascii="Liberation Sans Narrow" w:hAnsi="Liberation Sans Narrow"/>
                <w:b/>
                <w:sz w:val="18"/>
              </w:rPr>
              <w:t xml:space="preserve">146</w:t>
            </w:r>
          </w:p>
        </w:tc>
        <w:tc>
          <w:tcPr>
            <w:tcW w:type="dxa" w:w="1608"/>
          </w:tcPr>
          <w:p>
            <w:pPr>
              <w:pStyle w:val="Compact"/>
              <w:spacing w:before="20" w:after="20" w:line="240" w:lineRule="auto"/>
              <w:jc w:val="left"/>
            </w:pPr>
            <w:r>
              <w:rPr>
                <w:rFonts w:ascii="Liberation Sans Narrow" w:hAnsi="Liberation Sans Narrow"/>
                <w:b w:val="0"/>
                <w:sz w:val="18"/>
              </w:rPr>
              <w:t xml:space="preserve">Art. 768</w:t>
            </w:r>
          </w:p>
        </w:tc>
        <w:tc>
          <w:tcPr>
            <w:tcW w:type="dxa" w:w="731"/>
          </w:tcPr>
          <w:p>
            <w:pPr>
              <w:pStyle w:val="Compact"/>
              <w:spacing w:before="20" w:after="20" w:line="240" w:lineRule="auto"/>
              <w:jc w:val="right"/>
            </w:pPr>
            <w:r>
              <w:rPr>
                <w:rFonts w:ascii="Liberation Sans Narrow" w:hAnsi="Liberation Sans Narrow"/>
                <w:b/>
                <w:sz w:val="18"/>
              </w:rPr>
              <w:t xml:space="preserve">207</w:t>
            </w:r>
          </w:p>
        </w:tc>
        <w:tc>
          <w:tcPr>
            <w:tcW w:type="dxa" w:w="1608"/>
          </w:tcPr>
          <w:p>
            <w:pPr>
              <w:pStyle w:val="Compact"/>
              <w:spacing w:before="20" w:after="20" w:line="240" w:lineRule="auto"/>
              <w:jc w:val="left"/>
            </w:pPr>
            <w:r>
              <w:rPr>
                <w:rFonts w:ascii="Liberation Sans Narrow" w:hAnsi="Liberation Sans Narrow"/>
                <w:b w:val="0"/>
                <w:sz w:val="18"/>
              </w:rPr>
              <w:t xml:space="preserve">Art. 957</w:t>
            </w:r>
          </w:p>
        </w:tc>
        <w:tc>
          <w:tcPr>
            <w:tcW w:type="dxa" w:w="731"/>
          </w:tcPr>
          <w:p>
            <w:pPr>
              <w:pStyle w:val="Compact"/>
              <w:spacing w:before="20" w:after="20" w:line="240" w:lineRule="auto"/>
              <w:jc w:val="right"/>
            </w:pPr>
            <w:r>
              <w:rPr>
                <w:rFonts w:ascii="Liberation Sans Narrow" w:hAnsi="Liberation Sans Narrow"/>
                <w:b/>
                <w:sz w:val="18"/>
              </w:rPr>
              <w:t xml:space="preserve">280</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391</w:t>
            </w:r>
          </w:p>
        </w:tc>
        <w:tc>
          <w:tcPr>
            <w:tcW w:type="dxa" w:w="731"/>
          </w:tcPr>
          <w:p>
            <w:pPr>
              <w:pStyle w:val="Compact"/>
              <w:spacing w:before="20" w:after="20" w:line="240" w:lineRule="auto"/>
              <w:jc w:val="right"/>
            </w:pPr>
            <w:r>
              <w:rPr>
                <w:rFonts w:ascii="Liberation Sans Narrow" w:hAnsi="Liberation Sans Narrow"/>
                <w:b/>
                <w:sz w:val="18"/>
              </w:rPr>
              <w:t xml:space="preserve">65</w:t>
            </w:r>
          </w:p>
        </w:tc>
        <w:tc>
          <w:tcPr>
            <w:tcW w:type="dxa" w:w="1608"/>
          </w:tcPr>
          <w:p>
            <w:pPr>
              <w:pStyle w:val="Compact"/>
              <w:spacing w:before="20" w:after="20" w:line="240" w:lineRule="auto"/>
              <w:jc w:val="left"/>
            </w:pPr>
            <w:r>
              <w:rPr>
                <w:rFonts w:ascii="Liberation Sans Narrow" w:hAnsi="Liberation Sans Narrow"/>
                <w:b w:val="0"/>
                <w:sz w:val="18"/>
              </w:rPr>
              <w:t xml:space="preserve">Art. 580</w:t>
            </w:r>
          </w:p>
        </w:tc>
        <w:tc>
          <w:tcPr>
            <w:tcW w:type="dxa" w:w="731"/>
          </w:tcPr>
          <w:p>
            <w:pPr>
              <w:pStyle w:val="Compact"/>
              <w:spacing w:before="20" w:after="20" w:line="240" w:lineRule="auto"/>
              <w:jc w:val="right"/>
            </w:pPr>
            <w:r>
              <w:rPr>
                <w:rFonts w:ascii="Liberation Sans Narrow" w:hAnsi="Liberation Sans Narrow"/>
                <w:b/>
                <w:sz w:val="18"/>
              </w:rPr>
              <w:t xml:space="preserve">146</w:t>
            </w:r>
          </w:p>
        </w:tc>
        <w:tc>
          <w:tcPr>
            <w:tcW w:type="dxa" w:w="1608"/>
          </w:tcPr>
          <w:p>
            <w:pPr>
              <w:pStyle w:val="Compact"/>
              <w:spacing w:before="20" w:after="20" w:line="240" w:lineRule="auto"/>
              <w:jc w:val="left"/>
            </w:pPr>
            <w:r>
              <w:rPr>
                <w:rFonts w:ascii="Liberation Sans Narrow" w:hAnsi="Liberation Sans Narrow"/>
                <w:b w:val="0"/>
                <w:sz w:val="18"/>
              </w:rPr>
              <w:t xml:space="preserve">Art. 769</w:t>
            </w:r>
          </w:p>
        </w:tc>
        <w:tc>
          <w:tcPr>
            <w:tcW w:type="dxa" w:w="731"/>
          </w:tcPr>
          <w:p>
            <w:pPr>
              <w:pStyle w:val="Compact"/>
              <w:spacing w:before="20" w:after="20" w:line="240" w:lineRule="auto"/>
              <w:jc w:val="right"/>
            </w:pPr>
            <w:r>
              <w:rPr>
                <w:rFonts w:ascii="Liberation Sans Narrow" w:hAnsi="Liberation Sans Narrow"/>
                <w:b/>
                <w:sz w:val="18"/>
              </w:rPr>
              <w:t xml:space="preserve">207</w:t>
            </w:r>
          </w:p>
        </w:tc>
        <w:tc>
          <w:tcPr>
            <w:tcW w:type="dxa" w:w="1608"/>
          </w:tcPr>
          <w:p>
            <w:pPr>
              <w:pStyle w:val="Compact"/>
              <w:spacing w:before="20" w:after="20" w:line="240" w:lineRule="auto"/>
              <w:jc w:val="left"/>
            </w:pPr>
            <w:r>
              <w:rPr>
                <w:rFonts w:ascii="Liberation Sans Narrow" w:hAnsi="Liberation Sans Narrow"/>
                <w:b w:val="0"/>
                <w:sz w:val="18"/>
              </w:rPr>
              <w:t xml:space="preserve">Art. 958</w:t>
            </w:r>
          </w:p>
        </w:tc>
        <w:tc>
          <w:tcPr>
            <w:tcW w:type="dxa" w:w="731"/>
          </w:tcPr>
          <w:p>
            <w:pPr>
              <w:pStyle w:val="Compact"/>
              <w:spacing w:before="20" w:after="20" w:line="240" w:lineRule="auto"/>
              <w:jc w:val="right"/>
            </w:pPr>
            <w:r>
              <w:rPr>
                <w:rFonts w:ascii="Liberation Sans Narrow" w:hAnsi="Liberation Sans Narrow"/>
                <w:b/>
                <w:sz w:val="18"/>
              </w:rPr>
              <w:t xml:space="preserve">280</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392</w:t>
            </w:r>
          </w:p>
        </w:tc>
        <w:tc>
          <w:tcPr>
            <w:tcW w:type="dxa" w:w="731"/>
          </w:tcPr>
          <w:p>
            <w:pPr>
              <w:pStyle w:val="Compact"/>
              <w:spacing w:before="20" w:after="20" w:line="240" w:lineRule="auto"/>
              <w:jc w:val="right"/>
            </w:pPr>
            <w:r>
              <w:rPr>
                <w:rFonts w:ascii="Liberation Sans Narrow" w:hAnsi="Liberation Sans Narrow"/>
                <w:b/>
                <w:sz w:val="18"/>
              </w:rPr>
              <w:t xml:space="preserve">65</w:t>
            </w:r>
          </w:p>
        </w:tc>
        <w:tc>
          <w:tcPr>
            <w:tcW w:type="dxa" w:w="1608"/>
          </w:tcPr>
          <w:p>
            <w:pPr>
              <w:pStyle w:val="Compact"/>
              <w:spacing w:before="20" w:after="20" w:line="240" w:lineRule="auto"/>
              <w:jc w:val="left"/>
            </w:pPr>
            <w:r>
              <w:rPr>
                <w:rFonts w:ascii="Liberation Sans Narrow" w:hAnsi="Liberation Sans Narrow"/>
                <w:b w:val="0"/>
                <w:sz w:val="18"/>
              </w:rPr>
              <w:t xml:space="preserve">Art. 581</w:t>
            </w:r>
          </w:p>
        </w:tc>
        <w:tc>
          <w:tcPr>
            <w:tcW w:type="dxa" w:w="731"/>
          </w:tcPr>
          <w:p>
            <w:pPr>
              <w:pStyle w:val="Compact"/>
              <w:spacing w:before="20" w:after="20" w:line="240" w:lineRule="auto"/>
              <w:jc w:val="right"/>
            </w:pPr>
            <w:r>
              <w:rPr>
                <w:rFonts w:ascii="Liberation Sans Narrow" w:hAnsi="Liberation Sans Narrow"/>
                <w:b/>
                <w:sz w:val="18"/>
              </w:rPr>
              <w:t xml:space="preserve">146</w:t>
            </w:r>
          </w:p>
        </w:tc>
        <w:tc>
          <w:tcPr>
            <w:tcW w:type="dxa" w:w="1608"/>
          </w:tcPr>
          <w:p>
            <w:pPr>
              <w:pStyle w:val="Compact"/>
              <w:spacing w:before="20" w:after="20" w:line="240" w:lineRule="auto"/>
              <w:jc w:val="left"/>
            </w:pPr>
            <w:r>
              <w:rPr>
                <w:rFonts w:ascii="Liberation Sans Narrow" w:hAnsi="Liberation Sans Narrow"/>
                <w:b w:val="0"/>
                <w:sz w:val="18"/>
              </w:rPr>
              <w:t xml:space="preserve">Art. 770</w:t>
            </w:r>
          </w:p>
        </w:tc>
        <w:tc>
          <w:tcPr>
            <w:tcW w:type="dxa" w:w="731"/>
          </w:tcPr>
          <w:p>
            <w:pPr>
              <w:pStyle w:val="Compact"/>
              <w:spacing w:before="20" w:after="20" w:line="240" w:lineRule="auto"/>
              <w:jc w:val="right"/>
            </w:pPr>
            <w:r>
              <w:rPr>
                <w:rFonts w:ascii="Liberation Sans Narrow" w:hAnsi="Liberation Sans Narrow"/>
                <w:b/>
                <w:sz w:val="18"/>
              </w:rPr>
              <w:t xml:space="preserve">207</w:t>
            </w:r>
          </w:p>
        </w:tc>
        <w:tc>
          <w:tcPr>
            <w:tcW w:type="dxa" w:w="1608"/>
          </w:tcPr>
          <w:p>
            <w:pPr>
              <w:pStyle w:val="Compact"/>
              <w:spacing w:before="20" w:after="20" w:line="240" w:lineRule="auto"/>
              <w:jc w:val="left"/>
            </w:pPr>
            <w:r>
              <w:rPr>
                <w:rFonts w:ascii="Liberation Sans Narrow" w:hAnsi="Liberation Sans Narrow"/>
                <w:b w:val="0"/>
                <w:sz w:val="18"/>
              </w:rPr>
              <w:t xml:space="preserve">Art. 959</w:t>
            </w:r>
          </w:p>
        </w:tc>
        <w:tc>
          <w:tcPr>
            <w:tcW w:type="dxa" w:w="731"/>
          </w:tcPr>
          <w:p>
            <w:pPr>
              <w:pStyle w:val="Compact"/>
              <w:spacing w:before="20" w:after="20" w:line="240" w:lineRule="auto"/>
              <w:jc w:val="right"/>
            </w:pPr>
            <w:r>
              <w:rPr>
                <w:rFonts w:ascii="Liberation Sans Narrow" w:hAnsi="Liberation Sans Narrow"/>
                <w:b/>
                <w:sz w:val="18"/>
              </w:rPr>
              <w:t xml:space="preserve">281</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393</w:t>
            </w:r>
          </w:p>
        </w:tc>
        <w:tc>
          <w:tcPr>
            <w:tcW w:type="dxa" w:w="731"/>
          </w:tcPr>
          <w:p>
            <w:pPr>
              <w:pStyle w:val="Compact"/>
              <w:spacing w:before="20" w:after="20" w:line="240" w:lineRule="auto"/>
              <w:jc w:val="right"/>
            </w:pPr>
            <w:r>
              <w:rPr>
                <w:rFonts w:ascii="Liberation Sans Narrow" w:hAnsi="Liberation Sans Narrow"/>
                <w:b/>
                <w:sz w:val="18"/>
              </w:rPr>
              <w:t xml:space="preserve">66</w:t>
            </w:r>
          </w:p>
        </w:tc>
        <w:tc>
          <w:tcPr>
            <w:tcW w:type="dxa" w:w="1608"/>
          </w:tcPr>
          <w:p>
            <w:pPr>
              <w:pStyle w:val="Compact"/>
              <w:spacing w:before="20" w:after="20" w:line="240" w:lineRule="auto"/>
              <w:jc w:val="left"/>
            </w:pPr>
            <w:r>
              <w:rPr>
                <w:rFonts w:ascii="Liberation Sans Narrow" w:hAnsi="Liberation Sans Narrow"/>
                <w:b w:val="0"/>
                <w:sz w:val="18"/>
              </w:rPr>
              <w:t xml:space="preserve">Art. 582</w:t>
            </w:r>
          </w:p>
        </w:tc>
        <w:tc>
          <w:tcPr>
            <w:tcW w:type="dxa" w:w="731"/>
          </w:tcPr>
          <w:p>
            <w:pPr>
              <w:pStyle w:val="Compact"/>
              <w:spacing w:before="20" w:after="20" w:line="240" w:lineRule="auto"/>
              <w:jc w:val="right"/>
            </w:pPr>
            <w:r>
              <w:rPr>
                <w:rFonts w:ascii="Liberation Sans Narrow" w:hAnsi="Liberation Sans Narrow"/>
                <w:b/>
                <w:sz w:val="18"/>
              </w:rPr>
              <w:t xml:space="preserve">146</w:t>
            </w:r>
          </w:p>
        </w:tc>
        <w:tc>
          <w:tcPr>
            <w:tcW w:type="dxa" w:w="1608"/>
          </w:tcPr>
          <w:p>
            <w:pPr>
              <w:pStyle w:val="Compact"/>
              <w:spacing w:before="20" w:after="20" w:line="240" w:lineRule="auto"/>
              <w:jc w:val="left"/>
            </w:pPr>
            <w:r>
              <w:rPr>
                <w:rFonts w:ascii="Liberation Sans Narrow" w:hAnsi="Liberation Sans Narrow"/>
                <w:b w:val="0"/>
                <w:sz w:val="18"/>
              </w:rPr>
              <w:t xml:space="preserve">Art. 771</w:t>
            </w:r>
          </w:p>
        </w:tc>
        <w:tc>
          <w:tcPr>
            <w:tcW w:type="dxa" w:w="731"/>
          </w:tcPr>
          <w:p>
            <w:pPr>
              <w:pStyle w:val="Compact"/>
              <w:spacing w:before="20" w:after="20" w:line="240" w:lineRule="auto"/>
              <w:jc w:val="right"/>
            </w:pPr>
            <w:r>
              <w:rPr>
                <w:rFonts w:ascii="Liberation Sans Narrow" w:hAnsi="Liberation Sans Narrow"/>
                <w:b/>
                <w:sz w:val="18"/>
              </w:rPr>
              <w:t xml:space="preserve">208</w:t>
            </w:r>
          </w:p>
        </w:tc>
        <w:tc>
          <w:tcPr>
            <w:tcW w:type="dxa" w:w="1608"/>
          </w:tcPr>
          <w:p>
            <w:pPr>
              <w:pStyle w:val="Compact"/>
              <w:spacing w:before="20" w:after="20" w:line="240" w:lineRule="auto"/>
              <w:jc w:val="left"/>
            </w:pPr>
            <w:r>
              <w:rPr>
                <w:rFonts w:ascii="Liberation Sans Narrow" w:hAnsi="Liberation Sans Narrow"/>
                <w:b w:val="0"/>
                <w:sz w:val="18"/>
              </w:rPr>
              <w:t xml:space="preserve">Art. 960</w:t>
            </w:r>
          </w:p>
        </w:tc>
        <w:tc>
          <w:tcPr>
            <w:tcW w:type="dxa" w:w="731"/>
          </w:tcPr>
          <w:p>
            <w:pPr>
              <w:pStyle w:val="Compact"/>
              <w:spacing w:before="20" w:after="20" w:line="240" w:lineRule="auto"/>
              <w:jc w:val="right"/>
            </w:pPr>
            <w:r>
              <w:rPr>
                <w:rFonts w:ascii="Liberation Sans Narrow" w:hAnsi="Liberation Sans Narrow"/>
                <w:b/>
                <w:sz w:val="18"/>
              </w:rPr>
              <w:t xml:space="preserve">281</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394</w:t>
            </w:r>
          </w:p>
        </w:tc>
        <w:tc>
          <w:tcPr>
            <w:tcW w:type="dxa" w:w="731"/>
          </w:tcPr>
          <w:p>
            <w:pPr>
              <w:pStyle w:val="Compact"/>
              <w:spacing w:before="20" w:after="20" w:line="240" w:lineRule="auto"/>
              <w:jc w:val="right"/>
            </w:pPr>
            <w:r>
              <w:rPr>
                <w:rFonts w:ascii="Liberation Sans Narrow" w:hAnsi="Liberation Sans Narrow"/>
                <w:b/>
                <w:sz w:val="18"/>
              </w:rPr>
              <w:t xml:space="preserve">66</w:t>
            </w:r>
          </w:p>
        </w:tc>
        <w:tc>
          <w:tcPr>
            <w:tcW w:type="dxa" w:w="1608"/>
          </w:tcPr>
          <w:p>
            <w:pPr>
              <w:pStyle w:val="Compact"/>
              <w:spacing w:before="20" w:after="20" w:line="240" w:lineRule="auto"/>
              <w:jc w:val="left"/>
            </w:pPr>
            <w:r>
              <w:rPr>
                <w:rFonts w:ascii="Liberation Sans Narrow" w:hAnsi="Liberation Sans Narrow"/>
                <w:b w:val="0"/>
                <w:sz w:val="18"/>
              </w:rPr>
              <w:t xml:space="preserve">Art. 583</w:t>
            </w:r>
          </w:p>
        </w:tc>
        <w:tc>
          <w:tcPr>
            <w:tcW w:type="dxa" w:w="731"/>
          </w:tcPr>
          <w:p>
            <w:pPr>
              <w:pStyle w:val="Compact"/>
              <w:spacing w:before="20" w:after="20" w:line="240" w:lineRule="auto"/>
              <w:jc w:val="right"/>
            </w:pPr>
            <w:r>
              <w:rPr>
                <w:rFonts w:ascii="Liberation Sans Narrow" w:hAnsi="Liberation Sans Narrow"/>
                <w:b/>
                <w:sz w:val="18"/>
              </w:rPr>
              <w:t xml:space="preserve">146</w:t>
            </w:r>
          </w:p>
        </w:tc>
        <w:tc>
          <w:tcPr>
            <w:tcW w:type="dxa" w:w="1608"/>
          </w:tcPr>
          <w:p>
            <w:pPr>
              <w:pStyle w:val="Compact"/>
              <w:spacing w:before="20" w:after="20" w:line="240" w:lineRule="auto"/>
              <w:jc w:val="left"/>
            </w:pPr>
            <w:r>
              <w:rPr>
                <w:rFonts w:ascii="Liberation Sans Narrow" w:hAnsi="Liberation Sans Narrow"/>
                <w:b w:val="0"/>
                <w:sz w:val="18"/>
              </w:rPr>
              <w:t xml:space="preserve">Art. 772</w:t>
            </w:r>
          </w:p>
        </w:tc>
        <w:tc>
          <w:tcPr>
            <w:tcW w:type="dxa" w:w="731"/>
          </w:tcPr>
          <w:p>
            <w:pPr>
              <w:pStyle w:val="Compact"/>
              <w:spacing w:before="20" w:after="20" w:line="240" w:lineRule="auto"/>
              <w:jc w:val="right"/>
            </w:pPr>
            <w:r>
              <w:rPr>
                <w:rFonts w:ascii="Liberation Sans Narrow" w:hAnsi="Liberation Sans Narrow"/>
                <w:b/>
                <w:sz w:val="18"/>
              </w:rPr>
              <w:t xml:space="preserve">208</w:t>
            </w:r>
          </w:p>
        </w:tc>
        <w:tc>
          <w:tcPr>
            <w:tcW w:type="dxa" w:w="1608"/>
          </w:tcPr>
          <w:p>
            <w:pPr>
              <w:pStyle w:val="Compact"/>
              <w:spacing w:before="20" w:after="20" w:line="240" w:lineRule="auto"/>
              <w:jc w:val="left"/>
            </w:pPr>
            <w:r>
              <w:rPr>
                <w:rFonts w:ascii="Liberation Sans Narrow" w:hAnsi="Liberation Sans Narrow"/>
                <w:b w:val="0"/>
                <w:sz w:val="18"/>
              </w:rPr>
              <w:t xml:space="preserve">Art. 961</w:t>
            </w:r>
          </w:p>
        </w:tc>
        <w:tc>
          <w:tcPr>
            <w:tcW w:type="dxa" w:w="731"/>
          </w:tcPr>
          <w:p>
            <w:pPr>
              <w:pStyle w:val="Compact"/>
              <w:spacing w:before="20" w:after="20" w:line="240" w:lineRule="auto"/>
              <w:jc w:val="right"/>
            </w:pPr>
            <w:r>
              <w:rPr>
                <w:rFonts w:ascii="Liberation Sans Narrow" w:hAnsi="Liberation Sans Narrow"/>
                <w:b/>
                <w:sz w:val="18"/>
              </w:rPr>
              <w:t xml:space="preserve">282</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395</w:t>
            </w:r>
          </w:p>
        </w:tc>
        <w:tc>
          <w:tcPr>
            <w:tcW w:type="dxa" w:w="731"/>
          </w:tcPr>
          <w:p>
            <w:pPr>
              <w:pStyle w:val="Compact"/>
              <w:spacing w:before="20" w:after="20" w:line="240" w:lineRule="auto"/>
              <w:jc w:val="right"/>
            </w:pPr>
            <w:r>
              <w:rPr>
                <w:rFonts w:ascii="Liberation Sans Narrow" w:hAnsi="Liberation Sans Narrow"/>
                <w:b/>
                <w:sz w:val="18"/>
              </w:rPr>
              <w:t xml:space="preserve">66</w:t>
            </w:r>
          </w:p>
        </w:tc>
        <w:tc>
          <w:tcPr>
            <w:tcW w:type="dxa" w:w="1608"/>
          </w:tcPr>
          <w:p>
            <w:pPr>
              <w:pStyle w:val="Compact"/>
              <w:spacing w:before="20" w:after="20" w:line="240" w:lineRule="auto"/>
              <w:jc w:val="left"/>
            </w:pPr>
            <w:r>
              <w:rPr>
                <w:rFonts w:ascii="Liberation Sans Narrow" w:hAnsi="Liberation Sans Narrow"/>
                <w:b w:val="0"/>
                <w:sz w:val="18"/>
              </w:rPr>
              <w:t xml:space="preserve">Art. 584</w:t>
            </w:r>
          </w:p>
        </w:tc>
        <w:tc>
          <w:tcPr>
            <w:tcW w:type="dxa" w:w="731"/>
          </w:tcPr>
          <w:p>
            <w:pPr>
              <w:pStyle w:val="Compact"/>
              <w:spacing w:before="20" w:after="20" w:line="240" w:lineRule="auto"/>
              <w:jc w:val="right"/>
            </w:pPr>
            <w:r>
              <w:rPr>
                <w:rFonts w:ascii="Liberation Sans Narrow" w:hAnsi="Liberation Sans Narrow"/>
                <w:b/>
                <w:sz w:val="18"/>
              </w:rPr>
              <w:t xml:space="preserve">147</w:t>
            </w:r>
          </w:p>
        </w:tc>
        <w:tc>
          <w:tcPr>
            <w:tcW w:type="dxa" w:w="1608"/>
          </w:tcPr>
          <w:p>
            <w:pPr>
              <w:pStyle w:val="Compact"/>
              <w:spacing w:before="20" w:after="20" w:line="240" w:lineRule="auto"/>
              <w:jc w:val="left"/>
            </w:pPr>
            <w:r>
              <w:rPr>
                <w:rFonts w:ascii="Liberation Sans Narrow" w:hAnsi="Liberation Sans Narrow"/>
                <w:b w:val="0"/>
                <w:sz w:val="18"/>
              </w:rPr>
              <w:t xml:space="preserve">Art. 773</w:t>
            </w:r>
          </w:p>
        </w:tc>
        <w:tc>
          <w:tcPr>
            <w:tcW w:type="dxa" w:w="731"/>
          </w:tcPr>
          <w:p>
            <w:pPr>
              <w:pStyle w:val="Compact"/>
              <w:spacing w:before="20" w:after="20" w:line="240" w:lineRule="auto"/>
              <w:jc w:val="right"/>
            </w:pPr>
            <w:r>
              <w:rPr>
                <w:rFonts w:ascii="Liberation Sans Narrow" w:hAnsi="Liberation Sans Narrow"/>
                <w:b/>
                <w:sz w:val="18"/>
              </w:rPr>
              <w:t xml:space="preserve">208</w:t>
            </w:r>
          </w:p>
        </w:tc>
        <w:tc>
          <w:tcPr>
            <w:tcW w:type="dxa" w:w="1608"/>
          </w:tcPr>
          <w:p>
            <w:pPr>
              <w:pStyle w:val="Compact"/>
              <w:spacing w:before="20" w:after="20" w:line="240" w:lineRule="auto"/>
              <w:jc w:val="left"/>
            </w:pPr>
            <w:r>
              <w:rPr>
                <w:rFonts w:ascii="Liberation Sans Narrow" w:hAnsi="Liberation Sans Narrow"/>
                <w:b w:val="0"/>
                <w:sz w:val="18"/>
              </w:rPr>
              <w:t xml:space="preserve">Art. 962</w:t>
            </w:r>
          </w:p>
        </w:tc>
        <w:tc>
          <w:tcPr>
            <w:tcW w:type="dxa" w:w="731"/>
          </w:tcPr>
          <w:p>
            <w:pPr>
              <w:pStyle w:val="Compact"/>
              <w:spacing w:before="20" w:after="20" w:line="240" w:lineRule="auto"/>
              <w:jc w:val="right"/>
            </w:pPr>
            <w:r>
              <w:rPr>
                <w:rFonts w:ascii="Liberation Sans Narrow" w:hAnsi="Liberation Sans Narrow"/>
                <w:b/>
                <w:sz w:val="18"/>
              </w:rPr>
              <w:t xml:space="preserve">282</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396</w:t>
            </w:r>
          </w:p>
        </w:tc>
        <w:tc>
          <w:tcPr>
            <w:tcW w:type="dxa" w:w="731"/>
          </w:tcPr>
          <w:p>
            <w:pPr>
              <w:pStyle w:val="Compact"/>
              <w:spacing w:before="20" w:after="20" w:line="240" w:lineRule="auto"/>
              <w:jc w:val="right"/>
            </w:pPr>
            <w:r>
              <w:rPr>
                <w:rFonts w:ascii="Liberation Sans Narrow" w:hAnsi="Liberation Sans Narrow"/>
                <w:b/>
                <w:sz w:val="18"/>
              </w:rPr>
              <w:t xml:space="preserve">66</w:t>
            </w:r>
          </w:p>
        </w:tc>
        <w:tc>
          <w:tcPr>
            <w:tcW w:type="dxa" w:w="1608"/>
          </w:tcPr>
          <w:p>
            <w:pPr>
              <w:pStyle w:val="Compact"/>
              <w:spacing w:before="20" w:after="20" w:line="240" w:lineRule="auto"/>
              <w:jc w:val="left"/>
            </w:pPr>
            <w:r>
              <w:rPr>
                <w:rFonts w:ascii="Liberation Sans Narrow" w:hAnsi="Liberation Sans Narrow"/>
                <w:b w:val="0"/>
                <w:sz w:val="18"/>
              </w:rPr>
              <w:t xml:space="preserve">Art. 585</w:t>
            </w:r>
          </w:p>
        </w:tc>
        <w:tc>
          <w:tcPr>
            <w:tcW w:type="dxa" w:w="731"/>
          </w:tcPr>
          <w:p>
            <w:pPr>
              <w:pStyle w:val="Compact"/>
              <w:spacing w:before="20" w:after="20" w:line="240" w:lineRule="auto"/>
              <w:jc w:val="right"/>
            </w:pPr>
            <w:r>
              <w:rPr>
                <w:rFonts w:ascii="Liberation Sans Narrow" w:hAnsi="Liberation Sans Narrow"/>
                <w:b/>
                <w:sz w:val="18"/>
              </w:rPr>
              <w:t xml:space="preserve">147</w:t>
            </w:r>
          </w:p>
        </w:tc>
        <w:tc>
          <w:tcPr>
            <w:tcW w:type="dxa" w:w="1608"/>
          </w:tcPr>
          <w:p>
            <w:pPr>
              <w:pStyle w:val="Compact"/>
              <w:spacing w:before="20" w:after="20" w:line="240" w:lineRule="auto"/>
              <w:jc w:val="left"/>
            </w:pPr>
            <w:r>
              <w:rPr>
                <w:rFonts w:ascii="Liberation Sans Narrow" w:hAnsi="Liberation Sans Narrow"/>
                <w:b w:val="0"/>
                <w:sz w:val="18"/>
              </w:rPr>
              <w:t xml:space="preserve">Art. 774</w:t>
            </w:r>
          </w:p>
        </w:tc>
        <w:tc>
          <w:tcPr>
            <w:tcW w:type="dxa" w:w="731"/>
          </w:tcPr>
          <w:p>
            <w:pPr>
              <w:pStyle w:val="Compact"/>
              <w:spacing w:before="20" w:after="20" w:line="240" w:lineRule="auto"/>
              <w:jc w:val="right"/>
            </w:pPr>
            <w:r>
              <w:rPr>
                <w:rFonts w:ascii="Liberation Sans Narrow" w:hAnsi="Liberation Sans Narrow"/>
                <w:b/>
                <w:sz w:val="18"/>
              </w:rPr>
              <w:t xml:space="preserve">208</w:t>
            </w:r>
          </w:p>
        </w:tc>
        <w:tc>
          <w:tcPr>
            <w:tcW w:type="dxa" w:w="1608"/>
          </w:tcPr>
          <w:p>
            <w:pPr>
              <w:pStyle w:val="Compact"/>
              <w:spacing w:before="20" w:after="20" w:line="240" w:lineRule="auto"/>
              <w:jc w:val="left"/>
            </w:pPr>
            <w:r>
              <w:rPr>
                <w:rFonts w:ascii="Liberation Sans Narrow" w:hAnsi="Liberation Sans Narrow"/>
                <w:b w:val="0"/>
                <w:sz w:val="18"/>
              </w:rPr>
              <w:t xml:space="preserve">Art. 963</w:t>
            </w:r>
          </w:p>
        </w:tc>
        <w:tc>
          <w:tcPr>
            <w:tcW w:type="dxa" w:w="731"/>
          </w:tcPr>
          <w:p>
            <w:pPr>
              <w:pStyle w:val="Compact"/>
              <w:spacing w:before="20" w:after="20" w:line="240" w:lineRule="auto"/>
              <w:jc w:val="right"/>
            </w:pPr>
            <w:r>
              <w:rPr>
                <w:rFonts w:ascii="Liberation Sans Narrow" w:hAnsi="Liberation Sans Narrow"/>
                <w:b/>
                <w:sz w:val="18"/>
              </w:rPr>
              <w:t xml:space="preserve">282</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397</w:t>
            </w:r>
          </w:p>
        </w:tc>
        <w:tc>
          <w:tcPr>
            <w:tcW w:type="dxa" w:w="731"/>
          </w:tcPr>
          <w:p>
            <w:pPr>
              <w:pStyle w:val="Compact"/>
              <w:spacing w:before="20" w:after="20" w:line="240" w:lineRule="auto"/>
              <w:jc w:val="right"/>
            </w:pPr>
            <w:r>
              <w:rPr>
                <w:rFonts w:ascii="Liberation Sans Narrow" w:hAnsi="Liberation Sans Narrow"/>
                <w:b/>
                <w:sz w:val="18"/>
              </w:rPr>
              <w:t xml:space="preserve">67</w:t>
            </w:r>
          </w:p>
        </w:tc>
        <w:tc>
          <w:tcPr>
            <w:tcW w:type="dxa" w:w="1608"/>
          </w:tcPr>
          <w:p>
            <w:pPr>
              <w:pStyle w:val="Compact"/>
              <w:spacing w:before="20" w:after="20" w:line="240" w:lineRule="auto"/>
              <w:jc w:val="left"/>
            </w:pPr>
            <w:r>
              <w:rPr>
                <w:rFonts w:ascii="Liberation Sans Narrow" w:hAnsi="Liberation Sans Narrow"/>
                <w:b w:val="0"/>
                <w:sz w:val="18"/>
              </w:rPr>
              <w:t xml:space="preserve">Art. 586</w:t>
            </w:r>
          </w:p>
        </w:tc>
        <w:tc>
          <w:tcPr>
            <w:tcW w:type="dxa" w:w="731"/>
          </w:tcPr>
          <w:p>
            <w:pPr>
              <w:pStyle w:val="Compact"/>
              <w:spacing w:before="20" w:after="20" w:line="240" w:lineRule="auto"/>
              <w:jc w:val="right"/>
            </w:pPr>
            <w:r>
              <w:rPr>
                <w:rFonts w:ascii="Liberation Sans Narrow" w:hAnsi="Liberation Sans Narrow"/>
                <w:b/>
                <w:sz w:val="18"/>
              </w:rPr>
              <w:t xml:space="preserve">147</w:t>
            </w:r>
          </w:p>
        </w:tc>
        <w:tc>
          <w:tcPr>
            <w:tcW w:type="dxa" w:w="1608"/>
          </w:tcPr>
          <w:p>
            <w:pPr>
              <w:pStyle w:val="Compact"/>
              <w:spacing w:before="20" w:after="20" w:line="240" w:lineRule="auto"/>
              <w:jc w:val="left"/>
            </w:pPr>
            <w:r>
              <w:rPr>
                <w:rFonts w:ascii="Liberation Sans Narrow" w:hAnsi="Liberation Sans Narrow"/>
                <w:b w:val="0"/>
                <w:sz w:val="18"/>
              </w:rPr>
              <w:t xml:space="preserve">Art. 775</w:t>
            </w:r>
          </w:p>
        </w:tc>
        <w:tc>
          <w:tcPr>
            <w:tcW w:type="dxa" w:w="731"/>
          </w:tcPr>
          <w:p>
            <w:pPr>
              <w:pStyle w:val="Compact"/>
              <w:spacing w:before="20" w:after="20" w:line="240" w:lineRule="auto"/>
              <w:jc w:val="right"/>
            </w:pPr>
            <w:r>
              <w:rPr>
                <w:rFonts w:ascii="Liberation Sans Narrow" w:hAnsi="Liberation Sans Narrow"/>
                <w:b/>
                <w:sz w:val="18"/>
              </w:rPr>
              <w:t xml:space="preserve">209</w:t>
            </w:r>
          </w:p>
        </w:tc>
        <w:tc>
          <w:tcPr>
            <w:tcW w:type="dxa" w:w="1608"/>
          </w:tcPr>
          <w:p>
            <w:pPr>
              <w:pStyle w:val="Compact"/>
              <w:spacing w:before="20" w:after="20" w:line="240" w:lineRule="auto"/>
              <w:jc w:val="left"/>
            </w:pPr>
            <w:r>
              <w:rPr>
                <w:rFonts w:ascii="Liberation Sans Narrow" w:hAnsi="Liberation Sans Narrow"/>
                <w:b w:val="0"/>
                <w:sz w:val="18"/>
              </w:rPr>
              <w:t xml:space="preserve">Art. 964</w:t>
            </w:r>
          </w:p>
        </w:tc>
        <w:tc>
          <w:tcPr>
            <w:tcW w:type="dxa" w:w="731"/>
          </w:tcPr>
          <w:p>
            <w:pPr>
              <w:pStyle w:val="Compact"/>
              <w:spacing w:before="20" w:after="20" w:line="240" w:lineRule="auto"/>
              <w:jc w:val="right"/>
            </w:pPr>
            <w:r>
              <w:rPr>
                <w:rFonts w:ascii="Liberation Sans Narrow" w:hAnsi="Liberation Sans Narrow"/>
                <w:b/>
                <w:sz w:val="18"/>
              </w:rPr>
              <w:t xml:space="preserve">283</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398</w:t>
            </w:r>
          </w:p>
        </w:tc>
        <w:tc>
          <w:tcPr>
            <w:tcW w:type="dxa" w:w="731"/>
          </w:tcPr>
          <w:p>
            <w:pPr>
              <w:pStyle w:val="Compact"/>
              <w:spacing w:before="20" w:after="20" w:line="240" w:lineRule="auto"/>
              <w:jc w:val="right"/>
            </w:pPr>
            <w:r>
              <w:rPr>
                <w:rFonts w:ascii="Liberation Sans Narrow" w:hAnsi="Liberation Sans Narrow"/>
                <w:b/>
                <w:sz w:val="18"/>
              </w:rPr>
              <w:t xml:space="preserve">67</w:t>
            </w:r>
          </w:p>
        </w:tc>
        <w:tc>
          <w:tcPr>
            <w:tcW w:type="dxa" w:w="1608"/>
          </w:tcPr>
          <w:p>
            <w:pPr>
              <w:pStyle w:val="Compact"/>
              <w:spacing w:before="20" w:after="20" w:line="240" w:lineRule="auto"/>
              <w:jc w:val="left"/>
            </w:pPr>
            <w:r>
              <w:rPr>
                <w:rFonts w:ascii="Liberation Sans Narrow" w:hAnsi="Liberation Sans Narrow"/>
                <w:b w:val="0"/>
                <w:sz w:val="18"/>
              </w:rPr>
              <w:t xml:space="preserve">Art. 587</w:t>
            </w:r>
          </w:p>
        </w:tc>
        <w:tc>
          <w:tcPr>
            <w:tcW w:type="dxa" w:w="731"/>
          </w:tcPr>
          <w:p>
            <w:pPr>
              <w:pStyle w:val="Compact"/>
              <w:spacing w:before="20" w:after="20" w:line="240" w:lineRule="auto"/>
              <w:jc w:val="right"/>
            </w:pPr>
            <w:r>
              <w:rPr>
                <w:rFonts w:ascii="Liberation Sans Narrow" w:hAnsi="Liberation Sans Narrow"/>
                <w:b/>
                <w:sz w:val="18"/>
              </w:rPr>
              <w:t xml:space="preserve">147</w:t>
            </w:r>
          </w:p>
        </w:tc>
        <w:tc>
          <w:tcPr>
            <w:tcW w:type="dxa" w:w="1608"/>
          </w:tcPr>
          <w:p>
            <w:pPr>
              <w:pStyle w:val="Compact"/>
              <w:spacing w:before="20" w:after="20" w:line="240" w:lineRule="auto"/>
              <w:jc w:val="left"/>
            </w:pPr>
            <w:r>
              <w:rPr>
                <w:rFonts w:ascii="Liberation Sans Narrow" w:hAnsi="Liberation Sans Narrow"/>
                <w:b w:val="0"/>
                <w:sz w:val="18"/>
              </w:rPr>
              <w:t xml:space="preserve">Art. 776</w:t>
            </w:r>
          </w:p>
        </w:tc>
        <w:tc>
          <w:tcPr>
            <w:tcW w:type="dxa" w:w="731"/>
          </w:tcPr>
          <w:p>
            <w:pPr>
              <w:pStyle w:val="Compact"/>
              <w:spacing w:before="20" w:after="20" w:line="240" w:lineRule="auto"/>
              <w:jc w:val="right"/>
            </w:pPr>
            <w:r>
              <w:rPr>
                <w:rFonts w:ascii="Liberation Sans Narrow" w:hAnsi="Liberation Sans Narrow"/>
                <w:b/>
                <w:sz w:val="18"/>
              </w:rPr>
              <w:t xml:space="preserve">210</w:t>
            </w:r>
          </w:p>
        </w:tc>
        <w:tc>
          <w:tcPr>
            <w:tcW w:type="dxa" w:w="1608"/>
          </w:tcPr>
          <w:p>
            <w:pPr>
              <w:pStyle w:val="Compact"/>
              <w:spacing w:before="20" w:after="20" w:line="240" w:lineRule="auto"/>
              <w:jc w:val="left"/>
            </w:pPr>
            <w:r>
              <w:rPr>
                <w:rFonts w:ascii="Liberation Sans Narrow" w:hAnsi="Liberation Sans Narrow"/>
                <w:b w:val="0"/>
                <w:sz w:val="18"/>
              </w:rPr>
              <w:t xml:space="preserve">Art. 965</w:t>
            </w:r>
          </w:p>
        </w:tc>
        <w:tc>
          <w:tcPr>
            <w:tcW w:type="dxa" w:w="731"/>
          </w:tcPr>
          <w:p>
            <w:pPr>
              <w:pStyle w:val="Compact"/>
              <w:spacing w:before="20" w:after="20" w:line="240" w:lineRule="auto"/>
              <w:jc w:val="right"/>
            </w:pPr>
            <w:r>
              <w:rPr>
                <w:rFonts w:ascii="Liberation Sans Narrow" w:hAnsi="Liberation Sans Narrow"/>
                <w:b/>
                <w:sz w:val="18"/>
              </w:rPr>
              <w:t xml:space="preserve">284</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399</w:t>
            </w:r>
          </w:p>
        </w:tc>
        <w:tc>
          <w:tcPr>
            <w:tcW w:type="dxa" w:w="731"/>
          </w:tcPr>
          <w:p>
            <w:pPr>
              <w:pStyle w:val="Compact"/>
              <w:spacing w:before="20" w:after="20" w:line="240" w:lineRule="auto"/>
              <w:jc w:val="right"/>
            </w:pPr>
            <w:r>
              <w:rPr>
                <w:rFonts w:ascii="Liberation Sans Narrow" w:hAnsi="Liberation Sans Narrow"/>
                <w:b/>
                <w:sz w:val="18"/>
              </w:rPr>
              <w:t xml:space="preserve">67</w:t>
            </w:r>
          </w:p>
        </w:tc>
        <w:tc>
          <w:tcPr>
            <w:tcW w:type="dxa" w:w="1608"/>
          </w:tcPr>
          <w:p>
            <w:pPr>
              <w:pStyle w:val="Compact"/>
              <w:spacing w:before="20" w:after="20" w:line="240" w:lineRule="auto"/>
              <w:jc w:val="left"/>
            </w:pPr>
            <w:r>
              <w:rPr>
                <w:rFonts w:ascii="Liberation Sans Narrow" w:hAnsi="Liberation Sans Narrow"/>
                <w:b w:val="0"/>
                <w:sz w:val="18"/>
              </w:rPr>
              <w:t xml:space="preserve">Art. 588</w:t>
            </w:r>
          </w:p>
        </w:tc>
        <w:tc>
          <w:tcPr>
            <w:tcW w:type="dxa" w:w="731"/>
          </w:tcPr>
          <w:p>
            <w:pPr>
              <w:pStyle w:val="Compact"/>
              <w:spacing w:before="20" w:after="20" w:line="240" w:lineRule="auto"/>
              <w:jc w:val="right"/>
            </w:pPr>
            <w:r>
              <w:rPr>
                <w:rFonts w:ascii="Liberation Sans Narrow" w:hAnsi="Liberation Sans Narrow"/>
                <w:b/>
                <w:sz w:val="18"/>
              </w:rPr>
              <w:t xml:space="preserve">147</w:t>
            </w:r>
          </w:p>
        </w:tc>
        <w:tc>
          <w:tcPr>
            <w:tcW w:type="dxa" w:w="1608"/>
          </w:tcPr>
          <w:p>
            <w:pPr>
              <w:pStyle w:val="Compact"/>
              <w:spacing w:before="20" w:after="20" w:line="240" w:lineRule="auto"/>
              <w:jc w:val="left"/>
            </w:pPr>
            <w:r>
              <w:rPr>
                <w:rFonts w:ascii="Liberation Sans Narrow" w:hAnsi="Liberation Sans Narrow"/>
                <w:b w:val="0"/>
                <w:sz w:val="18"/>
              </w:rPr>
              <w:t xml:space="preserve">Art. 777</w:t>
            </w:r>
          </w:p>
        </w:tc>
        <w:tc>
          <w:tcPr>
            <w:tcW w:type="dxa" w:w="731"/>
          </w:tcPr>
          <w:p>
            <w:pPr>
              <w:pStyle w:val="Compact"/>
              <w:spacing w:before="20" w:after="20" w:line="240" w:lineRule="auto"/>
              <w:jc w:val="right"/>
            </w:pPr>
            <w:r>
              <w:rPr>
                <w:rFonts w:ascii="Liberation Sans Narrow" w:hAnsi="Liberation Sans Narrow"/>
                <w:b/>
                <w:sz w:val="18"/>
              </w:rPr>
              <w:t xml:space="preserve">210</w:t>
            </w:r>
          </w:p>
        </w:tc>
        <w:tc>
          <w:tcPr>
            <w:tcW w:type="dxa" w:w="1608"/>
          </w:tcPr>
          <w:p>
            <w:pPr>
              <w:pStyle w:val="Compact"/>
              <w:spacing w:before="20" w:after="20" w:line="240" w:lineRule="auto"/>
              <w:jc w:val="left"/>
            </w:pPr>
            <w:r>
              <w:rPr>
                <w:rFonts w:ascii="Liberation Sans Narrow" w:hAnsi="Liberation Sans Narrow"/>
                <w:b w:val="0"/>
                <w:sz w:val="18"/>
              </w:rPr>
              <w:t xml:space="preserve">Art. 966</w:t>
            </w:r>
          </w:p>
        </w:tc>
        <w:tc>
          <w:tcPr>
            <w:tcW w:type="dxa" w:w="731"/>
          </w:tcPr>
          <w:p>
            <w:pPr>
              <w:pStyle w:val="Compact"/>
              <w:spacing w:before="20" w:after="20" w:line="240" w:lineRule="auto"/>
              <w:jc w:val="right"/>
            </w:pPr>
            <w:r>
              <w:rPr>
                <w:rFonts w:ascii="Liberation Sans Narrow" w:hAnsi="Liberation Sans Narrow"/>
                <w:b/>
                <w:sz w:val="18"/>
              </w:rPr>
              <w:t xml:space="preserve">284</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400</w:t>
            </w:r>
          </w:p>
        </w:tc>
        <w:tc>
          <w:tcPr>
            <w:tcW w:type="dxa" w:w="731"/>
          </w:tcPr>
          <w:p>
            <w:pPr>
              <w:pStyle w:val="Compact"/>
              <w:spacing w:before="20" w:after="20" w:line="240" w:lineRule="auto"/>
              <w:jc w:val="right"/>
            </w:pPr>
            <w:r>
              <w:rPr>
                <w:rFonts w:ascii="Liberation Sans Narrow" w:hAnsi="Liberation Sans Narrow"/>
                <w:b/>
                <w:sz w:val="18"/>
              </w:rPr>
              <w:t xml:space="preserve">68</w:t>
            </w:r>
          </w:p>
        </w:tc>
        <w:tc>
          <w:tcPr>
            <w:tcW w:type="dxa" w:w="1608"/>
          </w:tcPr>
          <w:p>
            <w:pPr>
              <w:pStyle w:val="Compact"/>
              <w:spacing w:before="20" w:after="20" w:line="240" w:lineRule="auto"/>
              <w:jc w:val="left"/>
            </w:pPr>
            <w:r>
              <w:rPr>
                <w:rFonts w:ascii="Liberation Sans Narrow" w:hAnsi="Liberation Sans Narrow"/>
                <w:b w:val="0"/>
                <w:sz w:val="18"/>
              </w:rPr>
              <w:t xml:space="preserve">Art. 589</w:t>
            </w:r>
          </w:p>
        </w:tc>
        <w:tc>
          <w:tcPr>
            <w:tcW w:type="dxa" w:w="731"/>
          </w:tcPr>
          <w:p>
            <w:pPr>
              <w:pStyle w:val="Compact"/>
              <w:spacing w:before="20" w:after="20" w:line="240" w:lineRule="auto"/>
              <w:jc w:val="right"/>
            </w:pPr>
            <w:r>
              <w:rPr>
                <w:rFonts w:ascii="Liberation Sans Narrow" w:hAnsi="Liberation Sans Narrow"/>
                <w:b/>
                <w:sz w:val="18"/>
              </w:rPr>
              <w:t xml:space="preserve">148</w:t>
            </w:r>
          </w:p>
        </w:tc>
        <w:tc>
          <w:tcPr>
            <w:tcW w:type="dxa" w:w="1608"/>
          </w:tcPr>
          <w:p>
            <w:pPr>
              <w:pStyle w:val="Compact"/>
              <w:spacing w:before="20" w:after="20" w:line="240" w:lineRule="auto"/>
              <w:jc w:val="left"/>
            </w:pPr>
            <w:r>
              <w:rPr>
                <w:rFonts w:ascii="Liberation Sans Narrow" w:hAnsi="Liberation Sans Narrow"/>
                <w:b w:val="0"/>
                <w:sz w:val="18"/>
              </w:rPr>
              <w:t xml:space="preserve">Art. 778</w:t>
            </w:r>
          </w:p>
        </w:tc>
        <w:tc>
          <w:tcPr>
            <w:tcW w:type="dxa" w:w="731"/>
          </w:tcPr>
          <w:p>
            <w:pPr>
              <w:pStyle w:val="Compact"/>
              <w:spacing w:before="20" w:after="20" w:line="240" w:lineRule="auto"/>
              <w:jc w:val="right"/>
            </w:pPr>
            <w:r>
              <w:rPr>
                <w:rFonts w:ascii="Liberation Sans Narrow" w:hAnsi="Liberation Sans Narrow"/>
                <w:b/>
                <w:sz w:val="18"/>
              </w:rPr>
              <w:t xml:space="preserve">210</w:t>
            </w:r>
          </w:p>
        </w:tc>
        <w:tc>
          <w:tcPr>
            <w:tcW w:type="dxa" w:w="1608"/>
          </w:tcPr>
          <w:p>
            <w:pPr>
              <w:pStyle w:val="Compact"/>
              <w:spacing w:before="20" w:after="20" w:line="240" w:lineRule="auto"/>
              <w:jc w:val="left"/>
            </w:pPr>
            <w:r>
              <w:rPr>
                <w:rFonts w:ascii="Liberation Sans Narrow" w:hAnsi="Liberation Sans Narrow"/>
                <w:b w:val="0"/>
                <w:sz w:val="18"/>
              </w:rPr>
              <w:t xml:space="preserve">Art. 967</w:t>
            </w:r>
          </w:p>
        </w:tc>
        <w:tc>
          <w:tcPr>
            <w:tcW w:type="dxa" w:w="731"/>
          </w:tcPr>
          <w:p>
            <w:pPr>
              <w:pStyle w:val="Compact"/>
              <w:spacing w:before="20" w:after="20" w:line="240" w:lineRule="auto"/>
              <w:jc w:val="right"/>
            </w:pPr>
            <w:r>
              <w:rPr>
                <w:rFonts w:ascii="Liberation Sans Narrow" w:hAnsi="Liberation Sans Narrow"/>
                <w:b/>
                <w:sz w:val="18"/>
              </w:rPr>
              <w:t xml:space="preserve">285</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401</w:t>
            </w:r>
          </w:p>
        </w:tc>
        <w:tc>
          <w:tcPr>
            <w:tcW w:type="dxa" w:w="731"/>
          </w:tcPr>
          <w:p>
            <w:pPr>
              <w:pStyle w:val="Compact"/>
              <w:spacing w:before="20" w:after="20" w:line="240" w:lineRule="auto"/>
              <w:jc w:val="right"/>
            </w:pPr>
            <w:r>
              <w:rPr>
                <w:rFonts w:ascii="Liberation Sans Narrow" w:hAnsi="Liberation Sans Narrow"/>
                <w:b/>
                <w:sz w:val="18"/>
              </w:rPr>
              <w:t xml:space="preserve">69</w:t>
            </w:r>
          </w:p>
        </w:tc>
        <w:tc>
          <w:tcPr>
            <w:tcW w:type="dxa" w:w="1608"/>
          </w:tcPr>
          <w:p>
            <w:pPr>
              <w:pStyle w:val="Compact"/>
              <w:spacing w:before="20" w:after="20" w:line="240" w:lineRule="auto"/>
              <w:jc w:val="left"/>
            </w:pPr>
            <w:r>
              <w:rPr>
                <w:rFonts w:ascii="Liberation Sans Narrow" w:hAnsi="Liberation Sans Narrow"/>
                <w:b w:val="0"/>
                <w:sz w:val="18"/>
              </w:rPr>
              <w:t xml:space="preserve">Art. 590</w:t>
            </w:r>
          </w:p>
        </w:tc>
        <w:tc>
          <w:tcPr>
            <w:tcW w:type="dxa" w:w="731"/>
          </w:tcPr>
          <w:p>
            <w:pPr>
              <w:pStyle w:val="Compact"/>
              <w:spacing w:before="20" w:after="20" w:line="240" w:lineRule="auto"/>
              <w:jc w:val="right"/>
            </w:pPr>
            <w:r>
              <w:rPr>
                <w:rFonts w:ascii="Liberation Sans Narrow" w:hAnsi="Liberation Sans Narrow"/>
                <w:b/>
                <w:sz w:val="18"/>
              </w:rPr>
              <w:t xml:space="preserve">148</w:t>
            </w:r>
          </w:p>
        </w:tc>
        <w:tc>
          <w:tcPr>
            <w:tcW w:type="dxa" w:w="1608"/>
          </w:tcPr>
          <w:p>
            <w:pPr>
              <w:pStyle w:val="Compact"/>
              <w:spacing w:before="20" w:after="20" w:line="240" w:lineRule="auto"/>
              <w:jc w:val="left"/>
            </w:pPr>
            <w:r>
              <w:rPr>
                <w:rFonts w:ascii="Liberation Sans Narrow" w:hAnsi="Liberation Sans Narrow"/>
                <w:b w:val="0"/>
                <w:sz w:val="18"/>
              </w:rPr>
              <w:t xml:space="preserve">Art. 779</w:t>
            </w:r>
          </w:p>
        </w:tc>
        <w:tc>
          <w:tcPr>
            <w:tcW w:type="dxa" w:w="731"/>
          </w:tcPr>
          <w:p>
            <w:pPr>
              <w:pStyle w:val="Compact"/>
              <w:spacing w:before="20" w:after="20" w:line="240" w:lineRule="auto"/>
              <w:jc w:val="right"/>
            </w:pPr>
            <w:r>
              <w:rPr>
                <w:rFonts w:ascii="Liberation Sans Narrow" w:hAnsi="Liberation Sans Narrow"/>
                <w:b/>
                <w:sz w:val="18"/>
              </w:rPr>
              <w:t xml:space="preserve">211</w:t>
            </w:r>
          </w:p>
        </w:tc>
        <w:tc>
          <w:tcPr>
            <w:tcW w:type="dxa" w:w="1608"/>
          </w:tcPr>
          <w:p>
            <w:pPr>
              <w:pStyle w:val="Compact"/>
              <w:spacing w:before="20" w:after="20" w:line="240" w:lineRule="auto"/>
              <w:jc w:val="left"/>
            </w:pPr>
            <w:r>
              <w:rPr>
                <w:rFonts w:ascii="Liberation Sans Narrow" w:hAnsi="Liberation Sans Narrow"/>
                <w:b w:val="0"/>
                <w:sz w:val="18"/>
              </w:rPr>
              <w:t xml:space="preserve">Art. 968</w:t>
            </w:r>
          </w:p>
        </w:tc>
        <w:tc>
          <w:tcPr>
            <w:tcW w:type="dxa" w:w="731"/>
          </w:tcPr>
          <w:p>
            <w:pPr>
              <w:pStyle w:val="Compact"/>
              <w:spacing w:before="20" w:after="20" w:line="240" w:lineRule="auto"/>
              <w:jc w:val="right"/>
            </w:pPr>
            <w:r>
              <w:rPr>
                <w:rFonts w:ascii="Liberation Sans Narrow" w:hAnsi="Liberation Sans Narrow"/>
                <w:b/>
                <w:sz w:val="18"/>
              </w:rPr>
              <w:t xml:space="preserve">286</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402</w:t>
            </w:r>
          </w:p>
        </w:tc>
        <w:tc>
          <w:tcPr>
            <w:tcW w:type="dxa" w:w="731"/>
          </w:tcPr>
          <w:p>
            <w:pPr>
              <w:pStyle w:val="Compact"/>
              <w:spacing w:before="20" w:after="20" w:line="240" w:lineRule="auto"/>
              <w:jc w:val="right"/>
            </w:pPr>
            <w:r>
              <w:rPr>
                <w:rFonts w:ascii="Liberation Sans Narrow" w:hAnsi="Liberation Sans Narrow"/>
                <w:b/>
                <w:sz w:val="18"/>
              </w:rPr>
              <w:t xml:space="preserve">69</w:t>
            </w:r>
          </w:p>
        </w:tc>
        <w:tc>
          <w:tcPr>
            <w:tcW w:type="dxa" w:w="1608"/>
          </w:tcPr>
          <w:p>
            <w:pPr>
              <w:pStyle w:val="Compact"/>
              <w:spacing w:before="20" w:after="20" w:line="240" w:lineRule="auto"/>
              <w:jc w:val="left"/>
            </w:pPr>
            <w:r>
              <w:rPr>
                <w:rFonts w:ascii="Liberation Sans Narrow" w:hAnsi="Liberation Sans Narrow"/>
                <w:b w:val="0"/>
                <w:sz w:val="18"/>
              </w:rPr>
              <w:t xml:space="preserve">Art. 591</w:t>
            </w:r>
          </w:p>
        </w:tc>
        <w:tc>
          <w:tcPr>
            <w:tcW w:type="dxa" w:w="731"/>
          </w:tcPr>
          <w:p>
            <w:pPr>
              <w:pStyle w:val="Compact"/>
              <w:spacing w:before="20" w:after="20" w:line="240" w:lineRule="auto"/>
              <w:jc w:val="right"/>
            </w:pPr>
            <w:r>
              <w:rPr>
                <w:rFonts w:ascii="Liberation Sans Narrow" w:hAnsi="Liberation Sans Narrow"/>
                <w:b/>
                <w:sz w:val="18"/>
              </w:rPr>
              <w:t xml:space="preserve">148</w:t>
            </w:r>
          </w:p>
        </w:tc>
        <w:tc>
          <w:tcPr>
            <w:tcW w:type="dxa" w:w="1608"/>
          </w:tcPr>
          <w:p>
            <w:pPr>
              <w:pStyle w:val="Compact"/>
              <w:spacing w:before="20" w:after="20" w:line="240" w:lineRule="auto"/>
              <w:jc w:val="left"/>
            </w:pPr>
            <w:r>
              <w:rPr>
                <w:rFonts w:ascii="Liberation Sans Narrow" w:hAnsi="Liberation Sans Narrow"/>
                <w:b w:val="0"/>
                <w:sz w:val="18"/>
              </w:rPr>
              <w:t xml:space="preserve">Art. 780</w:t>
            </w:r>
          </w:p>
        </w:tc>
        <w:tc>
          <w:tcPr>
            <w:tcW w:type="dxa" w:w="731"/>
          </w:tcPr>
          <w:p>
            <w:pPr>
              <w:pStyle w:val="Compact"/>
              <w:spacing w:before="20" w:after="20" w:line="240" w:lineRule="auto"/>
              <w:jc w:val="right"/>
            </w:pPr>
            <w:r>
              <w:rPr>
                <w:rFonts w:ascii="Liberation Sans Narrow" w:hAnsi="Liberation Sans Narrow"/>
                <w:b/>
                <w:sz w:val="18"/>
              </w:rPr>
              <w:t xml:space="preserve">212</w:t>
            </w:r>
          </w:p>
        </w:tc>
        <w:tc>
          <w:tcPr>
            <w:tcW w:type="dxa" w:w="1608"/>
          </w:tcPr>
          <w:p>
            <w:pPr>
              <w:pStyle w:val="Compact"/>
              <w:spacing w:before="20" w:after="20" w:line="240" w:lineRule="auto"/>
              <w:jc w:val="left"/>
            </w:pPr>
            <w:r>
              <w:rPr>
                <w:rFonts w:ascii="Liberation Sans Narrow" w:hAnsi="Liberation Sans Narrow"/>
                <w:b w:val="0"/>
                <w:sz w:val="18"/>
              </w:rPr>
              <w:t xml:space="preserve">Art. 969</w:t>
            </w:r>
          </w:p>
        </w:tc>
        <w:tc>
          <w:tcPr>
            <w:tcW w:type="dxa" w:w="731"/>
          </w:tcPr>
          <w:p>
            <w:pPr>
              <w:pStyle w:val="Compact"/>
              <w:spacing w:before="20" w:after="20" w:line="240" w:lineRule="auto"/>
              <w:jc w:val="right"/>
            </w:pPr>
            <w:r>
              <w:rPr>
                <w:rFonts w:ascii="Liberation Sans Narrow" w:hAnsi="Liberation Sans Narrow"/>
                <w:b/>
                <w:sz w:val="18"/>
              </w:rPr>
              <w:t xml:space="preserve">287</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403</w:t>
            </w:r>
          </w:p>
        </w:tc>
        <w:tc>
          <w:tcPr>
            <w:tcW w:type="dxa" w:w="731"/>
          </w:tcPr>
          <w:p>
            <w:pPr>
              <w:pStyle w:val="Compact"/>
              <w:spacing w:before="20" w:after="20" w:line="240" w:lineRule="auto"/>
              <w:jc w:val="right"/>
            </w:pPr>
            <w:r>
              <w:rPr>
                <w:rFonts w:ascii="Liberation Sans Narrow" w:hAnsi="Liberation Sans Narrow"/>
                <w:b/>
                <w:sz w:val="18"/>
              </w:rPr>
              <w:t xml:space="preserve">69</w:t>
            </w:r>
          </w:p>
        </w:tc>
        <w:tc>
          <w:tcPr>
            <w:tcW w:type="dxa" w:w="1608"/>
          </w:tcPr>
          <w:p>
            <w:pPr>
              <w:pStyle w:val="Compact"/>
              <w:spacing w:before="20" w:after="20" w:line="240" w:lineRule="auto"/>
              <w:jc w:val="left"/>
            </w:pPr>
            <w:r>
              <w:rPr>
                <w:rFonts w:ascii="Liberation Sans Narrow" w:hAnsi="Liberation Sans Narrow"/>
                <w:b w:val="0"/>
                <w:sz w:val="18"/>
              </w:rPr>
              <w:t xml:space="preserve">Art. 592</w:t>
            </w:r>
          </w:p>
        </w:tc>
        <w:tc>
          <w:tcPr>
            <w:tcW w:type="dxa" w:w="731"/>
          </w:tcPr>
          <w:p>
            <w:pPr>
              <w:pStyle w:val="Compact"/>
              <w:spacing w:before="20" w:after="20" w:line="240" w:lineRule="auto"/>
              <w:jc w:val="right"/>
            </w:pPr>
            <w:r>
              <w:rPr>
                <w:rFonts w:ascii="Liberation Sans Narrow" w:hAnsi="Liberation Sans Narrow"/>
                <w:b/>
                <w:sz w:val="18"/>
              </w:rPr>
              <w:t xml:space="preserve">148</w:t>
            </w:r>
          </w:p>
        </w:tc>
        <w:tc>
          <w:tcPr>
            <w:tcW w:type="dxa" w:w="1608"/>
          </w:tcPr>
          <w:p>
            <w:pPr>
              <w:pStyle w:val="Compact"/>
              <w:spacing w:before="20" w:after="20" w:line="240" w:lineRule="auto"/>
              <w:jc w:val="left"/>
            </w:pPr>
            <w:r>
              <w:rPr>
                <w:rFonts w:ascii="Liberation Sans Narrow" w:hAnsi="Liberation Sans Narrow"/>
                <w:b w:val="0"/>
                <w:sz w:val="18"/>
              </w:rPr>
              <w:t xml:space="preserve">Art. 781</w:t>
            </w:r>
          </w:p>
        </w:tc>
        <w:tc>
          <w:tcPr>
            <w:tcW w:type="dxa" w:w="731"/>
          </w:tcPr>
          <w:p>
            <w:pPr>
              <w:pStyle w:val="Compact"/>
              <w:spacing w:before="20" w:after="20" w:line="240" w:lineRule="auto"/>
              <w:jc w:val="right"/>
            </w:pPr>
            <w:r>
              <w:rPr>
                <w:rFonts w:ascii="Liberation Sans Narrow" w:hAnsi="Liberation Sans Narrow"/>
                <w:b/>
                <w:sz w:val="18"/>
              </w:rPr>
              <w:t xml:space="preserve">212</w:t>
            </w:r>
          </w:p>
        </w:tc>
        <w:tc>
          <w:tcPr>
            <w:tcW w:type="dxa" w:w="1608"/>
          </w:tcPr>
          <w:p>
            <w:pPr>
              <w:pStyle w:val="Compact"/>
              <w:spacing w:before="20" w:after="20" w:line="240" w:lineRule="auto"/>
              <w:jc w:val="left"/>
            </w:pPr>
            <w:r>
              <w:rPr>
                <w:rFonts w:ascii="Liberation Sans Narrow" w:hAnsi="Liberation Sans Narrow"/>
                <w:b w:val="0"/>
                <w:sz w:val="18"/>
              </w:rPr>
              <w:t xml:space="preserve">Art. 970</w:t>
            </w:r>
          </w:p>
        </w:tc>
        <w:tc>
          <w:tcPr>
            <w:tcW w:type="dxa" w:w="731"/>
          </w:tcPr>
          <w:p>
            <w:pPr>
              <w:pStyle w:val="Compact"/>
              <w:spacing w:before="20" w:after="20" w:line="240" w:lineRule="auto"/>
              <w:jc w:val="right"/>
            </w:pPr>
            <w:r>
              <w:rPr>
                <w:rFonts w:ascii="Liberation Sans Narrow" w:hAnsi="Liberation Sans Narrow"/>
                <w:b/>
                <w:sz w:val="18"/>
              </w:rPr>
              <w:t xml:space="preserve">287</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404</w:t>
            </w:r>
          </w:p>
        </w:tc>
        <w:tc>
          <w:tcPr>
            <w:tcW w:type="dxa" w:w="731"/>
          </w:tcPr>
          <w:p>
            <w:pPr>
              <w:pStyle w:val="Compact"/>
              <w:spacing w:before="20" w:after="20" w:line="240" w:lineRule="auto"/>
              <w:jc w:val="right"/>
            </w:pPr>
            <w:r>
              <w:rPr>
                <w:rFonts w:ascii="Liberation Sans Narrow" w:hAnsi="Liberation Sans Narrow"/>
                <w:b/>
                <w:sz w:val="18"/>
              </w:rPr>
              <w:t xml:space="preserve">70</w:t>
            </w:r>
          </w:p>
        </w:tc>
        <w:tc>
          <w:tcPr>
            <w:tcW w:type="dxa" w:w="1608"/>
          </w:tcPr>
          <w:p>
            <w:pPr>
              <w:pStyle w:val="Compact"/>
              <w:spacing w:before="20" w:after="20" w:line="240" w:lineRule="auto"/>
              <w:jc w:val="left"/>
            </w:pPr>
            <w:r>
              <w:rPr>
                <w:rFonts w:ascii="Liberation Sans Narrow" w:hAnsi="Liberation Sans Narrow"/>
                <w:b w:val="0"/>
                <w:sz w:val="18"/>
              </w:rPr>
              <w:t xml:space="preserve">Art. 593</w:t>
            </w:r>
          </w:p>
        </w:tc>
        <w:tc>
          <w:tcPr>
            <w:tcW w:type="dxa" w:w="731"/>
          </w:tcPr>
          <w:p>
            <w:pPr>
              <w:pStyle w:val="Compact"/>
              <w:spacing w:before="20" w:after="20" w:line="240" w:lineRule="auto"/>
              <w:jc w:val="right"/>
            </w:pPr>
            <w:r>
              <w:rPr>
                <w:rFonts w:ascii="Liberation Sans Narrow" w:hAnsi="Liberation Sans Narrow"/>
                <w:b/>
                <w:sz w:val="18"/>
              </w:rPr>
              <w:t xml:space="preserve">148</w:t>
            </w:r>
          </w:p>
        </w:tc>
        <w:tc>
          <w:tcPr>
            <w:tcW w:type="dxa" w:w="1608"/>
          </w:tcPr>
          <w:p>
            <w:pPr>
              <w:pStyle w:val="Compact"/>
              <w:spacing w:before="20" w:after="20" w:line="240" w:lineRule="auto"/>
              <w:jc w:val="left"/>
            </w:pPr>
            <w:r>
              <w:rPr>
                <w:rFonts w:ascii="Liberation Sans Narrow" w:hAnsi="Liberation Sans Narrow"/>
                <w:b w:val="0"/>
                <w:sz w:val="18"/>
              </w:rPr>
              <w:t xml:space="preserve">Art. 782</w:t>
            </w:r>
          </w:p>
        </w:tc>
        <w:tc>
          <w:tcPr>
            <w:tcW w:type="dxa" w:w="731"/>
          </w:tcPr>
          <w:p>
            <w:pPr>
              <w:pStyle w:val="Compact"/>
              <w:spacing w:before="20" w:after="20" w:line="240" w:lineRule="auto"/>
              <w:jc w:val="right"/>
            </w:pPr>
            <w:r>
              <w:rPr>
                <w:rFonts w:ascii="Liberation Sans Narrow" w:hAnsi="Liberation Sans Narrow"/>
                <w:b/>
                <w:sz w:val="18"/>
              </w:rPr>
              <w:t xml:space="preserve">212</w:t>
            </w:r>
          </w:p>
        </w:tc>
        <w:tc>
          <w:tcPr>
            <w:tcW w:type="dxa" w:w="1608"/>
          </w:tcPr>
          <w:p>
            <w:pPr>
              <w:pStyle w:val="Compact"/>
              <w:spacing w:before="20" w:after="20" w:line="240" w:lineRule="auto"/>
              <w:jc w:val="left"/>
            </w:pPr>
            <w:r>
              <w:rPr>
                <w:rFonts w:ascii="Liberation Sans Narrow" w:hAnsi="Liberation Sans Narrow"/>
                <w:b w:val="0"/>
                <w:sz w:val="18"/>
              </w:rPr>
              <w:t xml:space="preserve">Art. 971</w:t>
            </w:r>
          </w:p>
        </w:tc>
        <w:tc>
          <w:tcPr>
            <w:tcW w:type="dxa" w:w="731"/>
          </w:tcPr>
          <w:p>
            <w:pPr>
              <w:pStyle w:val="Compact"/>
              <w:spacing w:before="20" w:after="20" w:line="240" w:lineRule="auto"/>
              <w:jc w:val="right"/>
            </w:pPr>
            <w:r>
              <w:rPr>
                <w:rFonts w:ascii="Liberation Sans Narrow" w:hAnsi="Liberation Sans Narrow"/>
                <w:b/>
                <w:sz w:val="18"/>
              </w:rPr>
              <w:t xml:space="preserve">287</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405</w:t>
            </w:r>
          </w:p>
        </w:tc>
        <w:tc>
          <w:tcPr>
            <w:tcW w:type="dxa" w:w="731"/>
          </w:tcPr>
          <w:p>
            <w:pPr>
              <w:pStyle w:val="Compact"/>
              <w:spacing w:before="20" w:after="20" w:line="240" w:lineRule="auto"/>
              <w:jc w:val="right"/>
            </w:pPr>
            <w:r>
              <w:rPr>
                <w:rFonts w:ascii="Liberation Sans Narrow" w:hAnsi="Liberation Sans Narrow"/>
                <w:b/>
                <w:sz w:val="18"/>
              </w:rPr>
              <w:t xml:space="preserve">71</w:t>
            </w:r>
          </w:p>
        </w:tc>
        <w:tc>
          <w:tcPr>
            <w:tcW w:type="dxa" w:w="1608"/>
          </w:tcPr>
          <w:p>
            <w:pPr>
              <w:pStyle w:val="Compact"/>
              <w:spacing w:before="20" w:after="20" w:line="240" w:lineRule="auto"/>
              <w:jc w:val="left"/>
            </w:pPr>
            <w:r>
              <w:rPr>
                <w:rFonts w:ascii="Liberation Sans Narrow" w:hAnsi="Liberation Sans Narrow"/>
                <w:b w:val="0"/>
                <w:sz w:val="18"/>
              </w:rPr>
              <w:t xml:space="preserve">Art. 594</w:t>
            </w:r>
          </w:p>
        </w:tc>
        <w:tc>
          <w:tcPr>
            <w:tcW w:type="dxa" w:w="731"/>
          </w:tcPr>
          <w:p>
            <w:pPr>
              <w:pStyle w:val="Compact"/>
              <w:spacing w:before="20" w:after="20" w:line="240" w:lineRule="auto"/>
              <w:jc w:val="right"/>
            </w:pPr>
            <w:r>
              <w:rPr>
                <w:rFonts w:ascii="Liberation Sans Narrow" w:hAnsi="Liberation Sans Narrow"/>
                <w:b/>
                <w:sz w:val="18"/>
              </w:rPr>
              <w:t xml:space="preserve">148</w:t>
            </w:r>
          </w:p>
        </w:tc>
        <w:tc>
          <w:tcPr>
            <w:tcW w:type="dxa" w:w="1608"/>
          </w:tcPr>
          <w:p>
            <w:pPr>
              <w:pStyle w:val="Compact"/>
              <w:spacing w:before="20" w:after="20" w:line="240" w:lineRule="auto"/>
              <w:jc w:val="left"/>
            </w:pPr>
            <w:r>
              <w:rPr>
                <w:rFonts w:ascii="Liberation Sans Narrow" w:hAnsi="Liberation Sans Narrow"/>
                <w:b w:val="0"/>
                <w:sz w:val="18"/>
              </w:rPr>
              <w:t xml:space="preserve">Art. 783</w:t>
            </w:r>
          </w:p>
        </w:tc>
        <w:tc>
          <w:tcPr>
            <w:tcW w:type="dxa" w:w="731"/>
          </w:tcPr>
          <w:p>
            <w:pPr>
              <w:pStyle w:val="Compact"/>
              <w:spacing w:before="20" w:after="20" w:line="240" w:lineRule="auto"/>
              <w:jc w:val="right"/>
            </w:pPr>
            <w:r>
              <w:rPr>
                <w:rFonts w:ascii="Liberation Sans Narrow" w:hAnsi="Liberation Sans Narrow"/>
                <w:b/>
                <w:sz w:val="18"/>
              </w:rPr>
              <w:t xml:space="preserve">213</w:t>
            </w:r>
          </w:p>
        </w:tc>
        <w:tc>
          <w:tcPr>
            <w:tcW w:type="dxa" w:w="1608"/>
          </w:tcPr>
          <w:p>
            <w:pPr>
              <w:pStyle w:val="Compact"/>
              <w:spacing w:before="20" w:after="20" w:line="240" w:lineRule="auto"/>
              <w:jc w:val="left"/>
            </w:pPr>
            <w:r>
              <w:rPr>
                <w:rFonts w:ascii="Liberation Sans Narrow" w:hAnsi="Liberation Sans Narrow"/>
                <w:b w:val="0"/>
                <w:sz w:val="18"/>
              </w:rPr>
              <w:t xml:space="preserve">Art. 972</w:t>
            </w:r>
          </w:p>
        </w:tc>
        <w:tc>
          <w:tcPr>
            <w:tcW w:type="dxa" w:w="731"/>
          </w:tcPr>
          <w:p>
            <w:pPr>
              <w:pStyle w:val="Compact"/>
              <w:spacing w:before="20" w:after="20" w:line="240" w:lineRule="auto"/>
              <w:jc w:val="right"/>
            </w:pPr>
            <w:r>
              <w:rPr>
                <w:rFonts w:ascii="Liberation Sans Narrow" w:hAnsi="Liberation Sans Narrow"/>
                <w:b/>
                <w:sz w:val="18"/>
              </w:rPr>
              <w:t xml:space="preserve">287</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406</w:t>
            </w:r>
          </w:p>
        </w:tc>
        <w:tc>
          <w:tcPr>
            <w:tcW w:type="dxa" w:w="731"/>
          </w:tcPr>
          <w:p>
            <w:pPr>
              <w:pStyle w:val="Compact"/>
              <w:spacing w:before="20" w:after="20" w:line="240" w:lineRule="auto"/>
              <w:jc w:val="right"/>
            </w:pPr>
            <w:r>
              <w:rPr>
                <w:rFonts w:ascii="Liberation Sans Narrow" w:hAnsi="Liberation Sans Narrow"/>
                <w:b/>
                <w:sz w:val="18"/>
              </w:rPr>
              <w:t xml:space="preserve">71</w:t>
            </w:r>
          </w:p>
        </w:tc>
        <w:tc>
          <w:tcPr>
            <w:tcW w:type="dxa" w:w="1608"/>
          </w:tcPr>
          <w:p>
            <w:pPr>
              <w:pStyle w:val="Compact"/>
              <w:spacing w:before="20" w:after="20" w:line="240" w:lineRule="auto"/>
              <w:jc w:val="left"/>
            </w:pPr>
            <w:r>
              <w:rPr>
                <w:rFonts w:ascii="Liberation Sans Narrow" w:hAnsi="Liberation Sans Narrow"/>
                <w:b w:val="0"/>
                <w:sz w:val="18"/>
              </w:rPr>
              <w:t xml:space="preserve">Art. 595</w:t>
            </w:r>
          </w:p>
        </w:tc>
        <w:tc>
          <w:tcPr>
            <w:tcW w:type="dxa" w:w="731"/>
          </w:tcPr>
          <w:p>
            <w:pPr>
              <w:pStyle w:val="Compact"/>
              <w:spacing w:before="20" w:after="20" w:line="240" w:lineRule="auto"/>
              <w:jc w:val="right"/>
            </w:pPr>
            <w:r>
              <w:rPr>
                <w:rFonts w:ascii="Liberation Sans Narrow" w:hAnsi="Liberation Sans Narrow"/>
                <w:b/>
                <w:sz w:val="18"/>
              </w:rPr>
              <w:t xml:space="preserve">149</w:t>
            </w:r>
          </w:p>
        </w:tc>
        <w:tc>
          <w:tcPr>
            <w:tcW w:type="dxa" w:w="1608"/>
          </w:tcPr>
          <w:p>
            <w:pPr>
              <w:pStyle w:val="Compact"/>
              <w:spacing w:before="20" w:after="20" w:line="240" w:lineRule="auto"/>
              <w:jc w:val="left"/>
            </w:pPr>
            <w:r>
              <w:rPr>
                <w:rFonts w:ascii="Liberation Sans Narrow" w:hAnsi="Liberation Sans Narrow"/>
                <w:b w:val="0"/>
                <w:sz w:val="18"/>
              </w:rPr>
              <w:t xml:space="preserve">Art. 784</w:t>
            </w:r>
          </w:p>
        </w:tc>
        <w:tc>
          <w:tcPr>
            <w:tcW w:type="dxa" w:w="731"/>
          </w:tcPr>
          <w:p>
            <w:pPr>
              <w:pStyle w:val="Compact"/>
              <w:spacing w:before="20" w:after="20" w:line="240" w:lineRule="auto"/>
              <w:jc w:val="right"/>
            </w:pPr>
            <w:r>
              <w:rPr>
                <w:rFonts w:ascii="Liberation Sans Narrow" w:hAnsi="Liberation Sans Narrow"/>
                <w:b/>
                <w:sz w:val="18"/>
              </w:rPr>
              <w:t xml:space="preserve">213</w:t>
            </w:r>
          </w:p>
        </w:tc>
        <w:tc>
          <w:tcPr>
            <w:tcW w:type="dxa" w:w="1608"/>
          </w:tcPr>
          <w:p>
            <w:pPr>
              <w:pStyle w:val="Compact"/>
              <w:spacing w:before="20" w:after="20" w:line="240" w:lineRule="auto"/>
              <w:jc w:val="left"/>
            </w:pPr>
            <w:r>
              <w:rPr>
                <w:rFonts w:ascii="Liberation Sans Narrow" w:hAnsi="Liberation Sans Narrow"/>
                <w:b w:val="0"/>
                <w:sz w:val="18"/>
              </w:rPr>
              <w:t xml:space="preserve">Art. 973</w:t>
            </w:r>
          </w:p>
        </w:tc>
        <w:tc>
          <w:tcPr>
            <w:tcW w:type="dxa" w:w="731"/>
          </w:tcPr>
          <w:p>
            <w:pPr>
              <w:pStyle w:val="Compact"/>
              <w:spacing w:before="20" w:after="20" w:line="240" w:lineRule="auto"/>
              <w:jc w:val="right"/>
            </w:pPr>
            <w:r>
              <w:rPr>
                <w:rFonts w:ascii="Liberation Sans Narrow" w:hAnsi="Liberation Sans Narrow"/>
                <w:b/>
                <w:sz w:val="18"/>
              </w:rPr>
              <w:t xml:space="preserve">287</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407</w:t>
            </w:r>
          </w:p>
        </w:tc>
        <w:tc>
          <w:tcPr>
            <w:tcW w:type="dxa" w:w="731"/>
          </w:tcPr>
          <w:p>
            <w:pPr>
              <w:pStyle w:val="Compact"/>
              <w:spacing w:before="20" w:after="20" w:line="240" w:lineRule="auto"/>
              <w:jc w:val="right"/>
            </w:pPr>
            <w:r>
              <w:rPr>
                <w:rFonts w:ascii="Liberation Sans Narrow" w:hAnsi="Liberation Sans Narrow"/>
                <w:b/>
                <w:sz w:val="18"/>
              </w:rPr>
              <w:t xml:space="preserve">71</w:t>
            </w:r>
          </w:p>
        </w:tc>
        <w:tc>
          <w:tcPr>
            <w:tcW w:type="dxa" w:w="1608"/>
          </w:tcPr>
          <w:p>
            <w:pPr>
              <w:pStyle w:val="Compact"/>
              <w:spacing w:before="20" w:after="20" w:line="240" w:lineRule="auto"/>
              <w:jc w:val="left"/>
            </w:pPr>
            <w:r>
              <w:rPr>
                <w:rFonts w:ascii="Liberation Sans Narrow" w:hAnsi="Liberation Sans Narrow"/>
                <w:b w:val="0"/>
                <w:sz w:val="18"/>
              </w:rPr>
              <w:t xml:space="preserve">Art. 596</w:t>
            </w:r>
          </w:p>
        </w:tc>
        <w:tc>
          <w:tcPr>
            <w:tcW w:type="dxa" w:w="731"/>
          </w:tcPr>
          <w:p>
            <w:pPr>
              <w:pStyle w:val="Compact"/>
              <w:spacing w:before="20" w:after="20" w:line="240" w:lineRule="auto"/>
              <w:jc w:val="right"/>
            </w:pPr>
            <w:r>
              <w:rPr>
                <w:rFonts w:ascii="Liberation Sans Narrow" w:hAnsi="Liberation Sans Narrow"/>
                <w:b/>
                <w:sz w:val="18"/>
              </w:rPr>
              <w:t xml:space="preserve">149</w:t>
            </w:r>
          </w:p>
        </w:tc>
        <w:tc>
          <w:tcPr>
            <w:tcW w:type="dxa" w:w="1608"/>
          </w:tcPr>
          <w:p>
            <w:pPr>
              <w:pStyle w:val="Compact"/>
              <w:spacing w:before="20" w:after="20" w:line="240" w:lineRule="auto"/>
              <w:jc w:val="left"/>
            </w:pPr>
            <w:r>
              <w:rPr>
                <w:rFonts w:ascii="Liberation Sans Narrow" w:hAnsi="Liberation Sans Narrow"/>
                <w:b w:val="0"/>
                <w:sz w:val="18"/>
              </w:rPr>
              <w:t xml:space="preserve">Art. 785</w:t>
            </w:r>
          </w:p>
        </w:tc>
        <w:tc>
          <w:tcPr>
            <w:tcW w:type="dxa" w:w="731"/>
          </w:tcPr>
          <w:p>
            <w:pPr>
              <w:pStyle w:val="Compact"/>
              <w:spacing w:before="20" w:after="20" w:line="240" w:lineRule="auto"/>
              <w:jc w:val="right"/>
            </w:pPr>
            <w:r>
              <w:rPr>
                <w:rFonts w:ascii="Liberation Sans Narrow" w:hAnsi="Liberation Sans Narrow"/>
                <w:b/>
                <w:sz w:val="18"/>
              </w:rPr>
              <w:t xml:space="preserve">214</w:t>
            </w:r>
          </w:p>
        </w:tc>
        <w:tc>
          <w:tcPr>
            <w:tcW w:type="dxa" w:w="1608"/>
          </w:tcPr>
          <w:p>
            <w:pPr>
              <w:pStyle w:val="Compact"/>
              <w:spacing w:before="20" w:after="20" w:line="240" w:lineRule="auto"/>
              <w:jc w:val="left"/>
            </w:pPr>
            <w:r>
              <w:rPr>
                <w:rFonts w:ascii="Liberation Sans Narrow" w:hAnsi="Liberation Sans Narrow"/>
                <w:b w:val="0"/>
                <w:sz w:val="18"/>
              </w:rPr>
              <w:t xml:space="preserve">Art. 974</w:t>
            </w:r>
          </w:p>
        </w:tc>
        <w:tc>
          <w:tcPr>
            <w:tcW w:type="dxa" w:w="731"/>
          </w:tcPr>
          <w:p>
            <w:pPr>
              <w:pStyle w:val="Compact"/>
              <w:spacing w:before="20" w:after="20" w:line="240" w:lineRule="auto"/>
              <w:jc w:val="right"/>
            </w:pPr>
            <w:r>
              <w:rPr>
                <w:rFonts w:ascii="Liberation Sans Narrow" w:hAnsi="Liberation Sans Narrow"/>
                <w:b/>
                <w:sz w:val="18"/>
              </w:rPr>
              <w:t xml:space="preserve">287</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408</w:t>
            </w:r>
          </w:p>
        </w:tc>
        <w:tc>
          <w:tcPr>
            <w:tcW w:type="dxa" w:w="731"/>
          </w:tcPr>
          <w:p>
            <w:pPr>
              <w:pStyle w:val="Compact"/>
              <w:spacing w:before="20" w:after="20" w:line="240" w:lineRule="auto"/>
              <w:jc w:val="right"/>
            </w:pPr>
            <w:r>
              <w:rPr>
                <w:rFonts w:ascii="Liberation Sans Narrow" w:hAnsi="Liberation Sans Narrow"/>
                <w:b/>
                <w:sz w:val="18"/>
              </w:rPr>
              <w:t xml:space="preserve">72</w:t>
            </w:r>
          </w:p>
        </w:tc>
        <w:tc>
          <w:tcPr>
            <w:tcW w:type="dxa" w:w="1608"/>
          </w:tcPr>
          <w:p>
            <w:pPr>
              <w:pStyle w:val="Compact"/>
              <w:spacing w:before="20" w:after="20" w:line="240" w:lineRule="auto"/>
              <w:jc w:val="left"/>
            </w:pPr>
            <w:r>
              <w:rPr>
                <w:rFonts w:ascii="Liberation Sans Narrow" w:hAnsi="Liberation Sans Narrow"/>
                <w:b w:val="0"/>
                <w:sz w:val="18"/>
              </w:rPr>
              <w:t xml:space="preserve">Art. 597</w:t>
            </w:r>
          </w:p>
        </w:tc>
        <w:tc>
          <w:tcPr>
            <w:tcW w:type="dxa" w:w="731"/>
          </w:tcPr>
          <w:p>
            <w:pPr>
              <w:pStyle w:val="Compact"/>
              <w:spacing w:before="20" w:after="20" w:line="240" w:lineRule="auto"/>
              <w:jc w:val="right"/>
            </w:pPr>
            <w:r>
              <w:rPr>
                <w:rFonts w:ascii="Liberation Sans Narrow" w:hAnsi="Liberation Sans Narrow"/>
                <w:b/>
                <w:sz w:val="18"/>
              </w:rPr>
              <w:t xml:space="preserve">149</w:t>
            </w:r>
          </w:p>
        </w:tc>
        <w:tc>
          <w:tcPr>
            <w:tcW w:type="dxa" w:w="1608"/>
          </w:tcPr>
          <w:p>
            <w:pPr>
              <w:pStyle w:val="Compact"/>
              <w:spacing w:before="20" w:after="20" w:line="240" w:lineRule="auto"/>
              <w:jc w:val="left"/>
            </w:pPr>
            <w:r>
              <w:rPr>
                <w:rFonts w:ascii="Liberation Sans Narrow" w:hAnsi="Liberation Sans Narrow"/>
                <w:b w:val="0"/>
                <w:sz w:val="18"/>
              </w:rPr>
              <w:t xml:space="preserve">Art. 786</w:t>
            </w:r>
          </w:p>
        </w:tc>
        <w:tc>
          <w:tcPr>
            <w:tcW w:type="dxa" w:w="731"/>
          </w:tcPr>
          <w:p>
            <w:pPr>
              <w:pStyle w:val="Compact"/>
              <w:spacing w:before="20" w:after="20" w:line="240" w:lineRule="auto"/>
              <w:jc w:val="right"/>
            </w:pPr>
            <w:r>
              <w:rPr>
                <w:rFonts w:ascii="Liberation Sans Narrow" w:hAnsi="Liberation Sans Narrow"/>
                <w:b/>
                <w:sz w:val="18"/>
              </w:rPr>
              <w:t xml:space="preserve">215</w:t>
            </w:r>
          </w:p>
        </w:tc>
        <w:tc>
          <w:tcPr>
            <w:tcW w:type="dxa" w:w="1608"/>
          </w:tcPr>
          <w:p>
            <w:pPr>
              <w:pStyle w:val="Compact"/>
              <w:spacing w:before="20" w:after="20" w:line="240" w:lineRule="auto"/>
              <w:jc w:val="left"/>
            </w:pPr>
            <w:r>
              <w:rPr>
                <w:rFonts w:ascii="Liberation Sans Narrow" w:hAnsi="Liberation Sans Narrow"/>
                <w:b w:val="0"/>
                <w:sz w:val="18"/>
              </w:rPr>
              <w:t xml:space="preserve">Art. 975</w:t>
            </w:r>
          </w:p>
        </w:tc>
        <w:tc>
          <w:tcPr>
            <w:tcW w:type="dxa" w:w="731"/>
          </w:tcPr>
          <w:p>
            <w:pPr>
              <w:pStyle w:val="Compact"/>
              <w:spacing w:before="20" w:after="20" w:line="240" w:lineRule="auto"/>
              <w:jc w:val="right"/>
            </w:pPr>
            <w:r>
              <w:rPr>
                <w:rFonts w:ascii="Liberation Sans Narrow" w:hAnsi="Liberation Sans Narrow"/>
                <w:b/>
                <w:sz w:val="18"/>
              </w:rPr>
              <w:t xml:space="preserve">288</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409</w:t>
            </w:r>
          </w:p>
        </w:tc>
        <w:tc>
          <w:tcPr>
            <w:tcW w:type="dxa" w:w="731"/>
          </w:tcPr>
          <w:p>
            <w:pPr>
              <w:pStyle w:val="Compact"/>
              <w:spacing w:before="20" w:after="20" w:line="240" w:lineRule="auto"/>
              <w:jc w:val="right"/>
            </w:pPr>
            <w:r>
              <w:rPr>
                <w:rFonts w:ascii="Liberation Sans Narrow" w:hAnsi="Liberation Sans Narrow"/>
                <w:b/>
                <w:sz w:val="18"/>
              </w:rPr>
              <w:t xml:space="preserve">72</w:t>
            </w:r>
          </w:p>
        </w:tc>
        <w:tc>
          <w:tcPr>
            <w:tcW w:type="dxa" w:w="1608"/>
          </w:tcPr>
          <w:p>
            <w:pPr>
              <w:pStyle w:val="Compact"/>
              <w:spacing w:before="20" w:after="20" w:line="240" w:lineRule="auto"/>
              <w:jc w:val="left"/>
            </w:pPr>
            <w:r>
              <w:rPr>
                <w:rFonts w:ascii="Liberation Sans Narrow" w:hAnsi="Liberation Sans Narrow"/>
                <w:b w:val="0"/>
                <w:sz w:val="18"/>
              </w:rPr>
              <w:t xml:space="preserve">Art. 598</w:t>
            </w:r>
          </w:p>
        </w:tc>
        <w:tc>
          <w:tcPr>
            <w:tcW w:type="dxa" w:w="731"/>
          </w:tcPr>
          <w:p>
            <w:pPr>
              <w:pStyle w:val="Compact"/>
              <w:spacing w:before="20" w:after="20" w:line="240" w:lineRule="auto"/>
              <w:jc w:val="right"/>
            </w:pPr>
            <w:r>
              <w:rPr>
                <w:rFonts w:ascii="Liberation Sans Narrow" w:hAnsi="Liberation Sans Narrow"/>
                <w:b/>
                <w:sz w:val="18"/>
              </w:rPr>
              <w:t xml:space="preserve">150</w:t>
            </w:r>
          </w:p>
        </w:tc>
        <w:tc>
          <w:tcPr>
            <w:tcW w:type="dxa" w:w="1608"/>
          </w:tcPr>
          <w:p>
            <w:pPr>
              <w:pStyle w:val="Compact"/>
              <w:spacing w:before="20" w:after="20" w:line="240" w:lineRule="auto"/>
              <w:jc w:val="left"/>
            </w:pPr>
            <w:r>
              <w:rPr>
                <w:rFonts w:ascii="Liberation Sans Narrow" w:hAnsi="Liberation Sans Narrow"/>
                <w:b w:val="0"/>
                <w:sz w:val="18"/>
              </w:rPr>
              <w:t xml:space="preserve">Art. 787</w:t>
            </w:r>
          </w:p>
        </w:tc>
        <w:tc>
          <w:tcPr>
            <w:tcW w:type="dxa" w:w="731"/>
          </w:tcPr>
          <w:p>
            <w:pPr>
              <w:pStyle w:val="Compact"/>
              <w:spacing w:before="20" w:after="20" w:line="240" w:lineRule="auto"/>
              <w:jc w:val="right"/>
            </w:pPr>
            <w:r>
              <w:rPr>
                <w:rFonts w:ascii="Liberation Sans Narrow" w:hAnsi="Liberation Sans Narrow"/>
                <w:b/>
                <w:sz w:val="18"/>
              </w:rPr>
              <w:t xml:space="preserve">215</w:t>
            </w:r>
          </w:p>
        </w:tc>
        <w:tc>
          <w:tcPr>
            <w:tcW w:type="dxa" w:w="1608"/>
          </w:tcPr>
          <w:p>
            <w:pPr>
              <w:pStyle w:val="Compact"/>
              <w:spacing w:before="20" w:after="20" w:line="240" w:lineRule="auto"/>
              <w:jc w:val="left"/>
            </w:pPr>
            <w:r>
              <w:rPr>
                <w:rFonts w:ascii="Liberation Sans Narrow" w:hAnsi="Liberation Sans Narrow"/>
                <w:b w:val="0"/>
                <w:sz w:val="18"/>
              </w:rPr>
              <w:t xml:space="preserve">Art. 976</w:t>
            </w:r>
          </w:p>
        </w:tc>
        <w:tc>
          <w:tcPr>
            <w:tcW w:type="dxa" w:w="731"/>
          </w:tcPr>
          <w:p>
            <w:pPr>
              <w:pStyle w:val="Compact"/>
              <w:spacing w:before="20" w:after="20" w:line="240" w:lineRule="auto"/>
              <w:jc w:val="right"/>
            </w:pPr>
            <w:r>
              <w:rPr>
                <w:rFonts w:ascii="Liberation Sans Narrow" w:hAnsi="Liberation Sans Narrow"/>
                <w:b/>
                <w:sz w:val="18"/>
              </w:rPr>
              <w:t xml:space="preserve">288</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410</w:t>
            </w:r>
          </w:p>
        </w:tc>
        <w:tc>
          <w:tcPr>
            <w:tcW w:type="dxa" w:w="731"/>
          </w:tcPr>
          <w:p>
            <w:pPr>
              <w:pStyle w:val="Compact"/>
              <w:spacing w:before="20" w:after="20" w:line="240" w:lineRule="auto"/>
              <w:jc w:val="right"/>
            </w:pPr>
            <w:r>
              <w:rPr>
                <w:rFonts w:ascii="Liberation Sans Narrow" w:hAnsi="Liberation Sans Narrow"/>
                <w:b/>
                <w:sz w:val="18"/>
              </w:rPr>
              <w:t xml:space="preserve">72</w:t>
            </w:r>
          </w:p>
        </w:tc>
        <w:tc>
          <w:tcPr>
            <w:tcW w:type="dxa" w:w="1608"/>
          </w:tcPr>
          <w:p>
            <w:pPr>
              <w:pStyle w:val="Compact"/>
              <w:spacing w:before="20" w:after="20" w:line="240" w:lineRule="auto"/>
              <w:jc w:val="left"/>
            </w:pPr>
            <w:r>
              <w:rPr>
                <w:rFonts w:ascii="Liberation Sans Narrow" w:hAnsi="Liberation Sans Narrow"/>
                <w:b w:val="0"/>
                <w:sz w:val="18"/>
              </w:rPr>
              <w:t xml:space="preserve">Art. 599</w:t>
            </w:r>
          </w:p>
        </w:tc>
        <w:tc>
          <w:tcPr>
            <w:tcW w:type="dxa" w:w="731"/>
          </w:tcPr>
          <w:p>
            <w:pPr>
              <w:pStyle w:val="Compact"/>
              <w:spacing w:before="20" w:after="20" w:line="240" w:lineRule="auto"/>
              <w:jc w:val="right"/>
            </w:pPr>
            <w:r>
              <w:rPr>
                <w:rFonts w:ascii="Liberation Sans Narrow" w:hAnsi="Liberation Sans Narrow"/>
                <w:b/>
                <w:sz w:val="18"/>
              </w:rPr>
              <w:t xml:space="preserve">150</w:t>
            </w:r>
          </w:p>
        </w:tc>
        <w:tc>
          <w:tcPr>
            <w:tcW w:type="dxa" w:w="1608"/>
          </w:tcPr>
          <w:p>
            <w:pPr>
              <w:pStyle w:val="Compact"/>
              <w:spacing w:before="20" w:after="20" w:line="240" w:lineRule="auto"/>
              <w:jc w:val="left"/>
            </w:pPr>
            <w:r>
              <w:rPr>
                <w:rFonts w:ascii="Liberation Sans Narrow" w:hAnsi="Liberation Sans Narrow"/>
                <w:b w:val="0"/>
                <w:sz w:val="18"/>
              </w:rPr>
              <w:t xml:space="preserve">Art. 788</w:t>
            </w:r>
          </w:p>
        </w:tc>
        <w:tc>
          <w:tcPr>
            <w:tcW w:type="dxa" w:w="731"/>
          </w:tcPr>
          <w:p>
            <w:pPr>
              <w:pStyle w:val="Compact"/>
              <w:spacing w:before="20" w:after="20" w:line="240" w:lineRule="auto"/>
              <w:jc w:val="right"/>
            </w:pPr>
            <w:r>
              <w:rPr>
                <w:rFonts w:ascii="Liberation Sans Narrow" w:hAnsi="Liberation Sans Narrow"/>
                <w:b/>
                <w:sz w:val="18"/>
              </w:rPr>
              <w:t xml:space="preserve">215</w:t>
            </w:r>
          </w:p>
        </w:tc>
        <w:tc>
          <w:tcPr>
            <w:tcW w:type="dxa" w:w="1608"/>
          </w:tcPr>
          <w:p>
            <w:pPr>
              <w:pStyle w:val="Compact"/>
              <w:spacing w:before="20" w:after="20" w:line="240" w:lineRule="auto"/>
              <w:jc w:val="left"/>
            </w:pPr>
            <w:r>
              <w:rPr>
                <w:rFonts w:ascii="Liberation Sans Narrow" w:hAnsi="Liberation Sans Narrow"/>
                <w:b w:val="0"/>
                <w:sz w:val="18"/>
              </w:rPr>
              <w:t xml:space="preserve">Art. 977</w:t>
            </w:r>
          </w:p>
        </w:tc>
        <w:tc>
          <w:tcPr>
            <w:tcW w:type="dxa" w:w="731"/>
          </w:tcPr>
          <w:p>
            <w:pPr>
              <w:pStyle w:val="Compact"/>
              <w:spacing w:before="20" w:after="20" w:line="240" w:lineRule="auto"/>
              <w:jc w:val="right"/>
            </w:pPr>
            <w:r>
              <w:rPr>
                <w:rFonts w:ascii="Liberation Sans Narrow" w:hAnsi="Liberation Sans Narrow"/>
                <w:b/>
                <w:sz w:val="18"/>
              </w:rPr>
              <w:t xml:space="preserve">289</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411</w:t>
            </w:r>
          </w:p>
        </w:tc>
        <w:tc>
          <w:tcPr>
            <w:tcW w:type="dxa" w:w="731"/>
          </w:tcPr>
          <w:p>
            <w:pPr>
              <w:pStyle w:val="Compact"/>
              <w:spacing w:before="20" w:after="20" w:line="240" w:lineRule="auto"/>
              <w:jc w:val="right"/>
            </w:pPr>
            <w:r>
              <w:rPr>
                <w:rFonts w:ascii="Liberation Sans Narrow" w:hAnsi="Liberation Sans Narrow"/>
                <w:b/>
                <w:sz w:val="18"/>
              </w:rPr>
              <w:t xml:space="preserve">73</w:t>
            </w:r>
          </w:p>
        </w:tc>
        <w:tc>
          <w:tcPr>
            <w:tcW w:type="dxa" w:w="1608"/>
          </w:tcPr>
          <w:p>
            <w:pPr>
              <w:pStyle w:val="Compact"/>
              <w:spacing w:before="20" w:after="20" w:line="240" w:lineRule="auto"/>
              <w:jc w:val="left"/>
            </w:pPr>
            <w:r>
              <w:rPr>
                <w:rFonts w:ascii="Liberation Sans Narrow" w:hAnsi="Liberation Sans Narrow"/>
                <w:b w:val="0"/>
                <w:sz w:val="18"/>
              </w:rPr>
              <w:t xml:space="preserve">Art. 600</w:t>
            </w:r>
          </w:p>
        </w:tc>
        <w:tc>
          <w:tcPr>
            <w:tcW w:type="dxa" w:w="731"/>
          </w:tcPr>
          <w:p>
            <w:pPr>
              <w:pStyle w:val="Compact"/>
              <w:spacing w:before="20" w:after="20" w:line="240" w:lineRule="auto"/>
              <w:jc w:val="right"/>
            </w:pPr>
            <w:r>
              <w:rPr>
                <w:rFonts w:ascii="Liberation Sans Narrow" w:hAnsi="Liberation Sans Narrow"/>
                <w:b/>
                <w:sz w:val="18"/>
              </w:rPr>
              <w:t xml:space="preserve">151</w:t>
            </w:r>
          </w:p>
        </w:tc>
        <w:tc>
          <w:tcPr>
            <w:tcW w:type="dxa" w:w="1608"/>
          </w:tcPr>
          <w:p>
            <w:pPr>
              <w:pStyle w:val="Compact"/>
              <w:spacing w:before="20" w:after="20" w:line="240" w:lineRule="auto"/>
              <w:jc w:val="left"/>
            </w:pPr>
            <w:r>
              <w:rPr>
                <w:rFonts w:ascii="Liberation Sans Narrow" w:hAnsi="Liberation Sans Narrow"/>
                <w:b w:val="0"/>
                <w:sz w:val="18"/>
              </w:rPr>
              <w:t xml:space="preserve">Art. 789</w:t>
            </w:r>
          </w:p>
        </w:tc>
        <w:tc>
          <w:tcPr>
            <w:tcW w:type="dxa" w:w="731"/>
          </w:tcPr>
          <w:p>
            <w:pPr>
              <w:pStyle w:val="Compact"/>
              <w:spacing w:before="20" w:after="20" w:line="240" w:lineRule="auto"/>
              <w:jc w:val="right"/>
            </w:pPr>
            <w:r>
              <w:rPr>
                <w:rFonts w:ascii="Liberation Sans Narrow" w:hAnsi="Liberation Sans Narrow"/>
                <w:b/>
                <w:sz w:val="18"/>
              </w:rPr>
              <w:t xml:space="preserve">215</w:t>
            </w:r>
          </w:p>
        </w:tc>
        <w:tc>
          <w:tcPr>
            <w:tcW w:type="dxa" w:w="1608"/>
          </w:tcPr>
          <w:p>
            <w:pPr>
              <w:pStyle w:val="Compact"/>
              <w:spacing w:before="20" w:after="20" w:line="240" w:lineRule="auto"/>
              <w:jc w:val="left"/>
            </w:pPr>
            <w:r>
              <w:rPr>
                <w:rFonts w:ascii="Liberation Sans Narrow" w:hAnsi="Liberation Sans Narrow"/>
                <w:b w:val="0"/>
                <w:sz w:val="18"/>
              </w:rPr>
              <w:t xml:space="preserve">Art. 978</w:t>
            </w:r>
          </w:p>
        </w:tc>
        <w:tc>
          <w:tcPr>
            <w:tcW w:type="dxa" w:w="731"/>
          </w:tcPr>
          <w:p>
            <w:pPr>
              <w:pStyle w:val="Compact"/>
              <w:spacing w:before="20" w:after="20" w:line="240" w:lineRule="auto"/>
              <w:jc w:val="right"/>
            </w:pPr>
            <w:r>
              <w:rPr>
                <w:rFonts w:ascii="Liberation Sans Narrow" w:hAnsi="Liberation Sans Narrow"/>
                <w:b/>
                <w:sz w:val="18"/>
              </w:rPr>
              <w:t xml:space="preserve">289</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412</w:t>
            </w:r>
          </w:p>
        </w:tc>
        <w:tc>
          <w:tcPr>
            <w:tcW w:type="dxa" w:w="731"/>
          </w:tcPr>
          <w:p>
            <w:pPr>
              <w:pStyle w:val="Compact"/>
              <w:spacing w:before="20" w:after="20" w:line="240" w:lineRule="auto"/>
              <w:jc w:val="right"/>
            </w:pPr>
            <w:r>
              <w:rPr>
                <w:rFonts w:ascii="Liberation Sans Narrow" w:hAnsi="Liberation Sans Narrow"/>
                <w:b/>
                <w:sz w:val="18"/>
              </w:rPr>
              <w:t xml:space="preserve">73</w:t>
            </w:r>
          </w:p>
        </w:tc>
        <w:tc>
          <w:tcPr>
            <w:tcW w:type="dxa" w:w="1608"/>
          </w:tcPr>
          <w:p>
            <w:pPr>
              <w:pStyle w:val="Compact"/>
              <w:spacing w:before="20" w:after="20" w:line="240" w:lineRule="auto"/>
              <w:jc w:val="left"/>
            </w:pPr>
            <w:r>
              <w:rPr>
                <w:rFonts w:ascii="Liberation Sans Narrow" w:hAnsi="Liberation Sans Narrow"/>
                <w:b w:val="0"/>
                <w:sz w:val="18"/>
              </w:rPr>
              <w:t xml:space="preserve">Art. 601</w:t>
            </w:r>
          </w:p>
        </w:tc>
        <w:tc>
          <w:tcPr>
            <w:tcW w:type="dxa" w:w="731"/>
          </w:tcPr>
          <w:p>
            <w:pPr>
              <w:pStyle w:val="Compact"/>
              <w:spacing w:before="20" w:after="20" w:line="240" w:lineRule="auto"/>
              <w:jc w:val="right"/>
            </w:pPr>
            <w:r>
              <w:rPr>
                <w:rFonts w:ascii="Liberation Sans Narrow" w:hAnsi="Liberation Sans Narrow"/>
                <w:b/>
                <w:sz w:val="18"/>
              </w:rPr>
              <w:t xml:space="preserve">151</w:t>
            </w:r>
          </w:p>
        </w:tc>
        <w:tc>
          <w:tcPr>
            <w:tcW w:type="dxa" w:w="1608"/>
          </w:tcPr>
          <w:p>
            <w:pPr>
              <w:pStyle w:val="Compact"/>
              <w:spacing w:before="20" w:after="20" w:line="240" w:lineRule="auto"/>
              <w:jc w:val="left"/>
            </w:pPr>
            <w:r>
              <w:rPr>
                <w:rFonts w:ascii="Liberation Sans Narrow" w:hAnsi="Liberation Sans Narrow"/>
                <w:b w:val="0"/>
                <w:sz w:val="18"/>
              </w:rPr>
              <w:t xml:space="preserve">Art. 790</w:t>
            </w:r>
          </w:p>
        </w:tc>
        <w:tc>
          <w:tcPr>
            <w:tcW w:type="dxa" w:w="731"/>
          </w:tcPr>
          <w:p>
            <w:pPr>
              <w:pStyle w:val="Compact"/>
              <w:spacing w:before="20" w:after="20" w:line="240" w:lineRule="auto"/>
              <w:jc w:val="right"/>
            </w:pPr>
            <w:r>
              <w:rPr>
                <w:rFonts w:ascii="Liberation Sans Narrow" w:hAnsi="Liberation Sans Narrow"/>
                <w:b/>
                <w:sz w:val="18"/>
              </w:rPr>
              <w:t xml:space="preserve">216</w:t>
            </w:r>
          </w:p>
        </w:tc>
        <w:tc>
          <w:tcPr>
            <w:tcW w:type="dxa" w:w="1608"/>
          </w:tcPr>
          <w:p>
            <w:pPr>
              <w:pStyle w:val="Compact"/>
              <w:spacing w:before="20" w:after="20" w:line="240" w:lineRule="auto"/>
              <w:jc w:val="left"/>
            </w:pPr>
            <w:r>
              <w:rPr>
                <w:rFonts w:ascii="Liberation Sans Narrow" w:hAnsi="Liberation Sans Narrow"/>
                <w:b w:val="0"/>
                <w:sz w:val="18"/>
              </w:rPr>
              <w:t xml:space="preserve">Art. 979</w:t>
            </w:r>
          </w:p>
        </w:tc>
        <w:tc>
          <w:tcPr>
            <w:tcW w:type="dxa" w:w="731"/>
          </w:tcPr>
          <w:p>
            <w:pPr>
              <w:pStyle w:val="Compact"/>
              <w:spacing w:before="20" w:after="20" w:line="240" w:lineRule="auto"/>
              <w:jc w:val="right"/>
            </w:pPr>
            <w:r>
              <w:rPr>
                <w:rFonts w:ascii="Liberation Sans Narrow" w:hAnsi="Liberation Sans Narrow"/>
                <w:b/>
                <w:sz w:val="18"/>
              </w:rPr>
              <w:t xml:space="preserve">289</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413</w:t>
            </w:r>
          </w:p>
        </w:tc>
        <w:tc>
          <w:tcPr>
            <w:tcW w:type="dxa" w:w="731"/>
          </w:tcPr>
          <w:p>
            <w:pPr>
              <w:pStyle w:val="Compact"/>
              <w:spacing w:before="20" w:after="20" w:line="240" w:lineRule="auto"/>
              <w:jc w:val="right"/>
            </w:pPr>
            <w:r>
              <w:rPr>
                <w:rFonts w:ascii="Liberation Sans Narrow" w:hAnsi="Liberation Sans Narrow"/>
                <w:b/>
                <w:sz w:val="18"/>
              </w:rPr>
              <w:t xml:space="preserve">73</w:t>
            </w:r>
          </w:p>
        </w:tc>
        <w:tc>
          <w:tcPr>
            <w:tcW w:type="dxa" w:w="1608"/>
          </w:tcPr>
          <w:p>
            <w:pPr>
              <w:pStyle w:val="Compact"/>
              <w:spacing w:before="20" w:after="20" w:line="240" w:lineRule="auto"/>
              <w:jc w:val="left"/>
            </w:pPr>
            <w:r>
              <w:rPr>
                <w:rFonts w:ascii="Liberation Sans Narrow" w:hAnsi="Liberation Sans Narrow"/>
                <w:b w:val="0"/>
                <w:sz w:val="18"/>
              </w:rPr>
              <w:t xml:space="preserve">Art. 602</w:t>
            </w:r>
          </w:p>
        </w:tc>
        <w:tc>
          <w:tcPr>
            <w:tcW w:type="dxa" w:w="731"/>
          </w:tcPr>
          <w:p>
            <w:pPr>
              <w:pStyle w:val="Compact"/>
              <w:spacing w:before="20" w:after="20" w:line="240" w:lineRule="auto"/>
              <w:jc w:val="right"/>
            </w:pPr>
            <w:r>
              <w:rPr>
                <w:rFonts w:ascii="Liberation Sans Narrow" w:hAnsi="Liberation Sans Narrow"/>
                <w:b/>
                <w:sz w:val="18"/>
              </w:rPr>
              <w:t xml:space="preserve">151</w:t>
            </w:r>
          </w:p>
        </w:tc>
        <w:tc>
          <w:tcPr>
            <w:tcW w:type="dxa" w:w="1608"/>
          </w:tcPr>
          <w:p>
            <w:pPr>
              <w:pStyle w:val="Compact"/>
              <w:spacing w:before="20" w:after="20" w:line="240" w:lineRule="auto"/>
              <w:jc w:val="left"/>
            </w:pPr>
            <w:r>
              <w:rPr>
                <w:rFonts w:ascii="Liberation Sans Narrow" w:hAnsi="Liberation Sans Narrow"/>
                <w:b w:val="0"/>
                <w:sz w:val="18"/>
              </w:rPr>
              <w:t xml:space="preserve">Art. 791</w:t>
            </w:r>
          </w:p>
        </w:tc>
        <w:tc>
          <w:tcPr>
            <w:tcW w:type="dxa" w:w="731"/>
          </w:tcPr>
          <w:p>
            <w:pPr>
              <w:pStyle w:val="Compact"/>
              <w:spacing w:before="20" w:after="20" w:line="240" w:lineRule="auto"/>
              <w:jc w:val="right"/>
            </w:pPr>
            <w:r>
              <w:rPr>
                <w:rFonts w:ascii="Liberation Sans Narrow" w:hAnsi="Liberation Sans Narrow"/>
                <w:b/>
                <w:sz w:val="18"/>
              </w:rPr>
              <w:t xml:space="preserve">216</w:t>
            </w:r>
          </w:p>
        </w:tc>
        <w:tc>
          <w:tcPr>
            <w:tcW w:type="dxa" w:w="1608"/>
          </w:tcPr>
          <w:p>
            <w:pPr>
              <w:pStyle w:val="Compact"/>
              <w:spacing w:before="20" w:after="20" w:line="240" w:lineRule="auto"/>
              <w:jc w:val="left"/>
            </w:pPr>
            <w:r>
              <w:rPr>
                <w:rFonts w:ascii="Liberation Sans Narrow" w:hAnsi="Liberation Sans Narrow"/>
                <w:b w:val="0"/>
                <w:sz w:val="18"/>
              </w:rPr>
              <w:t xml:space="preserve">Art. 980</w:t>
            </w:r>
          </w:p>
        </w:tc>
        <w:tc>
          <w:tcPr>
            <w:tcW w:type="dxa" w:w="731"/>
          </w:tcPr>
          <w:p>
            <w:pPr>
              <w:pStyle w:val="Compact"/>
              <w:spacing w:before="20" w:after="20" w:line="240" w:lineRule="auto"/>
              <w:jc w:val="right"/>
            </w:pPr>
            <w:r>
              <w:rPr>
                <w:rFonts w:ascii="Liberation Sans Narrow" w:hAnsi="Liberation Sans Narrow"/>
                <w:b/>
                <w:sz w:val="18"/>
              </w:rPr>
              <w:t xml:space="preserve">290</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414</w:t>
            </w:r>
          </w:p>
        </w:tc>
        <w:tc>
          <w:tcPr>
            <w:tcW w:type="dxa" w:w="731"/>
          </w:tcPr>
          <w:p>
            <w:pPr>
              <w:pStyle w:val="Compact"/>
              <w:spacing w:before="20" w:after="20" w:line="240" w:lineRule="auto"/>
              <w:jc w:val="right"/>
            </w:pPr>
            <w:r>
              <w:rPr>
                <w:rFonts w:ascii="Liberation Sans Narrow" w:hAnsi="Liberation Sans Narrow"/>
                <w:b/>
                <w:sz w:val="18"/>
              </w:rPr>
              <w:t xml:space="preserve">74</w:t>
            </w:r>
          </w:p>
        </w:tc>
        <w:tc>
          <w:tcPr>
            <w:tcW w:type="dxa" w:w="1608"/>
          </w:tcPr>
          <w:p>
            <w:pPr>
              <w:pStyle w:val="Compact"/>
              <w:spacing w:before="20" w:after="20" w:line="240" w:lineRule="auto"/>
              <w:jc w:val="left"/>
            </w:pPr>
            <w:r>
              <w:rPr>
                <w:rFonts w:ascii="Liberation Sans Narrow" w:hAnsi="Liberation Sans Narrow"/>
                <w:b w:val="0"/>
                <w:sz w:val="18"/>
              </w:rPr>
              <w:t xml:space="preserve">Art. 603</w:t>
            </w:r>
          </w:p>
        </w:tc>
        <w:tc>
          <w:tcPr>
            <w:tcW w:type="dxa" w:w="731"/>
          </w:tcPr>
          <w:p>
            <w:pPr>
              <w:pStyle w:val="Compact"/>
              <w:spacing w:before="20" w:after="20" w:line="240" w:lineRule="auto"/>
              <w:jc w:val="right"/>
            </w:pPr>
            <w:r>
              <w:rPr>
                <w:rFonts w:ascii="Liberation Sans Narrow" w:hAnsi="Liberation Sans Narrow"/>
                <w:b/>
                <w:sz w:val="18"/>
              </w:rPr>
              <w:t xml:space="preserve">152</w:t>
            </w:r>
          </w:p>
        </w:tc>
        <w:tc>
          <w:tcPr>
            <w:tcW w:type="dxa" w:w="1608"/>
          </w:tcPr>
          <w:p>
            <w:pPr>
              <w:pStyle w:val="Compact"/>
              <w:spacing w:before="20" w:after="20" w:line="240" w:lineRule="auto"/>
              <w:jc w:val="left"/>
            </w:pPr>
            <w:r>
              <w:rPr>
                <w:rFonts w:ascii="Liberation Sans Narrow" w:hAnsi="Liberation Sans Narrow"/>
                <w:b w:val="0"/>
                <w:sz w:val="18"/>
              </w:rPr>
              <w:t xml:space="preserve">Art. 792</w:t>
            </w:r>
          </w:p>
        </w:tc>
        <w:tc>
          <w:tcPr>
            <w:tcW w:type="dxa" w:w="731"/>
          </w:tcPr>
          <w:p>
            <w:pPr>
              <w:pStyle w:val="Compact"/>
              <w:spacing w:before="20" w:after="20" w:line="240" w:lineRule="auto"/>
              <w:jc w:val="right"/>
            </w:pPr>
            <w:r>
              <w:rPr>
                <w:rFonts w:ascii="Liberation Sans Narrow" w:hAnsi="Liberation Sans Narrow"/>
                <w:b/>
                <w:sz w:val="18"/>
              </w:rPr>
              <w:t xml:space="preserve">217</w:t>
            </w:r>
          </w:p>
        </w:tc>
        <w:tc>
          <w:tcPr>
            <w:tcW w:type="dxa" w:w="1608"/>
          </w:tcPr>
          <w:p>
            <w:pPr>
              <w:pStyle w:val="Compact"/>
              <w:spacing w:before="20" w:after="20" w:line="240" w:lineRule="auto"/>
              <w:jc w:val="left"/>
            </w:pPr>
            <w:r>
              <w:rPr>
                <w:rFonts w:ascii="Liberation Sans Narrow" w:hAnsi="Liberation Sans Narrow"/>
                <w:b w:val="0"/>
                <w:sz w:val="18"/>
              </w:rPr>
              <w:t xml:space="preserve">Art. 981</w:t>
            </w:r>
          </w:p>
        </w:tc>
        <w:tc>
          <w:tcPr>
            <w:tcW w:type="dxa" w:w="731"/>
          </w:tcPr>
          <w:p>
            <w:pPr>
              <w:pStyle w:val="Compact"/>
              <w:spacing w:before="20" w:after="20" w:line="240" w:lineRule="auto"/>
              <w:jc w:val="right"/>
            </w:pPr>
            <w:r>
              <w:rPr>
                <w:rFonts w:ascii="Liberation Sans Narrow" w:hAnsi="Liberation Sans Narrow"/>
                <w:b/>
                <w:sz w:val="18"/>
              </w:rPr>
              <w:t xml:space="preserve">290</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415</w:t>
            </w:r>
          </w:p>
        </w:tc>
        <w:tc>
          <w:tcPr>
            <w:tcW w:type="dxa" w:w="731"/>
          </w:tcPr>
          <w:p>
            <w:pPr>
              <w:pStyle w:val="Compact"/>
              <w:spacing w:before="20" w:after="20" w:line="240" w:lineRule="auto"/>
              <w:jc w:val="right"/>
            </w:pPr>
            <w:r>
              <w:rPr>
                <w:rFonts w:ascii="Liberation Sans Narrow" w:hAnsi="Liberation Sans Narrow"/>
                <w:b/>
                <w:sz w:val="18"/>
              </w:rPr>
              <w:t xml:space="preserve">74</w:t>
            </w:r>
          </w:p>
        </w:tc>
        <w:tc>
          <w:tcPr>
            <w:tcW w:type="dxa" w:w="1608"/>
          </w:tcPr>
          <w:p>
            <w:pPr>
              <w:pStyle w:val="Compact"/>
              <w:spacing w:before="20" w:after="20" w:line="240" w:lineRule="auto"/>
              <w:jc w:val="left"/>
            </w:pPr>
            <w:r>
              <w:rPr>
                <w:rFonts w:ascii="Liberation Sans Narrow" w:hAnsi="Liberation Sans Narrow"/>
                <w:b w:val="0"/>
                <w:sz w:val="18"/>
              </w:rPr>
              <w:t xml:space="preserve">Art. 604</w:t>
            </w:r>
          </w:p>
        </w:tc>
        <w:tc>
          <w:tcPr>
            <w:tcW w:type="dxa" w:w="731"/>
          </w:tcPr>
          <w:p>
            <w:pPr>
              <w:pStyle w:val="Compact"/>
              <w:spacing w:before="20" w:after="20" w:line="240" w:lineRule="auto"/>
              <w:jc w:val="right"/>
            </w:pPr>
            <w:r>
              <w:rPr>
                <w:rFonts w:ascii="Liberation Sans Narrow" w:hAnsi="Liberation Sans Narrow"/>
                <w:b/>
                <w:sz w:val="18"/>
              </w:rPr>
              <w:t xml:space="preserve">152</w:t>
            </w:r>
          </w:p>
        </w:tc>
        <w:tc>
          <w:tcPr>
            <w:tcW w:type="dxa" w:w="1608"/>
          </w:tcPr>
          <w:p>
            <w:pPr>
              <w:pStyle w:val="Compact"/>
              <w:spacing w:before="20" w:after="20" w:line="240" w:lineRule="auto"/>
              <w:jc w:val="left"/>
            </w:pPr>
            <w:r>
              <w:rPr>
                <w:rFonts w:ascii="Liberation Sans Narrow" w:hAnsi="Liberation Sans Narrow"/>
                <w:b w:val="0"/>
                <w:sz w:val="18"/>
              </w:rPr>
              <w:t xml:space="preserve">Art. 793</w:t>
            </w:r>
          </w:p>
        </w:tc>
        <w:tc>
          <w:tcPr>
            <w:tcW w:type="dxa" w:w="731"/>
          </w:tcPr>
          <w:p>
            <w:pPr>
              <w:pStyle w:val="Compact"/>
              <w:spacing w:before="20" w:after="20" w:line="240" w:lineRule="auto"/>
              <w:jc w:val="right"/>
            </w:pPr>
            <w:r>
              <w:rPr>
                <w:rFonts w:ascii="Liberation Sans Narrow" w:hAnsi="Liberation Sans Narrow"/>
                <w:b/>
                <w:sz w:val="18"/>
              </w:rPr>
              <w:t xml:space="preserve">217</w:t>
            </w:r>
          </w:p>
        </w:tc>
        <w:tc>
          <w:tcPr>
            <w:tcW w:type="dxa" w:w="1608"/>
          </w:tcPr>
          <w:p>
            <w:pPr>
              <w:pStyle w:val="Compact"/>
              <w:spacing w:before="20" w:after="20" w:line="240" w:lineRule="auto"/>
              <w:jc w:val="left"/>
            </w:pPr>
            <w:r>
              <w:rPr>
                <w:rFonts w:ascii="Liberation Sans Narrow" w:hAnsi="Liberation Sans Narrow"/>
                <w:b w:val="0"/>
                <w:sz w:val="18"/>
              </w:rPr>
              <w:t xml:space="preserve">Art. 982</w:t>
            </w:r>
          </w:p>
        </w:tc>
        <w:tc>
          <w:tcPr>
            <w:tcW w:type="dxa" w:w="731"/>
          </w:tcPr>
          <w:p>
            <w:pPr>
              <w:pStyle w:val="Compact"/>
              <w:spacing w:before="20" w:after="20" w:line="240" w:lineRule="auto"/>
              <w:jc w:val="right"/>
            </w:pPr>
            <w:r>
              <w:rPr>
                <w:rFonts w:ascii="Liberation Sans Narrow" w:hAnsi="Liberation Sans Narrow"/>
                <w:b/>
                <w:sz w:val="18"/>
              </w:rPr>
              <w:t xml:space="preserve">290</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416</w:t>
            </w:r>
          </w:p>
        </w:tc>
        <w:tc>
          <w:tcPr>
            <w:tcW w:type="dxa" w:w="731"/>
          </w:tcPr>
          <w:p>
            <w:pPr>
              <w:pStyle w:val="Compact"/>
              <w:spacing w:before="20" w:after="20" w:line="240" w:lineRule="auto"/>
              <w:jc w:val="right"/>
            </w:pPr>
            <w:r>
              <w:rPr>
                <w:rFonts w:ascii="Liberation Sans Narrow" w:hAnsi="Liberation Sans Narrow"/>
                <w:b/>
                <w:sz w:val="18"/>
              </w:rPr>
              <w:t xml:space="preserve">74</w:t>
            </w:r>
          </w:p>
        </w:tc>
        <w:tc>
          <w:tcPr>
            <w:tcW w:type="dxa" w:w="1608"/>
          </w:tcPr>
          <w:p>
            <w:pPr>
              <w:pStyle w:val="Compact"/>
              <w:spacing w:before="20" w:after="20" w:line="240" w:lineRule="auto"/>
              <w:jc w:val="left"/>
            </w:pPr>
            <w:r>
              <w:rPr>
                <w:rFonts w:ascii="Liberation Sans Narrow" w:hAnsi="Liberation Sans Narrow"/>
                <w:b w:val="0"/>
                <w:sz w:val="18"/>
              </w:rPr>
              <w:t xml:space="preserve">Art. 605</w:t>
            </w:r>
          </w:p>
        </w:tc>
        <w:tc>
          <w:tcPr>
            <w:tcW w:type="dxa" w:w="731"/>
          </w:tcPr>
          <w:p>
            <w:pPr>
              <w:pStyle w:val="Compact"/>
              <w:spacing w:before="20" w:after="20" w:line="240" w:lineRule="auto"/>
              <w:jc w:val="right"/>
            </w:pPr>
            <w:r>
              <w:rPr>
                <w:rFonts w:ascii="Liberation Sans Narrow" w:hAnsi="Liberation Sans Narrow"/>
                <w:b/>
                <w:sz w:val="18"/>
              </w:rPr>
              <w:t xml:space="preserve">153</w:t>
            </w:r>
          </w:p>
        </w:tc>
        <w:tc>
          <w:tcPr>
            <w:tcW w:type="dxa" w:w="1608"/>
          </w:tcPr>
          <w:p>
            <w:pPr>
              <w:pStyle w:val="Compact"/>
              <w:spacing w:before="20" w:after="20" w:line="240" w:lineRule="auto"/>
              <w:jc w:val="left"/>
            </w:pPr>
            <w:r>
              <w:rPr>
                <w:rFonts w:ascii="Liberation Sans Narrow" w:hAnsi="Liberation Sans Narrow"/>
                <w:b w:val="0"/>
                <w:sz w:val="18"/>
              </w:rPr>
              <w:t xml:space="preserve">Art. 794</w:t>
            </w:r>
          </w:p>
        </w:tc>
        <w:tc>
          <w:tcPr>
            <w:tcW w:type="dxa" w:w="731"/>
          </w:tcPr>
          <w:p>
            <w:pPr>
              <w:pStyle w:val="Compact"/>
              <w:spacing w:before="20" w:after="20" w:line="240" w:lineRule="auto"/>
              <w:jc w:val="right"/>
            </w:pPr>
            <w:r>
              <w:rPr>
                <w:rFonts w:ascii="Liberation Sans Narrow" w:hAnsi="Liberation Sans Narrow"/>
                <w:b/>
                <w:sz w:val="18"/>
              </w:rPr>
              <w:t xml:space="preserve">218</w:t>
            </w:r>
          </w:p>
        </w:tc>
        <w:tc>
          <w:tcPr>
            <w:tcW w:type="dxa" w:w="1608"/>
          </w:tcPr>
          <w:p>
            <w:pPr>
              <w:pStyle w:val="Compact"/>
              <w:spacing w:before="20" w:after="20" w:line="240" w:lineRule="auto"/>
              <w:jc w:val="left"/>
            </w:pPr>
            <w:r>
              <w:rPr>
                <w:rFonts w:ascii="Liberation Sans Narrow" w:hAnsi="Liberation Sans Narrow"/>
                <w:b w:val="0"/>
                <w:sz w:val="18"/>
              </w:rPr>
              <w:t xml:space="preserve">Art. 983</w:t>
            </w:r>
          </w:p>
        </w:tc>
        <w:tc>
          <w:tcPr>
            <w:tcW w:type="dxa" w:w="731"/>
          </w:tcPr>
          <w:p>
            <w:pPr>
              <w:pStyle w:val="Compact"/>
              <w:spacing w:before="20" w:after="20" w:line="240" w:lineRule="auto"/>
              <w:jc w:val="right"/>
            </w:pPr>
            <w:r>
              <w:rPr>
                <w:rFonts w:ascii="Liberation Sans Narrow" w:hAnsi="Liberation Sans Narrow"/>
                <w:b/>
                <w:sz w:val="18"/>
              </w:rPr>
              <w:t xml:space="preserve">291</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417</w:t>
            </w:r>
          </w:p>
        </w:tc>
        <w:tc>
          <w:tcPr>
            <w:tcW w:type="dxa" w:w="731"/>
          </w:tcPr>
          <w:p>
            <w:pPr>
              <w:pStyle w:val="Compact"/>
              <w:spacing w:before="20" w:after="20" w:line="240" w:lineRule="auto"/>
              <w:jc w:val="right"/>
            </w:pPr>
            <w:r>
              <w:rPr>
                <w:rFonts w:ascii="Liberation Sans Narrow" w:hAnsi="Liberation Sans Narrow"/>
                <w:b/>
                <w:sz w:val="18"/>
              </w:rPr>
              <w:t xml:space="preserve">74</w:t>
            </w:r>
          </w:p>
        </w:tc>
        <w:tc>
          <w:tcPr>
            <w:tcW w:type="dxa" w:w="1608"/>
          </w:tcPr>
          <w:p>
            <w:pPr>
              <w:pStyle w:val="Compact"/>
              <w:spacing w:before="20" w:after="20" w:line="240" w:lineRule="auto"/>
              <w:jc w:val="left"/>
            </w:pPr>
            <w:r>
              <w:rPr>
                <w:rFonts w:ascii="Liberation Sans Narrow" w:hAnsi="Liberation Sans Narrow"/>
                <w:b w:val="0"/>
                <w:sz w:val="18"/>
              </w:rPr>
              <w:t xml:space="preserve">Art. 606</w:t>
            </w:r>
          </w:p>
        </w:tc>
        <w:tc>
          <w:tcPr>
            <w:tcW w:type="dxa" w:w="731"/>
          </w:tcPr>
          <w:p>
            <w:pPr>
              <w:pStyle w:val="Compact"/>
              <w:spacing w:before="20" w:after="20" w:line="240" w:lineRule="auto"/>
              <w:jc w:val="right"/>
            </w:pPr>
            <w:r>
              <w:rPr>
                <w:rFonts w:ascii="Liberation Sans Narrow" w:hAnsi="Liberation Sans Narrow"/>
                <w:b/>
                <w:sz w:val="18"/>
              </w:rPr>
              <w:t xml:space="preserve">153</w:t>
            </w:r>
          </w:p>
        </w:tc>
        <w:tc>
          <w:tcPr>
            <w:tcW w:type="dxa" w:w="1608"/>
          </w:tcPr>
          <w:p>
            <w:pPr>
              <w:pStyle w:val="Compact"/>
              <w:spacing w:before="20" w:after="20" w:line="240" w:lineRule="auto"/>
              <w:jc w:val="left"/>
            </w:pPr>
            <w:r>
              <w:rPr>
                <w:rFonts w:ascii="Liberation Sans Narrow" w:hAnsi="Liberation Sans Narrow"/>
                <w:b w:val="0"/>
                <w:sz w:val="18"/>
              </w:rPr>
              <w:t xml:space="preserve">Art. 795</w:t>
            </w:r>
          </w:p>
        </w:tc>
        <w:tc>
          <w:tcPr>
            <w:tcW w:type="dxa" w:w="731"/>
          </w:tcPr>
          <w:p>
            <w:pPr>
              <w:pStyle w:val="Compact"/>
              <w:spacing w:before="20" w:after="20" w:line="240" w:lineRule="auto"/>
              <w:jc w:val="right"/>
            </w:pPr>
            <w:r>
              <w:rPr>
                <w:rFonts w:ascii="Liberation Sans Narrow" w:hAnsi="Liberation Sans Narrow"/>
                <w:b/>
                <w:sz w:val="18"/>
              </w:rPr>
              <w:t xml:space="preserve">218</w:t>
            </w:r>
          </w:p>
        </w:tc>
        <w:tc>
          <w:tcPr>
            <w:tcW w:type="dxa" w:w="1608"/>
          </w:tcPr>
          <w:p>
            <w:pPr>
              <w:pStyle w:val="Compact"/>
              <w:spacing w:before="20" w:after="20" w:line="240" w:lineRule="auto"/>
              <w:jc w:val="left"/>
            </w:pPr>
            <w:r>
              <w:rPr>
                <w:rFonts w:ascii="Liberation Sans Narrow" w:hAnsi="Liberation Sans Narrow"/>
                <w:b w:val="0"/>
                <w:sz w:val="18"/>
              </w:rPr>
              <w:t xml:space="preserve">Art. 984</w:t>
            </w:r>
          </w:p>
        </w:tc>
        <w:tc>
          <w:tcPr>
            <w:tcW w:type="dxa" w:w="731"/>
          </w:tcPr>
          <w:p>
            <w:pPr>
              <w:pStyle w:val="Compact"/>
              <w:spacing w:before="20" w:after="20" w:line="240" w:lineRule="auto"/>
              <w:jc w:val="right"/>
            </w:pPr>
            <w:r>
              <w:rPr>
                <w:rFonts w:ascii="Liberation Sans Narrow" w:hAnsi="Liberation Sans Narrow"/>
                <w:b/>
                <w:sz w:val="18"/>
              </w:rPr>
              <w:t xml:space="preserve">291</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418</w:t>
            </w:r>
          </w:p>
        </w:tc>
        <w:tc>
          <w:tcPr>
            <w:tcW w:type="dxa" w:w="731"/>
          </w:tcPr>
          <w:p>
            <w:pPr>
              <w:pStyle w:val="Compact"/>
              <w:spacing w:before="20" w:after="20" w:line="240" w:lineRule="auto"/>
              <w:jc w:val="right"/>
            </w:pPr>
            <w:r>
              <w:rPr>
                <w:rFonts w:ascii="Liberation Sans Narrow" w:hAnsi="Liberation Sans Narrow"/>
                <w:b/>
                <w:sz w:val="18"/>
              </w:rPr>
              <w:t xml:space="preserve">74</w:t>
            </w:r>
          </w:p>
        </w:tc>
        <w:tc>
          <w:tcPr>
            <w:tcW w:type="dxa" w:w="1608"/>
          </w:tcPr>
          <w:p>
            <w:pPr>
              <w:pStyle w:val="Compact"/>
              <w:spacing w:before="20" w:after="20" w:line="240" w:lineRule="auto"/>
              <w:jc w:val="left"/>
            </w:pPr>
            <w:r>
              <w:rPr>
                <w:rFonts w:ascii="Liberation Sans Narrow" w:hAnsi="Liberation Sans Narrow"/>
                <w:b w:val="0"/>
                <w:sz w:val="18"/>
              </w:rPr>
              <w:t xml:space="preserve">Art. 607</w:t>
            </w:r>
          </w:p>
        </w:tc>
        <w:tc>
          <w:tcPr>
            <w:tcW w:type="dxa" w:w="731"/>
          </w:tcPr>
          <w:p>
            <w:pPr>
              <w:pStyle w:val="Compact"/>
              <w:spacing w:before="20" w:after="20" w:line="240" w:lineRule="auto"/>
              <w:jc w:val="right"/>
            </w:pPr>
            <w:r>
              <w:rPr>
                <w:rFonts w:ascii="Liberation Sans Narrow" w:hAnsi="Liberation Sans Narrow"/>
                <w:b/>
                <w:sz w:val="18"/>
              </w:rPr>
              <w:t xml:space="preserve">154</w:t>
            </w:r>
          </w:p>
        </w:tc>
        <w:tc>
          <w:tcPr>
            <w:tcW w:type="dxa" w:w="1608"/>
          </w:tcPr>
          <w:p>
            <w:pPr>
              <w:pStyle w:val="Compact"/>
              <w:spacing w:before="20" w:after="20" w:line="240" w:lineRule="auto"/>
              <w:jc w:val="left"/>
            </w:pPr>
            <w:r>
              <w:rPr>
                <w:rFonts w:ascii="Liberation Sans Narrow" w:hAnsi="Liberation Sans Narrow"/>
                <w:b w:val="0"/>
                <w:sz w:val="18"/>
              </w:rPr>
              <w:t xml:space="preserve">Art. 796</w:t>
            </w:r>
          </w:p>
        </w:tc>
        <w:tc>
          <w:tcPr>
            <w:tcW w:type="dxa" w:w="731"/>
          </w:tcPr>
          <w:p>
            <w:pPr>
              <w:pStyle w:val="Compact"/>
              <w:spacing w:before="20" w:after="20" w:line="240" w:lineRule="auto"/>
              <w:jc w:val="right"/>
            </w:pPr>
            <w:r>
              <w:rPr>
                <w:rFonts w:ascii="Liberation Sans Narrow" w:hAnsi="Liberation Sans Narrow"/>
                <w:b/>
                <w:sz w:val="18"/>
              </w:rPr>
              <w:t xml:space="preserve">219</w:t>
            </w:r>
          </w:p>
        </w:tc>
        <w:tc>
          <w:tcPr>
            <w:tcW w:type="dxa" w:w="1608"/>
          </w:tcPr>
          <w:p>
            <w:pPr>
              <w:pStyle w:val="Compact"/>
              <w:spacing w:before="20" w:after="20" w:line="240" w:lineRule="auto"/>
              <w:jc w:val="left"/>
            </w:pPr>
            <w:r>
              <w:rPr>
                <w:rFonts w:ascii="Liberation Sans Narrow" w:hAnsi="Liberation Sans Narrow"/>
                <w:b w:val="0"/>
                <w:sz w:val="18"/>
              </w:rPr>
              <w:t xml:space="preserve">Art. 985</w:t>
            </w:r>
          </w:p>
        </w:tc>
        <w:tc>
          <w:tcPr>
            <w:tcW w:type="dxa" w:w="731"/>
          </w:tcPr>
          <w:p>
            <w:pPr>
              <w:pStyle w:val="Compact"/>
              <w:spacing w:before="20" w:after="20" w:line="240" w:lineRule="auto"/>
              <w:jc w:val="right"/>
            </w:pPr>
            <w:r>
              <w:rPr>
                <w:rFonts w:ascii="Liberation Sans Narrow" w:hAnsi="Liberation Sans Narrow"/>
                <w:b/>
                <w:sz w:val="18"/>
              </w:rPr>
              <w:t xml:space="preserve">292</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419</w:t>
            </w:r>
          </w:p>
        </w:tc>
        <w:tc>
          <w:tcPr>
            <w:tcW w:type="dxa" w:w="731"/>
          </w:tcPr>
          <w:p>
            <w:pPr>
              <w:pStyle w:val="Compact"/>
              <w:spacing w:before="20" w:after="20" w:line="240" w:lineRule="auto"/>
              <w:jc w:val="right"/>
            </w:pPr>
            <w:r>
              <w:rPr>
                <w:rFonts w:ascii="Liberation Sans Narrow" w:hAnsi="Liberation Sans Narrow"/>
                <w:b/>
                <w:sz w:val="18"/>
              </w:rPr>
              <w:t xml:space="preserve">74</w:t>
            </w:r>
          </w:p>
        </w:tc>
        <w:tc>
          <w:tcPr>
            <w:tcW w:type="dxa" w:w="1608"/>
          </w:tcPr>
          <w:p>
            <w:pPr>
              <w:pStyle w:val="Compact"/>
              <w:spacing w:before="20" w:after="20" w:line="240" w:lineRule="auto"/>
              <w:jc w:val="left"/>
            </w:pPr>
            <w:r>
              <w:rPr>
                <w:rFonts w:ascii="Liberation Sans Narrow" w:hAnsi="Liberation Sans Narrow"/>
                <w:b w:val="0"/>
                <w:sz w:val="18"/>
              </w:rPr>
              <w:t xml:space="preserve">Art. 608</w:t>
            </w:r>
          </w:p>
        </w:tc>
        <w:tc>
          <w:tcPr>
            <w:tcW w:type="dxa" w:w="731"/>
          </w:tcPr>
          <w:p>
            <w:pPr>
              <w:pStyle w:val="Compact"/>
              <w:spacing w:before="20" w:after="20" w:line="240" w:lineRule="auto"/>
              <w:jc w:val="right"/>
            </w:pPr>
            <w:r>
              <w:rPr>
                <w:rFonts w:ascii="Liberation Sans Narrow" w:hAnsi="Liberation Sans Narrow"/>
                <w:b/>
                <w:sz w:val="18"/>
              </w:rPr>
              <w:t xml:space="preserve">154</w:t>
            </w:r>
          </w:p>
        </w:tc>
        <w:tc>
          <w:tcPr>
            <w:tcW w:type="dxa" w:w="1608"/>
          </w:tcPr>
          <w:p>
            <w:pPr>
              <w:pStyle w:val="Compact"/>
              <w:spacing w:before="20" w:after="20" w:line="240" w:lineRule="auto"/>
              <w:jc w:val="left"/>
            </w:pPr>
            <w:r>
              <w:rPr>
                <w:rFonts w:ascii="Liberation Sans Narrow" w:hAnsi="Liberation Sans Narrow"/>
                <w:b w:val="0"/>
                <w:sz w:val="18"/>
              </w:rPr>
              <w:t xml:space="preserve">Art. 797</w:t>
            </w:r>
          </w:p>
        </w:tc>
        <w:tc>
          <w:tcPr>
            <w:tcW w:type="dxa" w:w="731"/>
          </w:tcPr>
          <w:p>
            <w:pPr>
              <w:pStyle w:val="Compact"/>
              <w:spacing w:before="20" w:after="20" w:line="240" w:lineRule="auto"/>
              <w:jc w:val="right"/>
            </w:pPr>
            <w:r>
              <w:rPr>
                <w:rFonts w:ascii="Liberation Sans Narrow" w:hAnsi="Liberation Sans Narrow"/>
                <w:b/>
                <w:sz w:val="18"/>
              </w:rPr>
              <w:t xml:space="preserve">219</w:t>
            </w:r>
          </w:p>
        </w:tc>
        <w:tc>
          <w:tcPr>
            <w:tcW w:type="dxa" w:w="1608"/>
          </w:tcPr>
          <w:p>
            <w:pPr>
              <w:pStyle w:val="Compact"/>
              <w:spacing w:before="20" w:after="20" w:line="240" w:lineRule="auto"/>
              <w:jc w:val="left"/>
            </w:pPr>
            <w:r>
              <w:rPr>
                <w:rFonts w:ascii="Liberation Sans Narrow" w:hAnsi="Liberation Sans Narrow"/>
                <w:b w:val="0"/>
                <w:sz w:val="18"/>
              </w:rPr>
              <w:t xml:space="preserve">Art. 986</w:t>
            </w:r>
          </w:p>
        </w:tc>
        <w:tc>
          <w:tcPr>
            <w:tcW w:type="dxa" w:w="731"/>
          </w:tcPr>
          <w:p>
            <w:pPr>
              <w:pStyle w:val="Compact"/>
              <w:spacing w:before="20" w:after="20" w:line="240" w:lineRule="auto"/>
              <w:jc w:val="right"/>
            </w:pPr>
            <w:r>
              <w:rPr>
                <w:rFonts w:ascii="Liberation Sans Narrow" w:hAnsi="Liberation Sans Narrow"/>
                <w:b/>
                <w:sz w:val="18"/>
              </w:rPr>
              <w:t xml:space="preserve">292</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420</w:t>
            </w:r>
          </w:p>
        </w:tc>
        <w:tc>
          <w:tcPr>
            <w:tcW w:type="dxa" w:w="731"/>
          </w:tcPr>
          <w:p>
            <w:pPr>
              <w:pStyle w:val="Compact"/>
              <w:spacing w:before="20" w:after="20" w:line="240" w:lineRule="auto"/>
              <w:jc w:val="right"/>
            </w:pPr>
            <w:r>
              <w:rPr>
                <w:rFonts w:ascii="Liberation Sans Narrow" w:hAnsi="Liberation Sans Narrow"/>
                <w:b/>
                <w:sz w:val="18"/>
              </w:rPr>
              <w:t xml:space="preserve">74</w:t>
            </w:r>
          </w:p>
        </w:tc>
        <w:tc>
          <w:tcPr>
            <w:tcW w:type="dxa" w:w="1608"/>
          </w:tcPr>
          <w:p>
            <w:pPr>
              <w:pStyle w:val="Compact"/>
              <w:spacing w:before="20" w:after="20" w:line="240" w:lineRule="auto"/>
              <w:jc w:val="left"/>
            </w:pPr>
            <w:r>
              <w:rPr>
                <w:rFonts w:ascii="Liberation Sans Narrow" w:hAnsi="Liberation Sans Narrow"/>
                <w:b w:val="0"/>
                <w:sz w:val="18"/>
              </w:rPr>
              <w:t xml:space="preserve">Art. 609</w:t>
            </w:r>
          </w:p>
        </w:tc>
        <w:tc>
          <w:tcPr>
            <w:tcW w:type="dxa" w:w="731"/>
          </w:tcPr>
          <w:p>
            <w:pPr>
              <w:pStyle w:val="Compact"/>
              <w:spacing w:before="20" w:after="20" w:line="240" w:lineRule="auto"/>
              <w:jc w:val="right"/>
            </w:pPr>
            <w:r>
              <w:rPr>
                <w:rFonts w:ascii="Liberation Sans Narrow" w:hAnsi="Liberation Sans Narrow"/>
                <w:b/>
                <w:sz w:val="18"/>
              </w:rPr>
              <w:t xml:space="preserve">155</w:t>
            </w:r>
          </w:p>
        </w:tc>
        <w:tc>
          <w:tcPr>
            <w:tcW w:type="dxa" w:w="1608"/>
          </w:tcPr>
          <w:p>
            <w:pPr>
              <w:pStyle w:val="Compact"/>
              <w:spacing w:before="20" w:after="20" w:line="240" w:lineRule="auto"/>
              <w:jc w:val="left"/>
            </w:pPr>
            <w:r>
              <w:rPr>
                <w:rFonts w:ascii="Liberation Sans Narrow" w:hAnsi="Liberation Sans Narrow"/>
                <w:b w:val="0"/>
                <w:sz w:val="18"/>
              </w:rPr>
              <w:t xml:space="preserve">Art. 798</w:t>
            </w:r>
          </w:p>
        </w:tc>
        <w:tc>
          <w:tcPr>
            <w:tcW w:type="dxa" w:w="731"/>
          </w:tcPr>
          <w:p>
            <w:pPr>
              <w:pStyle w:val="Compact"/>
              <w:spacing w:before="20" w:after="20" w:line="240" w:lineRule="auto"/>
              <w:jc w:val="right"/>
            </w:pPr>
            <w:r>
              <w:rPr>
                <w:rFonts w:ascii="Liberation Sans Narrow" w:hAnsi="Liberation Sans Narrow"/>
                <w:b/>
                <w:sz w:val="18"/>
              </w:rPr>
              <w:t xml:space="preserve">219</w:t>
            </w:r>
          </w:p>
        </w:tc>
        <w:tc>
          <w:tcPr>
            <w:tcW w:type="dxa" w:w="1608"/>
          </w:tcPr>
          <w:p>
            <w:pPr>
              <w:pStyle w:val="Compact"/>
              <w:spacing w:before="20" w:after="20" w:line="240" w:lineRule="auto"/>
              <w:jc w:val="left"/>
            </w:pPr>
            <w:r>
              <w:rPr>
                <w:rFonts w:ascii="Liberation Sans Narrow" w:hAnsi="Liberation Sans Narrow"/>
                <w:b w:val="0"/>
                <w:sz w:val="18"/>
              </w:rPr>
              <w:t xml:space="preserve">Art. 987</w:t>
            </w:r>
          </w:p>
        </w:tc>
        <w:tc>
          <w:tcPr>
            <w:tcW w:type="dxa" w:w="731"/>
          </w:tcPr>
          <w:p>
            <w:pPr>
              <w:pStyle w:val="Compact"/>
              <w:spacing w:before="20" w:after="20" w:line="240" w:lineRule="auto"/>
              <w:jc w:val="right"/>
            </w:pPr>
            <w:r>
              <w:rPr>
                <w:rFonts w:ascii="Liberation Sans Narrow" w:hAnsi="Liberation Sans Narrow"/>
                <w:b/>
                <w:sz w:val="18"/>
              </w:rPr>
              <w:t xml:space="preserve">292</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421</w:t>
            </w:r>
          </w:p>
        </w:tc>
        <w:tc>
          <w:tcPr>
            <w:tcW w:type="dxa" w:w="731"/>
          </w:tcPr>
          <w:p>
            <w:pPr>
              <w:pStyle w:val="Compact"/>
              <w:spacing w:before="20" w:after="20" w:line="240" w:lineRule="auto"/>
              <w:jc w:val="right"/>
            </w:pPr>
            <w:r>
              <w:rPr>
                <w:rFonts w:ascii="Liberation Sans Narrow" w:hAnsi="Liberation Sans Narrow"/>
                <w:b/>
                <w:sz w:val="18"/>
              </w:rPr>
              <w:t xml:space="preserve">75</w:t>
            </w:r>
          </w:p>
        </w:tc>
        <w:tc>
          <w:tcPr>
            <w:tcW w:type="dxa" w:w="1608"/>
          </w:tcPr>
          <w:p>
            <w:pPr>
              <w:pStyle w:val="Compact"/>
              <w:spacing w:before="20" w:after="20" w:line="240" w:lineRule="auto"/>
              <w:jc w:val="left"/>
            </w:pPr>
            <w:r>
              <w:rPr>
                <w:rFonts w:ascii="Liberation Sans Narrow" w:hAnsi="Liberation Sans Narrow"/>
                <w:b w:val="0"/>
                <w:sz w:val="18"/>
              </w:rPr>
              <w:t xml:space="preserve">Art. 610</w:t>
            </w:r>
          </w:p>
        </w:tc>
        <w:tc>
          <w:tcPr>
            <w:tcW w:type="dxa" w:w="731"/>
          </w:tcPr>
          <w:p>
            <w:pPr>
              <w:pStyle w:val="Compact"/>
              <w:spacing w:before="20" w:after="20" w:line="240" w:lineRule="auto"/>
              <w:jc w:val="right"/>
            </w:pPr>
            <w:r>
              <w:rPr>
                <w:rFonts w:ascii="Liberation Sans Narrow" w:hAnsi="Liberation Sans Narrow"/>
                <w:b/>
                <w:sz w:val="18"/>
              </w:rPr>
              <w:t xml:space="preserve">155</w:t>
            </w:r>
          </w:p>
        </w:tc>
        <w:tc>
          <w:tcPr>
            <w:tcW w:type="dxa" w:w="1608"/>
          </w:tcPr>
          <w:p>
            <w:pPr>
              <w:pStyle w:val="Compact"/>
              <w:spacing w:before="20" w:after="20" w:line="240" w:lineRule="auto"/>
              <w:jc w:val="left"/>
            </w:pPr>
            <w:r>
              <w:rPr>
                <w:rFonts w:ascii="Liberation Sans Narrow" w:hAnsi="Liberation Sans Narrow"/>
                <w:b w:val="0"/>
                <w:sz w:val="18"/>
              </w:rPr>
              <w:t xml:space="preserve">Art. 799</w:t>
            </w:r>
          </w:p>
        </w:tc>
        <w:tc>
          <w:tcPr>
            <w:tcW w:type="dxa" w:w="731"/>
          </w:tcPr>
          <w:p>
            <w:pPr>
              <w:pStyle w:val="Compact"/>
              <w:spacing w:before="20" w:after="20" w:line="240" w:lineRule="auto"/>
              <w:jc w:val="right"/>
            </w:pPr>
            <w:r>
              <w:rPr>
                <w:rFonts w:ascii="Liberation Sans Narrow" w:hAnsi="Liberation Sans Narrow"/>
                <w:b/>
                <w:sz w:val="18"/>
              </w:rPr>
              <w:t xml:space="preserve">220</w:t>
            </w:r>
          </w:p>
        </w:tc>
        <w:tc>
          <w:tcPr>
            <w:tcW w:type="dxa" w:w="1608"/>
          </w:tcPr>
          <w:p>
            <w:pPr>
              <w:pStyle w:val="Compact"/>
              <w:spacing w:before="20" w:after="20" w:line="240" w:lineRule="auto"/>
              <w:jc w:val="left"/>
            </w:pPr>
            <w:r>
              <w:rPr>
                <w:rFonts w:ascii="Liberation Sans Narrow" w:hAnsi="Liberation Sans Narrow"/>
                <w:b w:val="0"/>
                <w:sz w:val="18"/>
              </w:rPr>
              <w:t xml:space="preserve">Art. 988</w:t>
            </w:r>
          </w:p>
        </w:tc>
        <w:tc>
          <w:tcPr>
            <w:tcW w:type="dxa" w:w="731"/>
          </w:tcPr>
          <w:p>
            <w:pPr>
              <w:pStyle w:val="Compact"/>
              <w:spacing w:before="20" w:after="20" w:line="240" w:lineRule="auto"/>
              <w:jc w:val="right"/>
            </w:pPr>
            <w:r>
              <w:rPr>
                <w:rFonts w:ascii="Liberation Sans Narrow" w:hAnsi="Liberation Sans Narrow"/>
                <w:b/>
                <w:sz w:val="18"/>
              </w:rPr>
              <w:t xml:space="preserve">292</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422</w:t>
            </w:r>
          </w:p>
        </w:tc>
        <w:tc>
          <w:tcPr>
            <w:tcW w:type="dxa" w:w="731"/>
          </w:tcPr>
          <w:p>
            <w:pPr>
              <w:pStyle w:val="Compact"/>
              <w:spacing w:before="20" w:after="20" w:line="240" w:lineRule="auto"/>
              <w:jc w:val="right"/>
            </w:pPr>
            <w:r>
              <w:rPr>
                <w:rFonts w:ascii="Liberation Sans Narrow" w:hAnsi="Liberation Sans Narrow"/>
                <w:b/>
                <w:sz w:val="18"/>
              </w:rPr>
              <w:t xml:space="preserve">75</w:t>
            </w:r>
          </w:p>
        </w:tc>
        <w:tc>
          <w:tcPr>
            <w:tcW w:type="dxa" w:w="1608"/>
          </w:tcPr>
          <w:p>
            <w:pPr>
              <w:pStyle w:val="Compact"/>
              <w:spacing w:before="20" w:after="20" w:line="240" w:lineRule="auto"/>
              <w:jc w:val="left"/>
            </w:pPr>
            <w:r>
              <w:rPr>
                <w:rFonts w:ascii="Liberation Sans Narrow" w:hAnsi="Liberation Sans Narrow"/>
                <w:b w:val="0"/>
                <w:sz w:val="18"/>
              </w:rPr>
              <w:t xml:space="preserve">Art. 611</w:t>
            </w:r>
          </w:p>
        </w:tc>
        <w:tc>
          <w:tcPr>
            <w:tcW w:type="dxa" w:w="731"/>
          </w:tcPr>
          <w:p>
            <w:pPr>
              <w:pStyle w:val="Compact"/>
              <w:spacing w:before="20" w:after="20" w:line="240" w:lineRule="auto"/>
              <w:jc w:val="right"/>
            </w:pPr>
            <w:r>
              <w:rPr>
                <w:rFonts w:ascii="Liberation Sans Narrow" w:hAnsi="Liberation Sans Narrow"/>
                <w:b/>
                <w:sz w:val="18"/>
              </w:rPr>
              <w:t xml:space="preserve">155</w:t>
            </w:r>
          </w:p>
        </w:tc>
        <w:tc>
          <w:tcPr>
            <w:tcW w:type="dxa" w:w="1608"/>
          </w:tcPr>
          <w:p>
            <w:pPr>
              <w:pStyle w:val="Compact"/>
              <w:spacing w:before="20" w:after="20" w:line="240" w:lineRule="auto"/>
              <w:jc w:val="left"/>
            </w:pPr>
            <w:r>
              <w:rPr>
                <w:rFonts w:ascii="Liberation Sans Narrow" w:hAnsi="Liberation Sans Narrow"/>
                <w:b w:val="0"/>
                <w:sz w:val="18"/>
              </w:rPr>
              <w:t xml:space="preserve">Art. 800</w:t>
            </w:r>
          </w:p>
        </w:tc>
        <w:tc>
          <w:tcPr>
            <w:tcW w:type="dxa" w:w="731"/>
          </w:tcPr>
          <w:p>
            <w:pPr>
              <w:pStyle w:val="Compact"/>
              <w:spacing w:before="20" w:after="20" w:line="240" w:lineRule="auto"/>
              <w:jc w:val="right"/>
            </w:pPr>
            <w:r>
              <w:rPr>
                <w:rFonts w:ascii="Liberation Sans Narrow" w:hAnsi="Liberation Sans Narrow"/>
                <w:b/>
                <w:sz w:val="18"/>
              </w:rPr>
              <w:t xml:space="preserve">221</w:t>
            </w:r>
          </w:p>
        </w:tc>
        <w:tc>
          <w:tcPr>
            <w:tcW w:type="dxa" w:w="1608"/>
          </w:tcPr>
          <w:p>
            <w:pPr>
              <w:pStyle w:val="Compact"/>
              <w:spacing w:before="20" w:after="20" w:line="240" w:lineRule="auto"/>
              <w:jc w:val="left"/>
            </w:pPr>
            <w:r>
              <w:rPr>
                <w:rFonts w:ascii="Liberation Sans Narrow" w:hAnsi="Liberation Sans Narrow"/>
                <w:b w:val="0"/>
                <w:sz w:val="18"/>
              </w:rPr>
              <w:t xml:space="preserve">Art. 989</w:t>
            </w:r>
          </w:p>
        </w:tc>
        <w:tc>
          <w:tcPr>
            <w:tcW w:type="dxa" w:w="731"/>
          </w:tcPr>
          <w:p>
            <w:pPr>
              <w:pStyle w:val="Compact"/>
              <w:spacing w:before="20" w:after="20" w:line="240" w:lineRule="auto"/>
              <w:jc w:val="right"/>
            </w:pPr>
            <w:r>
              <w:rPr>
                <w:rFonts w:ascii="Liberation Sans Narrow" w:hAnsi="Liberation Sans Narrow"/>
                <w:b/>
                <w:sz w:val="18"/>
              </w:rPr>
              <w:t xml:space="preserve">294</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423</w:t>
            </w:r>
          </w:p>
        </w:tc>
        <w:tc>
          <w:tcPr>
            <w:tcW w:type="dxa" w:w="731"/>
          </w:tcPr>
          <w:p>
            <w:pPr>
              <w:pStyle w:val="Compact"/>
              <w:spacing w:before="20" w:after="20" w:line="240" w:lineRule="auto"/>
              <w:jc w:val="right"/>
            </w:pPr>
            <w:r>
              <w:rPr>
                <w:rFonts w:ascii="Liberation Sans Narrow" w:hAnsi="Liberation Sans Narrow"/>
                <w:b/>
                <w:sz w:val="18"/>
              </w:rPr>
              <w:t xml:space="preserve">75</w:t>
            </w:r>
          </w:p>
        </w:tc>
        <w:tc>
          <w:tcPr>
            <w:tcW w:type="dxa" w:w="1608"/>
          </w:tcPr>
          <w:p>
            <w:pPr>
              <w:pStyle w:val="Compact"/>
              <w:spacing w:before="20" w:after="20" w:line="240" w:lineRule="auto"/>
              <w:jc w:val="left"/>
            </w:pPr>
            <w:r>
              <w:rPr>
                <w:rFonts w:ascii="Liberation Sans Narrow" w:hAnsi="Liberation Sans Narrow"/>
                <w:b w:val="0"/>
                <w:sz w:val="18"/>
              </w:rPr>
              <w:t xml:space="preserve">Art. 612</w:t>
            </w:r>
          </w:p>
        </w:tc>
        <w:tc>
          <w:tcPr>
            <w:tcW w:type="dxa" w:w="731"/>
          </w:tcPr>
          <w:p>
            <w:pPr>
              <w:pStyle w:val="Compact"/>
              <w:spacing w:before="20" w:after="20" w:line="240" w:lineRule="auto"/>
              <w:jc w:val="right"/>
            </w:pPr>
            <w:r>
              <w:rPr>
                <w:rFonts w:ascii="Liberation Sans Narrow" w:hAnsi="Liberation Sans Narrow"/>
                <w:b/>
                <w:sz w:val="18"/>
              </w:rPr>
              <w:t xml:space="preserve">156</w:t>
            </w:r>
          </w:p>
        </w:tc>
        <w:tc>
          <w:tcPr>
            <w:tcW w:type="dxa" w:w="1608"/>
          </w:tcPr>
          <w:p>
            <w:pPr>
              <w:pStyle w:val="Compact"/>
              <w:spacing w:before="20" w:after="20" w:line="240" w:lineRule="auto"/>
              <w:jc w:val="left"/>
            </w:pPr>
            <w:r>
              <w:rPr>
                <w:rFonts w:ascii="Liberation Sans Narrow" w:hAnsi="Liberation Sans Narrow"/>
                <w:b w:val="0"/>
                <w:sz w:val="18"/>
              </w:rPr>
              <w:t xml:space="preserve">Art. 801</w:t>
            </w:r>
          </w:p>
        </w:tc>
        <w:tc>
          <w:tcPr>
            <w:tcW w:type="dxa" w:w="731"/>
          </w:tcPr>
          <w:p>
            <w:pPr>
              <w:pStyle w:val="Compact"/>
              <w:spacing w:before="20" w:after="20" w:line="240" w:lineRule="auto"/>
              <w:jc w:val="right"/>
            </w:pPr>
            <w:r>
              <w:rPr>
                <w:rFonts w:ascii="Liberation Sans Narrow" w:hAnsi="Liberation Sans Narrow"/>
                <w:b/>
                <w:sz w:val="18"/>
              </w:rPr>
              <w:t xml:space="preserve">221</w:t>
            </w:r>
          </w:p>
        </w:tc>
        <w:tc>
          <w:tcPr>
            <w:tcW w:type="dxa" w:w="1608"/>
          </w:tcPr>
          <w:p>
            <w:pPr>
              <w:pStyle w:val="Compact"/>
              <w:spacing w:before="20" w:after="20" w:line="240" w:lineRule="auto"/>
              <w:jc w:val="left"/>
            </w:pPr>
            <w:r>
              <w:rPr>
                <w:rFonts w:ascii="Liberation Sans Narrow" w:hAnsi="Liberation Sans Narrow"/>
                <w:b w:val="0"/>
                <w:sz w:val="18"/>
              </w:rPr>
              <w:t xml:space="preserve">Art. 990</w:t>
            </w:r>
          </w:p>
        </w:tc>
        <w:tc>
          <w:tcPr>
            <w:tcW w:type="dxa" w:w="731"/>
          </w:tcPr>
          <w:p>
            <w:pPr>
              <w:pStyle w:val="Compact"/>
              <w:spacing w:before="20" w:after="20" w:line="240" w:lineRule="auto"/>
              <w:jc w:val="right"/>
            </w:pPr>
            <w:r>
              <w:rPr>
                <w:rFonts w:ascii="Liberation Sans Narrow" w:hAnsi="Liberation Sans Narrow"/>
                <w:b/>
                <w:sz w:val="18"/>
              </w:rPr>
              <w:t xml:space="preserve">294</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424</w:t>
            </w:r>
          </w:p>
        </w:tc>
        <w:tc>
          <w:tcPr>
            <w:tcW w:type="dxa" w:w="731"/>
          </w:tcPr>
          <w:p>
            <w:pPr>
              <w:pStyle w:val="Compact"/>
              <w:spacing w:before="20" w:after="20" w:line="240" w:lineRule="auto"/>
              <w:jc w:val="right"/>
            </w:pPr>
            <w:r>
              <w:rPr>
                <w:rFonts w:ascii="Liberation Sans Narrow" w:hAnsi="Liberation Sans Narrow"/>
                <w:b/>
                <w:sz w:val="18"/>
              </w:rPr>
              <w:t xml:space="preserve">75</w:t>
            </w:r>
          </w:p>
        </w:tc>
        <w:tc>
          <w:tcPr>
            <w:tcW w:type="dxa" w:w="1608"/>
          </w:tcPr>
          <w:p>
            <w:pPr>
              <w:pStyle w:val="Compact"/>
              <w:spacing w:before="20" w:after="20" w:line="240" w:lineRule="auto"/>
              <w:jc w:val="left"/>
            </w:pPr>
            <w:r>
              <w:rPr>
                <w:rFonts w:ascii="Liberation Sans Narrow" w:hAnsi="Liberation Sans Narrow"/>
                <w:b w:val="0"/>
                <w:sz w:val="18"/>
              </w:rPr>
              <w:t xml:space="preserve">Art. 613</w:t>
            </w:r>
          </w:p>
        </w:tc>
        <w:tc>
          <w:tcPr>
            <w:tcW w:type="dxa" w:w="731"/>
          </w:tcPr>
          <w:p>
            <w:pPr>
              <w:pStyle w:val="Compact"/>
              <w:spacing w:before="20" w:after="20" w:line="240" w:lineRule="auto"/>
              <w:jc w:val="right"/>
            </w:pPr>
            <w:r>
              <w:rPr>
                <w:rFonts w:ascii="Liberation Sans Narrow" w:hAnsi="Liberation Sans Narrow"/>
                <w:b/>
                <w:sz w:val="18"/>
              </w:rPr>
              <w:t xml:space="preserve">156</w:t>
            </w:r>
          </w:p>
        </w:tc>
        <w:tc>
          <w:tcPr>
            <w:tcW w:type="dxa" w:w="1608"/>
          </w:tcPr>
          <w:p>
            <w:pPr>
              <w:pStyle w:val="Compact"/>
              <w:spacing w:before="20" w:after="20" w:line="240" w:lineRule="auto"/>
              <w:jc w:val="left"/>
            </w:pPr>
            <w:r>
              <w:rPr>
                <w:rFonts w:ascii="Liberation Sans Narrow" w:hAnsi="Liberation Sans Narrow"/>
                <w:b w:val="0"/>
                <w:sz w:val="18"/>
              </w:rPr>
              <w:t xml:space="preserve">Art. 802</w:t>
            </w:r>
          </w:p>
        </w:tc>
        <w:tc>
          <w:tcPr>
            <w:tcW w:type="dxa" w:w="731"/>
          </w:tcPr>
          <w:p>
            <w:pPr>
              <w:pStyle w:val="Compact"/>
              <w:spacing w:before="20" w:after="20" w:line="240" w:lineRule="auto"/>
              <w:jc w:val="right"/>
            </w:pPr>
            <w:r>
              <w:rPr>
                <w:rFonts w:ascii="Liberation Sans Narrow" w:hAnsi="Liberation Sans Narrow"/>
                <w:b/>
                <w:sz w:val="18"/>
              </w:rPr>
              <w:t xml:space="preserve">221</w:t>
            </w:r>
          </w:p>
        </w:tc>
        <w:tc>
          <w:tcPr>
            <w:tcW w:type="dxa" w:w="1608"/>
          </w:tcPr>
          <w:p>
            <w:pPr>
              <w:pStyle w:val="Compact"/>
              <w:spacing w:before="20" w:after="20" w:line="240" w:lineRule="auto"/>
              <w:jc w:val="left"/>
            </w:pPr>
            <w:r>
              <w:rPr>
                <w:rFonts w:ascii="Liberation Sans Narrow" w:hAnsi="Liberation Sans Narrow"/>
                <w:b w:val="0"/>
                <w:sz w:val="18"/>
              </w:rPr>
              <w:t xml:space="preserve">Art. 991</w:t>
            </w:r>
          </w:p>
        </w:tc>
        <w:tc>
          <w:tcPr>
            <w:tcW w:type="dxa" w:w="731"/>
          </w:tcPr>
          <w:p>
            <w:pPr>
              <w:pStyle w:val="Compact"/>
              <w:spacing w:before="20" w:after="20" w:line="240" w:lineRule="auto"/>
              <w:jc w:val="right"/>
            </w:pPr>
            <w:r>
              <w:rPr>
                <w:rFonts w:ascii="Liberation Sans Narrow" w:hAnsi="Liberation Sans Narrow"/>
                <w:b/>
                <w:sz w:val="18"/>
              </w:rPr>
              <w:t xml:space="preserve">294</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425</w:t>
            </w:r>
          </w:p>
        </w:tc>
        <w:tc>
          <w:tcPr>
            <w:tcW w:type="dxa" w:w="731"/>
          </w:tcPr>
          <w:p>
            <w:pPr>
              <w:pStyle w:val="Compact"/>
              <w:spacing w:before="20" w:after="20" w:line="240" w:lineRule="auto"/>
              <w:jc w:val="right"/>
            </w:pPr>
            <w:r>
              <w:rPr>
                <w:rFonts w:ascii="Liberation Sans Narrow" w:hAnsi="Liberation Sans Narrow"/>
                <w:b/>
                <w:sz w:val="18"/>
              </w:rPr>
              <w:t xml:space="preserve">75</w:t>
            </w:r>
          </w:p>
        </w:tc>
        <w:tc>
          <w:tcPr>
            <w:tcW w:type="dxa" w:w="1608"/>
          </w:tcPr>
          <w:p>
            <w:pPr>
              <w:pStyle w:val="Compact"/>
              <w:spacing w:before="20" w:after="20" w:line="240" w:lineRule="auto"/>
              <w:jc w:val="left"/>
            </w:pPr>
            <w:r>
              <w:rPr>
                <w:rFonts w:ascii="Liberation Sans Narrow" w:hAnsi="Liberation Sans Narrow"/>
                <w:b w:val="0"/>
                <w:sz w:val="18"/>
              </w:rPr>
              <w:t xml:space="preserve">Art. 614</w:t>
            </w:r>
          </w:p>
        </w:tc>
        <w:tc>
          <w:tcPr>
            <w:tcW w:type="dxa" w:w="731"/>
          </w:tcPr>
          <w:p>
            <w:pPr>
              <w:pStyle w:val="Compact"/>
              <w:spacing w:before="20" w:after="20" w:line="240" w:lineRule="auto"/>
              <w:jc w:val="right"/>
            </w:pPr>
            <w:r>
              <w:rPr>
                <w:rFonts w:ascii="Liberation Sans Narrow" w:hAnsi="Liberation Sans Narrow"/>
                <w:b/>
                <w:sz w:val="18"/>
              </w:rPr>
              <w:t xml:space="preserve">156</w:t>
            </w:r>
          </w:p>
        </w:tc>
        <w:tc>
          <w:tcPr>
            <w:tcW w:type="dxa" w:w="1608"/>
          </w:tcPr>
          <w:p>
            <w:pPr>
              <w:pStyle w:val="Compact"/>
              <w:spacing w:before="20" w:after="20" w:line="240" w:lineRule="auto"/>
              <w:jc w:val="left"/>
            </w:pPr>
            <w:r>
              <w:rPr>
                <w:rFonts w:ascii="Liberation Sans Narrow" w:hAnsi="Liberation Sans Narrow"/>
                <w:b w:val="0"/>
                <w:sz w:val="18"/>
              </w:rPr>
              <w:t xml:space="preserve">Art. 803</w:t>
            </w:r>
          </w:p>
        </w:tc>
        <w:tc>
          <w:tcPr>
            <w:tcW w:type="dxa" w:w="731"/>
          </w:tcPr>
          <w:p>
            <w:pPr>
              <w:pStyle w:val="Compact"/>
              <w:spacing w:before="20" w:after="20" w:line="240" w:lineRule="auto"/>
              <w:jc w:val="right"/>
            </w:pPr>
            <w:r>
              <w:rPr>
                <w:rFonts w:ascii="Liberation Sans Narrow" w:hAnsi="Liberation Sans Narrow"/>
                <w:b/>
                <w:sz w:val="18"/>
              </w:rPr>
              <w:t xml:space="preserve">222</w:t>
            </w:r>
          </w:p>
        </w:tc>
        <w:tc>
          <w:tcPr>
            <w:tcW w:type="dxa" w:w="1608"/>
          </w:tcPr>
          <w:p>
            <w:pPr>
              <w:pStyle w:val="Compact"/>
              <w:spacing w:before="20" w:after="20" w:line="240" w:lineRule="auto"/>
              <w:jc w:val="left"/>
            </w:pPr>
            <w:r>
              <w:rPr>
                <w:rFonts w:ascii="Liberation Sans Narrow" w:hAnsi="Liberation Sans Narrow"/>
                <w:b w:val="0"/>
                <w:sz w:val="18"/>
              </w:rPr>
              <w:t xml:space="preserve">Art. 992</w:t>
            </w:r>
          </w:p>
        </w:tc>
        <w:tc>
          <w:tcPr>
            <w:tcW w:type="dxa" w:w="731"/>
          </w:tcPr>
          <w:p>
            <w:pPr>
              <w:pStyle w:val="Compact"/>
              <w:spacing w:before="20" w:after="20" w:line="240" w:lineRule="auto"/>
              <w:jc w:val="right"/>
            </w:pPr>
            <w:r>
              <w:rPr>
                <w:rFonts w:ascii="Liberation Sans Narrow" w:hAnsi="Liberation Sans Narrow"/>
                <w:b/>
                <w:sz w:val="18"/>
              </w:rPr>
              <w:t xml:space="preserve">294</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426</w:t>
            </w:r>
          </w:p>
        </w:tc>
        <w:tc>
          <w:tcPr>
            <w:tcW w:type="dxa" w:w="731"/>
          </w:tcPr>
          <w:p>
            <w:pPr>
              <w:pStyle w:val="Compact"/>
              <w:spacing w:before="20" w:after="20" w:line="240" w:lineRule="auto"/>
              <w:jc w:val="right"/>
            </w:pPr>
            <w:r>
              <w:rPr>
                <w:rFonts w:ascii="Liberation Sans Narrow" w:hAnsi="Liberation Sans Narrow"/>
                <w:b/>
                <w:sz w:val="18"/>
              </w:rPr>
              <w:t xml:space="preserve">76</w:t>
            </w:r>
          </w:p>
        </w:tc>
        <w:tc>
          <w:tcPr>
            <w:tcW w:type="dxa" w:w="1608"/>
          </w:tcPr>
          <w:p>
            <w:pPr>
              <w:pStyle w:val="Compact"/>
              <w:spacing w:before="20" w:after="20" w:line="240" w:lineRule="auto"/>
              <w:jc w:val="left"/>
            </w:pPr>
            <w:r>
              <w:rPr>
                <w:rFonts w:ascii="Liberation Sans Narrow" w:hAnsi="Liberation Sans Narrow"/>
                <w:b w:val="0"/>
                <w:sz w:val="18"/>
              </w:rPr>
              <w:t xml:space="preserve">Art. 615</w:t>
            </w:r>
          </w:p>
        </w:tc>
        <w:tc>
          <w:tcPr>
            <w:tcW w:type="dxa" w:w="731"/>
          </w:tcPr>
          <w:p>
            <w:pPr>
              <w:pStyle w:val="Compact"/>
              <w:spacing w:before="20" w:after="20" w:line="240" w:lineRule="auto"/>
              <w:jc w:val="right"/>
            </w:pPr>
            <w:r>
              <w:rPr>
                <w:rFonts w:ascii="Liberation Sans Narrow" w:hAnsi="Liberation Sans Narrow"/>
                <w:b/>
                <w:sz w:val="18"/>
              </w:rPr>
              <w:t xml:space="preserve">156</w:t>
            </w:r>
          </w:p>
        </w:tc>
        <w:tc>
          <w:tcPr>
            <w:tcW w:type="dxa" w:w="1608"/>
          </w:tcPr>
          <w:p>
            <w:pPr>
              <w:pStyle w:val="Compact"/>
              <w:spacing w:before="20" w:after="20" w:line="240" w:lineRule="auto"/>
              <w:jc w:val="left"/>
            </w:pPr>
            <w:r>
              <w:rPr>
                <w:rFonts w:ascii="Liberation Sans Narrow" w:hAnsi="Liberation Sans Narrow"/>
                <w:b w:val="0"/>
                <w:sz w:val="18"/>
              </w:rPr>
              <w:t xml:space="preserve">Art. 804</w:t>
            </w:r>
          </w:p>
        </w:tc>
        <w:tc>
          <w:tcPr>
            <w:tcW w:type="dxa" w:w="731"/>
          </w:tcPr>
          <w:p>
            <w:pPr>
              <w:pStyle w:val="Compact"/>
              <w:spacing w:before="20" w:after="20" w:line="240" w:lineRule="auto"/>
              <w:jc w:val="right"/>
            </w:pPr>
            <w:r>
              <w:rPr>
                <w:rFonts w:ascii="Liberation Sans Narrow" w:hAnsi="Liberation Sans Narrow"/>
                <w:b/>
                <w:sz w:val="18"/>
              </w:rPr>
              <w:t xml:space="preserve">222</w:t>
            </w:r>
          </w:p>
        </w:tc>
        <w:tc>
          <w:tcPr>
            <w:tcW w:type="dxa" w:w="1608"/>
          </w:tcPr>
          <w:p>
            <w:pPr>
              <w:pStyle w:val="Compact"/>
              <w:spacing w:before="20" w:after="20" w:line="240" w:lineRule="auto"/>
              <w:jc w:val="left"/>
            </w:pPr>
            <w:r>
              <w:rPr>
                <w:rFonts w:ascii="Liberation Sans Narrow" w:hAnsi="Liberation Sans Narrow"/>
                <w:b w:val="0"/>
                <w:sz w:val="18"/>
              </w:rPr>
              <w:t xml:space="preserve">Art. 993</w:t>
            </w:r>
          </w:p>
        </w:tc>
        <w:tc>
          <w:tcPr>
            <w:tcW w:type="dxa" w:w="731"/>
          </w:tcPr>
          <w:p>
            <w:pPr>
              <w:pStyle w:val="Compact"/>
              <w:spacing w:before="20" w:after="20" w:line="240" w:lineRule="auto"/>
              <w:jc w:val="right"/>
            </w:pPr>
            <w:r>
              <w:rPr>
                <w:rFonts w:ascii="Liberation Sans Narrow" w:hAnsi="Liberation Sans Narrow"/>
                <w:b/>
                <w:sz w:val="18"/>
              </w:rPr>
              <w:t xml:space="preserve">294</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427</w:t>
            </w:r>
          </w:p>
        </w:tc>
        <w:tc>
          <w:tcPr>
            <w:tcW w:type="dxa" w:w="731"/>
          </w:tcPr>
          <w:p>
            <w:pPr>
              <w:pStyle w:val="Compact"/>
              <w:spacing w:before="20" w:after="20" w:line="240" w:lineRule="auto"/>
              <w:jc w:val="right"/>
            </w:pPr>
            <w:r>
              <w:rPr>
                <w:rFonts w:ascii="Liberation Sans Narrow" w:hAnsi="Liberation Sans Narrow"/>
                <w:b/>
                <w:sz w:val="18"/>
              </w:rPr>
              <w:t xml:space="preserve">76</w:t>
            </w:r>
          </w:p>
        </w:tc>
        <w:tc>
          <w:tcPr>
            <w:tcW w:type="dxa" w:w="1608"/>
          </w:tcPr>
          <w:p>
            <w:pPr>
              <w:pStyle w:val="Compact"/>
              <w:spacing w:before="20" w:after="20" w:line="240" w:lineRule="auto"/>
              <w:jc w:val="left"/>
            </w:pPr>
            <w:r>
              <w:rPr>
                <w:rFonts w:ascii="Liberation Sans Narrow" w:hAnsi="Liberation Sans Narrow"/>
                <w:b w:val="0"/>
                <w:sz w:val="18"/>
              </w:rPr>
              <w:t xml:space="preserve">Art. 616</w:t>
            </w:r>
          </w:p>
        </w:tc>
        <w:tc>
          <w:tcPr>
            <w:tcW w:type="dxa" w:w="731"/>
          </w:tcPr>
          <w:p>
            <w:pPr>
              <w:pStyle w:val="Compact"/>
              <w:spacing w:before="20" w:after="20" w:line="240" w:lineRule="auto"/>
              <w:jc w:val="right"/>
            </w:pPr>
            <w:r>
              <w:rPr>
                <w:rFonts w:ascii="Liberation Sans Narrow" w:hAnsi="Liberation Sans Narrow"/>
                <w:b/>
                <w:sz w:val="18"/>
              </w:rPr>
              <w:t xml:space="preserve">156</w:t>
            </w:r>
          </w:p>
        </w:tc>
        <w:tc>
          <w:tcPr>
            <w:tcW w:type="dxa" w:w="1608"/>
          </w:tcPr>
          <w:p>
            <w:pPr>
              <w:pStyle w:val="Compact"/>
              <w:spacing w:before="20" w:after="20" w:line="240" w:lineRule="auto"/>
              <w:jc w:val="left"/>
            </w:pPr>
            <w:r>
              <w:rPr>
                <w:rFonts w:ascii="Liberation Sans Narrow" w:hAnsi="Liberation Sans Narrow"/>
                <w:b w:val="0"/>
                <w:sz w:val="18"/>
              </w:rPr>
              <w:t xml:space="preserve">Art. 805</w:t>
            </w:r>
          </w:p>
        </w:tc>
        <w:tc>
          <w:tcPr>
            <w:tcW w:type="dxa" w:w="731"/>
          </w:tcPr>
          <w:p>
            <w:pPr>
              <w:pStyle w:val="Compact"/>
              <w:spacing w:before="20" w:after="20" w:line="240" w:lineRule="auto"/>
              <w:jc w:val="right"/>
            </w:pPr>
            <w:r>
              <w:rPr>
                <w:rFonts w:ascii="Liberation Sans Narrow" w:hAnsi="Liberation Sans Narrow"/>
                <w:b/>
                <w:sz w:val="18"/>
              </w:rPr>
              <w:t xml:space="preserve">223</w:t>
            </w:r>
          </w:p>
        </w:tc>
        <w:tc>
          <w:tcPr>
            <w:tcW w:type="dxa" w:w="1608"/>
          </w:tcPr>
          <w:p>
            <w:pPr>
              <w:pStyle w:val="Compact"/>
              <w:spacing w:before="20" w:after="20" w:line="240" w:lineRule="auto"/>
              <w:jc w:val="left"/>
            </w:pPr>
            <w:r>
              <w:rPr>
                <w:rFonts w:ascii="Liberation Sans Narrow" w:hAnsi="Liberation Sans Narrow"/>
                <w:b w:val="0"/>
                <w:sz w:val="18"/>
              </w:rPr>
              <w:t xml:space="preserve">Art. 994</w:t>
            </w:r>
          </w:p>
        </w:tc>
        <w:tc>
          <w:tcPr>
            <w:tcW w:type="dxa" w:w="731"/>
          </w:tcPr>
          <w:p>
            <w:pPr>
              <w:pStyle w:val="Compact"/>
              <w:spacing w:before="20" w:after="20" w:line="240" w:lineRule="auto"/>
              <w:jc w:val="right"/>
            </w:pPr>
            <w:r>
              <w:rPr>
                <w:rFonts w:ascii="Liberation Sans Narrow" w:hAnsi="Liberation Sans Narrow"/>
                <w:b/>
                <w:sz w:val="18"/>
              </w:rPr>
              <w:t xml:space="preserve">295</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428</w:t>
            </w:r>
          </w:p>
        </w:tc>
        <w:tc>
          <w:tcPr>
            <w:tcW w:type="dxa" w:w="731"/>
          </w:tcPr>
          <w:p>
            <w:pPr>
              <w:pStyle w:val="Compact"/>
              <w:spacing w:before="20" w:after="20" w:line="240" w:lineRule="auto"/>
              <w:jc w:val="right"/>
            </w:pPr>
            <w:r>
              <w:rPr>
                <w:rFonts w:ascii="Liberation Sans Narrow" w:hAnsi="Liberation Sans Narrow"/>
                <w:b/>
                <w:sz w:val="18"/>
              </w:rPr>
              <w:t xml:space="preserve">77</w:t>
            </w:r>
          </w:p>
        </w:tc>
        <w:tc>
          <w:tcPr>
            <w:tcW w:type="dxa" w:w="1608"/>
          </w:tcPr>
          <w:p>
            <w:pPr>
              <w:pStyle w:val="Compact"/>
              <w:spacing w:before="20" w:after="20" w:line="240" w:lineRule="auto"/>
              <w:jc w:val="left"/>
            </w:pPr>
            <w:r>
              <w:rPr>
                <w:rFonts w:ascii="Liberation Sans Narrow" w:hAnsi="Liberation Sans Narrow"/>
                <w:b w:val="0"/>
                <w:sz w:val="18"/>
              </w:rPr>
              <w:t xml:space="preserve">Art. 617</w:t>
            </w:r>
          </w:p>
        </w:tc>
        <w:tc>
          <w:tcPr>
            <w:tcW w:type="dxa" w:w="731"/>
          </w:tcPr>
          <w:p>
            <w:pPr>
              <w:pStyle w:val="Compact"/>
              <w:spacing w:before="20" w:after="20" w:line="240" w:lineRule="auto"/>
              <w:jc w:val="right"/>
            </w:pPr>
            <w:r>
              <w:rPr>
                <w:rFonts w:ascii="Liberation Sans Narrow" w:hAnsi="Liberation Sans Narrow"/>
                <w:b/>
                <w:sz w:val="18"/>
              </w:rPr>
              <w:t xml:space="preserve">157</w:t>
            </w:r>
          </w:p>
        </w:tc>
        <w:tc>
          <w:tcPr>
            <w:tcW w:type="dxa" w:w="1608"/>
          </w:tcPr>
          <w:p>
            <w:pPr>
              <w:pStyle w:val="Compact"/>
              <w:spacing w:before="20" w:after="20" w:line="240" w:lineRule="auto"/>
              <w:jc w:val="left"/>
            </w:pPr>
            <w:r>
              <w:rPr>
                <w:rFonts w:ascii="Liberation Sans Narrow" w:hAnsi="Liberation Sans Narrow"/>
                <w:b w:val="0"/>
                <w:sz w:val="18"/>
              </w:rPr>
              <w:t xml:space="preserve">Art. 806</w:t>
            </w:r>
          </w:p>
        </w:tc>
        <w:tc>
          <w:tcPr>
            <w:tcW w:type="dxa" w:w="731"/>
          </w:tcPr>
          <w:p>
            <w:pPr>
              <w:pStyle w:val="Compact"/>
              <w:spacing w:before="20" w:after="20" w:line="240" w:lineRule="auto"/>
              <w:jc w:val="right"/>
            </w:pPr>
            <w:r>
              <w:rPr>
                <w:rFonts w:ascii="Liberation Sans Narrow" w:hAnsi="Liberation Sans Narrow"/>
                <w:b/>
                <w:sz w:val="18"/>
              </w:rPr>
              <w:t xml:space="preserve">223</w:t>
            </w:r>
          </w:p>
        </w:tc>
        <w:tc>
          <w:tcPr>
            <w:tcW w:type="dxa" w:w="1608"/>
          </w:tcPr>
          <w:p>
            <w:pPr>
              <w:pStyle w:val="Compact"/>
              <w:spacing w:before="20" w:after="20" w:line="240" w:lineRule="auto"/>
              <w:jc w:val="left"/>
            </w:pPr>
            <w:r>
              <w:rPr>
                <w:rFonts w:ascii="Liberation Sans Narrow" w:hAnsi="Liberation Sans Narrow"/>
                <w:b w:val="0"/>
                <w:sz w:val="18"/>
              </w:rPr>
              <w:t xml:space="preserve">Art. 995</w:t>
            </w:r>
          </w:p>
        </w:tc>
        <w:tc>
          <w:tcPr>
            <w:tcW w:type="dxa" w:w="731"/>
          </w:tcPr>
          <w:p>
            <w:pPr>
              <w:pStyle w:val="Compact"/>
              <w:spacing w:before="20" w:after="20" w:line="240" w:lineRule="auto"/>
              <w:jc w:val="right"/>
            </w:pPr>
            <w:r>
              <w:rPr>
                <w:rFonts w:ascii="Liberation Sans Narrow" w:hAnsi="Liberation Sans Narrow"/>
                <w:b/>
                <w:sz w:val="18"/>
              </w:rPr>
              <w:t xml:space="preserve">295</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429</w:t>
            </w:r>
          </w:p>
        </w:tc>
        <w:tc>
          <w:tcPr>
            <w:tcW w:type="dxa" w:w="731"/>
          </w:tcPr>
          <w:p>
            <w:pPr>
              <w:pStyle w:val="Compact"/>
              <w:spacing w:before="20" w:after="20" w:line="240" w:lineRule="auto"/>
              <w:jc w:val="right"/>
            </w:pPr>
            <w:r>
              <w:rPr>
                <w:rFonts w:ascii="Liberation Sans Narrow" w:hAnsi="Liberation Sans Narrow"/>
                <w:b/>
                <w:sz w:val="18"/>
              </w:rPr>
              <w:t xml:space="preserve">77</w:t>
            </w:r>
          </w:p>
        </w:tc>
        <w:tc>
          <w:tcPr>
            <w:tcW w:type="dxa" w:w="1608"/>
          </w:tcPr>
          <w:p>
            <w:pPr>
              <w:pStyle w:val="Compact"/>
              <w:spacing w:before="20" w:after="20" w:line="240" w:lineRule="auto"/>
              <w:jc w:val="left"/>
            </w:pPr>
            <w:r>
              <w:rPr>
                <w:rFonts w:ascii="Liberation Sans Narrow" w:hAnsi="Liberation Sans Narrow"/>
                <w:b w:val="0"/>
                <w:sz w:val="18"/>
              </w:rPr>
              <w:t xml:space="preserve">Art. 618</w:t>
            </w:r>
          </w:p>
        </w:tc>
        <w:tc>
          <w:tcPr>
            <w:tcW w:type="dxa" w:w="731"/>
          </w:tcPr>
          <w:p>
            <w:pPr>
              <w:pStyle w:val="Compact"/>
              <w:spacing w:before="20" w:after="20" w:line="240" w:lineRule="auto"/>
              <w:jc w:val="right"/>
            </w:pPr>
            <w:r>
              <w:rPr>
                <w:rFonts w:ascii="Liberation Sans Narrow" w:hAnsi="Liberation Sans Narrow"/>
                <w:b/>
                <w:sz w:val="18"/>
              </w:rPr>
              <w:t xml:space="preserve">158</w:t>
            </w:r>
          </w:p>
        </w:tc>
        <w:tc>
          <w:tcPr>
            <w:tcW w:type="dxa" w:w="1608"/>
          </w:tcPr>
          <w:p>
            <w:pPr>
              <w:pStyle w:val="Compact"/>
              <w:spacing w:before="20" w:after="20" w:line="240" w:lineRule="auto"/>
              <w:jc w:val="left"/>
            </w:pPr>
            <w:r>
              <w:rPr>
                <w:rFonts w:ascii="Liberation Sans Narrow" w:hAnsi="Liberation Sans Narrow"/>
                <w:b w:val="0"/>
                <w:sz w:val="18"/>
              </w:rPr>
              <w:t xml:space="preserve">Art. 807</w:t>
            </w:r>
          </w:p>
        </w:tc>
        <w:tc>
          <w:tcPr>
            <w:tcW w:type="dxa" w:w="731"/>
          </w:tcPr>
          <w:p>
            <w:pPr>
              <w:pStyle w:val="Compact"/>
              <w:spacing w:before="20" w:after="20" w:line="240" w:lineRule="auto"/>
              <w:jc w:val="right"/>
            </w:pPr>
            <w:r>
              <w:rPr>
                <w:rFonts w:ascii="Liberation Sans Narrow" w:hAnsi="Liberation Sans Narrow"/>
                <w:b/>
                <w:sz w:val="18"/>
              </w:rPr>
              <w:t xml:space="preserve">223</w:t>
            </w:r>
          </w:p>
        </w:tc>
        <w:tc>
          <w:tcPr>
            <w:tcW w:type="dxa" w:w="1608"/>
          </w:tcPr>
          <w:p>
            <w:pPr>
              <w:pStyle w:val="Compact"/>
              <w:spacing w:before="20" w:after="20" w:line="240" w:lineRule="auto"/>
              <w:jc w:val="left"/>
            </w:pPr>
            <w:r>
              <w:rPr>
                <w:rFonts w:ascii="Liberation Sans Narrow" w:hAnsi="Liberation Sans Narrow"/>
                <w:b w:val="0"/>
                <w:sz w:val="18"/>
              </w:rPr>
              <w:t xml:space="preserve">Art. 996</w:t>
            </w:r>
          </w:p>
        </w:tc>
        <w:tc>
          <w:tcPr>
            <w:tcW w:type="dxa" w:w="731"/>
          </w:tcPr>
          <w:p>
            <w:pPr>
              <w:pStyle w:val="Compact"/>
              <w:spacing w:before="20" w:after="20" w:line="240" w:lineRule="auto"/>
              <w:jc w:val="right"/>
            </w:pPr>
            <w:r>
              <w:rPr>
                <w:rFonts w:ascii="Liberation Sans Narrow" w:hAnsi="Liberation Sans Narrow"/>
                <w:b/>
                <w:sz w:val="18"/>
              </w:rPr>
              <w:t xml:space="preserve">295</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430</w:t>
            </w:r>
          </w:p>
        </w:tc>
        <w:tc>
          <w:tcPr>
            <w:tcW w:type="dxa" w:w="731"/>
          </w:tcPr>
          <w:p>
            <w:pPr>
              <w:pStyle w:val="Compact"/>
              <w:spacing w:before="20" w:after="20" w:line="240" w:lineRule="auto"/>
              <w:jc w:val="right"/>
            </w:pPr>
            <w:r>
              <w:rPr>
                <w:rFonts w:ascii="Liberation Sans Narrow" w:hAnsi="Liberation Sans Narrow"/>
                <w:b/>
                <w:sz w:val="18"/>
              </w:rPr>
              <w:t xml:space="preserve">78</w:t>
            </w:r>
          </w:p>
        </w:tc>
        <w:tc>
          <w:tcPr>
            <w:tcW w:type="dxa" w:w="1608"/>
          </w:tcPr>
          <w:p>
            <w:pPr>
              <w:pStyle w:val="Compact"/>
              <w:spacing w:before="20" w:after="20" w:line="240" w:lineRule="auto"/>
              <w:jc w:val="left"/>
            </w:pPr>
            <w:r>
              <w:rPr>
                <w:rFonts w:ascii="Liberation Sans Narrow" w:hAnsi="Liberation Sans Narrow"/>
                <w:b w:val="0"/>
                <w:sz w:val="18"/>
              </w:rPr>
              <w:t xml:space="preserve">Art. 619</w:t>
            </w:r>
          </w:p>
        </w:tc>
        <w:tc>
          <w:tcPr>
            <w:tcW w:type="dxa" w:w="731"/>
          </w:tcPr>
          <w:p>
            <w:pPr>
              <w:pStyle w:val="Compact"/>
              <w:spacing w:before="20" w:after="20" w:line="240" w:lineRule="auto"/>
              <w:jc w:val="right"/>
            </w:pPr>
            <w:r>
              <w:rPr>
                <w:rFonts w:ascii="Liberation Sans Narrow" w:hAnsi="Liberation Sans Narrow"/>
                <w:b/>
                <w:sz w:val="18"/>
              </w:rPr>
              <w:t xml:space="preserve">159</w:t>
            </w:r>
          </w:p>
        </w:tc>
        <w:tc>
          <w:tcPr>
            <w:tcW w:type="dxa" w:w="1608"/>
          </w:tcPr>
          <w:p>
            <w:pPr>
              <w:pStyle w:val="Compact"/>
              <w:spacing w:before="20" w:after="20" w:line="240" w:lineRule="auto"/>
              <w:jc w:val="left"/>
            </w:pPr>
            <w:r>
              <w:rPr>
                <w:rFonts w:ascii="Liberation Sans Narrow" w:hAnsi="Liberation Sans Narrow"/>
                <w:b w:val="0"/>
                <w:sz w:val="18"/>
              </w:rPr>
              <w:t xml:space="preserve">Art. 808</w:t>
            </w:r>
          </w:p>
        </w:tc>
        <w:tc>
          <w:tcPr>
            <w:tcW w:type="dxa" w:w="731"/>
          </w:tcPr>
          <w:p>
            <w:pPr>
              <w:pStyle w:val="Compact"/>
              <w:spacing w:before="20" w:after="20" w:line="240" w:lineRule="auto"/>
              <w:jc w:val="right"/>
            </w:pPr>
            <w:r>
              <w:rPr>
                <w:rFonts w:ascii="Liberation Sans Narrow" w:hAnsi="Liberation Sans Narrow"/>
                <w:b/>
                <w:sz w:val="18"/>
              </w:rPr>
              <w:t xml:space="preserve">223</w:t>
            </w:r>
          </w:p>
        </w:tc>
        <w:tc>
          <w:tcPr>
            <w:tcW w:type="dxa" w:w="1608"/>
          </w:tcPr>
          <w:p>
            <w:pPr>
              <w:pStyle w:val="Compact"/>
              <w:spacing w:before="20" w:after="20" w:line="240" w:lineRule="auto"/>
              <w:jc w:val="left"/>
            </w:pPr>
            <w:r>
              <w:rPr>
                <w:rFonts w:ascii="Liberation Sans Narrow" w:hAnsi="Liberation Sans Narrow"/>
                <w:b w:val="0"/>
                <w:sz w:val="18"/>
              </w:rPr>
              <w:t xml:space="preserve">Art. 997</w:t>
            </w:r>
          </w:p>
        </w:tc>
        <w:tc>
          <w:tcPr>
            <w:tcW w:type="dxa" w:w="731"/>
          </w:tcPr>
          <w:p>
            <w:pPr>
              <w:pStyle w:val="Compact"/>
              <w:spacing w:before="20" w:after="20" w:line="240" w:lineRule="auto"/>
              <w:jc w:val="right"/>
            </w:pPr>
            <w:r>
              <w:rPr>
                <w:rFonts w:ascii="Liberation Sans Narrow" w:hAnsi="Liberation Sans Narrow"/>
                <w:b/>
                <w:sz w:val="18"/>
              </w:rPr>
              <w:t xml:space="preserve">296</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431</w:t>
            </w:r>
          </w:p>
        </w:tc>
        <w:tc>
          <w:tcPr>
            <w:tcW w:type="dxa" w:w="731"/>
          </w:tcPr>
          <w:p>
            <w:pPr>
              <w:pStyle w:val="Compact"/>
              <w:spacing w:before="20" w:after="20" w:line="240" w:lineRule="auto"/>
              <w:jc w:val="right"/>
            </w:pPr>
            <w:r>
              <w:rPr>
                <w:rFonts w:ascii="Liberation Sans Narrow" w:hAnsi="Liberation Sans Narrow"/>
                <w:b/>
                <w:sz w:val="18"/>
              </w:rPr>
              <w:t xml:space="preserve">78</w:t>
            </w:r>
          </w:p>
        </w:tc>
        <w:tc>
          <w:tcPr>
            <w:tcW w:type="dxa" w:w="1608"/>
          </w:tcPr>
          <w:p>
            <w:pPr>
              <w:pStyle w:val="Compact"/>
              <w:spacing w:before="20" w:after="20" w:line="240" w:lineRule="auto"/>
              <w:jc w:val="left"/>
            </w:pPr>
            <w:r>
              <w:rPr>
                <w:rFonts w:ascii="Liberation Sans Narrow" w:hAnsi="Liberation Sans Narrow"/>
                <w:b w:val="0"/>
                <w:sz w:val="18"/>
              </w:rPr>
              <w:t xml:space="preserve">Art. 620</w:t>
            </w:r>
          </w:p>
        </w:tc>
        <w:tc>
          <w:tcPr>
            <w:tcW w:type="dxa" w:w="731"/>
          </w:tcPr>
          <w:p>
            <w:pPr>
              <w:pStyle w:val="Compact"/>
              <w:spacing w:before="20" w:after="20" w:line="240" w:lineRule="auto"/>
              <w:jc w:val="right"/>
            </w:pPr>
            <w:r>
              <w:rPr>
                <w:rFonts w:ascii="Liberation Sans Narrow" w:hAnsi="Liberation Sans Narrow"/>
                <w:b/>
                <w:sz w:val="18"/>
              </w:rPr>
              <w:t xml:space="preserve">159</w:t>
            </w:r>
          </w:p>
        </w:tc>
        <w:tc>
          <w:tcPr>
            <w:tcW w:type="dxa" w:w="1608"/>
          </w:tcPr>
          <w:p>
            <w:pPr>
              <w:pStyle w:val="Compact"/>
              <w:spacing w:before="20" w:after="20" w:line="240" w:lineRule="auto"/>
              <w:jc w:val="left"/>
            </w:pPr>
            <w:r>
              <w:rPr>
                <w:rFonts w:ascii="Liberation Sans Narrow" w:hAnsi="Liberation Sans Narrow"/>
                <w:b w:val="0"/>
                <w:sz w:val="18"/>
              </w:rPr>
              <w:t xml:space="preserve">Art. 809</w:t>
            </w:r>
          </w:p>
        </w:tc>
        <w:tc>
          <w:tcPr>
            <w:tcW w:type="dxa" w:w="731"/>
          </w:tcPr>
          <w:p>
            <w:pPr>
              <w:pStyle w:val="Compact"/>
              <w:spacing w:before="20" w:after="20" w:line="240" w:lineRule="auto"/>
              <w:jc w:val="right"/>
            </w:pPr>
            <w:r>
              <w:rPr>
                <w:rFonts w:ascii="Liberation Sans Narrow" w:hAnsi="Liberation Sans Narrow"/>
                <w:b/>
                <w:sz w:val="18"/>
              </w:rPr>
              <w:t xml:space="preserve">224</w:t>
            </w:r>
          </w:p>
        </w:tc>
        <w:tc>
          <w:tcPr>
            <w:tcW w:type="dxa" w:w="1608"/>
          </w:tcPr>
          <w:p>
            <w:pPr>
              <w:pStyle w:val="Compact"/>
              <w:spacing w:before="20" w:after="20" w:line="240" w:lineRule="auto"/>
              <w:jc w:val="left"/>
            </w:pPr>
            <w:r>
              <w:rPr>
                <w:rFonts w:ascii="Liberation Sans Narrow" w:hAnsi="Liberation Sans Narrow"/>
                <w:b w:val="0"/>
                <w:sz w:val="18"/>
              </w:rPr>
              <w:t xml:space="preserve">Art. 998</w:t>
            </w:r>
          </w:p>
        </w:tc>
        <w:tc>
          <w:tcPr>
            <w:tcW w:type="dxa" w:w="731"/>
          </w:tcPr>
          <w:p>
            <w:pPr>
              <w:pStyle w:val="Compact"/>
              <w:spacing w:before="20" w:after="20" w:line="240" w:lineRule="auto"/>
              <w:jc w:val="right"/>
            </w:pPr>
            <w:r>
              <w:rPr>
                <w:rFonts w:ascii="Liberation Sans Narrow" w:hAnsi="Liberation Sans Narrow"/>
                <w:b/>
                <w:sz w:val="18"/>
              </w:rPr>
              <w:t xml:space="preserve">296</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432</w:t>
            </w:r>
          </w:p>
        </w:tc>
        <w:tc>
          <w:tcPr>
            <w:tcW w:type="dxa" w:w="731"/>
          </w:tcPr>
          <w:p>
            <w:pPr>
              <w:pStyle w:val="Compact"/>
              <w:spacing w:before="20" w:after="20" w:line="240" w:lineRule="auto"/>
              <w:jc w:val="right"/>
            </w:pPr>
            <w:r>
              <w:rPr>
                <w:rFonts w:ascii="Liberation Sans Narrow" w:hAnsi="Liberation Sans Narrow"/>
                <w:b/>
                <w:sz w:val="18"/>
              </w:rPr>
              <w:t xml:space="preserve">79</w:t>
            </w:r>
          </w:p>
        </w:tc>
        <w:tc>
          <w:tcPr>
            <w:tcW w:type="dxa" w:w="1608"/>
          </w:tcPr>
          <w:p>
            <w:pPr>
              <w:pStyle w:val="Compact"/>
              <w:spacing w:before="20" w:after="20" w:line="240" w:lineRule="auto"/>
              <w:jc w:val="left"/>
            </w:pPr>
            <w:r>
              <w:rPr>
                <w:rFonts w:ascii="Liberation Sans Narrow" w:hAnsi="Liberation Sans Narrow"/>
                <w:b w:val="0"/>
                <w:sz w:val="18"/>
              </w:rPr>
              <w:t xml:space="preserve">Art. 621</w:t>
            </w:r>
          </w:p>
        </w:tc>
        <w:tc>
          <w:tcPr>
            <w:tcW w:type="dxa" w:w="731"/>
          </w:tcPr>
          <w:p>
            <w:pPr>
              <w:pStyle w:val="Compact"/>
              <w:spacing w:before="20" w:after="20" w:line="240" w:lineRule="auto"/>
              <w:jc w:val="right"/>
            </w:pPr>
            <w:r>
              <w:rPr>
                <w:rFonts w:ascii="Liberation Sans Narrow" w:hAnsi="Liberation Sans Narrow"/>
                <w:b/>
                <w:sz w:val="18"/>
              </w:rPr>
              <w:t xml:space="preserve">160</w:t>
            </w:r>
          </w:p>
        </w:tc>
        <w:tc>
          <w:tcPr>
            <w:tcW w:type="dxa" w:w="1608"/>
          </w:tcPr>
          <w:p>
            <w:pPr>
              <w:pStyle w:val="Compact"/>
              <w:spacing w:before="20" w:after="20" w:line="240" w:lineRule="auto"/>
              <w:jc w:val="left"/>
            </w:pPr>
            <w:r>
              <w:rPr>
                <w:rFonts w:ascii="Liberation Sans Narrow" w:hAnsi="Liberation Sans Narrow"/>
                <w:b w:val="0"/>
                <w:sz w:val="18"/>
              </w:rPr>
              <w:t xml:space="preserve">Art. 810</w:t>
            </w:r>
          </w:p>
        </w:tc>
        <w:tc>
          <w:tcPr>
            <w:tcW w:type="dxa" w:w="731"/>
          </w:tcPr>
          <w:p>
            <w:pPr>
              <w:pStyle w:val="Compact"/>
              <w:spacing w:before="20" w:after="20" w:line="240" w:lineRule="auto"/>
              <w:jc w:val="right"/>
            </w:pPr>
            <w:r>
              <w:rPr>
                <w:rFonts w:ascii="Liberation Sans Narrow" w:hAnsi="Liberation Sans Narrow"/>
                <w:b/>
                <w:sz w:val="18"/>
              </w:rPr>
              <w:t xml:space="preserve">224</w:t>
            </w:r>
          </w:p>
        </w:tc>
        <w:tc>
          <w:tcPr>
            <w:tcW w:type="dxa" w:w="1608"/>
          </w:tcPr>
          <w:p>
            <w:pPr>
              <w:pStyle w:val="Compact"/>
              <w:spacing w:before="20" w:after="20" w:line="240" w:lineRule="auto"/>
              <w:jc w:val="left"/>
            </w:pPr>
            <w:r>
              <w:rPr>
                <w:rFonts w:ascii="Liberation Sans Narrow" w:hAnsi="Liberation Sans Narrow"/>
                <w:b w:val="0"/>
                <w:sz w:val="18"/>
              </w:rPr>
              <w:t xml:space="preserve">Art. 999</w:t>
            </w:r>
          </w:p>
        </w:tc>
        <w:tc>
          <w:tcPr>
            <w:tcW w:type="dxa" w:w="731"/>
          </w:tcPr>
          <w:p>
            <w:pPr>
              <w:pStyle w:val="Compact"/>
              <w:spacing w:before="20" w:after="20" w:line="240" w:lineRule="auto"/>
              <w:jc w:val="right"/>
            </w:pPr>
            <w:r>
              <w:rPr>
                <w:rFonts w:ascii="Liberation Sans Narrow" w:hAnsi="Liberation Sans Narrow"/>
                <w:b/>
                <w:sz w:val="18"/>
              </w:rPr>
              <w:t xml:space="preserve">296</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433</w:t>
            </w:r>
          </w:p>
        </w:tc>
        <w:tc>
          <w:tcPr>
            <w:tcW w:type="dxa" w:w="731"/>
          </w:tcPr>
          <w:p>
            <w:pPr>
              <w:pStyle w:val="Compact"/>
              <w:spacing w:before="20" w:after="20" w:line="240" w:lineRule="auto"/>
              <w:jc w:val="right"/>
            </w:pPr>
            <w:r>
              <w:rPr>
                <w:rFonts w:ascii="Liberation Sans Narrow" w:hAnsi="Liberation Sans Narrow"/>
                <w:b/>
                <w:sz w:val="18"/>
              </w:rPr>
              <w:t xml:space="preserve">79</w:t>
            </w:r>
          </w:p>
        </w:tc>
        <w:tc>
          <w:tcPr>
            <w:tcW w:type="dxa" w:w="1608"/>
          </w:tcPr>
          <w:p>
            <w:pPr>
              <w:pStyle w:val="Compact"/>
              <w:spacing w:before="20" w:after="20" w:line="240" w:lineRule="auto"/>
              <w:jc w:val="left"/>
            </w:pPr>
            <w:r>
              <w:rPr>
                <w:rFonts w:ascii="Liberation Sans Narrow" w:hAnsi="Liberation Sans Narrow"/>
                <w:b w:val="0"/>
                <w:sz w:val="18"/>
              </w:rPr>
              <w:t xml:space="preserve">Art. 622</w:t>
            </w:r>
          </w:p>
        </w:tc>
        <w:tc>
          <w:tcPr>
            <w:tcW w:type="dxa" w:w="731"/>
          </w:tcPr>
          <w:p>
            <w:pPr>
              <w:pStyle w:val="Compact"/>
              <w:spacing w:before="20" w:after="20" w:line="240" w:lineRule="auto"/>
              <w:jc w:val="right"/>
            </w:pPr>
            <w:r>
              <w:rPr>
                <w:rFonts w:ascii="Liberation Sans Narrow" w:hAnsi="Liberation Sans Narrow"/>
                <w:b/>
                <w:sz w:val="18"/>
              </w:rPr>
              <w:t xml:space="preserve">160</w:t>
            </w:r>
          </w:p>
        </w:tc>
        <w:tc>
          <w:tcPr>
            <w:tcW w:type="dxa" w:w="1608"/>
          </w:tcPr>
          <w:p>
            <w:pPr>
              <w:pStyle w:val="Compact"/>
              <w:spacing w:before="20" w:after="20" w:line="240" w:lineRule="auto"/>
              <w:jc w:val="left"/>
            </w:pPr>
            <w:r>
              <w:rPr>
                <w:rFonts w:ascii="Liberation Sans Narrow" w:hAnsi="Liberation Sans Narrow"/>
                <w:b w:val="0"/>
                <w:sz w:val="18"/>
              </w:rPr>
              <w:t xml:space="preserve">Art. 811</w:t>
            </w:r>
          </w:p>
        </w:tc>
        <w:tc>
          <w:tcPr>
            <w:tcW w:type="dxa" w:w="731"/>
          </w:tcPr>
          <w:p>
            <w:pPr>
              <w:pStyle w:val="Compact"/>
              <w:spacing w:before="20" w:after="20" w:line="240" w:lineRule="auto"/>
              <w:jc w:val="right"/>
            </w:pPr>
            <w:r>
              <w:rPr>
                <w:rFonts w:ascii="Liberation Sans Narrow" w:hAnsi="Liberation Sans Narrow"/>
                <w:b/>
                <w:sz w:val="18"/>
              </w:rPr>
              <w:t xml:space="preserve">224</w:t>
            </w:r>
          </w:p>
        </w:tc>
        <w:tc>
          <w:tcPr>
            <w:tcW w:type="dxa" w:w="1608"/>
          </w:tcPr>
          <w:p>
            <w:pPr>
              <w:pStyle w:val="Compact"/>
              <w:spacing w:before="20" w:after="20" w:line="240" w:lineRule="auto"/>
              <w:jc w:val="left"/>
            </w:pPr>
            <w:r>
              <w:rPr>
                <w:rFonts w:ascii="Liberation Sans Narrow" w:hAnsi="Liberation Sans Narrow"/>
                <w:b w:val="0"/>
                <w:sz w:val="18"/>
              </w:rPr>
              <w:t xml:space="preserve">Art. 1000</w:t>
            </w:r>
          </w:p>
        </w:tc>
        <w:tc>
          <w:tcPr>
            <w:tcW w:type="dxa" w:w="731"/>
          </w:tcPr>
          <w:p>
            <w:pPr>
              <w:pStyle w:val="Compact"/>
              <w:spacing w:before="20" w:after="20" w:line="240" w:lineRule="auto"/>
              <w:jc w:val="right"/>
            </w:pPr>
            <w:r>
              <w:rPr>
                <w:rFonts w:ascii="Liberation Sans Narrow" w:hAnsi="Liberation Sans Narrow"/>
                <w:b/>
                <w:sz w:val="18"/>
              </w:rPr>
              <w:t xml:space="preserve">297</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434</w:t>
            </w:r>
          </w:p>
        </w:tc>
        <w:tc>
          <w:tcPr>
            <w:tcW w:type="dxa" w:w="731"/>
          </w:tcPr>
          <w:p>
            <w:pPr>
              <w:pStyle w:val="Compact"/>
              <w:spacing w:before="20" w:after="20" w:line="240" w:lineRule="auto"/>
              <w:jc w:val="right"/>
            </w:pPr>
            <w:r>
              <w:rPr>
                <w:rFonts w:ascii="Liberation Sans Narrow" w:hAnsi="Liberation Sans Narrow"/>
                <w:b/>
                <w:sz w:val="18"/>
              </w:rPr>
              <w:t xml:space="preserve">79</w:t>
            </w:r>
          </w:p>
        </w:tc>
        <w:tc>
          <w:tcPr>
            <w:tcW w:type="dxa" w:w="1608"/>
          </w:tcPr>
          <w:p>
            <w:pPr>
              <w:pStyle w:val="Compact"/>
              <w:spacing w:before="20" w:after="20" w:line="240" w:lineRule="auto"/>
              <w:jc w:val="left"/>
            </w:pPr>
            <w:r>
              <w:rPr>
                <w:rFonts w:ascii="Liberation Sans Narrow" w:hAnsi="Liberation Sans Narrow"/>
                <w:b w:val="0"/>
                <w:sz w:val="18"/>
              </w:rPr>
              <w:t xml:space="preserve">Art. 623</w:t>
            </w:r>
          </w:p>
        </w:tc>
        <w:tc>
          <w:tcPr>
            <w:tcW w:type="dxa" w:w="731"/>
          </w:tcPr>
          <w:p>
            <w:pPr>
              <w:pStyle w:val="Compact"/>
              <w:spacing w:before="20" w:after="20" w:line="240" w:lineRule="auto"/>
              <w:jc w:val="right"/>
            </w:pPr>
            <w:r>
              <w:rPr>
                <w:rFonts w:ascii="Liberation Sans Narrow" w:hAnsi="Liberation Sans Narrow"/>
                <w:b/>
                <w:sz w:val="18"/>
              </w:rPr>
              <w:t xml:space="preserve">161</w:t>
            </w:r>
          </w:p>
        </w:tc>
        <w:tc>
          <w:tcPr>
            <w:tcW w:type="dxa" w:w="1608"/>
          </w:tcPr>
          <w:p>
            <w:pPr>
              <w:pStyle w:val="Compact"/>
              <w:spacing w:before="20" w:after="20" w:line="240" w:lineRule="auto"/>
              <w:jc w:val="left"/>
            </w:pPr>
            <w:r>
              <w:rPr>
                <w:rFonts w:ascii="Liberation Sans Narrow" w:hAnsi="Liberation Sans Narrow"/>
                <w:b w:val="0"/>
                <w:sz w:val="18"/>
              </w:rPr>
              <w:t xml:space="preserve">Art. 812</w:t>
            </w:r>
          </w:p>
        </w:tc>
        <w:tc>
          <w:tcPr>
            <w:tcW w:type="dxa" w:w="731"/>
          </w:tcPr>
          <w:p>
            <w:pPr>
              <w:pStyle w:val="Compact"/>
              <w:spacing w:before="20" w:after="20" w:line="240" w:lineRule="auto"/>
              <w:jc w:val="right"/>
            </w:pPr>
            <w:r>
              <w:rPr>
                <w:rFonts w:ascii="Liberation Sans Narrow" w:hAnsi="Liberation Sans Narrow"/>
                <w:b/>
                <w:sz w:val="18"/>
              </w:rPr>
              <w:t xml:space="preserve">224</w:t>
            </w:r>
          </w:p>
        </w:tc>
        <w:tc>
          <w:tcPr>
            <w:tcW w:type="dxa" w:w="1608"/>
          </w:tcPr>
          <w:p>
            <w:pPr>
              <w:pStyle w:val="Compact"/>
              <w:spacing w:before="20" w:after="20" w:line="240" w:lineRule="auto"/>
              <w:jc w:val="left"/>
            </w:pPr>
            <w:r>
              <w:rPr>
                <w:rFonts w:ascii="Liberation Sans Narrow" w:hAnsi="Liberation Sans Narrow"/>
                <w:b w:val="0"/>
                <w:sz w:val="18"/>
              </w:rPr>
              <w:t xml:space="preserve">Art. 1001</w:t>
            </w:r>
          </w:p>
        </w:tc>
        <w:tc>
          <w:tcPr>
            <w:tcW w:type="dxa" w:w="731"/>
          </w:tcPr>
          <w:p>
            <w:pPr>
              <w:pStyle w:val="Compact"/>
              <w:spacing w:before="20" w:after="20" w:line="240" w:lineRule="auto"/>
              <w:jc w:val="right"/>
            </w:pPr>
            <w:r>
              <w:rPr>
                <w:rFonts w:ascii="Liberation Sans Narrow" w:hAnsi="Liberation Sans Narrow"/>
                <w:b/>
                <w:sz w:val="18"/>
              </w:rPr>
              <w:t xml:space="preserve">297</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435</w:t>
            </w:r>
          </w:p>
        </w:tc>
        <w:tc>
          <w:tcPr>
            <w:tcW w:type="dxa" w:w="731"/>
          </w:tcPr>
          <w:p>
            <w:pPr>
              <w:pStyle w:val="Compact"/>
              <w:spacing w:before="20" w:after="20" w:line="240" w:lineRule="auto"/>
              <w:jc w:val="right"/>
            </w:pPr>
            <w:r>
              <w:rPr>
                <w:rFonts w:ascii="Liberation Sans Narrow" w:hAnsi="Liberation Sans Narrow"/>
                <w:b/>
                <w:sz w:val="18"/>
              </w:rPr>
              <w:t xml:space="preserve">79</w:t>
            </w:r>
          </w:p>
        </w:tc>
        <w:tc>
          <w:tcPr>
            <w:tcW w:type="dxa" w:w="1608"/>
          </w:tcPr>
          <w:p>
            <w:pPr>
              <w:pStyle w:val="Compact"/>
              <w:spacing w:before="20" w:after="20" w:line="240" w:lineRule="auto"/>
              <w:jc w:val="left"/>
            </w:pPr>
            <w:r>
              <w:rPr>
                <w:rFonts w:ascii="Liberation Sans Narrow" w:hAnsi="Liberation Sans Narrow"/>
                <w:b w:val="0"/>
                <w:sz w:val="18"/>
              </w:rPr>
              <w:t xml:space="preserve">Art. 624</w:t>
            </w:r>
          </w:p>
        </w:tc>
        <w:tc>
          <w:tcPr>
            <w:tcW w:type="dxa" w:w="731"/>
          </w:tcPr>
          <w:p>
            <w:pPr>
              <w:pStyle w:val="Compact"/>
              <w:spacing w:before="20" w:after="20" w:line="240" w:lineRule="auto"/>
              <w:jc w:val="right"/>
            </w:pPr>
            <w:r>
              <w:rPr>
                <w:rFonts w:ascii="Liberation Sans Narrow" w:hAnsi="Liberation Sans Narrow"/>
                <w:b/>
                <w:sz w:val="18"/>
              </w:rPr>
              <w:t xml:space="preserve">161</w:t>
            </w:r>
          </w:p>
        </w:tc>
        <w:tc>
          <w:tcPr>
            <w:tcW w:type="dxa" w:w="1608"/>
          </w:tcPr>
          <w:p>
            <w:pPr>
              <w:pStyle w:val="Compact"/>
              <w:spacing w:before="20" w:after="20" w:line="240" w:lineRule="auto"/>
              <w:jc w:val="left"/>
            </w:pPr>
            <w:r>
              <w:rPr>
                <w:rFonts w:ascii="Liberation Sans Narrow" w:hAnsi="Liberation Sans Narrow"/>
                <w:b w:val="0"/>
                <w:sz w:val="18"/>
              </w:rPr>
              <w:t xml:space="preserve">Art. 813</w:t>
            </w:r>
          </w:p>
        </w:tc>
        <w:tc>
          <w:tcPr>
            <w:tcW w:type="dxa" w:w="731"/>
          </w:tcPr>
          <w:p>
            <w:pPr>
              <w:pStyle w:val="Compact"/>
              <w:spacing w:before="20" w:after="20" w:line="240" w:lineRule="auto"/>
              <w:jc w:val="right"/>
            </w:pPr>
            <w:r>
              <w:rPr>
                <w:rFonts w:ascii="Liberation Sans Narrow" w:hAnsi="Liberation Sans Narrow"/>
                <w:b/>
                <w:sz w:val="18"/>
              </w:rPr>
              <w:t xml:space="preserve">224</w:t>
            </w:r>
          </w:p>
        </w:tc>
        <w:tc>
          <w:tcPr>
            <w:tcW w:type="dxa" w:w="1608"/>
          </w:tcPr>
          <w:p>
            <w:pPr>
              <w:pStyle w:val="Compact"/>
              <w:spacing w:before="20" w:after="20" w:line="240" w:lineRule="auto"/>
              <w:jc w:val="left"/>
            </w:pPr>
            <w:r>
              <w:rPr>
                <w:rFonts w:ascii="Liberation Sans Narrow" w:hAnsi="Liberation Sans Narrow"/>
                <w:b w:val="0"/>
                <w:sz w:val="18"/>
              </w:rPr>
              <w:t xml:space="preserve">Art. 1002</w:t>
            </w:r>
          </w:p>
        </w:tc>
        <w:tc>
          <w:tcPr>
            <w:tcW w:type="dxa" w:w="731"/>
          </w:tcPr>
          <w:p>
            <w:pPr>
              <w:pStyle w:val="Compact"/>
              <w:spacing w:before="20" w:after="20" w:line="240" w:lineRule="auto"/>
              <w:jc w:val="right"/>
            </w:pPr>
            <w:r>
              <w:rPr>
                <w:rFonts w:ascii="Liberation Sans Narrow" w:hAnsi="Liberation Sans Narrow"/>
                <w:b/>
                <w:sz w:val="18"/>
              </w:rPr>
              <w:t xml:space="preserve">297</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436</w:t>
            </w:r>
          </w:p>
        </w:tc>
        <w:tc>
          <w:tcPr>
            <w:tcW w:type="dxa" w:w="731"/>
          </w:tcPr>
          <w:p>
            <w:pPr>
              <w:pStyle w:val="Compact"/>
              <w:spacing w:before="20" w:after="20" w:line="240" w:lineRule="auto"/>
              <w:jc w:val="right"/>
            </w:pPr>
            <w:r>
              <w:rPr>
                <w:rFonts w:ascii="Liberation Sans Narrow" w:hAnsi="Liberation Sans Narrow"/>
                <w:b/>
                <w:sz w:val="18"/>
              </w:rPr>
              <w:t xml:space="preserve">80</w:t>
            </w:r>
          </w:p>
        </w:tc>
        <w:tc>
          <w:tcPr>
            <w:tcW w:type="dxa" w:w="1608"/>
          </w:tcPr>
          <w:p>
            <w:pPr>
              <w:pStyle w:val="Compact"/>
              <w:spacing w:before="20" w:after="20" w:line="240" w:lineRule="auto"/>
              <w:jc w:val="left"/>
            </w:pPr>
            <w:r>
              <w:rPr>
                <w:rFonts w:ascii="Liberation Sans Narrow" w:hAnsi="Liberation Sans Narrow"/>
                <w:b w:val="0"/>
                <w:sz w:val="18"/>
              </w:rPr>
              <w:t xml:space="preserve">Art. 625</w:t>
            </w:r>
          </w:p>
        </w:tc>
        <w:tc>
          <w:tcPr>
            <w:tcW w:type="dxa" w:w="731"/>
          </w:tcPr>
          <w:p>
            <w:pPr>
              <w:pStyle w:val="Compact"/>
              <w:spacing w:before="20" w:after="20" w:line="240" w:lineRule="auto"/>
              <w:jc w:val="right"/>
            </w:pPr>
            <w:r>
              <w:rPr>
                <w:rFonts w:ascii="Liberation Sans Narrow" w:hAnsi="Liberation Sans Narrow"/>
                <w:b/>
                <w:sz w:val="18"/>
              </w:rPr>
              <w:t xml:space="preserve">162</w:t>
            </w:r>
          </w:p>
        </w:tc>
        <w:tc>
          <w:tcPr>
            <w:tcW w:type="dxa" w:w="1608"/>
          </w:tcPr>
          <w:p>
            <w:pPr>
              <w:pStyle w:val="Compact"/>
              <w:spacing w:before="20" w:after="20" w:line="240" w:lineRule="auto"/>
              <w:jc w:val="left"/>
            </w:pPr>
            <w:r>
              <w:rPr>
                <w:rFonts w:ascii="Liberation Sans Narrow" w:hAnsi="Liberation Sans Narrow"/>
                <w:b w:val="0"/>
                <w:sz w:val="18"/>
              </w:rPr>
              <w:t xml:space="preserve">Art. 814</w:t>
            </w:r>
          </w:p>
        </w:tc>
        <w:tc>
          <w:tcPr>
            <w:tcW w:type="dxa" w:w="731"/>
          </w:tcPr>
          <w:p>
            <w:pPr>
              <w:pStyle w:val="Compact"/>
              <w:spacing w:before="20" w:after="20" w:line="240" w:lineRule="auto"/>
              <w:jc w:val="right"/>
            </w:pPr>
            <w:r>
              <w:rPr>
                <w:rFonts w:ascii="Liberation Sans Narrow" w:hAnsi="Liberation Sans Narrow"/>
                <w:b/>
                <w:sz w:val="18"/>
              </w:rPr>
              <w:t xml:space="preserve">224</w:t>
            </w:r>
          </w:p>
        </w:tc>
        <w:tc>
          <w:tcPr>
            <w:tcW w:type="dxa" w:w="1608"/>
          </w:tcPr>
          <w:p>
            <w:pPr>
              <w:pStyle w:val="Compact"/>
              <w:spacing w:before="20" w:after="20" w:line="240" w:lineRule="auto"/>
              <w:jc w:val="left"/>
            </w:pPr>
            <w:r>
              <w:rPr>
                <w:rFonts w:ascii="Liberation Sans Narrow" w:hAnsi="Liberation Sans Narrow"/>
                <w:b w:val="0"/>
                <w:sz w:val="18"/>
              </w:rPr>
              <w:t xml:space="preserve">Art. 1003</w:t>
            </w:r>
          </w:p>
        </w:tc>
        <w:tc>
          <w:tcPr>
            <w:tcW w:type="dxa" w:w="731"/>
          </w:tcPr>
          <w:p>
            <w:pPr>
              <w:pStyle w:val="Compact"/>
              <w:spacing w:before="20" w:after="20" w:line="240" w:lineRule="auto"/>
              <w:jc w:val="right"/>
            </w:pPr>
            <w:r>
              <w:rPr>
                <w:rFonts w:ascii="Liberation Sans Narrow" w:hAnsi="Liberation Sans Narrow"/>
                <w:b/>
                <w:sz w:val="18"/>
              </w:rPr>
              <w:t xml:space="preserve">297</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437</w:t>
            </w:r>
          </w:p>
        </w:tc>
        <w:tc>
          <w:tcPr>
            <w:tcW w:type="dxa" w:w="731"/>
          </w:tcPr>
          <w:p>
            <w:pPr>
              <w:pStyle w:val="Compact"/>
              <w:spacing w:before="20" w:after="20" w:line="240" w:lineRule="auto"/>
              <w:jc w:val="right"/>
            </w:pPr>
            <w:r>
              <w:rPr>
                <w:rFonts w:ascii="Liberation Sans Narrow" w:hAnsi="Liberation Sans Narrow"/>
                <w:b/>
                <w:sz w:val="18"/>
              </w:rPr>
              <w:t xml:space="preserve">80</w:t>
            </w:r>
          </w:p>
        </w:tc>
        <w:tc>
          <w:tcPr>
            <w:tcW w:type="dxa" w:w="1608"/>
          </w:tcPr>
          <w:p>
            <w:pPr>
              <w:pStyle w:val="Compact"/>
              <w:spacing w:before="20" w:after="20" w:line="240" w:lineRule="auto"/>
              <w:jc w:val="left"/>
            </w:pPr>
            <w:r>
              <w:rPr>
                <w:rFonts w:ascii="Liberation Sans Narrow" w:hAnsi="Liberation Sans Narrow"/>
                <w:b w:val="0"/>
                <w:sz w:val="18"/>
              </w:rPr>
              <w:t xml:space="preserve">Art. 626</w:t>
            </w:r>
          </w:p>
        </w:tc>
        <w:tc>
          <w:tcPr>
            <w:tcW w:type="dxa" w:w="731"/>
          </w:tcPr>
          <w:p>
            <w:pPr>
              <w:pStyle w:val="Compact"/>
              <w:spacing w:before="20" w:after="20" w:line="240" w:lineRule="auto"/>
              <w:jc w:val="right"/>
            </w:pPr>
            <w:r>
              <w:rPr>
                <w:rFonts w:ascii="Liberation Sans Narrow" w:hAnsi="Liberation Sans Narrow"/>
                <w:b/>
                <w:sz w:val="18"/>
              </w:rPr>
              <w:t xml:space="preserve">162</w:t>
            </w:r>
          </w:p>
        </w:tc>
        <w:tc>
          <w:tcPr>
            <w:tcW w:type="dxa" w:w="1608"/>
          </w:tcPr>
          <w:p>
            <w:pPr>
              <w:pStyle w:val="Compact"/>
              <w:spacing w:before="20" w:after="20" w:line="240" w:lineRule="auto"/>
              <w:jc w:val="left"/>
            </w:pPr>
            <w:r>
              <w:rPr>
                <w:rFonts w:ascii="Liberation Sans Narrow" w:hAnsi="Liberation Sans Narrow"/>
                <w:b w:val="0"/>
                <w:sz w:val="18"/>
              </w:rPr>
              <w:t xml:space="preserve">Art. 815</w:t>
            </w:r>
          </w:p>
        </w:tc>
        <w:tc>
          <w:tcPr>
            <w:tcW w:type="dxa" w:w="731"/>
          </w:tcPr>
          <w:p>
            <w:pPr>
              <w:pStyle w:val="Compact"/>
              <w:spacing w:before="20" w:after="20" w:line="240" w:lineRule="auto"/>
              <w:jc w:val="right"/>
            </w:pPr>
            <w:r>
              <w:rPr>
                <w:rFonts w:ascii="Liberation Sans Narrow" w:hAnsi="Liberation Sans Narrow"/>
                <w:b/>
                <w:sz w:val="18"/>
              </w:rPr>
              <w:t xml:space="preserve">225</w:t>
            </w:r>
          </w:p>
        </w:tc>
        <w:tc>
          <w:tcPr>
            <w:tcW w:type="dxa" w:w="1608"/>
          </w:tcPr>
          <w:p>
            <w:pPr>
              <w:pStyle w:val="Compact"/>
              <w:spacing w:before="20" w:after="20" w:line="240" w:lineRule="auto"/>
              <w:jc w:val="left"/>
            </w:pPr>
            <w:r>
              <w:rPr>
                <w:rFonts w:ascii="Liberation Sans Narrow" w:hAnsi="Liberation Sans Narrow"/>
                <w:b w:val="0"/>
                <w:sz w:val="18"/>
              </w:rPr>
              <w:t xml:space="preserve">Art. 1004</w:t>
            </w:r>
          </w:p>
        </w:tc>
        <w:tc>
          <w:tcPr>
            <w:tcW w:type="dxa" w:w="731"/>
          </w:tcPr>
          <w:p>
            <w:pPr>
              <w:pStyle w:val="Compact"/>
              <w:spacing w:before="20" w:after="20" w:line="240" w:lineRule="auto"/>
              <w:jc w:val="right"/>
            </w:pPr>
            <w:r>
              <w:rPr>
                <w:rFonts w:ascii="Liberation Sans Narrow" w:hAnsi="Liberation Sans Narrow"/>
                <w:b/>
                <w:sz w:val="18"/>
              </w:rPr>
              <w:t xml:space="preserve">298</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438</w:t>
            </w:r>
          </w:p>
        </w:tc>
        <w:tc>
          <w:tcPr>
            <w:tcW w:type="dxa" w:w="731"/>
          </w:tcPr>
          <w:p>
            <w:pPr>
              <w:pStyle w:val="Compact"/>
              <w:spacing w:before="20" w:after="20" w:line="240" w:lineRule="auto"/>
              <w:jc w:val="right"/>
            </w:pPr>
            <w:r>
              <w:rPr>
                <w:rFonts w:ascii="Liberation Sans Narrow" w:hAnsi="Liberation Sans Narrow"/>
                <w:b/>
                <w:sz w:val="18"/>
              </w:rPr>
              <w:t xml:space="preserve">81</w:t>
            </w:r>
          </w:p>
        </w:tc>
        <w:tc>
          <w:tcPr>
            <w:tcW w:type="dxa" w:w="1608"/>
          </w:tcPr>
          <w:p>
            <w:pPr>
              <w:pStyle w:val="Compact"/>
              <w:spacing w:before="20" w:after="20" w:line="240" w:lineRule="auto"/>
              <w:jc w:val="left"/>
            </w:pPr>
            <w:r>
              <w:rPr>
                <w:rFonts w:ascii="Liberation Sans Narrow" w:hAnsi="Liberation Sans Narrow"/>
                <w:b w:val="0"/>
                <w:sz w:val="18"/>
              </w:rPr>
              <w:t xml:space="preserve">Art. 627</w:t>
            </w:r>
          </w:p>
        </w:tc>
        <w:tc>
          <w:tcPr>
            <w:tcW w:type="dxa" w:w="731"/>
          </w:tcPr>
          <w:p>
            <w:pPr>
              <w:pStyle w:val="Compact"/>
              <w:spacing w:before="20" w:after="20" w:line="240" w:lineRule="auto"/>
              <w:jc w:val="right"/>
            </w:pPr>
            <w:r>
              <w:rPr>
                <w:rFonts w:ascii="Liberation Sans Narrow" w:hAnsi="Liberation Sans Narrow"/>
                <w:b/>
                <w:sz w:val="18"/>
              </w:rPr>
              <w:t xml:space="preserve">162</w:t>
            </w:r>
          </w:p>
        </w:tc>
        <w:tc>
          <w:tcPr>
            <w:tcW w:type="dxa" w:w="1608"/>
          </w:tcPr>
          <w:p>
            <w:pPr>
              <w:pStyle w:val="Compact"/>
              <w:spacing w:before="20" w:after="20" w:line="240" w:lineRule="auto"/>
              <w:jc w:val="left"/>
            </w:pPr>
            <w:r>
              <w:rPr>
                <w:rFonts w:ascii="Liberation Sans Narrow" w:hAnsi="Liberation Sans Narrow"/>
                <w:b w:val="0"/>
                <w:sz w:val="18"/>
              </w:rPr>
              <w:t xml:space="preserve">Art. 816</w:t>
            </w:r>
          </w:p>
        </w:tc>
        <w:tc>
          <w:tcPr>
            <w:tcW w:type="dxa" w:w="731"/>
          </w:tcPr>
          <w:p>
            <w:pPr>
              <w:pStyle w:val="Compact"/>
              <w:spacing w:before="20" w:after="20" w:line="240" w:lineRule="auto"/>
              <w:jc w:val="right"/>
            </w:pPr>
            <w:r>
              <w:rPr>
                <w:rFonts w:ascii="Liberation Sans Narrow" w:hAnsi="Liberation Sans Narrow"/>
                <w:b/>
                <w:sz w:val="18"/>
              </w:rPr>
              <w:t xml:space="preserve">225</w:t>
            </w:r>
          </w:p>
        </w:tc>
        <w:tc>
          <w:tcPr>
            <w:tcW w:type="dxa" w:w="1608"/>
          </w:tcPr>
          <w:p>
            <w:pPr>
              <w:pStyle w:val="Compact"/>
              <w:spacing w:before="20" w:after="20" w:line="240" w:lineRule="auto"/>
              <w:jc w:val="left"/>
            </w:pPr>
            <w:r>
              <w:rPr>
                <w:rFonts w:ascii="Liberation Sans Narrow" w:hAnsi="Liberation Sans Narrow"/>
                <w:b w:val="0"/>
                <w:sz w:val="18"/>
              </w:rPr>
              <w:t xml:space="preserve">Art. 1005</w:t>
            </w:r>
          </w:p>
        </w:tc>
        <w:tc>
          <w:tcPr>
            <w:tcW w:type="dxa" w:w="731"/>
          </w:tcPr>
          <w:p>
            <w:pPr>
              <w:pStyle w:val="Compact"/>
              <w:spacing w:before="20" w:after="20" w:line="240" w:lineRule="auto"/>
              <w:jc w:val="right"/>
            </w:pPr>
            <w:r>
              <w:rPr>
                <w:rFonts w:ascii="Liberation Sans Narrow" w:hAnsi="Liberation Sans Narrow"/>
                <w:b/>
                <w:sz w:val="18"/>
              </w:rPr>
              <w:t xml:space="preserve">298</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439</w:t>
            </w:r>
          </w:p>
        </w:tc>
        <w:tc>
          <w:tcPr>
            <w:tcW w:type="dxa" w:w="731"/>
          </w:tcPr>
          <w:p>
            <w:pPr>
              <w:pStyle w:val="Compact"/>
              <w:spacing w:before="20" w:after="20" w:line="240" w:lineRule="auto"/>
              <w:jc w:val="right"/>
            </w:pPr>
            <w:r>
              <w:rPr>
                <w:rFonts w:ascii="Liberation Sans Narrow" w:hAnsi="Liberation Sans Narrow"/>
                <w:b/>
                <w:sz w:val="18"/>
              </w:rPr>
              <w:t xml:space="preserve">82</w:t>
            </w:r>
          </w:p>
        </w:tc>
        <w:tc>
          <w:tcPr>
            <w:tcW w:type="dxa" w:w="1608"/>
          </w:tcPr>
          <w:p>
            <w:pPr>
              <w:pStyle w:val="Compact"/>
              <w:spacing w:before="20" w:after="20" w:line="240" w:lineRule="auto"/>
              <w:jc w:val="left"/>
            </w:pPr>
            <w:r>
              <w:rPr>
                <w:rFonts w:ascii="Liberation Sans Narrow" w:hAnsi="Liberation Sans Narrow"/>
                <w:b w:val="0"/>
                <w:sz w:val="18"/>
              </w:rPr>
              <w:t xml:space="preserve">Art. 628</w:t>
            </w:r>
          </w:p>
        </w:tc>
        <w:tc>
          <w:tcPr>
            <w:tcW w:type="dxa" w:w="731"/>
          </w:tcPr>
          <w:p>
            <w:pPr>
              <w:pStyle w:val="Compact"/>
              <w:spacing w:before="20" w:after="20" w:line="240" w:lineRule="auto"/>
              <w:jc w:val="right"/>
            </w:pPr>
            <w:r>
              <w:rPr>
                <w:rFonts w:ascii="Liberation Sans Narrow" w:hAnsi="Liberation Sans Narrow"/>
                <w:b/>
                <w:sz w:val="18"/>
              </w:rPr>
              <w:t xml:space="preserve">163</w:t>
            </w:r>
          </w:p>
        </w:tc>
        <w:tc>
          <w:tcPr>
            <w:tcW w:type="dxa" w:w="1608"/>
          </w:tcPr>
          <w:p>
            <w:pPr>
              <w:pStyle w:val="Compact"/>
              <w:spacing w:before="20" w:after="20" w:line="240" w:lineRule="auto"/>
              <w:jc w:val="left"/>
            </w:pPr>
            <w:r>
              <w:rPr>
                <w:rFonts w:ascii="Liberation Sans Narrow" w:hAnsi="Liberation Sans Narrow"/>
                <w:b w:val="0"/>
                <w:sz w:val="18"/>
              </w:rPr>
              <w:t xml:space="preserve">Art. 817</w:t>
            </w:r>
          </w:p>
        </w:tc>
        <w:tc>
          <w:tcPr>
            <w:tcW w:type="dxa" w:w="731"/>
          </w:tcPr>
          <w:p>
            <w:pPr>
              <w:pStyle w:val="Compact"/>
              <w:spacing w:before="20" w:after="20" w:line="240" w:lineRule="auto"/>
              <w:jc w:val="right"/>
            </w:pPr>
            <w:r>
              <w:rPr>
                <w:rFonts w:ascii="Liberation Sans Narrow" w:hAnsi="Liberation Sans Narrow"/>
                <w:b/>
                <w:sz w:val="18"/>
              </w:rPr>
              <w:t xml:space="preserve">225</w:t>
            </w:r>
          </w:p>
        </w:tc>
        <w:tc>
          <w:tcPr>
            <w:tcW w:type="dxa" w:w="1608"/>
          </w:tcPr>
          <w:p>
            <w:pPr>
              <w:pStyle w:val="Compact"/>
              <w:spacing w:before="20" w:after="20" w:line="240" w:lineRule="auto"/>
              <w:jc w:val="left"/>
            </w:pPr>
            <w:r>
              <w:rPr>
                <w:rFonts w:ascii="Liberation Sans Narrow" w:hAnsi="Liberation Sans Narrow"/>
                <w:b w:val="0"/>
                <w:sz w:val="18"/>
              </w:rPr>
              <w:t xml:space="preserve">Art. 1006</w:t>
            </w:r>
          </w:p>
        </w:tc>
        <w:tc>
          <w:tcPr>
            <w:tcW w:type="dxa" w:w="731"/>
          </w:tcPr>
          <w:p>
            <w:pPr>
              <w:pStyle w:val="Compact"/>
              <w:spacing w:before="20" w:after="20" w:line="240" w:lineRule="auto"/>
              <w:jc w:val="right"/>
            </w:pPr>
            <w:r>
              <w:rPr>
                <w:rFonts w:ascii="Liberation Sans Narrow" w:hAnsi="Liberation Sans Narrow"/>
                <w:b/>
                <w:sz w:val="18"/>
              </w:rPr>
              <w:t xml:space="preserve">299</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440</w:t>
            </w:r>
          </w:p>
        </w:tc>
        <w:tc>
          <w:tcPr>
            <w:tcW w:type="dxa" w:w="731"/>
          </w:tcPr>
          <w:p>
            <w:pPr>
              <w:pStyle w:val="Compact"/>
              <w:spacing w:before="20" w:after="20" w:line="240" w:lineRule="auto"/>
              <w:jc w:val="right"/>
            </w:pPr>
            <w:r>
              <w:rPr>
                <w:rFonts w:ascii="Liberation Sans Narrow" w:hAnsi="Liberation Sans Narrow"/>
                <w:b/>
                <w:sz w:val="18"/>
              </w:rPr>
              <w:t xml:space="preserve">82</w:t>
            </w:r>
          </w:p>
        </w:tc>
        <w:tc>
          <w:tcPr>
            <w:tcW w:type="dxa" w:w="1608"/>
          </w:tcPr>
          <w:p>
            <w:pPr>
              <w:pStyle w:val="Compact"/>
              <w:spacing w:before="20" w:after="20" w:line="240" w:lineRule="auto"/>
              <w:jc w:val="left"/>
            </w:pPr>
            <w:r>
              <w:rPr>
                <w:rFonts w:ascii="Liberation Sans Narrow" w:hAnsi="Liberation Sans Narrow"/>
                <w:b w:val="0"/>
                <w:sz w:val="18"/>
              </w:rPr>
              <w:t xml:space="preserve">Art. 629</w:t>
            </w:r>
          </w:p>
        </w:tc>
        <w:tc>
          <w:tcPr>
            <w:tcW w:type="dxa" w:w="731"/>
          </w:tcPr>
          <w:p>
            <w:pPr>
              <w:pStyle w:val="Compact"/>
              <w:spacing w:before="20" w:after="20" w:line="240" w:lineRule="auto"/>
              <w:jc w:val="right"/>
            </w:pPr>
            <w:r>
              <w:rPr>
                <w:rFonts w:ascii="Liberation Sans Narrow" w:hAnsi="Liberation Sans Narrow"/>
                <w:b/>
                <w:sz w:val="18"/>
              </w:rPr>
              <w:t xml:space="preserve">163</w:t>
            </w:r>
          </w:p>
        </w:tc>
        <w:tc>
          <w:tcPr>
            <w:tcW w:type="dxa" w:w="1608"/>
          </w:tcPr>
          <w:p>
            <w:pPr>
              <w:pStyle w:val="Compact"/>
              <w:spacing w:before="20" w:after="20" w:line="240" w:lineRule="auto"/>
              <w:jc w:val="left"/>
            </w:pPr>
            <w:r>
              <w:rPr>
                <w:rFonts w:ascii="Liberation Sans Narrow" w:hAnsi="Liberation Sans Narrow"/>
                <w:b w:val="0"/>
                <w:sz w:val="18"/>
              </w:rPr>
              <w:t xml:space="preserve">Art. 818</w:t>
            </w:r>
          </w:p>
        </w:tc>
        <w:tc>
          <w:tcPr>
            <w:tcW w:type="dxa" w:w="731"/>
          </w:tcPr>
          <w:p>
            <w:pPr>
              <w:pStyle w:val="Compact"/>
              <w:spacing w:before="20" w:after="20" w:line="240" w:lineRule="auto"/>
              <w:jc w:val="right"/>
            </w:pPr>
            <w:r>
              <w:rPr>
                <w:rFonts w:ascii="Liberation Sans Narrow" w:hAnsi="Liberation Sans Narrow"/>
                <w:b/>
                <w:sz w:val="18"/>
              </w:rPr>
              <w:t xml:space="preserve">225</w:t>
            </w:r>
          </w:p>
        </w:tc>
        <w:tc>
          <w:tcPr>
            <w:tcW w:type="dxa" w:w="1608"/>
          </w:tcPr>
          <w:p>
            <w:pPr>
              <w:pStyle w:val="Compact"/>
              <w:spacing w:before="20" w:after="20" w:line="240" w:lineRule="auto"/>
              <w:jc w:val="left"/>
            </w:pPr>
            <w:r>
              <w:rPr>
                <w:rFonts w:ascii="Liberation Sans Narrow" w:hAnsi="Liberation Sans Narrow"/>
                <w:b w:val="0"/>
                <w:sz w:val="18"/>
              </w:rPr>
              <w:t xml:space="preserve">Art. 1007</w:t>
            </w:r>
          </w:p>
        </w:tc>
        <w:tc>
          <w:tcPr>
            <w:tcW w:type="dxa" w:w="731"/>
          </w:tcPr>
          <w:p>
            <w:pPr>
              <w:pStyle w:val="Compact"/>
              <w:spacing w:before="20" w:after="20" w:line="240" w:lineRule="auto"/>
              <w:jc w:val="right"/>
            </w:pPr>
            <w:r>
              <w:rPr>
                <w:rFonts w:ascii="Liberation Sans Narrow" w:hAnsi="Liberation Sans Narrow"/>
                <w:b/>
                <w:sz w:val="18"/>
              </w:rPr>
              <w:t xml:space="preserve">299</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441</w:t>
            </w:r>
          </w:p>
        </w:tc>
        <w:tc>
          <w:tcPr>
            <w:tcW w:type="dxa" w:w="731"/>
          </w:tcPr>
          <w:p>
            <w:pPr>
              <w:pStyle w:val="Compact"/>
              <w:spacing w:before="20" w:after="20" w:line="240" w:lineRule="auto"/>
              <w:jc w:val="right"/>
            </w:pPr>
            <w:r>
              <w:rPr>
                <w:rFonts w:ascii="Liberation Sans Narrow" w:hAnsi="Liberation Sans Narrow"/>
                <w:b/>
                <w:sz w:val="18"/>
              </w:rPr>
              <w:t xml:space="preserve">82</w:t>
            </w:r>
          </w:p>
        </w:tc>
        <w:tc>
          <w:tcPr>
            <w:tcW w:type="dxa" w:w="1608"/>
          </w:tcPr>
          <w:p>
            <w:pPr>
              <w:pStyle w:val="Compact"/>
              <w:spacing w:before="20" w:after="20" w:line="240" w:lineRule="auto"/>
              <w:jc w:val="left"/>
            </w:pPr>
            <w:r>
              <w:rPr>
                <w:rFonts w:ascii="Liberation Sans Narrow" w:hAnsi="Liberation Sans Narrow"/>
                <w:b w:val="0"/>
                <w:sz w:val="18"/>
              </w:rPr>
              <w:t xml:space="preserve">Art. 630</w:t>
            </w:r>
          </w:p>
        </w:tc>
        <w:tc>
          <w:tcPr>
            <w:tcW w:type="dxa" w:w="731"/>
          </w:tcPr>
          <w:p>
            <w:pPr>
              <w:pStyle w:val="Compact"/>
              <w:spacing w:before="20" w:after="20" w:line="240" w:lineRule="auto"/>
              <w:jc w:val="right"/>
            </w:pPr>
            <w:r>
              <w:rPr>
                <w:rFonts w:ascii="Liberation Sans Narrow" w:hAnsi="Liberation Sans Narrow"/>
                <w:b/>
                <w:sz w:val="18"/>
              </w:rPr>
              <w:t xml:space="preserve">163</w:t>
            </w:r>
          </w:p>
        </w:tc>
        <w:tc>
          <w:tcPr>
            <w:tcW w:type="dxa" w:w="1608"/>
          </w:tcPr>
          <w:p>
            <w:pPr>
              <w:pStyle w:val="Compact"/>
              <w:spacing w:before="20" w:after="20" w:line="240" w:lineRule="auto"/>
              <w:jc w:val="left"/>
            </w:pPr>
            <w:r>
              <w:rPr>
                <w:rFonts w:ascii="Liberation Sans Narrow" w:hAnsi="Liberation Sans Narrow"/>
                <w:b w:val="0"/>
                <w:sz w:val="18"/>
              </w:rPr>
              <w:t xml:space="preserve">Art. 819</w:t>
            </w:r>
          </w:p>
        </w:tc>
        <w:tc>
          <w:tcPr>
            <w:tcW w:type="dxa" w:w="731"/>
          </w:tcPr>
          <w:p>
            <w:pPr>
              <w:pStyle w:val="Compact"/>
              <w:spacing w:before="20" w:after="20" w:line="240" w:lineRule="auto"/>
              <w:jc w:val="right"/>
            </w:pPr>
            <w:r>
              <w:rPr>
                <w:rFonts w:ascii="Liberation Sans Narrow" w:hAnsi="Liberation Sans Narrow"/>
                <w:b/>
                <w:sz w:val="18"/>
              </w:rPr>
              <w:t xml:space="preserve">226</w:t>
            </w:r>
          </w:p>
        </w:tc>
        <w:tc>
          <w:tcPr>
            <w:tcW w:type="dxa" w:w="1608"/>
          </w:tcPr>
          <w:p>
            <w:pPr>
              <w:pStyle w:val="Compact"/>
              <w:spacing w:before="20" w:after="20" w:line="240" w:lineRule="auto"/>
              <w:jc w:val="left"/>
            </w:pPr>
            <w:r>
              <w:rPr>
                <w:rFonts w:ascii="Liberation Sans Narrow" w:hAnsi="Liberation Sans Narrow"/>
                <w:b w:val="0"/>
                <w:sz w:val="18"/>
              </w:rPr>
              <w:t xml:space="preserve">Art. 1008</w:t>
            </w:r>
          </w:p>
        </w:tc>
        <w:tc>
          <w:tcPr>
            <w:tcW w:type="dxa" w:w="731"/>
          </w:tcPr>
          <w:p>
            <w:pPr>
              <w:pStyle w:val="Compact"/>
              <w:spacing w:before="20" w:after="20" w:line="240" w:lineRule="auto"/>
              <w:jc w:val="right"/>
            </w:pPr>
            <w:r>
              <w:rPr>
                <w:rFonts w:ascii="Liberation Sans Narrow" w:hAnsi="Liberation Sans Narrow"/>
                <w:b/>
                <w:sz w:val="18"/>
              </w:rPr>
              <w:t xml:space="preserve">300</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442</w:t>
            </w:r>
          </w:p>
        </w:tc>
        <w:tc>
          <w:tcPr>
            <w:tcW w:type="dxa" w:w="731"/>
          </w:tcPr>
          <w:p>
            <w:pPr>
              <w:pStyle w:val="Compact"/>
              <w:spacing w:before="20" w:after="20" w:line="240" w:lineRule="auto"/>
              <w:jc w:val="right"/>
            </w:pPr>
            <w:r>
              <w:rPr>
                <w:rFonts w:ascii="Liberation Sans Narrow" w:hAnsi="Liberation Sans Narrow"/>
                <w:b/>
                <w:sz w:val="18"/>
              </w:rPr>
              <w:t xml:space="preserve">83</w:t>
            </w:r>
          </w:p>
        </w:tc>
        <w:tc>
          <w:tcPr>
            <w:tcW w:type="dxa" w:w="1608"/>
          </w:tcPr>
          <w:p>
            <w:pPr>
              <w:pStyle w:val="Compact"/>
              <w:spacing w:before="20" w:after="20" w:line="240" w:lineRule="auto"/>
              <w:jc w:val="left"/>
            </w:pPr>
            <w:r>
              <w:rPr>
                <w:rFonts w:ascii="Liberation Sans Narrow" w:hAnsi="Liberation Sans Narrow"/>
                <w:b w:val="0"/>
                <w:sz w:val="18"/>
              </w:rPr>
              <w:t xml:space="preserve">Art. 631</w:t>
            </w:r>
          </w:p>
        </w:tc>
        <w:tc>
          <w:tcPr>
            <w:tcW w:type="dxa" w:w="731"/>
          </w:tcPr>
          <w:p>
            <w:pPr>
              <w:pStyle w:val="Compact"/>
              <w:spacing w:before="20" w:after="20" w:line="240" w:lineRule="auto"/>
              <w:jc w:val="right"/>
            </w:pPr>
            <w:r>
              <w:rPr>
                <w:rFonts w:ascii="Liberation Sans Narrow" w:hAnsi="Liberation Sans Narrow"/>
                <w:b/>
                <w:sz w:val="18"/>
              </w:rPr>
              <w:t xml:space="preserve">163</w:t>
            </w:r>
          </w:p>
        </w:tc>
        <w:tc>
          <w:tcPr>
            <w:tcW w:type="dxa" w:w="1608"/>
          </w:tcPr>
          <w:p>
            <w:pPr>
              <w:pStyle w:val="Compact"/>
              <w:spacing w:before="20" w:after="20" w:line="240" w:lineRule="auto"/>
              <w:jc w:val="left"/>
            </w:pPr>
            <w:r>
              <w:rPr>
                <w:rFonts w:ascii="Liberation Sans Narrow" w:hAnsi="Liberation Sans Narrow"/>
                <w:b w:val="0"/>
                <w:sz w:val="18"/>
              </w:rPr>
              <w:t xml:space="preserve">Art. 820</w:t>
            </w:r>
          </w:p>
        </w:tc>
        <w:tc>
          <w:tcPr>
            <w:tcW w:type="dxa" w:w="731"/>
          </w:tcPr>
          <w:p>
            <w:pPr>
              <w:pStyle w:val="Compact"/>
              <w:spacing w:before="20" w:after="20" w:line="240" w:lineRule="auto"/>
              <w:jc w:val="right"/>
            </w:pPr>
            <w:r>
              <w:rPr>
                <w:rFonts w:ascii="Liberation Sans Narrow" w:hAnsi="Liberation Sans Narrow"/>
                <w:b/>
                <w:sz w:val="18"/>
              </w:rPr>
              <w:t xml:space="preserve">226</w:t>
            </w:r>
          </w:p>
        </w:tc>
        <w:tc>
          <w:tcPr>
            <w:tcW w:type="dxa" w:w="1608"/>
          </w:tcPr>
          <w:p>
            <w:pPr>
              <w:pStyle w:val="Compact"/>
              <w:spacing w:before="20" w:after="20" w:line="240" w:lineRule="auto"/>
              <w:jc w:val="left"/>
            </w:pPr>
            <w:r>
              <w:rPr>
                <w:rFonts w:ascii="Liberation Sans Narrow" w:hAnsi="Liberation Sans Narrow"/>
                <w:b w:val="0"/>
                <w:sz w:val="18"/>
              </w:rPr>
              <w:t xml:space="preserve">Art. 1010</w:t>
            </w:r>
          </w:p>
        </w:tc>
        <w:tc>
          <w:tcPr>
            <w:tcW w:type="dxa" w:w="731"/>
          </w:tcPr>
          <w:p>
            <w:pPr>
              <w:pStyle w:val="Compact"/>
              <w:spacing w:before="20" w:after="20" w:line="240" w:lineRule="auto"/>
              <w:jc w:val="right"/>
            </w:pPr>
            <w:r>
              <w:rPr>
                <w:rFonts w:ascii="Liberation Sans Narrow" w:hAnsi="Liberation Sans Narrow"/>
                <w:b/>
                <w:sz w:val="18"/>
              </w:rPr>
              <w:t xml:space="preserve">300</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443</w:t>
            </w:r>
          </w:p>
        </w:tc>
        <w:tc>
          <w:tcPr>
            <w:tcW w:type="dxa" w:w="731"/>
          </w:tcPr>
          <w:p>
            <w:pPr>
              <w:pStyle w:val="Compact"/>
              <w:spacing w:before="20" w:after="20" w:line="240" w:lineRule="auto"/>
              <w:jc w:val="right"/>
            </w:pPr>
            <w:r>
              <w:rPr>
                <w:rFonts w:ascii="Liberation Sans Narrow" w:hAnsi="Liberation Sans Narrow"/>
                <w:b/>
                <w:sz w:val="18"/>
              </w:rPr>
              <w:t xml:space="preserve">83</w:t>
            </w:r>
          </w:p>
        </w:tc>
        <w:tc>
          <w:tcPr>
            <w:tcW w:type="dxa" w:w="1608"/>
          </w:tcPr>
          <w:p>
            <w:pPr>
              <w:pStyle w:val="Compact"/>
              <w:spacing w:before="20" w:after="20" w:line="240" w:lineRule="auto"/>
              <w:jc w:val="left"/>
            </w:pPr>
            <w:r>
              <w:rPr>
                <w:rFonts w:ascii="Liberation Sans Narrow" w:hAnsi="Liberation Sans Narrow"/>
                <w:b w:val="0"/>
                <w:sz w:val="18"/>
              </w:rPr>
              <w:t xml:space="preserve">Art. 632</w:t>
            </w:r>
          </w:p>
        </w:tc>
        <w:tc>
          <w:tcPr>
            <w:tcW w:type="dxa" w:w="731"/>
          </w:tcPr>
          <w:p>
            <w:pPr>
              <w:pStyle w:val="Compact"/>
              <w:spacing w:before="20" w:after="20" w:line="240" w:lineRule="auto"/>
              <w:jc w:val="right"/>
            </w:pPr>
            <w:r>
              <w:rPr>
                <w:rFonts w:ascii="Liberation Sans Narrow" w:hAnsi="Liberation Sans Narrow"/>
                <w:b/>
                <w:sz w:val="18"/>
              </w:rPr>
              <w:t xml:space="preserve">163</w:t>
            </w:r>
          </w:p>
        </w:tc>
        <w:tc>
          <w:tcPr>
            <w:tcW w:type="dxa" w:w="1608"/>
          </w:tcPr>
          <w:p>
            <w:pPr>
              <w:pStyle w:val="Compact"/>
              <w:spacing w:before="20" w:after="20" w:line="240" w:lineRule="auto"/>
              <w:jc w:val="left"/>
            </w:pPr>
            <w:r>
              <w:rPr>
                <w:rFonts w:ascii="Liberation Sans Narrow" w:hAnsi="Liberation Sans Narrow"/>
                <w:b w:val="0"/>
                <w:sz w:val="18"/>
              </w:rPr>
              <w:t xml:space="preserve">Art. 821</w:t>
            </w:r>
          </w:p>
        </w:tc>
        <w:tc>
          <w:tcPr>
            <w:tcW w:type="dxa" w:w="731"/>
          </w:tcPr>
          <w:p>
            <w:pPr>
              <w:pStyle w:val="Compact"/>
              <w:spacing w:before="20" w:after="20" w:line="240" w:lineRule="auto"/>
              <w:jc w:val="right"/>
            </w:pPr>
            <w:r>
              <w:rPr>
                <w:rFonts w:ascii="Liberation Sans Narrow" w:hAnsi="Liberation Sans Narrow"/>
                <w:b/>
                <w:sz w:val="18"/>
              </w:rPr>
              <w:t xml:space="preserve">226</w:t>
            </w:r>
          </w:p>
        </w:tc>
        <w:tc>
          <w:tcPr>
            <w:tcW w:type="dxa" w:w="1608"/>
          </w:tcPr>
          <w:p>
            <w:pPr>
              <w:pStyle w:val="Compact"/>
              <w:spacing w:before="20" w:after="20" w:line="240" w:lineRule="auto"/>
              <w:jc w:val="left"/>
            </w:pPr>
            <w:r>
              <w:rPr>
                <w:rFonts w:ascii="Liberation Sans Narrow" w:hAnsi="Liberation Sans Narrow"/>
                <w:b w:val="0"/>
                <w:sz w:val="18"/>
              </w:rPr>
              <w:t xml:space="preserve">Art. 1011</w:t>
            </w:r>
          </w:p>
        </w:tc>
        <w:tc>
          <w:tcPr>
            <w:tcW w:type="dxa" w:w="731"/>
          </w:tcPr>
          <w:p>
            <w:pPr>
              <w:pStyle w:val="Compact"/>
              <w:spacing w:before="20" w:after="20" w:line="240" w:lineRule="auto"/>
              <w:jc w:val="right"/>
            </w:pPr>
            <w:r>
              <w:rPr>
                <w:rFonts w:ascii="Liberation Sans Narrow" w:hAnsi="Liberation Sans Narrow"/>
                <w:b/>
                <w:sz w:val="18"/>
              </w:rPr>
              <w:t xml:space="preserve">300</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444</w:t>
            </w:r>
          </w:p>
        </w:tc>
        <w:tc>
          <w:tcPr>
            <w:tcW w:type="dxa" w:w="731"/>
          </w:tcPr>
          <w:p>
            <w:pPr>
              <w:pStyle w:val="Compact"/>
              <w:spacing w:before="20" w:after="20" w:line="240" w:lineRule="auto"/>
              <w:jc w:val="right"/>
            </w:pPr>
            <w:r>
              <w:rPr>
                <w:rFonts w:ascii="Liberation Sans Narrow" w:hAnsi="Liberation Sans Narrow"/>
                <w:b/>
                <w:sz w:val="18"/>
              </w:rPr>
              <w:t xml:space="preserve">84</w:t>
            </w:r>
          </w:p>
        </w:tc>
        <w:tc>
          <w:tcPr>
            <w:tcW w:type="dxa" w:w="1608"/>
          </w:tcPr>
          <w:p>
            <w:pPr>
              <w:pStyle w:val="Compact"/>
              <w:spacing w:before="20" w:after="20" w:line="240" w:lineRule="auto"/>
              <w:jc w:val="left"/>
            </w:pPr>
            <w:r>
              <w:rPr>
                <w:rFonts w:ascii="Liberation Sans Narrow" w:hAnsi="Liberation Sans Narrow"/>
                <w:b w:val="0"/>
                <w:sz w:val="18"/>
              </w:rPr>
              <w:t xml:space="preserve">Art. 633</w:t>
            </w:r>
          </w:p>
        </w:tc>
        <w:tc>
          <w:tcPr>
            <w:tcW w:type="dxa" w:w="731"/>
          </w:tcPr>
          <w:p>
            <w:pPr>
              <w:pStyle w:val="Compact"/>
              <w:spacing w:before="20" w:after="20" w:line="240" w:lineRule="auto"/>
              <w:jc w:val="right"/>
            </w:pPr>
            <w:r>
              <w:rPr>
                <w:rFonts w:ascii="Liberation Sans Narrow" w:hAnsi="Liberation Sans Narrow"/>
                <w:b/>
                <w:sz w:val="18"/>
              </w:rPr>
              <w:t xml:space="preserve">164</w:t>
            </w:r>
          </w:p>
        </w:tc>
        <w:tc>
          <w:tcPr>
            <w:tcW w:type="dxa" w:w="1608"/>
          </w:tcPr>
          <w:p>
            <w:pPr>
              <w:pStyle w:val="Compact"/>
              <w:spacing w:before="20" w:after="20" w:line="240" w:lineRule="auto"/>
              <w:jc w:val="left"/>
            </w:pPr>
            <w:r>
              <w:rPr>
                <w:rFonts w:ascii="Liberation Sans Narrow" w:hAnsi="Liberation Sans Narrow"/>
                <w:b w:val="0"/>
                <w:sz w:val="18"/>
              </w:rPr>
              <w:t xml:space="preserve">Art. 822</w:t>
            </w:r>
          </w:p>
        </w:tc>
        <w:tc>
          <w:tcPr>
            <w:tcW w:type="dxa" w:w="731"/>
          </w:tcPr>
          <w:p>
            <w:pPr>
              <w:pStyle w:val="Compact"/>
              <w:spacing w:before="20" w:after="20" w:line="240" w:lineRule="auto"/>
              <w:jc w:val="right"/>
            </w:pPr>
            <w:r>
              <w:rPr>
                <w:rFonts w:ascii="Liberation Sans Narrow" w:hAnsi="Liberation Sans Narrow"/>
                <w:b/>
                <w:sz w:val="18"/>
              </w:rPr>
              <w:t xml:space="preserve">226</w:t>
            </w:r>
          </w:p>
        </w:tc>
        <w:tc>
          <w:tcPr>
            <w:tcW w:type="dxa" w:w="1608"/>
          </w:tcPr>
          <w:p>
            <w:pPr>
              <w:pStyle w:val="Compact"/>
              <w:spacing w:before="20" w:after="20" w:line="240" w:lineRule="auto"/>
              <w:jc w:val="left"/>
            </w:pPr>
            <w:r>
              <w:rPr>
                <w:rFonts w:ascii="Liberation Sans Narrow" w:hAnsi="Liberation Sans Narrow"/>
                <w:b w:val="0"/>
                <w:sz w:val="18"/>
              </w:rPr>
              <w:t xml:space="preserve">Art. 1012</w:t>
            </w:r>
          </w:p>
        </w:tc>
        <w:tc>
          <w:tcPr>
            <w:tcW w:type="dxa" w:w="731"/>
          </w:tcPr>
          <w:p>
            <w:pPr>
              <w:pStyle w:val="Compact"/>
              <w:spacing w:before="20" w:after="20" w:line="240" w:lineRule="auto"/>
              <w:jc w:val="right"/>
            </w:pPr>
            <w:r>
              <w:rPr>
                <w:rFonts w:ascii="Liberation Sans Narrow" w:hAnsi="Liberation Sans Narrow"/>
                <w:b/>
                <w:sz w:val="18"/>
              </w:rPr>
              <w:t xml:space="preserve">301</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445</w:t>
            </w:r>
          </w:p>
        </w:tc>
        <w:tc>
          <w:tcPr>
            <w:tcW w:type="dxa" w:w="731"/>
          </w:tcPr>
          <w:p>
            <w:pPr>
              <w:pStyle w:val="Compact"/>
              <w:spacing w:before="20" w:after="20" w:line="240" w:lineRule="auto"/>
              <w:jc w:val="right"/>
            </w:pPr>
            <w:r>
              <w:rPr>
                <w:rFonts w:ascii="Liberation Sans Narrow" w:hAnsi="Liberation Sans Narrow"/>
                <w:b/>
                <w:sz w:val="18"/>
              </w:rPr>
              <w:t xml:space="preserve">84</w:t>
            </w:r>
          </w:p>
        </w:tc>
        <w:tc>
          <w:tcPr>
            <w:tcW w:type="dxa" w:w="1608"/>
          </w:tcPr>
          <w:p>
            <w:pPr>
              <w:pStyle w:val="Compact"/>
              <w:spacing w:before="20" w:after="20" w:line="240" w:lineRule="auto"/>
              <w:jc w:val="left"/>
            </w:pPr>
            <w:r>
              <w:rPr>
                <w:rFonts w:ascii="Liberation Sans Narrow" w:hAnsi="Liberation Sans Narrow"/>
                <w:b w:val="0"/>
                <w:sz w:val="18"/>
              </w:rPr>
              <w:t xml:space="preserve">Art. 634</w:t>
            </w:r>
          </w:p>
        </w:tc>
        <w:tc>
          <w:tcPr>
            <w:tcW w:type="dxa" w:w="731"/>
          </w:tcPr>
          <w:p>
            <w:pPr>
              <w:pStyle w:val="Compact"/>
              <w:spacing w:before="20" w:after="20" w:line="240" w:lineRule="auto"/>
              <w:jc w:val="right"/>
            </w:pPr>
            <w:r>
              <w:rPr>
                <w:rFonts w:ascii="Liberation Sans Narrow" w:hAnsi="Liberation Sans Narrow"/>
                <w:b/>
                <w:sz w:val="18"/>
              </w:rPr>
              <w:t xml:space="preserve">164</w:t>
            </w:r>
          </w:p>
        </w:tc>
        <w:tc>
          <w:tcPr>
            <w:tcW w:type="dxa" w:w="1608"/>
          </w:tcPr>
          <w:p>
            <w:pPr>
              <w:pStyle w:val="Compact"/>
              <w:spacing w:before="20" w:after="20" w:line="240" w:lineRule="auto"/>
              <w:jc w:val="left"/>
            </w:pPr>
            <w:r>
              <w:rPr>
                <w:rFonts w:ascii="Liberation Sans Narrow" w:hAnsi="Liberation Sans Narrow"/>
                <w:b w:val="0"/>
                <w:sz w:val="18"/>
              </w:rPr>
              <w:t xml:space="preserve">Art. 823</w:t>
            </w:r>
          </w:p>
        </w:tc>
        <w:tc>
          <w:tcPr>
            <w:tcW w:type="dxa" w:w="731"/>
          </w:tcPr>
          <w:p>
            <w:pPr>
              <w:pStyle w:val="Compact"/>
              <w:spacing w:before="20" w:after="20" w:line="240" w:lineRule="auto"/>
              <w:jc w:val="right"/>
            </w:pPr>
            <w:r>
              <w:rPr>
                <w:rFonts w:ascii="Liberation Sans Narrow" w:hAnsi="Liberation Sans Narrow"/>
                <w:b/>
                <w:sz w:val="18"/>
              </w:rPr>
              <w:t xml:space="preserve">226</w:t>
            </w:r>
          </w:p>
        </w:tc>
        <w:tc>
          <w:tcPr>
            <w:tcW w:type="dxa" w:w="1608"/>
          </w:tcPr>
          <w:p>
            <w:pPr>
              <w:pStyle w:val="Compact"/>
              <w:spacing w:before="20" w:after="20" w:line="240" w:lineRule="auto"/>
              <w:jc w:val="left"/>
            </w:pPr>
            <w:r>
              <w:rPr>
                <w:rFonts w:ascii="Liberation Sans Narrow" w:hAnsi="Liberation Sans Narrow"/>
                <w:b w:val="0"/>
                <w:sz w:val="18"/>
              </w:rPr>
              <w:t xml:space="preserve">Art. 1013</w:t>
            </w:r>
          </w:p>
        </w:tc>
        <w:tc>
          <w:tcPr>
            <w:tcW w:type="dxa" w:w="731"/>
          </w:tcPr>
          <w:p>
            <w:pPr>
              <w:pStyle w:val="Compact"/>
              <w:spacing w:before="20" w:after="20" w:line="240" w:lineRule="auto"/>
              <w:jc w:val="right"/>
            </w:pPr>
            <w:r>
              <w:rPr>
                <w:rFonts w:ascii="Liberation Sans Narrow" w:hAnsi="Liberation Sans Narrow"/>
                <w:b/>
                <w:sz w:val="18"/>
              </w:rPr>
              <w:t xml:space="preserve">302</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446</w:t>
            </w:r>
          </w:p>
        </w:tc>
        <w:tc>
          <w:tcPr>
            <w:tcW w:type="dxa" w:w="731"/>
          </w:tcPr>
          <w:p>
            <w:pPr>
              <w:pStyle w:val="Compact"/>
              <w:spacing w:before="20" w:after="20" w:line="240" w:lineRule="auto"/>
              <w:jc w:val="right"/>
            </w:pPr>
            <w:r>
              <w:rPr>
                <w:rFonts w:ascii="Liberation Sans Narrow" w:hAnsi="Liberation Sans Narrow"/>
                <w:b/>
                <w:sz w:val="18"/>
              </w:rPr>
              <w:t xml:space="preserve">84</w:t>
            </w:r>
          </w:p>
        </w:tc>
        <w:tc>
          <w:tcPr>
            <w:tcW w:type="dxa" w:w="1608"/>
          </w:tcPr>
          <w:p>
            <w:pPr>
              <w:pStyle w:val="Compact"/>
              <w:spacing w:before="20" w:after="20" w:line="240" w:lineRule="auto"/>
              <w:jc w:val="left"/>
            </w:pPr>
            <w:r>
              <w:rPr>
                <w:rFonts w:ascii="Liberation Sans Narrow" w:hAnsi="Liberation Sans Narrow"/>
                <w:b w:val="0"/>
                <w:sz w:val="18"/>
              </w:rPr>
              <w:t xml:space="preserve">Art. 635</w:t>
            </w:r>
          </w:p>
        </w:tc>
        <w:tc>
          <w:tcPr>
            <w:tcW w:type="dxa" w:w="731"/>
          </w:tcPr>
          <w:p>
            <w:pPr>
              <w:pStyle w:val="Compact"/>
              <w:spacing w:before="20" w:after="20" w:line="240" w:lineRule="auto"/>
              <w:jc w:val="right"/>
            </w:pPr>
            <w:r>
              <w:rPr>
                <w:rFonts w:ascii="Liberation Sans Narrow" w:hAnsi="Liberation Sans Narrow"/>
                <w:b/>
                <w:sz w:val="18"/>
              </w:rPr>
              <w:t xml:space="preserve">164</w:t>
            </w:r>
          </w:p>
        </w:tc>
        <w:tc>
          <w:tcPr>
            <w:tcW w:type="dxa" w:w="1608"/>
          </w:tcPr>
          <w:p>
            <w:pPr>
              <w:pStyle w:val="Compact"/>
              <w:spacing w:before="20" w:after="20" w:line="240" w:lineRule="auto"/>
              <w:jc w:val="left"/>
            </w:pPr>
            <w:r>
              <w:rPr>
                <w:rFonts w:ascii="Liberation Sans Narrow" w:hAnsi="Liberation Sans Narrow"/>
                <w:b w:val="0"/>
                <w:sz w:val="18"/>
              </w:rPr>
              <w:t xml:space="preserve">Art. 824</w:t>
            </w:r>
          </w:p>
        </w:tc>
        <w:tc>
          <w:tcPr>
            <w:tcW w:type="dxa" w:w="731"/>
          </w:tcPr>
          <w:p>
            <w:pPr>
              <w:pStyle w:val="Compact"/>
              <w:spacing w:before="20" w:after="20" w:line="240" w:lineRule="auto"/>
              <w:jc w:val="right"/>
            </w:pPr>
            <w:r>
              <w:rPr>
                <w:rFonts w:ascii="Liberation Sans Narrow" w:hAnsi="Liberation Sans Narrow"/>
                <w:b/>
                <w:sz w:val="18"/>
              </w:rPr>
              <w:t xml:space="preserve">226</w:t>
            </w:r>
          </w:p>
        </w:tc>
        <w:tc>
          <w:tcPr>
            <w:tcW w:type="dxa" w:w="1608"/>
          </w:tcPr>
          <w:p>
            <w:pPr>
              <w:pStyle w:val="Compact"/>
              <w:spacing w:before="20" w:after="20" w:line="240" w:lineRule="auto"/>
              <w:jc w:val="left"/>
            </w:pPr>
            <w:r>
              <w:rPr>
                <w:rFonts w:ascii="Liberation Sans Narrow" w:hAnsi="Liberation Sans Narrow"/>
                <w:b w:val="0"/>
                <w:sz w:val="18"/>
              </w:rPr>
              <w:t xml:space="preserve">Art. 1014</w:t>
            </w:r>
          </w:p>
        </w:tc>
        <w:tc>
          <w:tcPr>
            <w:tcW w:type="dxa" w:w="731"/>
          </w:tcPr>
          <w:p>
            <w:pPr>
              <w:pStyle w:val="Compact"/>
              <w:spacing w:before="20" w:after="20" w:line="240" w:lineRule="auto"/>
              <w:jc w:val="right"/>
            </w:pPr>
            <w:r>
              <w:rPr>
                <w:rFonts w:ascii="Liberation Sans Narrow" w:hAnsi="Liberation Sans Narrow"/>
                <w:b/>
                <w:sz w:val="18"/>
              </w:rPr>
              <w:t xml:space="preserve">302</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447</w:t>
            </w:r>
          </w:p>
        </w:tc>
        <w:tc>
          <w:tcPr>
            <w:tcW w:type="dxa" w:w="731"/>
          </w:tcPr>
          <w:p>
            <w:pPr>
              <w:pStyle w:val="Compact"/>
              <w:spacing w:before="20" w:after="20" w:line="240" w:lineRule="auto"/>
              <w:jc w:val="right"/>
            </w:pPr>
            <w:r>
              <w:rPr>
                <w:rFonts w:ascii="Liberation Sans Narrow" w:hAnsi="Liberation Sans Narrow"/>
                <w:b/>
                <w:sz w:val="18"/>
              </w:rPr>
              <w:t xml:space="preserve">84</w:t>
            </w:r>
          </w:p>
        </w:tc>
        <w:tc>
          <w:tcPr>
            <w:tcW w:type="dxa" w:w="1608"/>
          </w:tcPr>
          <w:p>
            <w:pPr>
              <w:pStyle w:val="Compact"/>
              <w:spacing w:before="20" w:after="20" w:line="240" w:lineRule="auto"/>
              <w:jc w:val="left"/>
            </w:pPr>
            <w:r>
              <w:rPr>
                <w:rFonts w:ascii="Liberation Sans Narrow" w:hAnsi="Liberation Sans Narrow"/>
                <w:b w:val="0"/>
                <w:sz w:val="18"/>
              </w:rPr>
              <w:t xml:space="preserve">Art. 636</w:t>
            </w:r>
          </w:p>
        </w:tc>
        <w:tc>
          <w:tcPr>
            <w:tcW w:type="dxa" w:w="731"/>
          </w:tcPr>
          <w:p>
            <w:pPr>
              <w:pStyle w:val="Compact"/>
              <w:spacing w:before="20" w:after="20" w:line="240" w:lineRule="auto"/>
              <w:jc w:val="right"/>
            </w:pPr>
            <w:r>
              <w:rPr>
                <w:rFonts w:ascii="Liberation Sans Narrow" w:hAnsi="Liberation Sans Narrow"/>
                <w:b/>
                <w:sz w:val="18"/>
              </w:rPr>
              <w:t xml:space="preserve">164</w:t>
            </w:r>
          </w:p>
        </w:tc>
        <w:tc>
          <w:tcPr>
            <w:tcW w:type="dxa" w:w="1608"/>
          </w:tcPr>
          <w:p>
            <w:pPr>
              <w:pStyle w:val="Compact"/>
              <w:spacing w:before="20" w:after="20" w:line="240" w:lineRule="auto"/>
              <w:jc w:val="left"/>
            </w:pPr>
            <w:r>
              <w:rPr>
                <w:rFonts w:ascii="Liberation Sans Narrow" w:hAnsi="Liberation Sans Narrow"/>
                <w:b w:val="0"/>
                <w:sz w:val="18"/>
              </w:rPr>
              <w:t xml:space="preserve">Art. 825</w:t>
            </w:r>
          </w:p>
        </w:tc>
        <w:tc>
          <w:tcPr>
            <w:tcW w:type="dxa" w:w="731"/>
          </w:tcPr>
          <w:p>
            <w:pPr>
              <w:pStyle w:val="Compact"/>
              <w:spacing w:before="20" w:after="20" w:line="240" w:lineRule="auto"/>
              <w:jc w:val="right"/>
            </w:pPr>
            <w:r>
              <w:rPr>
                <w:rFonts w:ascii="Liberation Sans Narrow" w:hAnsi="Liberation Sans Narrow"/>
                <w:b/>
                <w:sz w:val="18"/>
              </w:rPr>
              <w:t xml:space="preserve">227</w:t>
            </w:r>
          </w:p>
        </w:tc>
        <w:tc>
          <w:tcPr>
            <w:tcW w:type="dxa" w:w="1608"/>
          </w:tcPr>
          <w:p>
            <w:pPr>
              <w:pStyle w:val="Compact"/>
              <w:spacing w:before="20" w:after="20" w:line="240" w:lineRule="auto"/>
              <w:jc w:val="left"/>
            </w:pPr>
            <w:r>
              <w:rPr>
                <w:rFonts w:ascii="Liberation Sans Narrow" w:hAnsi="Liberation Sans Narrow"/>
                <w:b w:val="0"/>
                <w:sz w:val="18"/>
              </w:rPr>
              <w:t xml:space="preserve">Art. 1015</w:t>
            </w:r>
          </w:p>
        </w:tc>
        <w:tc>
          <w:tcPr>
            <w:tcW w:type="dxa" w:w="731"/>
          </w:tcPr>
          <w:p>
            <w:pPr>
              <w:pStyle w:val="Compact"/>
              <w:spacing w:before="20" w:after="20" w:line="240" w:lineRule="auto"/>
              <w:jc w:val="right"/>
            </w:pPr>
            <w:r>
              <w:rPr>
                <w:rFonts w:ascii="Liberation Sans Narrow" w:hAnsi="Liberation Sans Narrow"/>
                <w:b/>
                <w:sz w:val="18"/>
              </w:rPr>
              <w:t xml:space="preserve">303</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448</w:t>
            </w:r>
          </w:p>
        </w:tc>
        <w:tc>
          <w:tcPr>
            <w:tcW w:type="dxa" w:w="731"/>
          </w:tcPr>
          <w:p>
            <w:pPr>
              <w:pStyle w:val="Compact"/>
              <w:spacing w:before="20" w:after="20" w:line="240" w:lineRule="auto"/>
              <w:jc w:val="right"/>
            </w:pPr>
            <w:r>
              <w:rPr>
                <w:rFonts w:ascii="Liberation Sans Narrow" w:hAnsi="Liberation Sans Narrow"/>
                <w:b/>
                <w:sz w:val="18"/>
              </w:rPr>
              <w:t xml:space="preserve">85</w:t>
            </w:r>
          </w:p>
        </w:tc>
        <w:tc>
          <w:tcPr>
            <w:tcW w:type="dxa" w:w="1608"/>
          </w:tcPr>
          <w:p>
            <w:pPr>
              <w:pStyle w:val="Compact"/>
              <w:spacing w:before="20" w:after="20" w:line="240" w:lineRule="auto"/>
              <w:jc w:val="left"/>
            </w:pPr>
            <w:r>
              <w:rPr>
                <w:rFonts w:ascii="Liberation Sans Narrow" w:hAnsi="Liberation Sans Narrow"/>
                <w:b w:val="0"/>
                <w:sz w:val="18"/>
              </w:rPr>
              <w:t xml:space="preserve">Art. 637</w:t>
            </w:r>
          </w:p>
        </w:tc>
        <w:tc>
          <w:tcPr>
            <w:tcW w:type="dxa" w:w="731"/>
          </w:tcPr>
          <w:p>
            <w:pPr>
              <w:pStyle w:val="Compact"/>
              <w:spacing w:before="20" w:after="20" w:line="240" w:lineRule="auto"/>
              <w:jc w:val="right"/>
            </w:pPr>
            <w:r>
              <w:rPr>
                <w:rFonts w:ascii="Liberation Sans Narrow" w:hAnsi="Liberation Sans Narrow"/>
                <w:b/>
                <w:sz w:val="18"/>
              </w:rPr>
              <w:t xml:space="preserve">164</w:t>
            </w:r>
          </w:p>
        </w:tc>
        <w:tc>
          <w:tcPr>
            <w:tcW w:type="dxa" w:w="1608"/>
          </w:tcPr>
          <w:p>
            <w:pPr>
              <w:pStyle w:val="Compact"/>
              <w:spacing w:before="20" w:after="20" w:line="240" w:lineRule="auto"/>
              <w:jc w:val="left"/>
            </w:pPr>
            <w:r>
              <w:rPr>
                <w:rFonts w:ascii="Liberation Sans Narrow" w:hAnsi="Liberation Sans Narrow"/>
                <w:b w:val="0"/>
                <w:sz w:val="18"/>
              </w:rPr>
              <w:t xml:space="preserve">Art. 826</w:t>
            </w:r>
          </w:p>
        </w:tc>
        <w:tc>
          <w:tcPr>
            <w:tcW w:type="dxa" w:w="731"/>
          </w:tcPr>
          <w:p>
            <w:pPr>
              <w:pStyle w:val="Compact"/>
              <w:spacing w:before="20" w:after="20" w:line="240" w:lineRule="auto"/>
              <w:jc w:val="right"/>
            </w:pPr>
            <w:r>
              <w:rPr>
                <w:rFonts w:ascii="Liberation Sans Narrow" w:hAnsi="Liberation Sans Narrow"/>
                <w:b/>
                <w:sz w:val="18"/>
              </w:rPr>
              <w:t xml:space="preserve">227</w:t>
            </w:r>
          </w:p>
        </w:tc>
        <w:tc>
          <w:tcPr>
            <w:tcW w:type="dxa" w:w="1608"/>
          </w:tcPr>
          <w:p>
            <w:pPr>
              <w:pStyle w:val="Compact"/>
              <w:spacing w:before="20" w:after="20" w:line="240" w:lineRule="auto"/>
              <w:jc w:val="left"/>
            </w:pPr>
            <w:r>
              <w:rPr>
                <w:rFonts w:ascii="Liberation Sans Narrow" w:hAnsi="Liberation Sans Narrow"/>
                <w:b w:val="0"/>
                <w:sz w:val="18"/>
              </w:rPr>
              <w:t xml:space="preserve">Art. 1016</w:t>
            </w:r>
          </w:p>
        </w:tc>
        <w:tc>
          <w:tcPr>
            <w:tcW w:type="dxa" w:w="731"/>
          </w:tcPr>
          <w:p>
            <w:pPr>
              <w:pStyle w:val="Compact"/>
              <w:spacing w:before="20" w:after="20" w:line="240" w:lineRule="auto"/>
              <w:jc w:val="right"/>
            </w:pPr>
            <w:r>
              <w:rPr>
                <w:rFonts w:ascii="Liberation Sans Narrow" w:hAnsi="Liberation Sans Narrow"/>
                <w:b/>
                <w:sz w:val="18"/>
              </w:rPr>
              <w:t xml:space="preserve">304</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449</w:t>
            </w:r>
          </w:p>
        </w:tc>
        <w:tc>
          <w:tcPr>
            <w:tcW w:type="dxa" w:w="731"/>
          </w:tcPr>
          <w:p>
            <w:pPr>
              <w:pStyle w:val="Compact"/>
              <w:spacing w:before="20" w:after="20" w:line="240" w:lineRule="auto"/>
              <w:jc w:val="right"/>
            </w:pPr>
            <w:r>
              <w:rPr>
                <w:rFonts w:ascii="Liberation Sans Narrow" w:hAnsi="Liberation Sans Narrow"/>
                <w:b/>
                <w:sz w:val="18"/>
              </w:rPr>
              <w:t xml:space="preserve">85</w:t>
            </w:r>
          </w:p>
        </w:tc>
        <w:tc>
          <w:tcPr>
            <w:tcW w:type="dxa" w:w="1608"/>
          </w:tcPr>
          <w:p>
            <w:pPr>
              <w:pStyle w:val="Compact"/>
              <w:spacing w:before="20" w:after="20" w:line="240" w:lineRule="auto"/>
              <w:jc w:val="left"/>
            </w:pPr>
            <w:r>
              <w:rPr>
                <w:rFonts w:ascii="Liberation Sans Narrow" w:hAnsi="Liberation Sans Narrow"/>
                <w:b w:val="0"/>
                <w:sz w:val="18"/>
              </w:rPr>
              <w:t xml:space="preserve">Art. 638</w:t>
            </w:r>
          </w:p>
        </w:tc>
        <w:tc>
          <w:tcPr>
            <w:tcW w:type="dxa" w:w="731"/>
          </w:tcPr>
          <w:p>
            <w:pPr>
              <w:pStyle w:val="Compact"/>
              <w:spacing w:before="20" w:after="20" w:line="240" w:lineRule="auto"/>
              <w:jc w:val="right"/>
            </w:pPr>
            <w:r>
              <w:rPr>
                <w:rFonts w:ascii="Liberation Sans Narrow" w:hAnsi="Liberation Sans Narrow"/>
                <w:b/>
                <w:sz w:val="18"/>
              </w:rPr>
              <w:t xml:space="preserve">164</w:t>
            </w:r>
          </w:p>
        </w:tc>
        <w:tc>
          <w:tcPr>
            <w:tcW w:type="dxa" w:w="1608"/>
          </w:tcPr>
          <w:p>
            <w:pPr>
              <w:pStyle w:val="Compact"/>
              <w:spacing w:before="20" w:after="20" w:line="240" w:lineRule="auto"/>
              <w:jc w:val="left"/>
            </w:pPr>
            <w:r>
              <w:rPr>
                <w:rFonts w:ascii="Liberation Sans Narrow" w:hAnsi="Liberation Sans Narrow"/>
                <w:b w:val="0"/>
                <w:sz w:val="18"/>
              </w:rPr>
              <w:t xml:space="preserve">Art. 827</w:t>
            </w:r>
          </w:p>
        </w:tc>
        <w:tc>
          <w:tcPr>
            <w:tcW w:type="dxa" w:w="731"/>
          </w:tcPr>
          <w:p>
            <w:pPr>
              <w:pStyle w:val="Compact"/>
              <w:spacing w:before="20" w:after="20" w:line="240" w:lineRule="auto"/>
              <w:jc w:val="right"/>
            </w:pPr>
            <w:r>
              <w:rPr>
                <w:rFonts w:ascii="Liberation Sans Narrow" w:hAnsi="Liberation Sans Narrow"/>
                <w:b/>
                <w:sz w:val="18"/>
              </w:rPr>
              <w:t xml:space="preserve">227</w:t>
            </w:r>
          </w:p>
        </w:tc>
        <w:tc>
          <w:tcPr>
            <w:tcW w:type="dxa" w:w="1608"/>
          </w:tcPr>
          <w:p>
            <w:pPr>
              <w:pStyle w:val="Compact"/>
              <w:spacing w:before="20" w:after="20" w:line="240" w:lineRule="auto"/>
              <w:jc w:val="left"/>
            </w:pPr>
            <w:r>
              <w:rPr>
                <w:rFonts w:ascii="Liberation Sans Narrow" w:hAnsi="Liberation Sans Narrow"/>
                <w:b w:val="0"/>
                <w:sz w:val="18"/>
              </w:rPr>
              <w:t xml:space="preserve">Art. 1017</w:t>
            </w:r>
          </w:p>
        </w:tc>
        <w:tc>
          <w:tcPr>
            <w:tcW w:type="dxa" w:w="731"/>
          </w:tcPr>
          <w:p>
            <w:pPr>
              <w:pStyle w:val="Compact"/>
              <w:spacing w:before="20" w:after="20" w:line="240" w:lineRule="auto"/>
              <w:jc w:val="right"/>
            </w:pPr>
            <w:r>
              <w:rPr>
                <w:rFonts w:ascii="Liberation Sans Narrow" w:hAnsi="Liberation Sans Narrow"/>
                <w:b/>
                <w:sz w:val="18"/>
              </w:rPr>
              <w:t xml:space="preserve">304</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450</w:t>
            </w:r>
          </w:p>
        </w:tc>
        <w:tc>
          <w:tcPr>
            <w:tcW w:type="dxa" w:w="731"/>
          </w:tcPr>
          <w:p>
            <w:pPr>
              <w:pStyle w:val="Compact"/>
              <w:spacing w:before="20" w:after="20" w:line="240" w:lineRule="auto"/>
              <w:jc w:val="right"/>
            </w:pPr>
            <w:r>
              <w:rPr>
                <w:rFonts w:ascii="Liberation Sans Narrow" w:hAnsi="Liberation Sans Narrow"/>
                <w:b/>
                <w:sz w:val="18"/>
              </w:rPr>
              <w:t xml:space="preserve">86</w:t>
            </w:r>
          </w:p>
        </w:tc>
        <w:tc>
          <w:tcPr>
            <w:tcW w:type="dxa" w:w="1608"/>
          </w:tcPr>
          <w:p>
            <w:pPr>
              <w:pStyle w:val="Compact"/>
              <w:spacing w:before="20" w:after="20" w:line="240" w:lineRule="auto"/>
              <w:jc w:val="left"/>
            </w:pPr>
            <w:r>
              <w:rPr>
                <w:rFonts w:ascii="Liberation Sans Narrow" w:hAnsi="Liberation Sans Narrow"/>
                <w:b w:val="0"/>
                <w:sz w:val="18"/>
              </w:rPr>
              <w:t xml:space="preserve">Art. 639</w:t>
            </w:r>
          </w:p>
        </w:tc>
        <w:tc>
          <w:tcPr>
            <w:tcW w:type="dxa" w:w="731"/>
          </w:tcPr>
          <w:p>
            <w:pPr>
              <w:pStyle w:val="Compact"/>
              <w:spacing w:before="20" w:after="20" w:line="240" w:lineRule="auto"/>
              <w:jc w:val="right"/>
            </w:pPr>
            <w:r>
              <w:rPr>
                <w:rFonts w:ascii="Liberation Sans Narrow" w:hAnsi="Liberation Sans Narrow"/>
                <w:b/>
                <w:sz w:val="18"/>
              </w:rPr>
              <w:t xml:space="preserve">165</w:t>
            </w:r>
          </w:p>
        </w:tc>
        <w:tc>
          <w:tcPr>
            <w:tcW w:type="dxa" w:w="1608"/>
          </w:tcPr>
          <w:p>
            <w:pPr>
              <w:pStyle w:val="Compact"/>
              <w:spacing w:before="20" w:after="20" w:line="240" w:lineRule="auto"/>
              <w:jc w:val="left"/>
            </w:pPr>
            <w:r>
              <w:rPr>
                <w:rFonts w:ascii="Liberation Sans Narrow" w:hAnsi="Liberation Sans Narrow"/>
                <w:b w:val="0"/>
                <w:sz w:val="18"/>
              </w:rPr>
              <w:t xml:space="preserve">Art. 828</w:t>
            </w:r>
          </w:p>
        </w:tc>
        <w:tc>
          <w:tcPr>
            <w:tcW w:type="dxa" w:w="731"/>
          </w:tcPr>
          <w:p>
            <w:pPr>
              <w:pStyle w:val="Compact"/>
              <w:spacing w:before="20" w:after="20" w:line="240" w:lineRule="auto"/>
              <w:jc w:val="right"/>
            </w:pPr>
            <w:r>
              <w:rPr>
                <w:rFonts w:ascii="Liberation Sans Narrow" w:hAnsi="Liberation Sans Narrow"/>
                <w:b/>
                <w:sz w:val="18"/>
              </w:rPr>
              <w:t xml:space="preserve">228</w:t>
            </w:r>
          </w:p>
        </w:tc>
        <w:tc>
          <w:tcPr>
            <w:tcW w:type="dxa" w:w="1608"/>
          </w:tcPr>
          <w:p>
            <w:pPr>
              <w:pStyle w:val="Compact"/>
              <w:spacing w:before="20" w:after="20" w:line="240" w:lineRule="auto"/>
              <w:jc w:val="left"/>
            </w:pPr>
            <w:r>
              <w:rPr>
                <w:rFonts w:ascii="Liberation Sans Narrow" w:hAnsi="Liberation Sans Narrow"/>
                <w:b w:val="0"/>
                <w:sz w:val="18"/>
              </w:rPr>
              <w:t xml:space="preserve">Art. 1018</w:t>
            </w:r>
          </w:p>
        </w:tc>
        <w:tc>
          <w:tcPr>
            <w:tcW w:type="dxa" w:w="731"/>
          </w:tcPr>
          <w:p>
            <w:pPr>
              <w:pStyle w:val="Compact"/>
              <w:spacing w:before="20" w:after="20" w:line="240" w:lineRule="auto"/>
              <w:jc w:val="right"/>
            </w:pPr>
            <w:r>
              <w:rPr>
                <w:rFonts w:ascii="Liberation Sans Narrow" w:hAnsi="Liberation Sans Narrow"/>
                <w:b/>
                <w:sz w:val="18"/>
              </w:rPr>
              <w:t xml:space="preserve">305</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451</w:t>
            </w:r>
          </w:p>
        </w:tc>
        <w:tc>
          <w:tcPr>
            <w:tcW w:type="dxa" w:w="731"/>
          </w:tcPr>
          <w:p>
            <w:pPr>
              <w:pStyle w:val="Compact"/>
              <w:spacing w:before="20" w:after="20" w:line="240" w:lineRule="auto"/>
              <w:jc w:val="right"/>
            </w:pPr>
            <w:r>
              <w:rPr>
                <w:rFonts w:ascii="Liberation Sans Narrow" w:hAnsi="Liberation Sans Narrow"/>
                <w:b/>
                <w:sz w:val="18"/>
              </w:rPr>
              <w:t xml:space="preserve">86</w:t>
            </w:r>
          </w:p>
        </w:tc>
        <w:tc>
          <w:tcPr>
            <w:tcW w:type="dxa" w:w="1608"/>
          </w:tcPr>
          <w:p>
            <w:pPr>
              <w:pStyle w:val="Compact"/>
              <w:spacing w:before="20" w:after="20" w:line="240" w:lineRule="auto"/>
              <w:jc w:val="left"/>
            </w:pPr>
            <w:r>
              <w:rPr>
                <w:rFonts w:ascii="Liberation Sans Narrow" w:hAnsi="Liberation Sans Narrow"/>
                <w:b w:val="0"/>
                <w:sz w:val="18"/>
              </w:rPr>
              <w:t xml:space="preserve">Art. 640</w:t>
            </w:r>
          </w:p>
        </w:tc>
        <w:tc>
          <w:tcPr>
            <w:tcW w:type="dxa" w:w="731"/>
          </w:tcPr>
          <w:p>
            <w:pPr>
              <w:pStyle w:val="Compact"/>
              <w:spacing w:before="20" w:after="20" w:line="240" w:lineRule="auto"/>
              <w:jc w:val="right"/>
            </w:pPr>
            <w:r>
              <w:rPr>
                <w:rFonts w:ascii="Liberation Sans Narrow" w:hAnsi="Liberation Sans Narrow"/>
                <w:b/>
                <w:sz w:val="18"/>
              </w:rPr>
              <w:t xml:space="preserve">165</w:t>
            </w:r>
          </w:p>
        </w:tc>
        <w:tc>
          <w:tcPr>
            <w:tcW w:type="dxa" w:w="1608"/>
          </w:tcPr>
          <w:p>
            <w:pPr>
              <w:pStyle w:val="Compact"/>
              <w:spacing w:before="20" w:after="20" w:line="240" w:lineRule="auto"/>
              <w:jc w:val="left"/>
            </w:pPr>
            <w:r>
              <w:rPr>
                <w:rFonts w:ascii="Liberation Sans Narrow" w:hAnsi="Liberation Sans Narrow"/>
                <w:b w:val="0"/>
                <w:sz w:val="18"/>
              </w:rPr>
              <w:t xml:space="preserve">Art. 829</w:t>
            </w:r>
          </w:p>
        </w:tc>
        <w:tc>
          <w:tcPr>
            <w:tcW w:type="dxa" w:w="731"/>
          </w:tcPr>
          <w:p>
            <w:pPr>
              <w:pStyle w:val="Compact"/>
              <w:spacing w:before="20" w:after="20" w:line="240" w:lineRule="auto"/>
              <w:jc w:val="right"/>
            </w:pPr>
            <w:r>
              <w:rPr>
                <w:rFonts w:ascii="Liberation Sans Narrow" w:hAnsi="Liberation Sans Narrow"/>
                <w:b/>
                <w:sz w:val="18"/>
              </w:rPr>
              <w:t xml:space="preserve">228</w:t>
            </w:r>
          </w:p>
        </w:tc>
        <w:tc>
          <w:tcPr>
            <w:tcW w:type="dxa" w:w="1608"/>
          </w:tcPr>
          <w:p>
            <w:pPr>
              <w:pStyle w:val="Compact"/>
              <w:spacing w:before="20" w:after="20" w:line="240" w:lineRule="auto"/>
              <w:jc w:val="left"/>
            </w:pPr>
            <w:r>
              <w:rPr>
                <w:rFonts w:ascii="Liberation Sans Narrow" w:hAnsi="Liberation Sans Narrow"/>
                <w:b w:val="0"/>
                <w:sz w:val="18"/>
              </w:rPr>
              <w:t xml:space="preserve">Art. 1019</w:t>
            </w:r>
          </w:p>
        </w:tc>
        <w:tc>
          <w:tcPr>
            <w:tcW w:type="dxa" w:w="731"/>
          </w:tcPr>
          <w:p>
            <w:pPr>
              <w:pStyle w:val="Compact"/>
              <w:spacing w:before="20" w:after="20" w:line="240" w:lineRule="auto"/>
              <w:jc w:val="right"/>
            </w:pPr>
            <w:r>
              <w:rPr>
                <w:rFonts w:ascii="Liberation Sans Narrow" w:hAnsi="Liberation Sans Narrow"/>
                <w:b/>
                <w:sz w:val="18"/>
              </w:rPr>
              <w:t xml:space="preserve">305</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452</w:t>
            </w:r>
          </w:p>
        </w:tc>
        <w:tc>
          <w:tcPr>
            <w:tcW w:type="dxa" w:w="731"/>
          </w:tcPr>
          <w:p>
            <w:pPr>
              <w:pStyle w:val="Compact"/>
              <w:spacing w:before="20" w:after="20" w:line="240" w:lineRule="auto"/>
              <w:jc w:val="right"/>
            </w:pPr>
            <w:r>
              <w:rPr>
                <w:rFonts w:ascii="Liberation Sans Narrow" w:hAnsi="Liberation Sans Narrow"/>
                <w:b/>
                <w:sz w:val="18"/>
              </w:rPr>
              <w:t xml:space="preserve">86</w:t>
            </w:r>
          </w:p>
        </w:tc>
        <w:tc>
          <w:tcPr>
            <w:tcW w:type="dxa" w:w="1608"/>
          </w:tcPr>
          <w:p>
            <w:pPr>
              <w:pStyle w:val="Compact"/>
              <w:spacing w:before="20" w:after="20" w:line="240" w:lineRule="auto"/>
              <w:jc w:val="left"/>
            </w:pPr>
            <w:r>
              <w:rPr>
                <w:rFonts w:ascii="Liberation Sans Narrow" w:hAnsi="Liberation Sans Narrow"/>
                <w:b w:val="0"/>
                <w:sz w:val="18"/>
              </w:rPr>
              <w:t xml:space="preserve">Art. 641</w:t>
            </w:r>
          </w:p>
        </w:tc>
        <w:tc>
          <w:tcPr>
            <w:tcW w:type="dxa" w:w="731"/>
          </w:tcPr>
          <w:p>
            <w:pPr>
              <w:pStyle w:val="Compact"/>
              <w:spacing w:before="20" w:after="20" w:line="240" w:lineRule="auto"/>
              <w:jc w:val="right"/>
            </w:pPr>
            <w:r>
              <w:rPr>
                <w:rFonts w:ascii="Liberation Sans Narrow" w:hAnsi="Liberation Sans Narrow"/>
                <w:b/>
                <w:sz w:val="18"/>
              </w:rPr>
              <w:t xml:space="preserve">165</w:t>
            </w:r>
          </w:p>
        </w:tc>
        <w:tc>
          <w:tcPr>
            <w:tcW w:type="dxa" w:w="1608"/>
          </w:tcPr>
          <w:p>
            <w:pPr>
              <w:pStyle w:val="Compact"/>
              <w:spacing w:before="20" w:after="20" w:line="240" w:lineRule="auto"/>
              <w:jc w:val="left"/>
            </w:pPr>
            <w:r>
              <w:rPr>
                <w:rFonts w:ascii="Liberation Sans Narrow" w:hAnsi="Liberation Sans Narrow"/>
                <w:b w:val="0"/>
                <w:sz w:val="18"/>
              </w:rPr>
              <w:t xml:space="preserve">Art. 830</w:t>
            </w:r>
          </w:p>
        </w:tc>
        <w:tc>
          <w:tcPr>
            <w:tcW w:type="dxa" w:w="731"/>
          </w:tcPr>
          <w:p>
            <w:pPr>
              <w:pStyle w:val="Compact"/>
              <w:spacing w:before="20" w:after="20" w:line="240" w:lineRule="auto"/>
              <w:jc w:val="right"/>
            </w:pPr>
            <w:r>
              <w:rPr>
                <w:rFonts w:ascii="Liberation Sans Narrow" w:hAnsi="Liberation Sans Narrow"/>
                <w:b/>
                <w:sz w:val="18"/>
              </w:rPr>
              <w:t xml:space="preserve">229</w:t>
            </w:r>
          </w:p>
        </w:tc>
        <w:tc>
          <w:tcPr>
            <w:tcW w:type="dxa" w:w="1608"/>
          </w:tcPr>
          <w:p>
            <w:pPr>
              <w:pStyle w:val="Compact"/>
              <w:spacing w:before="20" w:after="20" w:line="240" w:lineRule="auto"/>
              <w:jc w:val="left"/>
            </w:pPr>
            <w:r>
              <w:rPr>
                <w:rFonts w:ascii="Liberation Sans Narrow" w:hAnsi="Liberation Sans Narrow"/>
                <w:b w:val="0"/>
                <w:sz w:val="18"/>
              </w:rPr>
              <w:t xml:space="preserve">Art. 1020</w:t>
            </w:r>
          </w:p>
        </w:tc>
        <w:tc>
          <w:tcPr>
            <w:tcW w:type="dxa" w:w="731"/>
          </w:tcPr>
          <w:p>
            <w:pPr>
              <w:pStyle w:val="Compact"/>
              <w:spacing w:before="20" w:after="20" w:line="240" w:lineRule="auto"/>
              <w:jc w:val="right"/>
            </w:pPr>
            <w:r>
              <w:rPr>
                <w:rFonts w:ascii="Liberation Sans Narrow" w:hAnsi="Liberation Sans Narrow"/>
                <w:b/>
                <w:sz w:val="18"/>
              </w:rPr>
              <w:t xml:space="preserve">305</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453</w:t>
            </w:r>
          </w:p>
        </w:tc>
        <w:tc>
          <w:tcPr>
            <w:tcW w:type="dxa" w:w="731"/>
          </w:tcPr>
          <w:p>
            <w:pPr>
              <w:pStyle w:val="Compact"/>
              <w:spacing w:before="20" w:after="20" w:line="240" w:lineRule="auto"/>
              <w:jc w:val="right"/>
            </w:pPr>
            <w:r>
              <w:rPr>
                <w:rFonts w:ascii="Liberation Sans Narrow" w:hAnsi="Liberation Sans Narrow"/>
                <w:b/>
                <w:sz w:val="18"/>
              </w:rPr>
              <w:t xml:space="preserve">87</w:t>
            </w:r>
          </w:p>
        </w:tc>
        <w:tc>
          <w:tcPr>
            <w:tcW w:type="dxa" w:w="1608"/>
          </w:tcPr>
          <w:p>
            <w:pPr>
              <w:pStyle w:val="Compact"/>
              <w:spacing w:before="20" w:after="20" w:line="240" w:lineRule="auto"/>
              <w:jc w:val="left"/>
            </w:pPr>
            <w:r>
              <w:rPr>
                <w:rFonts w:ascii="Liberation Sans Narrow" w:hAnsi="Liberation Sans Narrow"/>
                <w:b w:val="0"/>
                <w:sz w:val="18"/>
              </w:rPr>
              <w:t xml:space="preserve">Art. 642</w:t>
            </w:r>
          </w:p>
        </w:tc>
        <w:tc>
          <w:tcPr>
            <w:tcW w:type="dxa" w:w="731"/>
          </w:tcPr>
          <w:p>
            <w:pPr>
              <w:pStyle w:val="Compact"/>
              <w:spacing w:before="20" w:after="20" w:line="240" w:lineRule="auto"/>
              <w:jc w:val="right"/>
            </w:pPr>
            <w:r>
              <w:rPr>
                <w:rFonts w:ascii="Liberation Sans Narrow" w:hAnsi="Liberation Sans Narrow"/>
                <w:b/>
                <w:sz w:val="18"/>
              </w:rPr>
              <w:t xml:space="preserve">166</w:t>
            </w:r>
          </w:p>
        </w:tc>
        <w:tc>
          <w:tcPr>
            <w:tcW w:type="dxa" w:w="1608"/>
          </w:tcPr>
          <w:p>
            <w:pPr>
              <w:pStyle w:val="Compact"/>
              <w:spacing w:before="20" w:after="20" w:line="240" w:lineRule="auto"/>
              <w:jc w:val="left"/>
            </w:pPr>
            <w:r>
              <w:rPr>
                <w:rFonts w:ascii="Liberation Sans Narrow" w:hAnsi="Liberation Sans Narrow"/>
                <w:b w:val="0"/>
                <w:sz w:val="18"/>
              </w:rPr>
              <w:t xml:space="preserve">Art. 831</w:t>
            </w:r>
          </w:p>
        </w:tc>
        <w:tc>
          <w:tcPr>
            <w:tcW w:type="dxa" w:w="731"/>
          </w:tcPr>
          <w:p>
            <w:pPr>
              <w:pStyle w:val="Compact"/>
              <w:spacing w:before="20" w:after="20" w:line="240" w:lineRule="auto"/>
              <w:jc w:val="right"/>
            </w:pPr>
            <w:r>
              <w:rPr>
                <w:rFonts w:ascii="Liberation Sans Narrow" w:hAnsi="Liberation Sans Narrow"/>
                <w:b/>
                <w:sz w:val="18"/>
              </w:rPr>
              <w:t xml:space="preserve">229</w:t>
            </w:r>
          </w:p>
        </w:tc>
        <w:tc>
          <w:tcPr>
            <w:tcW w:type="dxa" w:w="1608"/>
          </w:tcPr>
          <w:p>
            <w:pPr>
              <w:pStyle w:val="Compact"/>
              <w:spacing w:before="20" w:after="20" w:line="240" w:lineRule="auto"/>
              <w:jc w:val="left"/>
            </w:pPr>
            <w:r>
              <w:rPr>
                <w:rFonts w:ascii="Liberation Sans Narrow" w:hAnsi="Liberation Sans Narrow"/>
                <w:b w:val="0"/>
                <w:sz w:val="18"/>
              </w:rPr>
              <w:t xml:space="preserve">Art. 1021</w:t>
            </w:r>
          </w:p>
        </w:tc>
        <w:tc>
          <w:tcPr>
            <w:tcW w:type="dxa" w:w="731"/>
          </w:tcPr>
          <w:p>
            <w:pPr>
              <w:pStyle w:val="Compact"/>
              <w:spacing w:before="20" w:after="20" w:line="240" w:lineRule="auto"/>
              <w:jc w:val="right"/>
            </w:pPr>
            <w:r>
              <w:rPr>
                <w:rFonts w:ascii="Liberation Sans Narrow" w:hAnsi="Liberation Sans Narrow"/>
                <w:b/>
                <w:sz w:val="18"/>
              </w:rPr>
              <w:t xml:space="preserve">306</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454</w:t>
            </w:r>
          </w:p>
        </w:tc>
        <w:tc>
          <w:tcPr>
            <w:tcW w:type="dxa" w:w="731"/>
          </w:tcPr>
          <w:p>
            <w:pPr>
              <w:pStyle w:val="Compact"/>
              <w:spacing w:before="20" w:after="20" w:line="240" w:lineRule="auto"/>
              <w:jc w:val="right"/>
            </w:pPr>
            <w:r>
              <w:rPr>
                <w:rFonts w:ascii="Liberation Sans Narrow" w:hAnsi="Liberation Sans Narrow"/>
                <w:b/>
                <w:sz w:val="18"/>
              </w:rPr>
              <w:t xml:space="preserve">87</w:t>
            </w:r>
          </w:p>
        </w:tc>
        <w:tc>
          <w:tcPr>
            <w:tcW w:type="dxa" w:w="1608"/>
          </w:tcPr>
          <w:p>
            <w:pPr>
              <w:pStyle w:val="Compact"/>
              <w:spacing w:before="20" w:after="20" w:line="240" w:lineRule="auto"/>
              <w:jc w:val="left"/>
            </w:pPr>
            <w:r>
              <w:rPr>
                <w:rFonts w:ascii="Liberation Sans Narrow" w:hAnsi="Liberation Sans Narrow"/>
                <w:b w:val="0"/>
                <w:sz w:val="18"/>
              </w:rPr>
              <w:t xml:space="preserve">Art. 643</w:t>
            </w:r>
          </w:p>
        </w:tc>
        <w:tc>
          <w:tcPr>
            <w:tcW w:type="dxa" w:w="731"/>
          </w:tcPr>
          <w:p>
            <w:pPr>
              <w:pStyle w:val="Compact"/>
              <w:spacing w:before="20" w:after="20" w:line="240" w:lineRule="auto"/>
              <w:jc w:val="right"/>
            </w:pPr>
            <w:r>
              <w:rPr>
                <w:rFonts w:ascii="Liberation Sans Narrow" w:hAnsi="Liberation Sans Narrow"/>
                <w:b/>
                <w:sz w:val="18"/>
              </w:rPr>
              <w:t xml:space="preserve">167</w:t>
            </w:r>
          </w:p>
        </w:tc>
        <w:tc>
          <w:tcPr>
            <w:tcW w:type="dxa" w:w="1608"/>
          </w:tcPr>
          <w:p>
            <w:pPr>
              <w:pStyle w:val="Compact"/>
              <w:spacing w:before="20" w:after="20" w:line="240" w:lineRule="auto"/>
              <w:jc w:val="left"/>
            </w:pPr>
            <w:r>
              <w:rPr>
                <w:rFonts w:ascii="Liberation Sans Narrow" w:hAnsi="Liberation Sans Narrow"/>
                <w:b w:val="0"/>
                <w:sz w:val="18"/>
              </w:rPr>
              <w:t xml:space="preserve">Art. 832</w:t>
            </w:r>
          </w:p>
        </w:tc>
        <w:tc>
          <w:tcPr>
            <w:tcW w:type="dxa" w:w="731"/>
          </w:tcPr>
          <w:p>
            <w:pPr>
              <w:pStyle w:val="Compact"/>
              <w:spacing w:before="20" w:after="20" w:line="240" w:lineRule="auto"/>
              <w:jc w:val="right"/>
            </w:pPr>
            <w:r>
              <w:rPr>
                <w:rFonts w:ascii="Liberation Sans Narrow" w:hAnsi="Liberation Sans Narrow"/>
                <w:b/>
                <w:sz w:val="18"/>
              </w:rPr>
              <w:t xml:space="preserve">229</w:t>
            </w:r>
          </w:p>
        </w:tc>
        <w:tc>
          <w:tcPr>
            <w:tcW w:type="dxa" w:w="1608"/>
          </w:tcPr>
          <w:p>
            <w:pPr>
              <w:pStyle w:val="Compact"/>
              <w:spacing w:before="20" w:after="20" w:line="240" w:lineRule="auto"/>
              <w:jc w:val="left"/>
            </w:pPr>
            <w:r>
              <w:rPr>
                <w:rFonts w:ascii="Liberation Sans Narrow" w:hAnsi="Liberation Sans Narrow"/>
                <w:b w:val="0"/>
                <w:sz w:val="18"/>
              </w:rPr>
              <w:t xml:space="preserve">Art. 1022</w:t>
            </w:r>
          </w:p>
        </w:tc>
        <w:tc>
          <w:tcPr>
            <w:tcW w:type="dxa" w:w="731"/>
          </w:tcPr>
          <w:p>
            <w:pPr>
              <w:pStyle w:val="Compact"/>
              <w:spacing w:before="20" w:after="20" w:line="240" w:lineRule="auto"/>
              <w:jc w:val="right"/>
            </w:pPr>
            <w:r>
              <w:rPr>
                <w:rFonts w:ascii="Liberation Sans Narrow" w:hAnsi="Liberation Sans Narrow"/>
                <w:b/>
                <w:sz w:val="18"/>
              </w:rPr>
              <w:t xml:space="preserve">306</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455</w:t>
            </w:r>
          </w:p>
        </w:tc>
        <w:tc>
          <w:tcPr>
            <w:tcW w:type="dxa" w:w="731"/>
          </w:tcPr>
          <w:p>
            <w:pPr>
              <w:pStyle w:val="Compact"/>
              <w:spacing w:before="20" w:after="20" w:line="240" w:lineRule="auto"/>
              <w:jc w:val="right"/>
            </w:pPr>
            <w:r>
              <w:rPr>
                <w:rFonts w:ascii="Liberation Sans Narrow" w:hAnsi="Liberation Sans Narrow"/>
                <w:b/>
                <w:sz w:val="18"/>
              </w:rPr>
              <w:t xml:space="preserve">88</w:t>
            </w:r>
          </w:p>
        </w:tc>
        <w:tc>
          <w:tcPr>
            <w:tcW w:type="dxa" w:w="1608"/>
          </w:tcPr>
          <w:p>
            <w:pPr>
              <w:pStyle w:val="Compact"/>
              <w:spacing w:before="20" w:after="20" w:line="240" w:lineRule="auto"/>
              <w:jc w:val="left"/>
            </w:pPr>
            <w:r>
              <w:rPr>
                <w:rFonts w:ascii="Liberation Sans Narrow" w:hAnsi="Liberation Sans Narrow"/>
                <w:b w:val="0"/>
                <w:sz w:val="18"/>
              </w:rPr>
              <w:t xml:space="preserve">Art. 644</w:t>
            </w:r>
          </w:p>
        </w:tc>
        <w:tc>
          <w:tcPr>
            <w:tcW w:type="dxa" w:w="731"/>
          </w:tcPr>
          <w:p>
            <w:pPr>
              <w:pStyle w:val="Compact"/>
              <w:spacing w:before="20" w:after="20" w:line="240" w:lineRule="auto"/>
              <w:jc w:val="right"/>
            </w:pPr>
            <w:r>
              <w:rPr>
                <w:rFonts w:ascii="Liberation Sans Narrow" w:hAnsi="Liberation Sans Narrow"/>
                <w:b/>
                <w:sz w:val="18"/>
              </w:rPr>
              <w:t xml:space="preserve">167</w:t>
            </w:r>
          </w:p>
        </w:tc>
        <w:tc>
          <w:tcPr>
            <w:tcW w:type="dxa" w:w="1608"/>
          </w:tcPr>
          <w:p>
            <w:pPr>
              <w:pStyle w:val="Compact"/>
              <w:spacing w:before="20" w:after="20" w:line="240" w:lineRule="auto"/>
              <w:jc w:val="left"/>
            </w:pPr>
            <w:r>
              <w:rPr>
                <w:rFonts w:ascii="Liberation Sans Narrow" w:hAnsi="Liberation Sans Narrow"/>
                <w:b w:val="0"/>
                <w:sz w:val="18"/>
              </w:rPr>
              <w:t xml:space="preserve">Art. 833</w:t>
            </w:r>
          </w:p>
        </w:tc>
        <w:tc>
          <w:tcPr>
            <w:tcW w:type="dxa" w:w="731"/>
          </w:tcPr>
          <w:p>
            <w:pPr>
              <w:pStyle w:val="Compact"/>
              <w:spacing w:before="20" w:after="20" w:line="240" w:lineRule="auto"/>
              <w:jc w:val="right"/>
            </w:pPr>
            <w:r>
              <w:rPr>
                <w:rFonts w:ascii="Liberation Sans Narrow" w:hAnsi="Liberation Sans Narrow"/>
                <w:b/>
                <w:sz w:val="18"/>
              </w:rPr>
              <w:t xml:space="preserve">230</w:t>
            </w:r>
          </w:p>
        </w:tc>
        <w:tc>
          <w:tcPr>
            <w:tcW w:type="dxa" w:w="1608"/>
          </w:tcPr>
          <w:p>
            <w:pPr>
              <w:pStyle w:val="Compact"/>
              <w:spacing w:before="20" w:after="20" w:line="240" w:lineRule="auto"/>
              <w:jc w:val="left"/>
            </w:pPr>
            <w:r>
              <w:rPr>
                <w:rFonts w:ascii="Liberation Sans Narrow" w:hAnsi="Liberation Sans Narrow"/>
                <w:b w:val="0"/>
                <w:sz w:val="18"/>
              </w:rPr>
              <w:t xml:space="preserve">Art. 1023</w:t>
            </w:r>
          </w:p>
        </w:tc>
        <w:tc>
          <w:tcPr>
            <w:tcW w:type="dxa" w:w="731"/>
          </w:tcPr>
          <w:p>
            <w:pPr>
              <w:pStyle w:val="Compact"/>
              <w:spacing w:before="20" w:after="20" w:line="240" w:lineRule="auto"/>
              <w:jc w:val="right"/>
            </w:pPr>
            <w:r>
              <w:rPr>
                <w:rFonts w:ascii="Liberation Sans Narrow" w:hAnsi="Liberation Sans Narrow"/>
                <w:b/>
                <w:sz w:val="18"/>
              </w:rPr>
              <w:t xml:space="preserve">307</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456</w:t>
            </w:r>
          </w:p>
        </w:tc>
        <w:tc>
          <w:tcPr>
            <w:tcW w:type="dxa" w:w="731"/>
          </w:tcPr>
          <w:p>
            <w:pPr>
              <w:pStyle w:val="Compact"/>
              <w:spacing w:before="20" w:after="20" w:line="240" w:lineRule="auto"/>
              <w:jc w:val="right"/>
            </w:pPr>
            <w:r>
              <w:rPr>
                <w:rFonts w:ascii="Liberation Sans Narrow" w:hAnsi="Liberation Sans Narrow"/>
                <w:b/>
                <w:sz w:val="18"/>
              </w:rPr>
              <w:t xml:space="preserve">89</w:t>
            </w:r>
          </w:p>
        </w:tc>
        <w:tc>
          <w:tcPr>
            <w:tcW w:type="dxa" w:w="1608"/>
          </w:tcPr>
          <w:p>
            <w:pPr>
              <w:pStyle w:val="Compact"/>
              <w:spacing w:before="20" w:after="20" w:line="240" w:lineRule="auto"/>
              <w:jc w:val="left"/>
            </w:pPr>
            <w:r>
              <w:rPr>
                <w:rFonts w:ascii="Liberation Sans Narrow" w:hAnsi="Liberation Sans Narrow"/>
                <w:b w:val="0"/>
                <w:sz w:val="18"/>
              </w:rPr>
              <w:t xml:space="preserve">Art. 645</w:t>
            </w:r>
          </w:p>
        </w:tc>
        <w:tc>
          <w:tcPr>
            <w:tcW w:type="dxa" w:w="731"/>
          </w:tcPr>
          <w:p>
            <w:pPr>
              <w:pStyle w:val="Compact"/>
              <w:spacing w:before="20" w:after="20" w:line="240" w:lineRule="auto"/>
              <w:jc w:val="right"/>
            </w:pPr>
            <w:r>
              <w:rPr>
                <w:rFonts w:ascii="Liberation Sans Narrow" w:hAnsi="Liberation Sans Narrow"/>
                <w:b/>
                <w:sz w:val="18"/>
              </w:rPr>
              <w:t xml:space="preserve">167</w:t>
            </w:r>
          </w:p>
        </w:tc>
        <w:tc>
          <w:tcPr>
            <w:tcW w:type="dxa" w:w="1608"/>
          </w:tcPr>
          <w:p>
            <w:pPr>
              <w:pStyle w:val="Compact"/>
              <w:spacing w:before="20" w:after="20" w:line="240" w:lineRule="auto"/>
              <w:jc w:val="left"/>
            </w:pPr>
            <w:r>
              <w:rPr>
                <w:rFonts w:ascii="Liberation Sans Narrow" w:hAnsi="Liberation Sans Narrow"/>
                <w:b w:val="0"/>
                <w:sz w:val="18"/>
              </w:rPr>
              <w:t xml:space="preserve">Art. 834</w:t>
            </w:r>
          </w:p>
        </w:tc>
        <w:tc>
          <w:tcPr>
            <w:tcW w:type="dxa" w:w="731"/>
          </w:tcPr>
          <w:p>
            <w:pPr>
              <w:pStyle w:val="Compact"/>
              <w:spacing w:before="20" w:after="20" w:line="240" w:lineRule="auto"/>
              <w:jc w:val="right"/>
            </w:pPr>
            <w:r>
              <w:rPr>
                <w:rFonts w:ascii="Liberation Sans Narrow" w:hAnsi="Liberation Sans Narrow"/>
                <w:b/>
                <w:sz w:val="18"/>
              </w:rPr>
              <w:t xml:space="preserve">231</w:t>
            </w:r>
          </w:p>
        </w:tc>
        <w:tc>
          <w:tcPr>
            <w:tcW w:type="dxa" w:w="1608"/>
          </w:tcPr>
          <w:p>
            <w:pPr>
              <w:pStyle w:val="Compact"/>
              <w:spacing w:before="20" w:after="20" w:line="240" w:lineRule="auto"/>
              <w:jc w:val="left"/>
            </w:pPr>
            <w:r>
              <w:rPr>
                <w:rFonts w:ascii="Liberation Sans Narrow" w:hAnsi="Liberation Sans Narrow"/>
                <w:b w:val="0"/>
                <w:sz w:val="18"/>
              </w:rPr>
              <w:t xml:space="preserve">Art. 1024</w:t>
            </w:r>
          </w:p>
        </w:tc>
        <w:tc>
          <w:tcPr>
            <w:tcW w:type="dxa" w:w="731"/>
          </w:tcPr>
          <w:p>
            <w:pPr>
              <w:pStyle w:val="Compact"/>
              <w:spacing w:before="20" w:after="20" w:line="240" w:lineRule="auto"/>
              <w:jc w:val="right"/>
            </w:pPr>
            <w:r>
              <w:rPr>
                <w:rFonts w:ascii="Liberation Sans Narrow" w:hAnsi="Liberation Sans Narrow"/>
                <w:b/>
                <w:sz w:val="18"/>
              </w:rPr>
              <w:t xml:space="preserve">307</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457</w:t>
            </w:r>
          </w:p>
        </w:tc>
        <w:tc>
          <w:tcPr>
            <w:tcW w:type="dxa" w:w="731"/>
          </w:tcPr>
          <w:p>
            <w:pPr>
              <w:pStyle w:val="Compact"/>
              <w:spacing w:before="20" w:after="20" w:line="240" w:lineRule="auto"/>
              <w:jc w:val="right"/>
            </w:pPr>
            <w:r>
              <w:rPr>
                <w:rFonts w:ascii="Liberation Sans Narrow" w:hAnsi="Liberation Sans Narrow"/>
                <w:b/>
                <w:sz w:val="18"/>
              </w:rPr>
              <w:t xml:space="preserve">89</w:t>
            </w:r>
          </w:p>
        </w:tc>
        <w:tc>
          <w:tcPr>
            <w:tcW w:type="dxa" w:w="1608"/>
          </w:tcPr>
          <w:p>
            <w:pPr>
              <w:pStyle w:val="Compact"/>
              <w:spacing w:before="20" w:after="20" w:line="240" w:lineRule="auto"/>
              <w:jc w:val="left"/>
            </w:pPr>
            <w:r>
              <w:rPr>
                <w:rFonts w:ascii="Liberation Sans Narrow" w:hAnsi="Liberation Sans Narrow"/>
                <w:b w:val="0"/>
                <w:sz w:val="18"/>
              </w:rPr>
              <w:t xml:space="preserve">Art. 646</w:t>
            </w:r>
          </w:p>
        </w:tc>
        <w:tc>
          <w:tcPr>
            <w:tcW w:type="dxa" w:w="731"/>
          </w:tcPr>
          <w:p>
            <w:pPr>
              <w:pStyle w:val="Compact"/>
              <w:spacing w:before="20" w:after="20" w:line="240" w:lineRule="auto"/>
              <w:jc w:val="right"/>
            </w:pPr>
            <w:r>
              <w:rPr>
                <w:rFonts w:ascii="Liberation Sans Narrow" w:hAnsi="Liberation Sans Narrow"/>
                <w:b/>
                <w:sz w:val="18"/>
              </w:rPr>
              <w:t xml:space="preserve">168</w:t>
            </w:r>
          </w:p>
        </w:tc>
        <w:tc>
          <w:tcPr>
            <w:tcW w:type="dxa" w:w="1608"/>
          </w:tcPr>
          <w:p>
            <w:pPr>
              <w:pStyle w:val="Compact"/>
              <w:spacing w:before="20" w:after="20" w:line="240" w:lineRule="auto"/>
              <w:jc w:val="left"/>
            </w:pPr>
            <w:r>
              <w:rPr>
                <w:rFonts w:ascii="Liberation Sans Narrow" w:hAnsi="Liberation Sans Narrow"/>
                <w:b w:val="0"/>
                <w:sz w:val="18"/>
              </w:rPr>
              <w:t xml:space="preserve">Art. 835</w:t>
            </w:r>
          </w:p>
        </w:tc>
        <w:tc>
          <w:tcPr>
            <w:tcW w:type="dxa" w:w="731"/>
          </w:tcPr>
          <w:p>
            <w:pPr>
              <w:pStyle w:val="Compact"/>
              <w:spacing w:before="20" w:after="20" w:line="240" w:lineRule="auto"/>
              <w:jc w:val="right"/>
            </w:pPr>
            <w:r>
              <w:rPr>
                <w:rFonts w:ascii="Liberation Sans Narrow" w:hAnsi="Liberation Sans Narrow"/>
                <w:b/>
                <w:sz w:val="18"/>
              </w:rPr>
              <w:t xml:space="preserve">231</w:t>
            </w:r>
          </w:p>
        </w:tc>
        <w:tc>
          <w:tcPr>
            <w:tcW w:type="dxa" w:w="1608"/>
          </w:tcPr>
          <w:p>
            <w:pPr>
              <w:pStyle w:val="Compact"/>
              <w:spacing w:before="20" w:after="20" w:line="240" w:lineRule="auto"/>
              <w:jc w:val="left"/>
            </w:pPr>
            <w:r>
              <w:rPr>
                <w:rFonts w:ascii="Liberation Sans Narrow" w:hAnsi="Liberation Sans Narrow"/>
                <w:b w:val="0"/>
                <w:sz w:val="18"/>
              </w:rPr>
              <w:t xml:space="preserve">Art. 1025</w:t>
            </w:r>
          </w:p>
        </w:tc>
        <w:tc>
          <w:tcPr>
            <w:tcW w:type="dxa" w:w="731"/>
          </w:tcPr>
          <w:p>
            <w:pPr>
              <w:pStyle w:val="Compact"/>
              <w:spacing w:before="20" w:after="20" w:line="240" w:lineRule="auto"/>
              <w:jc w:val="right"/>
            </w:pPr>
            <w:r>
              <w:rPr>
                <w:rFonts w:ascii="Liberation Sans Narrow" w:hAnsi="Liberation Sans Narrow"/>
                <w:b/>
                <w:sz w:val="18"/>
              </w:rPr>
              <w:t xml:space="preserve">308</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458</w:t>
            </w:r>
          </w:p>
        </w:tc>
        <w:tc>
          <w:tcPr>
            <w:tcW w:type="dxa" w:w="731"/>
          </w:tcPr>
          <w:p>
            <w:pPr>
              <w:pStyle w:val="Compact"/>
              <w:spacing w:before="20" w:after="20" w:line="240" w:lineRule="auto"/>
              <w:jc w:val="right"/>
            </w:pPr>
            <w:r>
              <w:rPr>
                <w:rFonts w:ascii="Liberation Sans Narrow" w:hAnsi="Liberation Sans Narrow"/>
                <w:b/>
                <w:sz w:val="18"/>
              </w:rPr>
              <w:t xml:space="preserve">89</w:t>
            </w:r>
          </w:p>
        </w:tc>
        <w:tc>
          <w:tcPr>
            <w:tcW w:type="dxa" w:w="1608"/>
          </w:tcPr>
          <w:p>
            <w:pPr>
              <w:pStyle w:val="Compact"/>
              <w:spacing w:before="20" w:after="20" w:line="240" w:lineRule="auto"/>
              <w:jc w:val="left"/>
            </w:pPr>
            <w:r>
              <w:rPr>
                <w:rFonts w:ascii="Liberation Sans Narrow" w:hAnsi="Liberation Sans Narrow"/>
                <w:b w:val="0"/>
                <w:sz w:val="18"/>
              </w:rPr>
              <w:t xml:space="preserve">Art. 647</w:t>
            </w:r>
          </w:p>
        </w:tc>
        <w:tc>
          <w:tcPr>
            <w:tcW w:type="dxa" w:w="731"/>
          </w:tcPr>
          <w:p>
            <w:pPr>
              <w:pStyle w:val="Compact"/>
              <w:spacing w:before="20" w:after="20" w:line="240" w:lineRule="auto"/>
              <w:jc w:val="right"/>
            </w:pPr>
            <w:r>
              <w:rPr>
                <w:rFonts w:ascii="Liberation Sans Narrow" w:hAnsi="Liberation Sans Narrow"/>
                <w:b/>
                <w:sz w:val="18"/>
              </w:rPr>
              <w:t xml:space="preserve">168</w:t>
            </w:r>
          </w:p>
        </w:tc>
        <w:tc>
          <w:tcPr>
            <w:tcW w:type="dxa" w:w="1608"/>
          </w:tcPr>
          <w:p>
            <w:pPr>
              <w:pStyle w:val="Compact"/>
              <w:spacing w:before="20" w:after="20" w:line="240" w:lineRule="auto"/>
              <w:jc w:val="left"/>
            </w:pPr>
            <w:r>
              <w:rPr>
                <w:rFonts w:ascii="Liberation Sans Narrow" w:hAnsi="Liberation Sans Narrow"/>
                <w:b w:val="0"/>
                <w:sz w:val="18"/>
              </w:rPr>
              <w:t xml:space="preserve">Art. 836</w:t>
            </w:r>
          </w:p>
        </w:tc>
        <w:tc>
          <w:tcPr>
            <w:tcW w:type="dxa" w:w="731"/>
          </w:tcPr>
          <w:p>
            <w:pPr>
              <w:pStyle w:val="Compact"/>
              <w:spacing w:before="20" w:after="20" w:line="240" w:lineRule="auto"/>
              <w:jc w:val="right"/>
            </w:pPr>
            <w:r>
              <w:rPr>
                <w:rFonts w:ascii="Liberation Sans Narrow" w:hAnsi="Liberation Sans Narrow"/>
                <w:b/>
                <w:sz w:val="18"/>
              </w:rPr>
              <w:t xml:space="preserve">232</w:t>
            </w:r>
          </w:p>
        </w:tc>
        <w:tc>
          <w:tcPr>
            <w:tcW w:type="dxa" w:w="1608"/>
          </w:tcPr>
          <w:p>
            <w:pPr>
              <w:pStyle w:val="Compact"/>
              <w:spacing w:before="20" w:after="20" w:line="240" w:lineRule="auto"/>
              <w:jc w:val="left"/>
            </w:pPr>
            <w:r>
              <w:rPr>
                <w:rFonts w:ascii="Liberation Sans Narrow" w:hAnsi="Liberation Sans Narrow"/>
                <w:b w:val="0"/>
                <w:sz w:val="18"/>
              </w:rPr>
              <w:t xml:space="preserve">Art. 1026</w:t>
            </w:r>
          </w:p>
        </w:tc>
        <w:tc>
          <w:tcPr>
            <w:tcW w:type="dxa" w:w="731"/>
          </w:tcPr>
          <w:p>
            <w:pPr>
              <w:pStyle w:val="Compact"/>
              <w:spacing w:before="20" w:after="20" w:line="240" w:lineRule="auto"/>
              <w:jc w:val="right"/>
            </w:pPr>
            <w:r>
              <w:rPr>
                <w:rFonts w:ascii="Liberation Sans Narrow" w:hAnsi="Liberation Sans Narrow"/>
                <w:b/>
                <w:sz w:val="18"/>
              </w:rPr>
              <w:t xml:space="preserve">308</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459</w:t>
            </w:r>
          </w:p>
        </w:tc>
        <w:tc>
          <w:tcPr>
            <w:tcW w:type="dxa" w:w="731"/>
          </w:tcPr>
          <w:p>
            <w:pPr>
              <w:pStyle w:val="Compact"/>
              <w:spacing w:before="20" w:after="20" w:line="240" w:lineRule="auto"/>
              <w:jc w:val="right"/>
            </w:pPr>
            <w:r>
              <w:rPr>
                <w:rFonts w:ascii="Liberation Sans Narrow" w:hAnsi="Liberation Sans Narrow"/>
                <w:b/>
                <w:sz w:val="18"/>
              </w:rPr>
              <w:t xml:space="preserve">90</w:t>
            </w:r>
          </w:p>
        </w:tc>
        <w:tc>
          <w:tcPr>
            <w:tcW w:type="dxa" w:w="1608"/>
          </w:tcPr>
          <w:p>
            <w:pPr>
              <w:pStyle w:val="Compact"/>
              <w:spacing w:before="20" w:after="20" w:line="240" w:lineRule="auto"/>
              <w:jc w:val="left"/>
            </w:pPr>
            <w:r>
              <w:rPr>
                <w:rFonts w:ascii="Liberation Sans Narrow" w:hAnsi="Liberation Sans Narrow"/>
                <w:b w:val="0"/>
                <w:sz w:val="18"/>
              </w:rPr>
              <w:t xml:space="preserve">Art. 648</w:t>
            </w:r>
          </w:p>
        </w:tc>
        <w:tc>
          <w:tcPr>
            <w:tcW w:type="dxa" w:w="731"/>
          </w:tcPr>
          <w:p>
            <w:pPr>
              <w:pStyle w:val="Compact"/>
              <w:spacing w:before="20" w:after="20" w:line="240" w:lineRule="auto"/>
              <w:jc w:val="right"/>
            </w:pPr>
            <w:r>
              <w:rPr>
                <w:rFonts w:ascii="Liberation Sans Narrow" w:hAnsi="Liberation Sans Narrow"/>
                <w:b/>
                <w:sz w:val="18"/>
              </w:rPr>
              <w:t xml:space="preserve">168</w:t>
            </w:r>
          </w:p>
        </w:tc>
        <w:tc>
          <w:tcPr>
            <w:tcW w:type="dxa" w:w="1608"/>
          </w:tcPr>
          <w:p>
            <w:pPr>
              <w:pStyle w:val="Compact"/>
              <w:spacing w:before="20" w:after="20" w:line="240" w:lineRule="auto"/>
              <w:jc w:val="left"/>
            </w:pPr>
            <w:r>
              <w:rPr>
                <w:rFonts w:ascii="Liberation Sans Narrow" w:hAnsi="Liberation Sans Narrow"/>
                <w:b w:val="0"/>
                <w:sz w:val="18"/>
              </w:rPr>
              <w:t xml:space="preserve">Art. 837</w:t>
            </w:r>
          </w:p>
        </w:tc>
        <w:tc>
          <w:tcPr>
            <w:tcW w:type="dxa" w:w="731"/>
          </w:tcPr>
          <w:p>
            <w:pPr>
              <w:pStyle w:val="Compact"/>
              <w:spacing w:before="20" w:after="20" w:line="240" w:lineRule="auto"/>
              <w:jc w:val="right"/>
            </w:pPr>
            <w:r>
              <w:rPr>
                <w:rFonts w:ascii="Liberation Sans Narrow" w:hAnsi="Liberation Sans Narrow"/>
                <w:b/>
                <w:sz w:val="18"/>
              </w:rPr>
              <w:t xml:space="preserve">233</w:t>
            </w:r>
          </w:p>
        </w:tc>
        <w:tc>
          <w:tcPr>
            <w:tcW w:type="dxa" w:w="1608"/>
          </w:tcPr>
          <w:p>
            <w:pPr>
              <w:pStyle w:val="Compact"/>
              <w:spacing w:before="20" w:after="20" w:line="240" w:lineRule="auto"/>
              <w:jc w:val="left"/>
            </w:pPr>
            <w:r>
              <w:rPr>
                <w:rFonts w:ascii="Liberation Sans Narrow" w:hAnsi="Liberation Sans Narrow"/>
                <w:b w:val="0"/>
                <w:sz w:val="18"/>
              </w:rPr>
              <w:t xml:space="preserve">Art. 1027</w:t>
            </w:r>
          </w:p>
        </w:tc>
        <w:tc>
          <w:tcPr>
            <w:tcW w:type="dxa" w:w="731"/>
          </w:tcPr>
          <w:p>
            <w:pPr>
              <w:pStyle w:val="Compact"/>
              <w:spacing w:before="20" w:after="20" w:line="240" w:lineRule="auto"/>
              <w:jc w:val="right"/>
            </w:pPr>
            <w:r>
              <w:rPr>
                <w:rFonts w:ascii="Liberation Sans Narrow" w:hAnsi="Liberation Sans Narrow"/>
                <w:b/>
                <w:sz w:val="18"/>
              </w:rPr>
              <w:t xml:space="preserve">309</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460</w:t>
            </w:r>
          </w:p>
        </w:tc>
        <w:tc>
          <w:tcPr>
            <w:tcW w:type="dxa" w:w="731"/>
          </w:tcPr>
          <w:p>
            <w:pPr>
              <w:pStyle w:val="Compact"/>
              <w:spacing w:before="20" w:after="20" w:line="240" w:lineRule="auto"/>
              <w:jc w:val="right"/>
            </w:pPr>
            <w:r>
              <w:rPr>
                <w:rFonts w:ascii="Liberation Sans Narrow" w:hAnsi="Liberation Sans Narrow"/>
                <w:b/>
                <w:sz w:val="18"/>
              </w:rPr>
              <w:t xml:space="preserve">90</w:t>
            </w:r>
          </w:p>
        </w:tc>
        <w:tc>
          <w:tcPr>
            <w:tcW w:type="dxa" w:w="1608"/>
          </w:tcPr>
          <w:p>
            <w:pPr>
              <w:pStyle w:val="Compact"/>
              <w:spacing w:before="20" w:after="20" w:line="240" w:lineRule="auto"/>
              <w:jc w:val="left"/>
            </w:pPr>
            <w:r>
              <w:rPr>
                <w:rFonts w:ascii="Liberation Sans Narrow" w:hAnsi="Liberation Sans Narrow"/>
                <w:b w:val="0"/>
                <w:sz w:val="18"/>
              </w:rPr>
              <w:t xml:space="preserve">Art. 649</w:t>
            </w:r>
          </w:p>
        </w:tc>
        <w:tc>
          <w:tcPr>
            <w:tcW w:type="dxa" w:w="731"/>
          </w:tcPr>
          <w:p>
            <w:pPr>
              <w:pStyle w:val="Compact"/>
              <w:spacing w:before="20" w:after="20" w:line="240" w:lineRule="auto"/>
              <w:jc w:val="right"/>
            </w:pPr>
            <w:r>
              <w:rPr>
                <w:rFonts w:ascii="Liberation Sans Narrow" w:hAnsi="Liberation Sans Narrow"/>
                <w:b/>
                <w:sz w:val="18"/>
              </w:rPr>
              <w:t xml:space="preserve">169</w:t>
            </w:r>
          </w:p>
        </w:tc>
        <w:tc>
          <w:tcPr>
            <w:tcW w:type="dxa" w:w="1608"/>
          </w:tcPr>
          <w:p>
            <w:pPr>
              <w:pStyle w:val="Compact"/>
              <w:spacing w:before="20" w:after="20" w:line="240" w:lineRule="auto"/>
              <w:jc w:val="left"/>
            </w:pPr>
            <w:r>
              <w:rPr>
                <w:rFonts w:ascii="Liberation Sans Narrow" w:hAnsi="Liberation Sans Narrow"/>
                <w:b w:val="0"/>
                <w:sz w:val="18"/>
              </w:rPr>
              <w:t xml:space="preserve">Art. 838</w:t>
            </w:r>
          </w:p>
        </w:tc>
        <w:tc>
          <w:tcPr>
            <w:tcW w:type="dxa" w:w="731"/>
          </w:tcPr>
          <w:p>
            <w:pPr>
              <w:pStyle w:val="Compact"/>
              <w:spacing w:before="20" w:after="20" w:line="240" w:lineRule="auto"/>
              <w:jc w:val="right"/>
            </w:pPr>
            <w:r>
              <w:rPr>
                <w:rFonts w:ascii="Liberation Sans Narrow" w:hAnsi="Liberation Sans Narrow"/>
                <w:b/>
                <w:sz w:val="18"/>
              </w:rPr>
              <w:t xml:space="preserve">233</w:t>
            </w:r>
          </w:p>
        </w:tc>
        <w:tc>
          <w:tcPr>
            <w:tcW w:type="dxa" w:w="1608"/>
          </w:tcPr>
          <w:p>
            <w:pPr>
              <w:pStyle w:val="Compact"/>
              <w:spacing w:before="20" w:after="20" w:line="240" w:lineRule="auto"/>
              <w:jc w:val="left"/>
            </w:pPr>
            <w:r>
              <w:rPr>
                <w:rFonts w:ascii="Liberation Sans Narrow" w:hAnsi="Liberation Sans Narrow"/>
                <w:b w:val="0"/>
                <w:sz w:val="18"/>
              </w:rPr>
              <w:t xml:space="preserve">Art. 1028</w:t>
            </w:r>
          </w:p>
        </w:tc>
        <w:tc>
          <w:tcPr>
            <w:tcW w:type="dxa" w:w="731"/>
          </w:tcPr>
          <w:p>
            <w:pPr>
              <w:pStyle w:val="Compact"/>
              <w:spacing w:before="20" w:after="20" w:line="240" w:lineRule="auto"/>
              <w:jc w:val="right"/>
            </w:pPr>
            <w:r>
              <w:rPr>
                <w:rFonts w:ascii="Liberation Sans Narrow" w:hAnsi="Liberation Sans Narrow"/>
                <w:b/>
                <w:sz w:val="18"/>
              </w:rPr>
              <w:t xml:space="preserve">309</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461</w:t>
            </w:r>
          </w:p>
        </w:tc>
        <w:tc>
          <w:tcPr>
            <w:tcW w:type="dxa" w:w="731"/>
          </w:tcPr>
          <w:p>
            <w:pPr>
              <w:pStyle w:val="Compact"/>
              <w:spacing w:before="20" w:after="20" w:line="240" w:lineRule="auto"/>
              <w:jc w:val="right"/>
            </w:pPr>
            <w:r>
              <w:rPr>
                <w:rFonts w:ascii="Liberation Sans Narrow" w:hAnsi="Liberation Sans Narrow"/>
                <w:b/>
                <w:sz w:val="18"/>
              </w:rPr>
              <w:t xml:space="preserve">90</w:t>
            </w:r>
          </w:p>
        </w:tc>
        <w:tc>
          <w:tcPr>
            <w:tcW w:type="dxa" w:w="1608"/>
          </w:tcPr>
          <w:p>
            <w:pPr>
              <w:pStyle w:val="Compact"/>
              <w:spacing w:before="20" w:after="20" w:line="240" w:lineRule="auto"/>
              <w:jc w:val="left"/>
            </w:pPr>
            <w:r>
              <w:rPr>
                <w:rFonts w:ascii="Liberation Sans Narrow" w:hAnsi="Liberation Sans Narrow"/>
                <w:b w:val="0"/>
                <w:sz w:val="18"/>
              </w:rPr>
              <w:t xml:space="preserve">Art. 650</w:t>
            </w:r>
          </w:p>
        </w:tc>
        <w:tc>
          <w:tcPr>
            <w:tcW w:type="dxa" w:w="731"/>
          </w:tcPr>
          <w:p>
            <w:pPr>
              <w:pStyle w:val="Compact"/>
              <w:spacing w:before="20" w:after="20" w:line="240" w:lineRule="auto"/>
              <w:jc w:val="right"/>
            </w:pPr>
            <w:r>
              <w:rPr>
                <w:rFonts w:ascii="Liberation Sans Narrow" w:hAnsi="Liberation Sans Narrow"/>
                <w:b/>
                <w:sz w:val="18"/>
              </w:rPr>
              <w:t xml:space="preserve">169</w:t>
            </w:r>
          </w:p>
        </w:tc>
        <w:tc>
          <w:tcPr>
            <w:tcW w:type="dxa" w:w="1608"/>
          </w:tcPr>
          <w:p>
            <w:pPr>
              <w:pStyle w:val="Compact"/>
              <w:spacing w:before="20" w:after="20" w:line="240" w:lineRule="auto"/>
              <w:jc w:val="left"/>
            </w:pPr>
            <w:r>
              <w:rPr>
                <w:rFonts w:ascii="Liberation Sans Narrow" w:hAnsi="Liberation Sans Narrow"/>
                <w:b w:val="0"/>
                <w:sz w:val="18"/>
              </w:rPr>
              <w:t xml:space="preserve">Art. 839</w:t>
            </w:r>
          </w:p>
        </w:tc>
        <w:tc>
          <w:tcPr>
            <w:tcW w:type="dxa" w:w="731"/>
          </w:tcPr>
          <w:p>
            <w:pPr>
              <w:pStyle w:val="Compact"/>
              <w:spacing w:before="20" w:after="20" w:line="240" w:lineRule="auto"/>
              <w:jc w:val="right"/>
            </w:pPr>
            <w:r>
              <w:rPr>
                <w:rFonts w:ascii="Liberation Sans Narrow" w:hAnsi="Liberation Sans Narrow"/>
                <w:b/>
                <w:sz w:val="18"/>
              </w:rPr>
              <w:t xml:space="preserve">233</w:t>
            </w:r>
          </w:p>
        </w:tc>
        <w:tc>
          <w:tcPr>
            <w:tcW w:type="dxa" w:w="1608"/>
          </w:tcPr>
          <w:p>
            <w:pPr>
              <w:pStyle w:val="Compact"/>
              <w:spacing w:before="20" w:after="20" w:line="240" w:lineRule="auto"/>
              <w:jc w:val="left"/>
            </w:pPr>
            <w:r>
              <w:rPr>
                <w:rFonts w:ascii="Liberation Sans Narrow" w:hAnsi="Liberation Sans Narrow"/>
                <w:b w:val="0"/>
                <w:sz w:val="18"/>
              </w:rPr>
              <w:t xml:space="preserve">Art. 1029</w:t>
            </w:r>
          </w:p>
        </w:tc>
        <w:tc>
          <w:tcPr>
            <w:tcW w:type="dxa" w:w="731"/>
          </w:tcPr>
          <w:p>
            <w:pPr>
              <w:pStyle w:val="Compact"/>
              <w:spacing w:before="20" w:after="20" w:line="240" w:lineRule="auto"/>
              <w:jc w:val="right"/>
            </w:pPr>
            <w:r>
              <w:rPr>
                <w:rFonts w:ascii="Liberation Sans Narrow" w:hAnsi="Liberation Sans Narrow"/>
                <w:b/>
                <w:sz w:val="18"/>
              </w:rPr>
              <w:t xml:space="preserve">310</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462</w:t>
            </w:r>
          </w:p>
        </w:tc>
        <w:tc>
          <w:tcPr>
            <w:tcW w:type="dxa" w:w="731"/>
          </w:tcPr>
          <w:p>
            <w:pPr>
              <w:pStyle w:val="Compact"/>
              <w:spacing w:before="20" w:after="20" w:line="240" w:lineRule="auto"/>
              <w:jc w:val="right"/>
            </w:pPr>
            <w:r>
              <w:rPr>
                <w:rFonts w:ascii="Liberation Sans Narrow" w:hAnsi="Liberation Sans Narrow"/>
                <w:b/>
                <w:sz w:val="18"/>
              </w:rPr>
              <w:t xml:space="preserve">90</w:t>
            </w:r>
          </w:p>
        </w:tc>
        <w:tc>
          <w:tcPr>
            <w:tcW w:type="dxa" w:w="1608"/>
          </w:tcPr>
          <w:p>
            <w:pPr>
              <w:pStyle w:val="Compact"/>
              <w:spacing w:before="20" w:after="20" w:line="240" w:lineRule="auto"/>
              <w:jc w:val="left"/>
            </w:pPr>
            <w:r>
              <w:rPr>
                <w:rFonts w:ascii="Liberation Sans Narrow" w:hAnsi="Liberation Sans Narrow"/>
                <w:b w:val="0"/>
                <w:sz w:val="18"/>
              </w:rPr>
              <w:t xml:space="preserve">Art. 651</w:t>
            </w:r>
          </w:p>
        </w:tc>
        <w:tc>
          <w:tcPr>
            <w:tcW w:type="dxa" w:w="731"/>
          </w:tcPr>
          <w:p>
            <w:pPr>
              <w:pStyle w:val="Compact"/>
              <w:spacing w:before="20" w:after="20" w:line="240" w:lineRule="auto"/>
              <w:jc w:val="right"/>
            </w:pPr>
            <w:r>
              <w:rPr>
                <w:rFonts w:ascii="Liberation Sans Narrow" w:hAnsi="Liberation Sans Narrow"/>
                <w:b/>
                <w:sz w:val="18"/>
              </w:rPr>
              <w:t xml:space="preserve">169</w:t>
            </w:r>
          </w:p>
        </w:tc>
        <w:tc>
          <w:tcPr>
            <w:tcW w:type="dxa" w:w="1608"/>
          </w:tcPr>
          <w:p>
            <w:pPr>
              <w:pStyle w:val="Compact"/>
              <w:spacing w:before="20" w:after="20" w:line="240" w:lineRule="auto"/>
              <w:jc w:val="left"/>
            </w:pPr>
            <w:r>
              <w:rPr>
                <w:rFonts w:ascii="Liberation Sans Narrow" w:hAnsi="Liberation Sans Narrow"/>
                <w:b w:val="0"/>
                <w:sz w:val="18"/>
              </w:rPr>
              <w:t xml:space="preserve">Art. 840</w:t>
            </w:r>
          </w:p>
        </w:tc>
        <w:tc>
          <w:tcPr>
            <w:tcW w:type="dxa" w:w="731"/>
          </w:tcPr>
          <w:p>
            <w:pPr>
              <w:pStyle w:val="Compact"/>
              <w:spacing w:before="20" w:after="20" w:line="240" w:lineRule="auto"/>
              <w:jc w:val="right"/>
            </w:pPr>
            <w:r>
              <w:rPr>
                <w:rFonts w:ascii="Liberation Sans Narrow" w:hAnsi="Liberation Sans Narrow"/>
                <w:b/>
                <w:sz w:val="18"/>
              </w:rPr>
              <w:t xml:space="preserve">233</w:t>
            </w:r>
          </w:p>
        </w:tc>
        <w:tc>
          <w:tcPr>
            <w:tcW w:type="dxa" w:w="1608"/>
          </w:tcPr>
          <w:p>
            <w:pPr>
              <w:pStyle w:val="Compact"/>
              <w:spacing w:before="20" w:after="20" w:line="240" w:lineRule="auto"/>
              <w:jc w:val="left"/>
            </w:pPr>
            <w:r>
              <w:rPr>
                <w:rFonts w:ascii="Liberation Sans Narrow" w:hAnsi="Liberation Sans Narrow"/>
                <w:b w:val="0"/>
                <w:sz w:val="18"/>
              </w:rPr>
              <w:t xml:space="preserve">Art. 1030</w:t>
            </w:r>
          </w:p>
        </w:tc>
        <w:tc>
          <w:tcPr>
            <w:tcW w:type="dxa" w:w="731"/>
          </w:tcPr>
          <w:p>
            <w:pPr>
              <w:pStyle w:val="Compact"/>
              <w:spacing w:before="20" w:after="20" w:line="240" w:lineRule="auto"/>
              <w:jc w:val="right"/>
            </w:pPr>
            <w:r>
              <w:rPr>
                <w:rFonts w:ascii="Liberation Sans Narrow" w:hAnsi="Liberation Sans Narrow"/>
                <w:b/>
                <w:sz w:val="18"/>
              </w:rPr>
              <w:t xml:space="preserve">311</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463</w:t>
            </w:r>
          </w:p>
        </w:tc>
        <w:tc>
          <w:tcPr>
            <w:tcW w:type="dxa" w:w="731"/>
          </w:tcPr>
          <w:p>
            <w:pPr>
              <w:pStyle w:val="Compact"/>
              <w:spacing w:before="20" w:after="20" w:line="240" w:lineRule="auto"/>
              <w:jc w:val="right"/>
            </w:pPr>
            <w:r>
              <w:rPr>
                <w:rFonts w:ascii="Liberation Sans Narrow" w:hAnsi="Liberation Sans Narrow"/>
                <w:b/>
                <w:sz w:val="18"/>
              </w:rPr>
              <w:t xml:space="preserve">91</w:t>
            </w:r>
          </w:p>
        </w:tc>
        <w:tc>
          <w:tcPr>
            <w:tcW w:type="dxa" w:w="1608"/>
          </w:tcPr>
          <w:p>
            <w:pPr>
              <w:pStyle w:val="Compact"/>
              <w:spacing w:before="20" w:after="20" w:line="240" w:lineRule="auto"/>
              <w:jc w:val="left"/>
            </w:pPr>
            <w:r>
              <w:rPr>
                <w:rFonts w:ascii="Liberation Sans Narrow" w:hAnsi="Liberation Sans Narrow"/>
                <w:b w:val="0"/>
                <w:sz w:val="18"/>
              </w:rPr>
              <w:t xml:space="preserve">Art. 652</w:t>
            </w:r>
          </w:p>
        </w:tc>
        <w:tc>
          <w:tcPr>
            <w:tcW w:type="dxa" w:w="731"/>
          </w:tcPr>
          <w:p>
            <w:pPr>
              <w:pStyle w:val="Compact"/>
              <w:spacing w:before="20" w:after="20" w:line="240" w:lineRule="auto"/>
              <w:jc w:val="right"/>
            </w:pPr>
            <w:r>
              <w:rPr>
                <w:rFonts w:ascii="Liberation Sans Narrow" w:hAnsi="Liberation Sans Narrow"/>
                <w:b/>
                <w:sz w:val="18"/>
              </w:rPr>
              <w:t xml:space="preserve">169</w:t>
            </w:r>
          </w:p>
        </w:tc>
        <w:tc>
          <w:tcPr>
            <w:tcW w:type="dxa" w:w="1608"/>
          </w:tcPr>
          <w:p>
            <w:pPr>
              <w:pStyle w:val="Compact"/>
              <w:spacing w:before="20" w:after="20" w:line="240" w:lineRule="auto"/>
              <w:jc w:val="left"/>
            </w:pPr>
            <w:r>
              <w:rPr>
                <w:rFonts w:ascii="Liberation Sans Narrow" w:hAnsi="Liberation Sans Narrow"/>
                <w:b w:val="0"/>
                <w:sz w:val="18"/>
              </w:rPr>
              <w:t xml:space="preserve">Art. 841</w:t>
            </w:r>
          </w:p>
        </w:tc>
        <w:tc>
          <w:tcPr>
            <w:tcW w:type="dxa" w:w="731"/>
          </w:tcPr>
          <w:p>
            <w:pPr>
              <w:pStyle w:val="Compact"/>
              <w:spacing w:before="20" w:after="20" w:line="240" w:lineRule="auto"/>
              <w:jc w:val="right"/>
            </w:pPr>
            <w:r>
              <w:rPr>
                <w:rFonts w:ascii="Liberation Sans Narrow" w:hAnsi="Liberation Sans Narrow"/>
                <w:b/>
                <w:sz w:val="18"/>
              </w:rPr>
              <w:t xml:space="preserve">234</w:t>
            </w:r>
          </w:p>
        </w:tc>
        <w:tc>
          <w:tcPr>
            <w:tcW w:type="dxa" w:w="1608"/>
          </w:tcPr>
          <w:p>
            <w:pPr>
              <w:pStyle w:val="Compact"/>
              <w:spacing w:before="20" w:after="20" w:line="240" w:lineRule="auto"/>
              <w:jc w:val="left"/>
            </w:pPr>
            <w:r>
              <w:rPr>
                <w:rFonts w:ascii="Liberation Sans Narrow" w:hAnsi="Liberation Sans Narrow"/>
                <w:b w:val="0"/>
                <w:sz w:val="18"/>
              </w:rPr>
              <w:t xml:space="preserve">Art. 1031</w:t>
            </w:r>
          </w:p>
        </w:tc>
        <w:tc>
          <w:tcPr>
            <w:tcW w:type="dxa" w:w="731"/>
          </w:tcPr>
          <w:p>
            <w:pPr>
              <w:pStyle w:val="Compact"/>
              <w:spacing w:before="20" w:after="20" w:line="240" w:lineRule="auto"/>
              <w:jc w:val="right"/>
            </w:pPr>
            <w:r>
              <w:rPr>
                <w:rFonts w:ascii="Liberation Sans Narrow" w:hAnsi="Liberation Sans Narrow"/>
                <w:b/>
                <w:sz w:val="18"/>
              </w:rPr>
              <w:t xml:space="preserve">312</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464</w:t>
            </w:r>
          </w:p>
        </w:tc>
        <w:tc>
          <w:tcPr>
            <w:tcW w:type="dxa" w:w="731"/>
          </w:tcPr>
          <w:p>
            <w:pPr>
              <w:pStyle w:val="Compact"/>
              <w:spacing w:before="20" w:after="20" w:line="240" w:lineRule="auto"/>
              <w:jc w:val="right"/>
            </w:pPr>
            <w:r>
              <w:rPr>
                <w:rFonts w:ascii="Liberation Sans Narrow" w:hAnsi="Liberation Sans Narrow"/>
                <w:b/>
                <w:sz w:val="18"/>
              </w:rPr>
              <w:t xml:space="preserve">91</w:t>
            </w:r>
          </w:p>
        </w:tc>
        <w:tc>
          <w:tcPr>
            <w:tcW w:type="dxa" w:w="1608"/>
          </w:tcPr>
          <w:p>
            <w:pPr>
              <w:pStyle w:val="Compact"/>
              <w:spacing w:before="20" w:after="20" w:line="240" w:lineRule="auto"/>
              <w:jc w:val="left"/>
            </w:pPr>
            <w:r>
              <w:rPr>
                <w:rFonts w:ascii="Liberation Sans Narrow" w:hAnsi="Liberation Sans Narrow"/>
                <w:b w:val="0"/>
                <w:sz w:val="18"/>
              </w:rPr>
              <w:t xml:space="preserve">Art. 653</w:t>
            </w:r>
          </w:p>
        </w:tc>
        <w:tc>
          <w:tcPr>
            <w:tcW w:type="dxa" w:w="731"/>
          </w:tcPr>
          <w:p>
            <w:pPr>
              <w:pStyle w:val="Compact"/>
              <w:spacing w:before="20" w:after="20" w:line="240" w:lineRule="auto"/>
              <w:jc w:val="right"/>
            </w:pPr>
            <w:r>
              <w:rPr>
                <w:rFonts w:ascii="Liberation Sans Narrow" w:hAnsi="Liberation Sans Narrow"/>
                <w:b/>
                <w:sz w:val="18"/>
              </w:rPr>
              <w:t xml:space="preserve">169</w:t>
            </w:r>
          </w:p>
        </w:tc>
        <w:tc>
          <w:tcPr>
            <w:tcW w:type="dxa" w:w="1608"/>
          </w:tcPr>
          <w:p>
            <w:pPr>
              <w:pStyle w:val="Compact"/>
              <w:spacing w:before="20" w:after="20" w:line="240" w:lineRule="auto"/>
              <w:jc w:val="left"/>
            </w:pPr>
            <w:r>
              <w:rPr>
                <w:rFonts w:ascii="Liberation Sans Narrow" w:hAnsi="Liberation Sans Narrow"/>
                <w:b w:val="0"/>
                <w:sz w:val="18"/>
              </w:rPr>
              <w:t xml:space="preserve">Art. 842</w:t>
            </w:r>
          </w:p>
        </w:tc>
        <w:tc>
          <w:tcPr>
            <w:tcW w:type="dxa" w:w="731"/>
          </w:tcPr>
          <w:p>
            <w:pPr>
              <w:pStyle w:val="Compact"/>
              <w:spacing w:before="20" w:after="20" w:line="240" w:lineRule="auto"/>
              <w:jc w:val="right"/>
            </w:pPr>
            <w:r>
              <w:rPr>
                <w:rFonts w:ascii="Liberation Sans Narrow" w:hAnsi="Liberation Sans Narrow"/>
                <w:b/>
                <w:sz w:val="18"/>
              </w:rPr>
              <w:t xml:space="preserve">234</w:t>
            </w:r>
          </w:p>
        </w:tc>
        <w:tc>
          <w:tcPr>
            <w:tcW w:type="dxa" w:w="1608"/>
          </w:tcPr>
          <w:p>
            <w:pPr>
              <w:pStyle w:val="Compact"/>
              <w:spacing w:before="20" w:after="20" w:line="240" w:lineRule="auto"/>
              <w:jc w:val="left"/>
            </w:pPr>
            <w:r>
              <w:rPr>
                <w:rFonts w:ascii="Liberation Sans Narrow" w:hAnsi="Liberation Sans Narrow"/>
                <w:b w:val="0"/>
                <w:sz w:val="18"/>
              </w:rPr>
              <w:t xml:space="preserve">Art. 1032</w:t>
            </w:r>
          </w:p>
        </w:tc>
        <w:tc>
          <w:tcPr>
            <w:tcW w:type="dxa" w:w="731"/>
          </w:tcPr>
          <w:p>
            <w:pPr>
              <w:pStyle w:val="Compact"/>
              <w:spacing w:before="20" w:after="20" w:line="240" w:lineRule="auto"/>
              <w:jc w:val="right"/>
            </w:pPr>
            <w:r>
              <w:rPr>
                <w:rFonts w:ascii="Liberation Sans Narrow" w:hAnsi="Liberation Sans Narrow"/>
                <w:b/>
                <w:sz w:val="18"/>
              </w:rPr>
              <w:t xml:space="preserve">313</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465</w:t>
            </w:r>
          </w:p>
        </w:tc>
        <w:tc>
          <w:tcPr>
            <w:tcW w:type="dxa" w:w="731"/>
          </w:tcPr>
          <w:p>
            <w:pPr>
              <w:pStyle w:val="Compact"/>
              <w:spacing w:before="20" w:after="20" w:line="240" w:lineRule="auto"/>
              <w:jc w:val="right"/>
            </w:pPr>
            <w:r>
              <w:rPr>
                <w:rFonts w:ascii="Liberation Sans Narrow" w:hAnsi="Liberation Sans Narrow"/>
                <w:b/>
                <w:sz w:val="18"/>
              </w:rPr>
              <w:t xml:space="preserve">92</w:t>
            </w:r>
          </w:p>
        </w:tc>
        <w:tc>
          <w:tcPr>
            <w:tcW w:type="dxa" w:w="1608"/>
          </w:tcPr>
          <w:p>
            <w:pPr>
              <w:pStyle w:val="Compact"/>
              <w:spacing w:before="20" w:after="20" w:line="240" w:lineRule="auto"/>
              <w:jc w:val="left"/>
            </w:pPr>
            <w:r>
              <w:rPr>
                <w:rFonts w:ascii="Liberation Sans Narrow" w:hAnsi="Liberation Sans Narrow"/>
                <w:b w:val="0"/>
                <w:sz w:val="18"/>
              </w:rPr>
              <w:t xml:space="preserve">Art. 654</w:t>
            </w:r>
          </w:p>
        </w:tc>
        <w:tc>
          <w:tcPr>
            <w:tcW w:type="dxa" w:w="731"/>
          </w:tcPr>
          <w:p>
            <w:pPr>
              <w:pStyle w:val="Compact"/>
              <w:spacing w:before="20" w:after="20" w:line="240" w:lineRule="auto"/>
              <w:jc w:val="right"/>
            </w:pPr>
            <w:r>
              <w:rPr>
                <w:rFonts w:ascii="Liberation Sans Narrow" w:hAnsi="Liberation Sans Narrow"/>
                <w:b/>
                <w:sz w:val="18"/>
              </w:rPr>
              <w:t xml:space="preserve">170</w:t>
            </w:r>
          </w:p>
        </w:tc>
        <w:tc>
          <w:tcPr>
            <w:tcW w:type="dxa" w:w="1608"/>
          </w:tcPr>
          <w:p>
            <w:pPr>
              <w:pStyle w:val="Compact"/>
              <w:spacing w:before="20" w:after="20" w:line="240" w:lineRule="auto"/>
              <w:jc w:val="left"/>
            </w:pPr>
            <w:r>
              <w:rPr>
                <w:rFonts w:ascii="Liberation Sans Narrow" w:hAnsi="Liberation Sans Narrow"/>
                <w:b w:val="0"/>
                <w:sz w:val="18"/>
              </w:rPr>
              <w:t xml:space="preserve">Art. 843</w:t>
            </w:r>
          </w:p>
        </w:tc>
        <w:tc>
          <w:tcPr>
            <w:tcW w:type="dxa" w:w="731"/>
          </w:tcPr>
          <w:p>
            <w:pPr>
              <w:pStyle w:val="Compact"/>
              <w:spacing w:before="20" w:after="20" w:line="240" w:lineRule="auto"/>
              <w:jc w:val="right"/>
            </w:pPr>
            <w:r>
              <w:rPr>
                <w:rFonts w:ascii="Liberation Sans Narrow" w:hAnsi="Liberation Sans Narrow"/>
                <w:b/>
                <w:sz w:val="18"/>
              </w:rPr>
              <w:t xml:space="preserve">234</w:t>
            </w:r>
          </w:p>
        </w:tc>
        <w:tc>
          <w:tcPr>
            <w:tcW w:type="dxa" w:w="1608"/>
          </w:tcPr>
          <w:p>
            <w:pPr>
              <w:pStyle w:val="Compact"/>
              <w:spacing w:before="20" w:after="20" w:line="240" w:lineRule="auto"/>
              <w:jc w:val="left"/>
            </w:pPr>
            <w:r>
              <w:rPr>
                <w:rFonts w:ascii="Liberation Sans Narrow" w:hAnsi="Liberation Sans Narrow"/>
                <w:b w:val="0"/>
                <w:sz w:val="18"/>
              </w:rPr>
              <w:t xml:space="preserve">Art. 1033</w:t>
            </w:r>
          </w:p>
        </w:tc>
        <w:tc>
          <w:tcPr>
            <w:tcW w:type="dxa" w:w="731"/>
          </w:tcPr>
          <w:p>
            <w:pPr>
              <w:pStyle w:val="Compact"/>
              <w:spacing w:before="20" w:after="20" w:line="240" w:lineRule="auto"/>
              <w:jc w:val="right"/>
            </w:pPr>
            <w:r>
              <w:rPr>
                <w:rFonts w:ascii="Liberation Sans Narrow" w:hAnsi="Liberation Sans Narrow"/>
                <w:b/>
                <w:sz w:val="18"/>
              </w:rPr>
              <w:t xml:space="preserve">313</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466</w:t>
            </w:r>
          </w:p>
        </w:tc>
        <w:tc>
          <w:tcPr>
            <w:tcW w:type="dxa" w:w="731"/>
          </w:tcPr>
          <w:p>
            <w:pPr>
              <w:pStyle w:val="Compact"/>
              <w:spacing w:before="20" w:after="20" w:line="240" w:lineRule="auto"/>
              <w:jc w:val="right"/>
            </w:pPr>
            <w:r>
              <w:rPr>
                <w:rFonts w:ascii="Liberation Sans Narrow" w:hAnsi="Liberation Sans Narrow"/>
                <w:b/>
                <w:sz w:val="18"/>
              </w:rPr>
              <w:t xml:space="preserve">93</w:t>
            </w:r>
          </w:p>
        </w:tc>
        <w:tc>
          <w:tcPr>
            <w:tcW w:type="dxa" w:w="1608"/>
          </w:tcPr>
          <w:p>
            <w:pPr>
              <w:pStyle w:val="Compact"/>
              <w:spacing w:before="20" w:after="20" w:line="240" w:lineRule="auto"/>
              <w:jc w:val="left"/>
            </w:pPr>
            <w:r>
              <w:rPr>
                <w:rFonts w:ascii="Liberation Sans Narrow" w:hAnsi="Liberation Sans Narrow"/>
                <w:b w:val="0"/>
                <w:sz w:val="18"/>
              </w:rPr>
              <w:t xml:space="preserve">Art. 655</w:t>
            </w:r>
          </w:p>
        </w:tc>
        <w:tc>
          <w:tcPr>
            <w:tcW w:type="dxa" w:w="731"/>
          </w:tcPr>
          <w:p>
            <w:pPr>
              <w:pStyle w:val="Compact"/>
              <w:spacing w:before="20" w:after="20" w:line="240" w:lineRule="auto"/>
              <w:jc w:val="right"/>
            </w:pPr>
            <w:r>
              <w:rPr>
                <w:rFonts w:ascii="Liberation Sans Narrow" w:hAnsi="Liberation Sans Narrow"/>
                <w:b/>
                <w:sz w:val="18"/>
              </w:rPr>
              <w:t xml:space="preserve">170</w:t>
            </w:r>
          </w:p>
        </w:tc>
        <w:tc>
          <w:tcPr>
            <w:tcW w:type="dxa" w:w="1608"/>
          </w:tcPr>
          <w:p>
            <w:pPr>
              <w:pStyle w:val="Compact"/>
              <w:spacing w:before="20" w:after="20" w:line="240" w:lineRule="auto"/>
              <w:jc w:val="left"/>
            </w:pPr>
            <w:r>
              <w:rPr>
                <w:rFonts w:ascii="Liberation Sans Narrow" w:hAnsi="Liberation Sans Narrow"/>
                <w:b w:val="0"/>
                <w:sz w:val="18"/>
              </w:rPr>
              <w:t xml:space="preserve">Art. 844</w:t>
            </w:r>
          </w:p>
        </w:tc>
        <w:tc>
          <w:tcPr>
            <w:tcW w:type="dxa" w:w="731"/>
          </w:tcPr>
          <w:p>
            <w:pPr>
              <w:pStyle w:val="Compact"/>
              <w:spacing w:before="20" w:after="20" w:line="240" w:lineRule="auto"/>
              <w:jc w:val="right"/>
            </w:pPr>
            <w:r>
              <w:rPr>
                <w:rFonts w:ascii="Liberation Sans Narrow" w:hAnsi="Liberation Sans Narrow"/>
                <w:b/>
                <w:sz w:val="18"/>
              </w:rPr>
              <w:t xml:space="preserve">235</w:t>
            </w:r>
          </w:p>
        </w:tc>
        <w:tc>
          <w:tcPr>
            <w:tcW w:type="dxa" w:w="1608"/>
          </w:tcPr>
          <w:p>
            <w:pPr>
              <w:pStyle w:val="Compact"/>
              <w:spacing w:before="20" w:after="20" w:line="240" w:lineRule="auto"/>
              <w:jc w:val="left"/>
            </w:pPr>
            <w:r>
              <w:rPr>
                <w:rFonts w:ascii="Liberation Sans Narrow" w:hAnsi="Liberation Sans Narrow"/>
                <w:b w:val="0"/>
                <w:sz w:val="18"/>
              </w:rPr>
              <w:t xml:space="preserve">Art. 1034</w:t>
            </w:r>
          </w:p>
        </w:tc>
        <w:tc>
          <w:tcPr>
            <w:tcW w:type="dxa" w:w="731"/>
          </w:tcPr>
          <w:p>
            <w:pPr>
              <w:pStyle w:val="Compact"/>
              <w:spacing w:before="20" w:after="20" w:line="240" w:lineRule="auto"/>
              <w:jc w:val="right"/>
            </w:pPr>
            <w:r>
              <w:rPr>
                <w:rFonts w:ascii="Liberation Sans Narrow" w:hAnsi="Liberation Sans Narrow"/>
                <w:b/>
                <w:sz w:val="18"/>
              </w:rPr>
              <w:t xml:space="preserve">313</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467</w:t>
            </w:r>
          </w:p>
        </w:tc>
        <w:tc>
          <w:tcPr>
            <w:tcW w:type="dxa" w:w="731"/>
          </w:tcPr>
          <w:p>
            <w:pPr>
              <w:pStyle w:val="Compact"/>
              <w:spacing w:before="20" w:after="20" w:line="240" w:lineRule="auto"/>
              <w:jc w:val="right"/>
            </w:pPr>
            <w:r>
              <w:rPr>
                <w:rFonts w:ascii="Liberation Sans Narrow" w:hAnsi="Liberation Sans Narrow"/>
                <w:b/>
                <w:sz w:val="18"/>
              </w:rPr>
              <w:t xml:space="preserve">93</w:t>
            </w:r>
          </w:p>
        </w:tc>
        <w:tc>
          <w:tcPr>
            <w:tcW w:type="dxa" w:w="1608"/>
          </w:tcPr>
          <w:p>
            <w:pPr>
              <w:pStyle w:val="Compact"/>
              <w:spacing w:before="20" w:after="20" w:line="240" w:lineRule="auto"/>
              <w:jc w:val="left"/>
            </w:pPr>
            <w:r>
              <w:rPr>
                <w:rFonts w:ascii="Liberation Sans Narrow" w:hAnsi="Liberation Sans Narrow"/>
                <w:b w:val="0"/>
                <w:sz w:val="18"/>
              </w:rPr>
              <w:t xml:space="preserve">Art. 656</w:t>
            </w:r>
          </w:p>
        </w:tc>
        <w:tc>
          <w:tcPr>
            <w:tcW w:type="dxa" w:w="731"/>
          </w:tcPr>
          <w:p>
            <w:pPr>
              <w:pStyle w:val="Compact"/>
              <w:spacing w:before="20" w:after="20" w:line="240" w:lineRule="auto"/>
              <w:jc w:val="right"/>
            </w:pPr>
            <w:r>
              <w:rPr>
                <w:rFonts w:ascii="Liberation Sans Narrow" w:hAnsi="Liberation Sans Narrow"/>
                <w:b/>
                <w:sz w:val="18"/>
              </w:rPr>
              <w:t xml:space="preserve">170</w:t>
            </w:r>
          </w:p>
        </w:tc>
        <w:tc>
          <w:tcPr>
            <w:tcW w:type="dxa" w:w="1608"/>
          </w:tcPr>
          <w:p>
            <w:pPr>
              <w:pStyle w:val="Compact"/>
              <w:spacing w:before="20" w:after="20" w:line="240" w:lineRule="auto"/>
              <w:jc w:val="left"/>
            </w:pPr>
            <w:r>
              <w:rPr>
                <w:rFonts w:ascii="Liberation Sans Narrow" w:hAnsi="Liberation Sans Narrow"/>
                <w:b w:val="0"/>
                <w:sz w:val="18"/>
              </w:rPr>
              <w:t xml:space="preserve">Art. 845</w:t>
            </w:r>
          </w:p>
        </w:tc>
        <w:tc>
          <w:tcPr>
            <w:tcW w:type="dxa" w:w="731"/>
          </w:tcPr>
          <w:p>
            <w:pPr>
              <w:pStyle w:val="Compact"/>
              <w:spacing w:before="20" w:after="20" w:line="240" w:lineRule="auto"/>
              <w:jc w:val="right"/>
            </w:pPr>
            <w:r>
              <w:rPr>
                <w:rFonts w:ascii="Liberation Sans Narrow" w:hAnsi="Liberation Sans Narrow"/>
                <w:b/>
                <w:sz w:val="18"/>
              </w:rPr>
              <w:t xml:space="preserve">235</w:t>
            </w:r>
          </w:p>
        </w:tc>
        <w:tc>
          <w:tcPr>
            <w:tcW w:type="dxa" w:w="1608"/>
          </w:tcPr>
          <w:p>
            <w:pPr>
              <w:pStyle w:val="Compact"/>
              <w:spacing w:before="20" w:after="20" w:line="240" w:lineRule="auto"/>
              <w:jc w:val="left"/>
            </w:pPr>
            <w:r>
              <w:rPr>
                <w:rFonts w:ascii="Liberation Sans Narrow" w:hAnsi="Liberation Sans Narrow"/>
                <w:b w:val="0"/>
                <w:sz w:val="18"/>
              </w:rPr>
              <w:t xml:space="preserve">Art. 1035</w:t>
            </w:r>
          </w:p>
        </w:tc>
        <w:tc>
          <w:tcPr>
            <w:tcW w:type="dxa" w:w="731"/>
          </w:tcPr>
          <w:p>
            <w:pPr>
              <w:pStyle w:val="Compact"/>
              <w:spacing w:before="20" w:after="20" w:line="240" w:lineRule="auto"/>
              <w:jc w:val="right"/>
            </w:pPr>
            <w:r>
              <w:rPr>
                <w:rFonts w:ascii="Liberation Sans Narrow" w:hAnsi="Liberation Sans Narrow"/>
                <w:b/>
                <w:sz w:val="18"/>
              </w:rPr>
              <w:t xml:space="preserve">313</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468</w:t>
            </w:r>
          </w:p>
        </w:tc>
        <w:tc>
          <w:tcPr>
            <w:tcW w:type="dxa" w:w="731"/>
          </w:tcPr>
          <w:p>
            <w:pPr>
              <w:pStyle w:val="Compact"/>
              <w:spacing w:before="20" w:after="20" w:line="240" w:lineRule="auto"/>
              <w:jc w:val="right"/>
            </w:pPr>
            <w:r>
              <w:rPr>
                <w:rFonts w:ascii="Liberation Sans Narrow" w:hAnsi="Liberation Sans Narrow"/>
                <w:b/>
                <w:sz w:val="18"/>
              </w:rPr>
              <w:t xml:space="preserve">94</w:t>
            </w:r>
          </w:p>
        </w:tc>
        <w:tc>
          <w:tcPr>
            <w:tcW w:type="dxa" w:w="1608"/>
          </w:tcPr>
          <w:p>
            <w:pPr>
              <w:pStyle w:val="Compact"/>
              <w:spacing w:before="20" w:after="20" w:line="240" w:lineRule="auto"/>
              <w:jc w:val="left"/>
            </w:pPr>
            <w:r>
              <w:rPr>
                <w:rFonts w:ascii="Liberation Sans Narrow" w:hAnsi="Liberation Sans Narrow"/>
                <w:b w:val="0"/>
                <w:sz w:val="18"/>
              </w:rPr>
              <w:t xml:space="preserve">Art. 657</w:t>
            </w:r>
          </w:p>
        </w:tc>
        <w:tc>
          <w:tcPr>
            <w:tcW w:type="dxa" w:w="731"/>
          </w:tcPr>
          <w:p>
            <w:pPr>
              <w:pStyle w:val="Compact"/>
              <w:spacing w:before="20" w:after="20" w:line="240" w:lineRule="auto"/>
              <w:jc w:val="right"/>
            </w:pPr>
            <w:r>
              <w:rPr>
                <w:rFonts w:ascii="Liberation Sans Narrow" w:hAnsi="Liberation Sans Narrow"/>
                <w:b/>
                <w:sz w:val="18"/>
              </w:rPr>
              <w:t xml:space="preserve">170</w:t>
            </w:r>
          </w:p>
        </w:tc>
        <w:tc>
          <w:tcPr>
            <w:tcW w:type="dxa" w:w="1608"/>
          </w:tcPr>
          <w:p>
            <w:pPr>
              <w:pStyle w:val="Compact"/>
              <w:spacing w:before="20" w:after="20" w:line="240" w:lineRule="auto"/>
              <w:jc w:val="left"/>
            </w:pPr>
            <w:r>
              <w:rPr>
                <w:rFonts w:ascii="Liberation Sans Narrow" w:hAnsi="Liberation Sans Narrow"/>
                <w:b w:val="0"/>
                <w:sz w:val="18"/>
              </w:rPr>
              <w:t xml:space="preserve">Art. 846</w:t>
            </w:r>
          </w:p>
        </w:tc>
        <w:tc>
          <w:tcPr>
            <w:tcW w:type="dxa" w:w="731"/>
          </w:tcPr>
          <w:p>
            <w:pPr>
              <w:pStyle w:val="Compact"/>
              <w:spacing w:before="20" w:after="20" w:line="240" w:lineRule="auto"/>
              <w:jc w:val="right"/>
            </w:pPr>
            <w:r>
              <w:rPr>
                <w:rFonts w:ascii="Liberation Sans Narrow" w:hAnsi="Liberation Sans Narrow"/>
                <w:b/>
                <w:sz w:val="18"/>
              </w:rPr>
              <w:t xml:space="preserve">235</w:t>
            </w:r>
          </w:p>
        </w:tc>
        <w:tc>
          <w:tcPr>
            <w:tcW w:type="dxa" w:w="1608"/>
          </w:tcPr>
          <w:p>
            <w:pPr>
              <w:pStyle w:val="Compact"/>
              <w:spacing w:before="20" w:after="20" w:line="240" w:lineRule="auto"/>
              <w:jc w:val="left"/>
            </w:pPr>
            <w:r>
              <w:rPr>
                <w:rFonts w:ascii="Liberation Sans Narrow" w:hAnsi="Liberation Sans Narrow"/>
                <w:b w:val="0"/>
                <w:sz w:val="18"/>
              </w:rPr>
              <w:t xml:space="preserve">Art. 1036</w:t>
            </w:r>
          </w:p>
        </w:tc>
        <w:tc>
          <w:tcPr>
            <w:tcW w:type="dxa" w:w="731"/>
          </w:tcPr>
          <w:p>
            <w:pPr>
              <w:pStyle w:val="Compact"/>
              <w:spacing w:before="20" w:after="20" w:line="240" w:lineRule="auto"/>
              <w:jc w:val="right"/>
            </w:pPr>
            <w:r>
              <w:rPr>
                <w:rFonts w:ascii="Liberation Sans Narrow" w:hAnsi="Liberation Sans Narrow"/>
                <w:b/>
                <w:sz w:val="18"/>
              </w:rPr>
              <w:t xml:space="preserve">314</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469</w:t>
            </w:r>
          </w:p>
        </w:tc>
        <w:tc>
          <w:tcPr>
            <w:tcW w:type="dxa" w:w="731"/>
          </w:tcPr>
          <w:p>
            <w:pPr>
              <w:pStyle w:val="Compact"/>
              <w:spacing w:before="20" w:after="20" w:line="240" w:lineRule="auto"/>
              <w:jc w:val="right"/>
            </w:pPr>
            <w:r>
              <w:rPr>
                <w:rFonts w:ascii="Liberation Sans Narrow" w:hAnsi="Liberation Sans Narrow"/>
                <w:b/>
                <w:sz w:val="18"/>
              </w:rPr>
              <w:t xml:space="preserve">94</w:t>
            </w:r>
          </w:p>
        </w:tc>
        <w:tc>
          <w:tcPr>
            <w:tcW w:type="dxa" w:w="1608"/>
          </w:tcPr>
          <w:p>
            <w:pPr>
              <w:pStyle w:val="Compact"/>
              <w:spacing w:before="20" w:after="20" w:line="240" w:lineRule="auto"/>
              <w:jc w:val="left"/>
            </w:pPr>
            <w:r>
              <w:rPr>
                <w:rFonts w:ascii="Liberation Sans Narrow" w:hAnsi="Liberation Sans Narrow"/>
                <w:b w:val="0"/>
                <w:sz w:val="18"/>
              </w:rPr>
              <w:t xml:space="preserve">Art. 658</w:t>
            </w:r>
          </w:p>
        </w:tc>
        <w:tc>
          <w:tcPr>
            <w:tcW w:type="dxa" w:w="731"/>
          </w:tcPr>
          <w:p>
            <w:pPr>
              <w:pStyle w:val="Compact"/>
              <w:spacing w:before="20" w:after="20" w:line="240" w:lineRule="auto"/>
              <w:jc w:val="right"/>
            </w:pPr>
            <w:r>
              <w:rPr>
                <w:rFonts w:ascii="Liberation Sans Narrow" w:hAnsi="Liberation Sans Narrow"/>
                <w:b/>
                <w:sz w:val="18"/>
              </w:rPr>
              <w:t xml:space="preserve">171</w:t>
            </w:r>
          </w:p>
        </w:tc>
        <w:tc>
          <w:tcPr>
            <w:tcW w:type="dxa" w:w="1608"/>
          </w:tcPr>
          <w:p>
            <w:pPr>
              <w:pStyle w:val="Compact"/>
              <w:spacing w:before="20" w:after="20" w:line="240" w:lineRule="auto"/>
              <w:jc w:val="left"/>
            </w:pPr>
            <w:r>
              <w:rPr>
                <w:rFonts w:ascii="Liberation Sans Narrow" w:hAnsi="Liberation Sans Narrow"/>
                <w:b w:val="0"/>
                <w:sz w:val="18"/>
              </w:rPr>
              <w:t xml:space="preserve">Art. 847</w:t>
            </w:r>
          </w:p>
        </w:tc>
        <w:tc>
          <w:tcPr>
            <w:tcW w:type="dxa" w:w="731"/>
          </w:tcPr>
          <w:p>
            <w:pPr>
              <w:pStyle w:val="Compact"/>
              <w:spacing w:before="20" w:after="20" w:line="240" w:lineRule="auto"/>
              <w:jc w:val="right"/>
            </w:pPr>
            <w:r>
              <w:rPr>
                <w:rFonts w:ascii="Liberation Sans Narrow" w:hAnsi="Liberation Sans Narrow"/>
                <w:b/>
                <w:sz w:val="18"/>
              </w:rPr>
              <w:t xml:space="preserve">236</w:t>
            </w:r>
          </w:p>
        </w:tc>
        <w:tc>
          <w:tcPr>
            <w:tcW w:type="dxa" w:w="1608"/>
          </w:tcPr>
          <w:p>
            <w:pPr>
              <w:pStyle w:val="Compact"/>
              <w:spacing w:before="20" w:after="20" w:line="240" w:lineRule="auto"/>
              <w:jc w:val="left"/>
            </w:pPr>
            <w:r>
              <w:rPr>
                <w:rFonts w:ascii="Liberation Sans Narrow" w:hAnsi="Liberation Sans Narrow"/>
                <w:b w:val="0"/>
                <w:sz w:val="18"/>
              </w:rPr>
              <w:t xml:space="preserve">Art. 1037</w:t>
            </w:r>
          </w:p>
        </w:tc>
        <w:tc>
          <w:tcPr>
            <w:tcW w:type="dxa" w:w="731"/>
          </w:tcPr>
          <w:p>
            <w:pPr>
              <w:pStyle w:val="Compact"/>
              <w:spacing w:before="20" w:after="20" w:line="240" w:lineRule="auto"/>
              <w:jc w:val="right"/>
            </w:pPr>
            <w:r>
              <w:rPr>
                <w:rFonts w:ascii="Liberation Sans Narrow" w:hAnsi="Liberation Sans Narrow"/>
                <w:b/>
                <w:sz w:val="18"/>
              </w:rPr>
              <w:t xml:space="preserve">315</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470</w:t>
            </w:r>
          </w:p>
        </w:tc>
        <w:tc>
          <w:tcPr>
            <w:tcW w:type="dxa" w:w="731"/>
          </w:tcPr>
          <w:p>
            <w:pPr>
              <w:pStyle w:val="Compact"/>
              <w:spacing w:before="20" w:after="20" w:line="240" w:lineRule="auto"/>
              <w:jc w:val="right"/>
            </w:pPr>
            <w:r>
              <w:rPr>
                <w:rFonts w:ascii="Liberation Sans Narrow" w:hAnsi="Liberation Sans Narrow"/>
                <w:b/>
                <w:sz w:val="18"/>
              </w:rPr>
              <w:t xml:space="preserve">95</w:t>
            </w:r>
          </w:p>
        </w:tc>
        <w:tc>
          <w:tcPr>
            <w:tcW w:type="dxa" w:w="1608"/>
          </w:tcPr>
          <w:p>
            <w:pPr>
              <w:pStyle w:val="Compact"/>
              <w:spacing w:before="20" w:after="20" w:line="240" w:lineRule="auto"/>
              <w:jc w:val="left"/>
            </w:pPr>
            <w:r>
              <w:rPr>
                <w:rFonts w:ascii="Liberation Sans Narrow" w:hAnsi="Liberation Sans Narrow"/>
                <w:b w:val="0"/>
                <w:sz w:val="18"/>
              </w:rPr>
              <w:t xml:space="preserve">Art. 659</w:t>
            </w:r>
          </w:p>
        </w:tc>
        <w:tc>
          <w:tcPr>
            <w:tcW w:type="dxa" w:w="731"/>
          </w:tcPr>
          <w:p>
            <w:pPr>
              <w:pStyle w:val="Compact"/>
              <w:spacing w:before="20" w:after="20" w:line="240" w:lineRule="auto"/>
              <w:jc w:val="right"/>
            </w:pPr>
            <w:r>
              <w:rPr>
                <w:rFonts w:ascii="Liberation Sans Narrow" w:hAnsi="Liberation Sans Narrow"/>
                <w:b/>
                <w:sz w:val="18"/>
              </w:rPr>
              <w:t xml:space="preserve">171</w:t>
            </w:r>
          </w:p>
        </w:tc>
        <w:tc>
          <w:tcPr>
            <w:tcW w:type="dxa" w:w="1608"/>
          </w:tcPr>
          <w:p>
            <w:pPr>
              <w:pStyle w:val="Compact"/>
              <w:spacing w:before="20" w:after="20" w:line="240" w:lineRule="auto"/>
              <w:jc w:val="left"/>
            </w:pPr>
            <w:r>
              <w:rPr>
                <w:rFonts w:ascii="Liberation Sans Narrow" w:hAnsi="Liberation Sans Narrow"/>
                <w:b w:val="0"/>
                <w:sz w:val="18"/>
              </w:rPr>
              <w:t xml:space="preserve">Art. 848</w:t>
            </w:r>
          </w:p>
        </w:tc>
        <w:tc>
          <w:tcPr>
            <w:tcW w:type="dxa" w:w="731"/>
          </w:tcPr>
          <w:p>
            <w:pPr>
              <w:pStyle w:val="Compact"/>
              <w:spacing w:before="20" w:after="20" w:line="240" w:lineRule="auto"/>
              <w:jc w:val="right"/>
            </w:pPr>
            <w:r>
              <w:rPr>
                <w:rFonts w:ascii="Liberation Sans Narrow" w:hAnsi="Liberation Sans Narrow"/>
                <w:b/>
                <w:sz w:val="18"/>
              </w:rPr>
              <w:t xml:space="preserve">236</w:t>
            </w:r>
          </w:p>
        </w:tc>
        <w:tc>
          <w:tcPr>
            <w:tcW w:type="dxa" w:w="1608"/>
          </w:tcPr>
          <w:p>
            <w:pPr>
              <w:pStyle w:val="Compact"/>
              <w:spacing w:before="20" w:after="20" w:line="240" w:lineRule="auto"/>
              <w:jc w:val="left"/>
            </w:pPr>
            <w:r>
              <w:rPr>
                <w:rFonts w:ascii="Liberation Sans Narrow" w:hAnsi="Liberation Sans Narrow"/>
                <w:b w:val="0"/>
                <w:sz w:val="18"/>
              </w:rPr>
              <w:t xml:space="preserve">Art. 1038</w:t>
            </w:r>
          </w:p>
        </w:tc>
        <w:tc>
          <w:tcPr>
            <w:tcW w:type="dxa" w:w="731"/>
          </w:tcPr>
          <w:p>
            <w:pPr>
              <w:pStyle w:val="Compact"/>
              <w:spacing w:before="20" w:after="20" w:line="240" w:lineRule="auto"/>
              <w:jc w:val="right"/>
            </w:pPr>
            <w:r>
              <w:rPr>
                <w:rFonts w:ascii="Liberation Sans Narrow" w:hAnsi="Liberation Sans Narrow"/>
                <w:b/>
                <w:sz w:val="18"/>
              </w:rPr>
              <w:t xml:space="preserve">316</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471</w:t>
            </w:r>
          </w:p>
        </w:tc>
        <w:tc>
          <w:tcPr>
            <w:tcW w:type="dxa" w:w="731"/>
          </w:tcPr>
          <w:p>
            <w:pPr>
              <w:pStyle w:val="Compact"/>
              <w:spacing w:before="20" w:after="20" w:line="240" w:lineRule="auto"/>
              <w:jc w:val="right"/>
            </w:pPr>
            <w:r>
              <w:rPr>
                <w:rFonts w:ascii="Liberation Sans Narrow" w:hAnsi="Liberation Sans Narrow"/>
                <w:b/>
                <w:sz w:val="18"/>
              </w:rPr>
              <w:t xml:space="preserve">95</w:t>
            </w:r>
          </w:p>
        </w:tc>
        <w:tc>
          <w:tcPr>
            <w:tcW w:type="dxa" w:w="1608"/>
          </w:tcPr>
          <w:p>
            <w:pPr>
              <w:pStyle w:val="Compact"/>
              <w:spacing w:before="20" w:after="20" w:line="240" w:lineRule="auto"/>
              <w:jc w:val="left"/>
            </w:pPr>
            <w:r>
              <w:rPr>
                <w:rFonts w:ascii="Liberation Sans Narrow" w:hAnsi="Liberation Sans Narrow"/>
                <w:b w:val="0"/>
                <w:sz w:val="18"/>
              </w:rPr>
              <w:t xml:space="preserve">Art. 660</w:t>
            </w:r>
          </w:p>
        </w:tc>
        <w:tc>
          <w:tcPr>
            <w:tcW w:type="dxa" w:w="731"/>
          </w:tcPr>
          <w:p>
            <w:pPr>
              <w:pStyle w:val="Compact"/>
              <w:spacing w:before="20" w:after="20" w:line="240" w:lineRule="auto"/>
              <w:jc w:val="right"/>
            </w:pPr>
            <w:r>
              <w:rPr>
                <w:rFonts w:ascii="Liberation Sans Narrow" w:hAnsi="Liberation Sans Narrow"/>
                <w:b/>
                <w:sz w:val="18"/>
              </w:rPr>
              <w:t xml:space="preserve">172</w:t>
            </w:r>
          </w:p>
        </w:tc>
        <w:tc>
          <w:tcPr>
            <w:tcW w:type="dxa" w:w="1608"/>
          </w:tcPr>
          <w:p>
            <w:pPr>
              <w:pStyle w:val="Compact"/>
              <w:spacing w:before="20" w:after="20" w:line="240" w:lineRule="auto"/>
              <w:jc w:val="left"/>
            </w:pPr>
            <w:r>
              <w:rPr>
                <w:rFonts w:ascii="Liberation Sans Narrow" w:hAnsi="Liberation Sans Narrow"/>
                <w:b w:val="0"/>
                <w:sz w:val="18"/>
              </w:rPr>
              <w:t xml:space="preserve">Art. 849</w:t>
            </w:r>
          </w:p>
        </w:tc>
        <w:tc>
          <w:tcPr>
            <w:tcW w:type="dxa" w:w="731"/>
          </w:tcPr>
          <w:p>
            <w:pPr>
              <w:pStyle w:val="Compact"/>
              <w:spacing w:before="20" w:after="20" w:line="240" w:lineRule="auto"/>
              <w:jc w:val="right"/>
            </w:pPr>
            <w:r>
              <w:rPr>
                <w:rFonts w:ascii="Liberation Sans Narrow" w:hAnsi="Liberation Sans Narrow"/>
                <w:b/>
                <w:sz w:val="18"/>
              </w:rPr>
              <w:t xml:space="preserve">237</w:t>
            </w:r>
          </w:p>
        </w:tc>
        <w:tc>
          <w:tcPr>
            <w:tcW w:type="dxa" w:w="1608"/>
          </w:tcPr>
          <w:p>
            <w:pPr>
              <w:pStyle w:val="Compact"/>
              <w:spacing w:before="20" w:after="20" w:line="240" w:lineRule="auto"/>
              <w:jc w:val="left"/>
            </w:pPr>
            <w:r>
              <w:rPr>
                <w:rFonts w:ascii="Liberation Sans Narrow" w:hAnsi="Liberation Sans Narrow"/>
                <w:b w:val="0"/>
                <w:sz w:val="18"/>
              </w:rPr>
              <w:t xml:space="preserve">Art. 1039</w:t>
            </w:r>
          </w:p>
        </w:tc>
        <w:tc>
          <w:tcPr>
            <w:tcW w:type="dxa" w:w="731"/>
          </w:tcPr>
          <w:p>
            <w:pPr>
              <w:pStyle w:val="Compact"/>
              <w:spacing w:before="20" w:after="20" w:line="240" w:lineRule="auto"/>
              <w:jc w:val="right"/>
            </w:pPr>
            <w:r>
              <w:rPr>
                <w:rFonts w:ascii="Liberation Sans Narrow" w:hAnsi="Liberation Sans Narrow"/>
                <w:b/>
                <w:sz w:val="18"/>
              </w:rPr>
              <w:t xml:space="preserve">317</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472</w:t>
            </w:r>
          </w:p>
        </w:tc>
        <w:tc>
          <w:tcPr>
            <w:tcW w:type="dxa" w:w="731"/>
          </w:tcPr>
          <w:p>
            <w:pPr>
              <w:pStyle w:val="Compact"/>
              <w:spacing w:before="20" w:after="20" w:line="240" w:lineRule="auto"/>
              <w:jc w:val="right"/>
            </w:pPr>
            <w:r>
              <w:rPr>
                <w:rFonts w:ascii="Liberation Sans Narrow" w:hAnsi="Liberation Sans Narrow"/>
                <w:b/>
                <w:sz w:val="18"/>
              </w:rPr>
              <w:t xml:space="preserve">96</w:t>
            </w:r>
          </w:p>
        </w:tc>
        <w:tc>
          <w:tcPr>
            <w:tcW w:type="dxa" w:w="1608"/>
          </w:tcPr>
          <w:p>
            <w:pPr>
              <w:pStyle w:val="Compact"/>
              <w:spacing w:before="20" w:after="20" w:line="240" w:lineRule="auto"/>
              <w:jc w:val="left"/>
            </w:pPr>
            <w:r>
              <w:rPr>
                <w:rFonts w:ascii="Liberation Sans Narrow" w:hAnsi="Liberation Sans Narrow"/>
                <w:b w:val="0"/>
                <w:sz w:val="18"/>
              </w:rPr>
              <w:t xml:space="preserve">Art. 661</w:t>
            </w:r>
          </w:p>
        </w:tc>
        <w:tc>
          <w:tcPr>
            <w:tcW w:type="dxa" w:w="731"/>
          </w:tcPr>
          <w:p>
            <w:pPr>
              <w:pStyle w:val="Compact"/>
              <w:spacing w:before="20" w:after="20" w:line="240" w:lineRule="auto"/>
              <w:jc w:val="right"/>
            </w:pPr>
            <w:r>
              <w:rPr>
                <w:rFonts w:ascii="Liberation Sans Narrow" w:hAnsi="Liberation Sans Narrow"/>
                <w:b/>
                <w:sz w:val="18"/>
              </w:rPr>
              <w:t xml:space="preserve">172</w:t>
            </w:r>
          </w:p>
        </w:tc>
        <w:tc>
          <w:tcPr>
            <w:tcW w:type="dxa" w:w="1608"/>
          </w:tcPr>
          <w:p>
            <w:pPr>
              <w:pStyle w:val="Compact"/>
              <w:spacing w:before="20" w:after="20" w:line="240" w:lineRule="auto"/>
              <w:jc w:val="left"/>
            </w:pPr>
            <w:r>
              <w:rPr>
                <w:rFonts w:ascii="Liberation Sans Narrow" w:hAnsi="Liberation Sans Narrow"/>
                <w:b w:val="0"/>
                <w:sz w:val="18"/>
              </w:rPr>
              <w:t xml:space="preserve">Art. 850</w:t>
            </w:r>
          </w:p>
        </w:tc>
        <w:tc>
          <w:tcPr>
            <w:tcW w:type="dxa" w:w="731"/>
          </w:tcPr>
          <w:p>
            <w:pPr>
              <w:pStyle w:val="Compact"/>
              <w:spacing w:before="20" w:after="20" w:line="240" w:lineRule="auto"/>
              <w:jc w:val="right"/>
            </w:pPr>
            <w:r>
              <w:rPr>
                <w:rFonts w:ascii="Liberation Sans Narrow" w:hAnsi="Liberation Sans Narrow"/>
                <w:b/>
                <w:sz w:val="18"/>
              </w:rPr>
              <w:t xml:space="preserve">237</w:t>
            </w:r>
          </w:p>
        </w:tc>
        <w:tc>
          <w:tcPr>
            <w:tcW w:type="dxa" w:w="1608"/>
          </w:tcPr>
          <w:p>
            <w:pPr>
              <w:pStyle w:val="Compact"/>
              <w:spacing w:before="20" w:after="20" w:line="240" w:lineRule="auto"/>
              <w:jc w:val="left"/>
            </w:pPr>
            <w:r>
              <w:rPr>
                <w:rFonts w:ascii="Liberation Sans Narrow" w:hAnsi="Liberation Sans Narrow"/>
                <w:b w:val="0"/>
                <w:sz w:val="18"/>
              </w:rPr>
              <w:t xml:space="preserve">Art. 1040</w:t>
            </w:r>
          </w:p>
        </w:tc>
        <w:tc>
          <w:tcPr>
            <w:tcW w:type="dxa" w:w="731"/>
          </w:tcPr>
          <w:p>
            <w:pPr>
              <w:pStyle w:val="Compact"/>
              <w:spacing w:before="20" w:after="20" w:line="240" w:lineRule="auto"/>
              <w:jc w:val="right"/>
            </w:pPr>
            <w:r>
              <w:rPr>
                <w:rFonts w:ascii="Liberation Sans Narrow" w:hAnsi="Liberation Sans Narrow"/>
                <w:b/>
                <w:sz w:val="18"/>
              </w:rPr>
              <w:t xml:space="preserve">317</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473</w:t>
            </w:r>
          </w:p>
        </w:tc>
        <w:tc>
          <w:tcPr>
            <w:tcW w:type="dxa" w:w="731"/>
          </w:tcPr>
          <w:p>
            <w:pPr>
              <w:pStyle w:val="Compact"/>
              <w:spacing w:before="20" w:after="20" w:line="240" w:lineRule="auto"/>
              <w:jc w:val="right"/>
            </w:pPr>
            <w:r>
              <w:rPr>
                <w:rFonts w:ascii="Liberation Sans Narrow" w:hAnsi="Liberation Sans Narrow"/>
                <w:b/>
                <w:sz w:val="18"/>
              </w:rPr>
              <w:t xml:space="preserve">96</w:t>
            </w:r>
          </w:p>
        </w:tc>
        <w:tc>
          <w:tcPr>
            <w:tcW w:type="dxa" w:w="1608"/>
          </w:tcPr>
          <w:p>
            <w:pPr>
              <w:pStyle w:val="Compact"/>
              <w:spacing w:before="20" w:after="20" w:line="240" w:lineRule="auto"/>
              <w:jc w:val="left"/>
            </w:pPr>
            <w:r>
              <w:rPr>
                <w:rFonts w:ascii="Liberation Sans Narrow" w:hAnsi="Liberation Sans Narrow"/>
                <w:b w:val="0"/>
                <w:sz w:val="18"/>
              </w:rPr>
              <w:t xml:space="preserve">Art. 662</w:t>
            </w:r>
          </w:p>
        </w:tc>
        <w:tc>
          <w:tcPr>
            <w:tcW w:type="dxa" w:w="731"/>
          </w:tcPr>
          <w:p>
            <w:pPr>
              <w:pStyle w:val="Compact"/>
              <w:spacing w:before="20" w:after="20" w:line="240" w:lineRule="auto"/>
              <w:jc w:val="right"/>
            </w:pPr>
            <w:r>
              <w:rPr>
                <w:rFonts w:ascii="Liberation Sans Narrow" w:hAnsi="Liberation Sans Narrow"/>
                <w:b/>
                <w:sz w:val="18"/>
              </w:rPr>
              <w:t xml:space="preserve">172</w:t>
            </w:r>
          </w:p>
        </w:tc>
        <w:tc>
          <w:tcPr>
            <w:tcW w:type="dxa" w:w="1608"/>
          </w:tcPr>
          <w:p>
            <w:pPr>
              <w:pStyle w:val="Compact"/>
              <w:spacing w:before="20" w:after="20" w:line="240" w:lineRule="auto"/>
              <w:jc w:val="left"/>
            </w:pPr>
            <w:r>
              <w:rPr>
                <w:rFonts w:ascii="Liberation Sans Narrow" w:hAnsi="Liberation Sans Narrow"/>
                <w:b w:val="0"/>
                <w:sz w:val="18"/>
              </w:rPr>
              <w:t xml:space="preserve">Art. 851</w:t>
            </w:r>
          </w:p>
        </w:tc>
        <w:tc>
          <w:tcPr>
            <w:tcW w:type="dxa" w:w="731"/>
          </w:tcPr>
          <w:p>
            <w:pPr>
              <w:pStyle w:val="Compact"/>
              <w:spacing w:before="20" w:after="20" w:line="240" w:lineRule="auto"/>
              <w:jc w:val="right"/>
            </w:pPr>
            <w:r>
              <w:rPr>
                <w:rFonts w:ascii="Liberation Sans Narrow" w:hAnsi="Liberation Sans Narrow"/>
                <w:b/>
                <w:sz w:val="18"/>
              </w:rPr>
              <w:t xml:space="preserve">237</w:t>
            </w:r>
          </w:p>
        </w:tc>
        <w:tc>
          <w:tcPr>
            <w:tcW w:type="dxa" w:w="1608"/>
          </w:tcPr>
          <w:p>
            <w:pPr>
              <w:pStyle w:val="Compact"/>
              <w:spacing w:before="20" w:after="20" w:line="240" w:lineRule="auto"/>
              <w:jc w:val="left"/>
            </w:pPr>
            <w:r>
              <w:rPr>
                <w:rFonts w:ascii="Liberation Sans Narrow" w:hAnsi="Liberation Sans Narrow"/>
                <w:b w:val="0"/>
                <w:sz w:val="18"/>
              </w:rPr>
              <w:t xml:space="preserve">Art. 1041</w:t>
            </w:r>
          </w:p>
        </w:tc>
        <w:tc>
          <w:tcPr>
            <w:tcW w:type="dxa" w:w="731"/>
          </w:tcPr>
          <w:p>
            <w:pPr>
              <w:pStyle w:val="Compact"/>
              <w:spacing w:before="20" w:after="20" w:line="240" w:lineRule="auto"/>
              <w:jc w:val="right"/>
            </w:pPr>
            <w:r>
              <w:rPr>
                <w:rFonts w:ascii="Liberation Sans Narrow" w:hAnsi="Liberation Sans Narrow"/>
                <w:b/>
                <w:sz w:val="18"/>
              </w:rPr>
              <w:t xml:space="preserve">318</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474</w:t>
            </w:r>
          </w:p>
        </w:tc>
        <w:tc>
          <w:tcPr>
            <w:tcW w:type="dxa" w:w="731"/>
          </w:tcPr>
          <w:p>
            <w:pPr>
              <w:pStyle w:val="Compact"/>
              <w:spacing w:before="20" w:after="20" w:line="240" w:lineRule="auto"/>
              <w:jc w:val="right"/>
            </w:pPr>
            <w:r>
              <w:rPr>
                <w:rFonts w:ascii="Liberation Sans Narrow" w:hAnsi="Liberation Sans Narrow"/>
                <w:b/>
                <w:sz w:val="18"/>
              </w:rPr>
              <w:t xml:space="preserve">97</w:t>
            </w:r>
          </w:p>
        </w:tc>
        <w:tc>
          <w:tcPr>
            <w:tcW w:type="dxa" w:w="1608"/>
          </w:tcPr>
          <w:p>
            <w:pPr>
              <w:pStyle w:val="Compact"/>
              <w:spacing w:before="20" w:after="20" w:line="240" w:lineRule="auto"/>
              <w:jc w:val="left"/>
            </w:pPr>
            <w:r>
              <w:rPr>
                <w:rFonts w:ascii="Liberation Sans Narrow" w:hAnsi="Liberation Sans Narrow"/>
                <w:b w:val="0"/>
                <w:sz w:val="18"/>
              </w:rPr>
              <w:t xml:space="preserve">Art. 663</w:t>
            </w:r>
          </w:p>
        </w:tc>
        <w:tc>
          <w:tcPr>
            <w:tcW w:type="dxa" w:w="731"/>
          </w:tcPr>
          <w:p>
            <w:pPr>
              <w:pStyle w:val="Compact"/>
              <w:spacing w:before="20" w:after="20" w:line="240" w:lineRule="auto"/>
              <w:jc w:val="right"/>
            </w:pPr>
            <w:r>
              <w:rPr>
                <w:rFonts w:ascii="Liberation Sans Narrow" w:hAnsi="Liberation Sans Narrow"/>
                <w:b/>
                <w:sz w:val="18"/>
              </w:rPr>
              <w:t xml:space="preserve">172</w:t>
            </w:r>
          </w:p>
        </w:tc>
        <w:tc>
          <w:tcPr>
            <w:tcW w:type="dxa" w:w="1608"/>
          </w:tcPr>
          <w:p>
            <w:pPr>
              <w:pStyle w:val="Compact"/>
              <w:spacing w:before="20" w:after="20" w:line="240" w:lineRule="auto"/>
              <w:jc w:val="left"/>
            </w:pPr>
            <w:r>
              <w:rPr>
                <w:rFonts w:ascii="Liberation Sans Narrow" w:hAnsi="Liberation Sans Narrow"/>
                <w:b w:val="0"/>
                <w:sz w:val="18"/>
              </w:rPr>
              <w:t xml:space="preserve">Art. 852</w:t>
            </w:r>
          </w:p>
        </w:tc>
        <w:tc>
          <w:tcPr>
            <w:tcW w:type="dxa" w:w="731"/>
          </w:tcPr>
          <w:p>
            <w:pPr>
              <w:pStyle w:val="Compact"/>
              <w:spacing w:before="20" w:after="20" w:line="240" w:lineRule="auto"/>
              <w:jc w:val="right"/>
            </w:pPr>
            <w:r>
              <w:rPr>
                <w:rFonts w:ascii="Liberation Sans Narrow" w:hAnsi="Liberation Sans Narrow"/>
                <w:b/>
                <w:sz w:val="18"/>
              </w:rPr>
              <w:t xml:space="preserve">238</w:t>
            </w:r>
          </w:p>
        </w:tc>
        <w:tc>
          <w:tcPr>
            <w:tcW w:type="dxa" w:w="1608"/>
          </w:tcPr>
          <w:p>
            <w:pPr>
              <w:pStyle w:val="Compact"/>
              <w:spacing w:before="20" w:after="20" w:line="240" w:lineRule="auto"/>
              <w:jc w:val="left"/>
            </w:pPr>
            <w:r>
              <w:rPr>
                <w:rFonts w:ascii="Liberation Sans Narrow" w:hAnsi="Liberation Sans Narrow"/>
                <w:b w:val="0"/>
                <w:sz w:val="18"/>
              </w:rPr>
              <w:t xml:space="preserve">Art. 1042</w:t>
            </w:r>
          </w:p>
        </w:tc>
        <w:tc>
          <w:tcPr>
            <w:tcW w:type="dxa" w:w="731"/>
          </w:tcPr>
          <w:p>
            <w:pPr>
              <w:pStyle w:val="Compact"/>
              <w:spacing w:before="20" w:after="20" w:line="240" w:lineRule="auto"/>
              <w:jc w:val="right"/>
            </w:pPr>
            <w:r>
              <w:rPr>
                <w:rFonts w:ascii="Liberation Sans Narrow" w:hAnsi="Liberation Sans Narrow"/>
                <w:b/>
                <w:sz w:val="18"/>
              </w:rPr>
              <w:t xml:space="preserve">318</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475</w:t>
            </w:r>
          </w:p>
        </w:tc>
        <w:tc>
          <w:tcPr>
            <w:tcW w:type="dxa" w:w="731"/>
          </w:tcPr>
          <w:p>
            <w:pPr>
              <w:pStyle w:val="Compact"/>
              <w:spacing w:before="20" w:after="20" w:line="240" w:lineRule="auto"/>
              <w:jc w:val="right"/>
            </w:pPr>
            <w:r>
              <w:rPr>
                <w:rFonts w:ascii="Liberation Sans Narrow" w:hAnsi="Liberation Sans Narrow"/>
                <w:b/>
                <w:sz w:val="18"/>
              </w:rPr>
              <w:t xml:space="preserve">97</w:t>
            </w:r>
          </w:p>
        </w:tc>
        <w:tc>
          <w:tcPr>
            <w:tcW w:type="dxa" w:w="1608"/>
          </w:tcPr>
          <w:p>
            <w:pPr>
              <w:pStyle w:val="Compact"/>
              <w:spacing w:before="20" w:after="20" w:line="240" w:lineRule="auto"/>
              <w:jc w:val="left"/>
            </w:pPr>
            <w:r>
              <w:rPr>
                <w:rFonts w:ascii="Liberation Sans Narrow" w:hAnsi="Liberation Sans Narrow"/>
                <w:b w:val="0"/>
                <w:sz w:val="18"/>
              </w:rPr>
              <w:t xml:space="preserve">Art. 664</w:t>
            </w:r>
          </w:p>
        </w:tc>
        <w:tc>
          <w:tcPr>
            <w:tcW w:type="dxa" w:w="731"/>
          </w:tcPr>
          <w:p>
            <w:pPr>
              <w:pStyle w:val="Compact"/>
              <w:spacing w:before="20" w:after="20" w:line="240" w:lineRule="auto"/>
              <w:jc w:val="right"/>
            </w:pPr>
            <w:r>
              <w:rPr>
                <w:rFonts w:ascii="Liberation Sans Narrow" w:hAnsi="Liberation Sans Narrow"/>
                <w:b/>
                <w:sz w:val="18"/>
              </w:rPr>
              <w:t xml:space="preserve">173</w:t>
            </w:r>
          </w:p>
        </w:tc>
        <w:tc>
          <w:tcPr>
            <w:tcW w:type="dxa" w:w="1608"/>
          </w:tcPr>
          <w:p>
            <w:pPr>
              <w:pStyle w:val="Compact"/>
              <w:spacing w:before="20" w:after="20" w:line="240" w:lineRule="auto"/>
              <w:jc w:val="left"/>
            </w:pPr>
            <w:r>
              <w:rPr>
                <w:rFonts w:ascii="Liberation Sans Narrow" w:hAnsi="Liberation Sans Narrow"/>
                <w:b w:val="0"/>
                <w:sz w:val="18"/>
              </w:rPr>
              <w:t xml:space="preserve">Art. 853</w:t>
            </w:r>
          </w:p>
        </w:tc>
        <w:tc>
          <w:tcPr>
            <w:tcW w:type="dxa" w:w="731"/>
          </w:tcPr>
          <w:p>
            <w:pPr>
              <w:pStyle w:val="Compact"/>
              <w:spacing w:before="20" w:after="20" w:line="240" w:lineRule="auto"/>
              <w:jc w:val="right"/>
            </w:pPr>
            <w:r>
              <w:rPr>
                <w:rFonts w:ascii="Liberation Sans Narrow" w:hAnsi="Liberation Sans Narrow"/>
                <w:b/>
                <w:sz w:val="18"/>
              </w:rPr>
              <w:t xml:space="preserve">238</w:t>
            </w:r>
          </w:p>
        </w:tc>
        <w:tc>
          <w:tcPr>
            <w:tcW w:type="dxa" w:w="1608"/>
          </w:tcPr>
          <w:p>
            <w:pPr>
              <w:pStyle w:val="Compact"/>
              <w:spacing w:before="20" w:after="20" w:line="240" w:lineRule="auto"/>
              <w:jc w:val="left"/>
            </w:pPr>
            <w:r>
              <w:rPr>
                <w:rFonts w:ascii="Liberation Sans Narrow" w:hAnsi="Liberation Sans Narrow"/>
                <w:b w:val="0"/>
                <w:sz w:val="18"/>
              </w:rPr>
              <w:t xml:space="preserve">Art. 1043</w:t>
            </w:r>
          </w:p>
        </w:tc>
        <w:tc>
          <w:tcPr>
            <w:tcW w:type="dxa" w:w="731"/>
          </w:tcPr>
          <w:p>
            <w:pPr>
              <w:pStyle w:val="Compact"/>
              <w:spacing w:before="20" w:after="20" w:line="240" w:lineRule="auto"/>
              <w:jc w:val="right"/>
            </w:pPr>
            <w:r>
              <w:rPr>
                <w:rFonts w:ascii="Liberation Sans Narrow" w:hAnsi="Liberation Sans Narrow"/>
                <w:b/>
                <w:sz w:val="18"/>
              </w:rPr>
              <w:t xml:space="preserve">320</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476</w:t>
            </w:r>
          </w:p>
        </w:tc>
        <w:tc>
          <w:tcPr>
            <w:tcW w:type="dxa" w:w="731"/>
          </w:tcPr>
          <w:p>
            <w:pPr>
              <w:pStyle w:val="Compact"/>
              <w:spacing w:before="20" w:after="20" w:line="240" w:lineRule="auto"/>
              <w:jc w:val="right"/>
            </w:pPr>
            <w:r>
              <w:rPr>
                <w:rFonts w:ascii="Liberation Sans Narrow" w:hAnsi="Liberation Sans Narrow"/>
                <w:b/>
                <w:sz w:val="18"/>
              </w:rPr>
              <w:t xml:space="preserve">97</w:t>
            </w:r>
          </w:p>
        </w:tc>
        <w:tc>
          <w:tcPr>
            <w:tcW w:type="dxa" w:w="1608"/>
          </w:tcPr>
          <w:p>
            <w:pPr>
              <w:pStyle w:val="Compact"/>
              <w:spacing w:before="20" w:after="20" w:line="240" w:lineRule="auto"/>
              <w:jc w:val="left"/>
            </w:pPr>
            <w:r>
              <w:rPr>
                <w:rFonts w:ascii="Liberation Sans Narrow" w:hAnsi="Liberation Sans Narrow"/>
                <w:b w:val="0"/>
                <w:sz w:val="18"/>
              </w:rPr>
              <w:t xml:space="preserve">Art. 665</w:t>
            </w:r>
          </w:p>
        </w:tc>
        <w:tc>
          <w:tcPr>
            <w:tcW w:type="dxa" w:w="731"/>
          </w:tcPr>
          <w:p>
            <w:pPr>
              <w:pStyle w:val="Compact"/>
              <w:spacing w:before="20" w:after="20" w:line="240" w:lineRule="auto"/>
              <w:jc w:val="right"/>
            </w:pPr>
            <w:r>
              <w:rPr>
                <w:rFonts w:ascii="Liberation Sans Narrow" w:hAnsi="Liberation Sans Narrow"/>
                <w:b/>
                <w:sz w:val="18"/>
              </w:rPr>
              <w:t xml:space="preserve">173</w:t>
            </w:r>
          </w:p>
        </w:tc>
        <w:tc>
          <w:tcPr>
            <w:tcW w:type="dxa" w:w="1608"/>
          </w:tcPr>
          <w:p>
            <w:pPr>
              <w:pStyle w:val="Compact"/>
              <w:spacing w:before="20" w:after="20" w:line="240" w:lineRule="auto"/>
              <w:jc w:val="left"/>
            </w:pPr>
            <w:r>
              <w:rPr>
                <w:rFonts w:ascii="Liberation Sans Narrow" w:hAnsi="Liberation Sans Narrow"/>
                <w:b w:val="0"/>
                <w:sz w:val="18"/>
              </w:rPr>
              <w:t xml:space="preserve">Art. 854</w:t>
            </w:r>
          </w:p>
        </w:tc>
        <w:tc>
          <w:tcPr>
            <w:tcW w:type="dxa" w:w="731"/>
          </w:tcPr>
          <w:p>
            <w:pPr>
              <w:pStyle w:val="Compact"/>
              <w:spacing w:before="20" w:after="20" w:line="240" w:lineRule="auto"/>
              <w:jc w:val="right"/>
            </w:pPr>
            <w:r>
              <w:rPr>
                <w:rFonts w:ascii="Liberation Sans Narrow" w:hAnsi="Liberation Sans Narrow"/>
                <w:b/>
                <w:sz w:val="18"/>
              </w:rPr>
              <w:t xml:space="preserve">238</w:t>
            </w:r>
          </w:p>
        </w:tc>
        <w:tc>
          <w:tcPr>
            <w:tcW w:type="dxa" w:w="1608"/>
          </w:tcPr>
          <w:p>
            <w:pPr>
              <w:pStyle w:val="Compact"/>
              <w:spacing w:before="20" w:after="20" w:line="240" w:lineRule="auto"/>
              <w:jc w:val="left"/>
            </w:pPr>
            <w:r>
              <w:rPr>
                <w:rFonts w:ascii="Liberation Sans Narrow" w:hAnsi="Liberation Sans Narrow"/>
                <w:b w:val="0"/>
                <w:sz w:val="18"/>
              </w:rPr>
              <w:t xml:space="preserve">Art. 1044</w:t>
            </w:r>
          </w:p>
        </w:tc>
        <w:tc>
          <w:tcPr>
            <w:tcW w:type="dxa" w:w="731"/>
          </w:tcPr>
          <w:p>
            <w:pPr>
              <w:pStyle w:val="Compact"/>
              <w:spacing w:before="20" w:after="20" w:line="240" w:lineRule="auto"/>
              <w:jc w:val="right"/>
            </w:pPr>
            <w:r>
              <w:rPr>
                <w:rFonts w:ascii="Liberation Sans Narrow" w:hAnsi="Liberation Sans Narrow"/>
                <w:b/>
                <w:sz w:val="18"/>
              </w:rPr>
              <w:t xml:space="preserve">321</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477</w:t>
            </w:r>
          </w:p>
        </w:tc>
        <w:tc>
          <w:tcPr>
            <w:tcW w:type="dxa" w:w="731"/>
          </w:tcPr>
          <w:p>
            <w:pPr>
              <w:pStyle w:val="Compact"/>
              <w:spacing w:before="20" w:after="20" w:line="240" w:lineRule="auto"/>
              <w:jc w:val="right"/>
            </w:pPr>
            <w:r>
              <w:rPr>
                <w:rFonts w:ascii="Liberation Sans Narrow" w:hAnsi="Liberation Sans Narrow"/>
                <w:b/>
                <w:sz w:val="18"/>
              </w:rPr>
              <w:t xml:space="preserve">97</w:t>
            </w:r>
          </w:p>
        </w:tc>
        <w:tc>
          <w:tcPr>
            <w:tcW w:type="dxa" w:w="1608"/>
          </w:tcPr>
          <w:p>
            <w:pPr>
              <w:pStyle w:val="Compact"/>
              <w:spacing w:before="20" w:after="20" w:line="240" w:lineRule="auto"/>
              <w:jc w:val="left"/>
            </w:pPr>
            <w:r>
              <w:rPr>
                <w:rFonts w:ascii="Liberation Sans Narrow" w:hAnsi="Liberation Sans Narrow"/>
                <w:b w:val="0"/>
                <w:sz w:val="18"/>
              </w:rPr>
              <w:t xml:space="preserve">Art. 666</w:t>
            </w:r>
          </w:p>
        </w:tc>
        <w:tc>
          <w:tcPr>
            <w:tcW w:type="dxa" w:w="731"/>
          </w:tcPr>
          <w:p>
            <w:pPr>
              <w:pStyle w:val="Compact"/>
              <w:spacing w:before="20" w:after="20" w:line="240" w:lineRule="auto"/>
              <w:jc w:val="right"/>
            </w:pPr>
            <w:r>
              <w:rPr>
                <w:rFonts w:ascii="Liberation Sans Narrow" w:hAnsi="Liberation Sans Narrow"/>
                <w:b/>
                <w:sz w:val="18"/>
              </w:rPr>
              <w:t xml:space="preserve">173</w:t>
            </w:r>
          </w:p>
        </w:tc>
        <w:tc>
          <w:tcPr>
            <w:tcW w:type="dxa" w:w="1608"/>
          </w:tcPr>
          <w:p>
            <w:pPr>
              <w:pStyle w:val="Compact"/>
              <w:spacing w:before="20" w:after="20" w:line="240" w:lineRule="auto"/>
              <w:jc w:val="left"/>
            </w:pPr>
            <w:r>
              <w:rPr>
                <w:rFonts w:ascii="Liberation Sans Narrow" w:hAnsi="Liberation Sans Narrow"/>
                <w:b w:val="0"/>
                <w:sz w:val="18"/>
              </w:rPr>
              <w:t xml:space="preserve">Art. 855</w:t>
            </w:r>
          </w:p>
        </w:tc>
        <w:tc>
          <w:tcPr>
            <w:tcW w:type="dxa" w:w="731"/>
          </w:tcPr>
          <w:p>
            <w:pPr>
              <w:pStyle w:val="Compact"/>
              <w:spacing w:before="20" w:after="20" w:line="240" w:lineRule="auto"/>
              <w:jc w:val="right"/>
            </w:pPr>
            <w:r>
              <w:rPr>
                <w:rFonts w:ascii="Liberation Sans Narrow" w:hAnsi="Liberation Sans Narrow"/>
                <w:b/>
                <w:sz w:val="18"/>
              </w:rPr>
              <w:t xml:space="preserve">239</w:t>
            </w:r>
          </w:p>
        </w:tc>
        <w:tc>
          <w:tcPr>
            <w:tcW w:type="dxa" w:w="1608"/>
          </w:tcPr>
          <w:p>
            <w:pPr>
              <w:pStyle w:val="Compact"/>
              <w:spacing w:before="20" w:after="20" w:line="240" w:lineRule="auto"/>
              <w:jc w:val="left"/>
            </w:pPr>
            <w:r>
              <w:rPr>
                <w:rFonts w:ascii="Liberation Sans Narrow" w:hAnsi="Liberation Sans Narrow"/>
                <w:b w:val="0"/>
                <w:sz w:val="18"/>
              </w:rPr>
              <w:t xml:space="preserve">Art. 1045</w:t>
            </w:r>
          </w:p>
        </w:tc>
        <w:tc>
          <w:tcPr>
            <w:tcW w:type="dxa" w:w="731"/>
          </w:tcPr>
          <w:p>
            <w:pPr>
              <w:pStyle w:val="Compact"/>
              <w:spacing w:before="20" w:after="20" w:line="240" w:lineRule="auto"/>
              <w:jc w:val="right"/>
            </w:pPr>
            <w:r>
              <w:rPr>
                <w:rFonts w:ascii="Liberation Sans Narrow" w:hAnsi="Liberation Sans Narrow"/>
                <w:b/>
                <w:sz w:val="18"/>
              </w:rPr>
              <w:t xml:space="preserve">322</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478</w:t>
            </w:r>
          </w:p>
        </w:tc>
        <w:tc>
          <w:tcPr>
            <w:tcW w:type="dxa" w:w="731"/>
          </w:tcPr>
          <w:p>
            <w:pPr>
              <w:pStyle w:val="Compact"/>
              <w:spacing w:before="20" w:after="20" w:line="240" w:lineRule="auto"/>
              <w:jc w:val="right"/>
            </w:pPr>
            <w:r>
              <w:rPr>
                <w:rFonts w:ascii="Liberation Sans Narrow" w:hAnsi="Liberation Sans Narrow"/>
                <w:b/>
                <w:sz w:val="18"/>
              </w:rPr>
              <w:t xml:space="preserve">98</w:t>
            </w:r>
          </w:p>
        </w:tc>
        <w:tc>
          <w:tcPr>
            <w:tcW w:type="dxa" w:w="1608"/>
          </w:tcPr>
          <w:p>
            <w:pPr>
              <w:pStyle w:val="Compact"/>
              <w:spacing w:before="20" w:after="20" w:line="240" w:lineRule="auto"/>
              <w:jc w:val="left"/>
            </w:pPr>
            <w:r>
              <w:rPr>
                <w:rFonts w:ascii="Liberation Sans Narrow" w:hAnsi="Liberation Sans Narrow"/>
                <w:b w:val="0"/>
                <w:sz w:val="18"/>
              </w:rPr>
              <w:t xml:space="preserve">Art. 667</w:t>
            </w:r>
          </w:p>
        </w:tc>
        <w:tc>
          <w:tcPr>
            <w:tcW w:type="dxa" w:w="731"/>
          </w:tcPr>
          <w:p>
            <w:pPr>
              <w:pStyle w:val="Compact"/>
              <w:spacing w:before="20" w:after="20" w:line="240" w:lineRule="auto"/>
              <w:jc w:val="right"/>
            </w:pPr>
            <w:r>
              <w:rPr>
                <w:rFonts w:ascii="Liberation Sans Narrow" w:hAnsi="Liberation Sans Narrow"/>
                <w:b/>
                <w:sz w:val="18"/>
              </w:rPr>
              <w:t xml:space="preserve">174</w:t>
            </w:r>
          </w:p>
        </w:tc>
        <w:tc>
          <w:tcPr>
            <w:tcW w:type="dxa" w:w="1608"/>
          </w:tcPr>
          <w:p>
            <w:pPr>
              <w:pStyle w:val="Compact"/>
              <w:spacing w:before="20" w:after="20" w:line="240" w:lineRule="auto"/>
              <w:jc w:val="left"/>
            </w:pPr>
            <w:r>
              <w:rPr>
                <w:rFonts w:ascii="Liberation Sans Narrow" w:hAnsi="Liberation Sans Narrow"/>
                <w:b w:val="0"/>
                <w:sz w:val="18"/>
              </w:rPr>
              <w:t xml:space="preserve">Art. 856</w:t>
            </w:r>
          </w:p>
        </w:tc>
        <w:tc>
          <w:tcPr>
            <w:tcW w:type="dxa" w:w="731"/>
          </w:tcPr>
          <w:p>
            <w:pPr>
              <w:pStyle w:val="Compact"/>
              <w:spacing w:before="20" w:after="20" w:line="240" w:lineRule="auto"/>
              <w:jc w:val="right"/>
            </w:pPr>
            <w:r>
              <w:rPr>
                <w:rFonts w:ascii="Liberation Sans Narrow" w:hAnsi="Liberation Sans Narrow"/>
                <w:b/>
                <w:sz w:val="18"/>
              </w:rPr>
              <w:t xml:space="preserve">240</w:t>
            </w:r>
          </w:p>
        </w:tc>
        <w:tc>
          <w:tcPr>
            <w:tcW w:type="dxa" w:w="1608"/>
          </w:tcPr>
          <w:p>
            <w:pPr>
              <w:pStyle w:val="Compact"/>
              <w:spacing w:before="20" w:after="20" w:line="240" w:lineRule="auto"/>
              <w:jc w:val="left"/>
            </w:pPr>
            <w:r>
              <w:rPr>
                <w:rFonts w:ascii="Liberation Sans Narrow" w:hAnsi="Liberation Sans Narrow"/>
                <w:b w:val="0"/>
                <w:sz w:val="18"/>
              </w:rPr>
              <w:t xml:space="preserve">Art. 1046</w:t>
            </w:r>
          </w:p>
        </w:tc>
        <w:tc>
          <w:tcPr>
            <w:tcW w:type="dxa" w:w="731"/>
          </w:tcPr>
          <w:p>
            <w:pPr>
              <w:pStyle w:val="Compact"/>
              <w:spacing w:before="20" w:after="20" w:line="240" w:lineRule="auto"/>
              <w:jc w:val="right"/>
            </w:pPr>
            <w:r>
              <w:rPr>
                <w:rFonts w:ascii="Liberation Sans Narrow" w:hAnsi="Liberation Sans Narrow"/>
                <w:b/>
                <w:sz w:val="18"/>
              </w:rPr>
              <w:t xml:space="preserve">322</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479</w:t>
            </w:r>
          </w:p>
        </w:tc>
        <w:tc>
          <w:tcPr>
            <w:tcW w:type="dxa" w:w="731"/>
          </w:tcPr>
          <w:p>
            <w:pPr>
              <w:pStyle w:val="Compact"/>
              <w:spacing w:before="20" w:after="20" w:line="240" w:lineRule="auto"/>
              <w:jc w:val="right"/>
            </w:pPr>
            <w:r>
              <w:rPr>
                <w:rFonts w:ascii="Liberation Sans Narrow" w:hAnsi="Liberation Sans Narrow"/>
                <w:b/>
                <w:sz w:val="18"/>
              </w:rPr>
              <w:t xml:space="preserve">98</w:t>
            </w:r>
          </w:p>
        </w:tc>
        <w:tc>
          <w:tcPr>
            <w:tcW w:type="dxa" w:w="1608"/>
          </w:tcPr>
          <w:p>
            <w:pPr>
              <w:pStyle w:val="Compact"/>
              <w:spacing w:before="20" w:after="20" w:line="240" w:lineRule="auto"/>
              <w:jc w:val="left"/>
            </w:pPr>
            <w:r>
              <w:rPr>
                <w:rFonts w:ascii="Liberation Sans Narrow" w:hAnsi="Liberation Sans Narrow"/>
                <w:b w:val="0"/>
                <w:sz w:val="18"/>
              </w:rPr>
              <w:t xml:space="preserve">Art. 668</w:t>
            </w:r>
          </w:p>
        </w:tc>
        <w:tc>
          <w:tcPr>
            <w:tcW w:type="dxa" w:w="731"/>
          </w:tcPr>
          <w:p>
            <w:pPr>
              <w:pStyle w:val="Compact"/>
              <w:spacing w:before="20" w:after="20" w:line="240" w:lineRule="auto"/>
              <w:jc w:val="right"/>
            </w:pPr>
            <w:r>
              <w:rPr>
                <w:rFonts w:ascii="Liberation Sans Narrow" w:hAnsi="Liberation Sans Narrow"/>
                <w:b/>
                <w:sz w:val="18"/>
              </w:rPr>
              <w:t xml:space="preserve">174</w:t>
            </w:r>
          </w:p>
        </w:tc>
        <w:tc>
          <w:tcPr>
            <w:tcW w:type="dxa" w:w="1608"/>
          </w:tcPr>
          <w:p>
            <w:pPr>
              <w:pStyle w:val="Compact"/>
              <w:spacing w:before="20" w:after="20" w:line="240" w:lineRule="auto"/>
              <w:jc w:val="left"/>
            </w:pPr>
            <w:r>
              <w:rPr>
                <w:rFonts w:ascii="Liberation Sans Narrow" w:hAnsi="Liberation Sans Narrow"/>
                <w:b w:val="0"/>
                <w:sz w:val="18"/>
              </w:rPr>
              <w:t xml:space="preserve">Art. 857</w:t>
            </w:r>
          </w:p>
        </w:tc>
        <w:tc>
          <w:tcPr>
            <w:tcW w:type="dxa" w:w="731"/>
          </w:tcPr>
          <w:p>
            <w:pPr>
              <w:pStyle w:val="Compact"/>
              <w:spacing w:before="20" w:after="20" w:line="240" w:lineRule="auto"/>
              <w:jc w:val="right"/>
            </w:pPr>
            <w:r>
              <w:rPr>
                <w:rFonts w:ascii="Liberation Sans Narrow" w:hAnsi="Liberation Sans Narrow"/>
                <w:b/>
                <w:sz w:val="18"/>
              </w:rPr>
              <w:t xml:space="preserve">240</w:t>
            </w:r>
          </w:p>
        </w:tc>
        <w:tc>
          <w:tcPr>
            <w:tcW w:type="dxa" w:w="1608"/>
          </w:tcPr>
          <w:p>
            <w:pPr>
              <w:pStyle w:val="Compact"/>
              <w:spacing w:before="20" w:after="20" w:line="240" w:lineRule="auto"/>
              <w:jc w:val="left"/>
            </w:pPr>
            <w:r>
              <w:rPr>
                <w:rFonts w:ascii="Liberation Sans Narrow" w:hAnsi="Liberation Sans Narrow"/>
                <w:b w:val="0"/>
                <w:sz w:val="18"/>
              </w:rPr>
              <w:t xml:space="preserve">Art. 1047</w:t>
            </w:r>
          </w:p>
        </w:tc>
        <w:tc>
          <w:tcPr>
            <w:tcW w:type="dxa" w:w="731"/>
          </w:tcPr>
          <w:p>
            <w:pPr>
              <w:pStyle w:val="Compact"/>
              <w:spacing w:before="20" w:after="20" w:line="240" w:lineRule="auto"/>
              <w:jc w:val="right"/>
            </w:pPr>
            <w:r>
              <w:rPr>
                <w:rFonts w:ascii="Liberation Sans Narrow" w:hAnsi="Liberation Sans Narrow"/>
                <w:b/>
                <w:sz w:val="18"/>
              </w:rPr>
              <w:t xml:space="preserve">322</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480</w:t>
            </w:r>
          </w:p>
        </w:tc>
        <w:tc>
          <w:tcPr>
            <w:tcW w:type="dxa" w:w="731"/>
          </w:tcPr>
          <w:p>
            <w:pPr>
              <w:pStyle w:val="Compact"/>
              <w:spacing w:before="20" w:after="20" w:line="240" w:lineRule="auto"/>
              <w:jc w:val="right"/>
            </w:pPr>
            <w:r>
              <w:rPr>
                <w:rFonts w:ascii="Liberation Sans Narrow" w:hAnsi="Liberation Sans Narrow"/>
                <w:b/>
                <w:sz w:val="18"/>
              </w:rPr>
              <w:t xml:space="preserve">99</w:t>
            </w:r>
          </w:p>
        </w:tc>
        <w:tc>
          <w:tcPr>
            <w:tcW w:type="dxa" w:w="1608"/>
          </w:tcPr>
          <w:p>
            <w:pPr>
              <w:pStyle w:val="Compact"/>
              <w:spacing w:before="20" w:after="20" w:line="240" w:lineRule="auto"/>
              <w:jc w:val="left"/>
            </w:pPr>
            <w:r>
              <w:rPr>
                <w:rFonts w:ascii="Liberation Sans Narrow" w:hAnsi="Liberation Sans Narrow"/>
                <w:b w:val="0"/>
                <w:sz w:val="18"/>
              </w:rPr>
              <w:t xml:space="preserve">Art. 669</w:t>
            </w:r>
          </w:p>
        </w:tc>
        <w:tc>
          <w:tcPr>
            <w:tcW w:type="dxa" w:w="731"/>
          </w:tcPr>
          <w:p>
            <w:pPr>
              <w:pStyle w:val="Compact"/>
              <w:spacing w:before="20" w:after="20" w:line="240" w:lineRule="auto"/>
              <w:jc w:val="right"/>
            </w:pPr>
            <w:r>
              <w:rPr>
                <w:rFonts w:ascii="Liberation Sans Narrow" w:hAnsi="Liberation Sans Narrow"/>
                <w:b/>
                <w:sz w:val="18"/>
              </w:rPr>
              <w:t xml:space="preserve">174</w:t>
            </w:r>
          </w:p>
        </w:tc>
        <w:tc>
          <w:tcPr>
            <w:tcW w:type="dxa" w:w="1608"/>
          </w:tcPr>
          <w:p>
            <w:pPr>
              <w:pStyle w:val="Compact"/>
              <w:spacing w:before="20" w:after="20" w:line="240" w:lineRule="auto"/>
              <w:jc w:val="left"/>
            </w:pPr>
            <w:r>
              <w:rPr>
                <w:rFonts w:ascii="Liberation Sans Narrow" w:hAnsi="Liberation Sans Narrow"/>
                <w:b w:val="0"/>
                <w:sz w:val="18"/>
              </w:rPr>
              <w:t xml:space="preserve">Art. 858</w:t>
            </w:r>
          </w:p>
        </w:tc>
        <w:tc>
          <w:tcPr>
            <w:tcW w:type="dxa" w:w="731"/>
          </w:tcPr>
          <w:p>
            <w:pPr>
              <w:pStyle w:val="Compact"/>
              <w:spacing w:before="20" w:after="20" w:line="240" w:lineRule="auto"/>
              <w:jc w:val="right"/>
            </w:pPr>
            <w:r>
              <w:rPr>
                <w:rFonts w:ascii="Liberation Sans Narrow" w:hAnsi="Liberation Sans Narrow"/>
                <w:b/>
                <w:sz w:val="18"/>
              </w:rPr>
              <w:t xml:space="preserve">240</w:t>
            </w:r>
          </w:p>
        </w:tc>
        <w:tc>
          <w:tcPr>
            <w:tcW w:type="dxa" w:w="1608"/>
          </w:tcPr>
          <w:p>
            <w:pPr>
              <w:pStyle w:val="Compact"/>
              <w:spacing w:before="20" w:after="20" w:line="240" w:lineRule="auto"/>
              <w:jc w:val="left"/>
            </w:pPr>
            <w:r>
              <w:rPr>
                <w:rFonts w:ascii="Liberation Sans Narrow" w:hAnsi="Liberation Sans Narrow"/>
                <w:b w:val="0"/>
                <w:sz w:val="18"/>
              </w:rPr>
              <w:t xml:space="preserve">Art. 1048</w:t>
            </w:r>
          </w:p>
        </w:tc>
        <w:tc>
          <w:tcPr>
            <w:tcW w:type="dxa" w:w="731"/>
          </w:tcPr>
          <w:p>
            <w:pPr>
              <w:pStyle w:val="Compact"/>
              <w:spacing w:before="20" w:after="20" w:line="240" w:lineRule="auto"/>
              <w:jc w:val="right"/>
            </w:pPr>
            <w:r>
              <w:rPr>
                <w:rFonts w:ascii="Liberation Sans Narrow" w:hAnsi="Liberation Sans Narrow"/>
                <w:b/>
                <w:sz w:val="18"/>
              </w:rPr>
              <w:t xml:space="preserve">322</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481</w:t>
            </w:r>
          </w:p>
        </w:tc>
        <w:tc>
          <w:tcPr>
            <w:tcW w:type="dxa" w:w="731"/>
          </w:tcPr>
          <w:p>
            <w:pPr>
              <w:pStyle w:val="Compact"/>
              <w:spacing w:before="20" w:after="20" w:line="240" w:lineRule="auto"/>
              <w:jc w:val="right"/>
            </w:pPr>
            <w:r>
              <w:rPr>
                <w:rFonts w:ascii="Liberation Sans Narrow" w:hAnsi="Liberation Sans Narrow"/>
                <w:b/>
                <w:sz w:val="18"/>
              </w:rPr>
              <w:t xml:space="preserve">99</w:t>
            </w:r>
          </w:p>
        </w:tc>
        <w:tc>
          <w:tcPr>
            <w:tcW w:type="dxa" w:w="1608"/>
          </w:tcPr>
          <w:p>
            <w:pPr>
              <w:pStyle w:val="Compact"/>
              <w:spacing w:before="20" w:after="20" w:line="240" w:lineRule="auto"/>
              <w:jc w:val="left"/>
            </w:pPr>
            <w:r>
              <w:rPr>
                <w:rFonts w:ascii="Liberation Sans Narrow" w:hAnsi="Liberation Sans Narrow"/>
                <w:b w:val="0"/>
                <w:sz w:val="18"/>
              </w:rPr>
              <w:t xml:space="preserve">Art. 670</w:t>
            </w:r>
          </w:p>
        </w:tc>
        <w:tc>
          <w:tcPr>
            <w:tcW w:type="dxa" w:w="731"/>
          </w:tcPr>
          <w:p>
            <w:pPr>
              <w:pStyle w:val="Compact"/>
              <w:spacing w:before="20" w:after="20" w:line="240" w:lineRule="auto"/>
              <w:jc w:val="right"/>
            </w:pPr>
            <w:r>
              <w:rPr>
                <w:rFonts w:ascii="Liberation Sans Narrow" w:hAnsi="Liberation Sans Narrow"/>
                <w:b/>
                <w:sz w:val="18"/>
              </w:rPr>
              <w:t xml:space="preserve">175</w:t>
            </w:r>
          </w:p>
        </w:tc>
        <w:tc>
          <w:tcPr>
            <w:tcW w:type="dxa" w:w="1608"/>
          </w:tcPr>
          <w:p>
            <w:pPr>
              <w:pStyle w:val="Compact"/>
              <w:spacing w:before="20" w:after="20" w:line="240" w:lineRule="auto"/>
              <w:jc w:val="left"/>
            </w:pPr>
            <w:r>
              <w:rPr>
                <w:rFonts w:ascii="Liberation Sans Narrow" w:hAnsi="Liberation Sans Narrow"/>
                <w:b w:val="0"/>
                <w:sz w:val="18"/>
              </w:rPr>
              <w:t xml:space="preserve">Art. 859</w:t>
            </w:r>
          </w:p>
        </w:tc>
        <w:tc>
          <w:tcPr>
            <w:tcW w:type="dxa" w:w="731"/>
          </w:tcPr>
          <w:p>
            <w:pPr>
              <w:pStyle w:val="Compact"/>
              <w:spacing w:before="20" w:after="20" w:line="240" w:lineRule="auto"/>
              <w:jc w:val="right"/>
            </w:pPr>
            <w:r>
              <w:rPr>
                <w:rFonts w:ascii="Liberation Sans Narrow" w:hAnsi="Liberation Sans Narrow"/>
                <w:b/>
                <w:sz w:val="18"/>
              </w:rPr>
              <w:t xml:space="preserve">240</w:t>
            </w:r>
          </w:p>
        </w:tc>
        <w:tc>
          <w:tcPr>
            <w:tcW w:type="dxa" w:w="1608"/>
          </w:tcPr>
          <w:p>
            <w:pPr>
              <w:pStyle w:val="Compact"/>
              <w:spacing w:before="20" w:after="20" w:line="240" w:lineRule="auto"/>
              <w:jc w:val="left"/>
            </w:pPr>
            <w:r>
              <w:rPr>
                <w:rFonts w:ascii="Liberation Sans Narrow" w:hAnsi="Liberation Sans Narrow"/>
                <w:b w:val="0"/>
                <w:sz w:val="18"/>
              </w:rPr>
              <w:t xml:space="preserve">Art. 1049</w:t>
            </w:r>
          </w:p>
        </w:tc>
        <w:tc>
          <w:tcPr>
            <w:tcW w:type="dxa" w:w="731"/>
          </w:tcPr>
          <w:p>
            <w:pPr>
              <w:pStyle w:val="Compact"/>
              <w:spacing w:before="20" w:after="20" w:line="240" w:lineRule="auto"/>
              <w:jc w:val="right"/>
            </w:pPr>
            <w:r>
              <w:rPr>
                <w:rFonts w:ascii="Liberation Sans Narrow" w:hAnsi="Liberation Sans Narrow"/>
                <w:b/>
                <w:sz w:val="18"/>
              </w:rPr>
              <w:t xml:space="preserve">323</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482</w:t>
            </w:r>
          </w:p>
        </w:tc>
        <w:tc>
          <w:tcPr>
            <w:tcW w:type="dxa" w:w="731"/>
          </w:tcPr>
          <w:p>
            <w:pPr>
              <w:pStyle w:val="Compact"/>
              <w:spacing w:before="20" w:after="20" w:line="240" w:lineRule="auto"/>
              <w:jc w:val="right"/>
            </w:pPr>
            <w:r>
              <w:rPr>
                <w:rFonts w:ascii="Liberation Sans Narrow" w:hAnsi="Liberation Sans Narrow"/>
                <w:b/>
                <w:sz w:val="18"/>
              </w:rPr>
              <w:t xml:space="preserve">100</w:t>
            </w:r>
          </w:p>
        </w:tc>
        <w:tc>
          <w:tcPr>
            <w:tcW w:type="dxa" w:w="1608"/>
          </w:tcPr>
          <w:p>
            <w:pPr>
              <w:pStyle w:val="Compact"/>
              <w:spacing w:before="20" w:after="20" w:line="240" w:lineRule="auto"/>
              <w:jc w:val="left"/>
            </w:pPr>
            <w:r>
              <w:rPr>
                <w:rFonts w:ascii="Liberation Sans Narrow" w:hAnsi="Liberation Sans Narrow"/>
                <w:b w:val="0"/>
                <w:sz w:val="18"/>
              </w:rPr>
              <w:t xml:space="preserve">Art. 671</w:t>
            </w:r>
          </w:p>
        </w:tc>
        <w:tc>
          <w:tcPr>
            <w:tcW w:type="dxa" w:w="731"/>
          </w:tcPr>
          <w:p>
            <w:pPr>
              <w:pStyle w:val="Compact"/>
              <w:spacing w:before="20" w:after="20" w:line="240" w:lineRule="auto"/>
              <w:jc w:val="right"/>
            </w:pPr>
            <w:r>
              <w:rPr>
                <w:rFonts w:ascii="Liberation Sans Narrow" w:hAnsi="Liberation Sans Narrow"/>
                <w:b/>
                <w:sz w:val="18"/>
              </w:rPr>
              <w:t xml:space="preserve">175</w:t>
            </w:r>
          </w:p>
        </w:tc>
        <w:tc>
          <w:tcPr>
            <w:tcW w:type="dxa" w:w="1608"/>
          </w:tcPr>
          <w:p>
            <w:pPr>
              <w:pStyle w:val="Compact"/>
              <w:spacing w:before="20" w:after="20" w:line="240" w:lineRule="auto"/>
              <w:jc w:val="left"/>
            </w:pPr>
            <w:r>
              <w:rPr>
                <w:rFonts w:ascii="Liberation Sans Narrow" w:hAnsi="Liberation Sans Narrow"/>
                <w:b w:val="0"/>
                <w:sz w:val="18"/>
              </w:rPr>
              <w:t xml:space="preserve">Art. 860</w:t>
            </w:r>
          </w:p>
        </w:tc>
        <w:tc>
          <w:tcPr>
            <w:tcW w:type="dxa" w:w="731"/>
          </w:tcPr>
          <w:p>
            <w:pPr>
              <w:pStyle w:val="Compact"/>
              <w:spacing w:before="20" w:after="20" w:line="240" w:lineRule="auto"/>
              <w:jc w:val="right"/>
            </w:pPr>
            <w:r>
              <w:rPr>
                <w:rFonts w:ascii="Liberation Sans Narrow" w:hAnsi="Liberation Sans Narrow"/>
                <w:b/>
                <w:sz w:val="18"/>
              </w:rPr>
              <w:t xml:space="preserve">241</w:t>
            </w:r>
          </w:p>
        </w:tc>
        <w:tc>
          <w:tcPr>
            <w:tcW w:type="dxa" w:w="1608"/>
          </w:tcPr>
          <w:p>
            <w:pPr>
              <w:pStyle w:val="Compact"/>
              <w:spacing w:before="20" w:after="20" w:line="240" w:lineRule="auto"/>
              <w:jc w:val="left"/>
            </w:pPr>
            <w:r>
              <w:rPr>
                <w:rFonts w:ascii="Liberation Sans Narrow" w:hAnsi="Liberation Sans Narrow"/>
                <w:b w:val="0"/>
                <w:sz w:val="18"/>
              </w:rPr>
              <w:t xml:space="preserve">Art. 1050</w:t>
            </w:r>
          </w:p>
        </w:tc>
        <w:tc>
          <w:tcPr>
            <w:tcW w:type="dxa" w:w="731"/>
          </w:tcPr>
          <w:p>
            <w:pPr>
              <w:pStyle w:val="Compact"/>
              <w:spacing w:before="20" w:after="20" w:line="240" w:lineRule="auto"/>
              <w:jc w:val="right"/>
            </w:pPr>
            <w:r>
              <w:rPr>
                <w:rFonts w:ascii="Liberation Sans Narrow" w:hAnsi="Liberation Sans Narrow"/>
                <w:b/>
                <w:sz w:val="18"/>
              </w:rPr>
              <w:t xml:space="preserve">323</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483</w:t>
            </w:r>
          </w:p>
        </w:tc>
        <w:tc>
          <w:tcPr>
            <w:tcW w:type="dxa" w:w="731"/>
          </w:tcPr>
          <w:p>
            <w:pPr>
              <w:pStyle w:val="Compact"/>
              <w:spacing w:before="20" w:after="20" w:line="240" w:lineRule="auto"/>
              <w:jc w:val="right"/>
            </w:pPr>
            <w:r>
              <w:rPr>
                <w:rFonts w:ascii="Liberation Sans Narrow" w:hAnsi="Liberation Sans Narrow"/>
                <w:b/>
                <w:sz w:val="18"/>
              </w:rPr>
              <w:t xml:space="preserve">100</w:t>
            </w:r>
          </w:p>
        </w:tc>
        <w:tc>
          <w:tcPr>
            <w:tcW w:type="dxa" w:w="1608"/>
          </w:tcPr>
          <w:p>
            <w:pPr>
              <w:pStyle w:val="Compact"/>
              <w:spacing w:before="20" w:after="20" w:line="240" w:lineRule="auto"/>
              <w:jc w:val="left"/>
            </w:pPr>
            <w:r>
              <w:rPr>
                <w:rFonts w:ascii="Liberation Sans Narrow" w:hAnsi="Liberation Sans Narrow"/>
                <w:b w:val="0"/>
                <w:sz w:val="18"/>
              </w:rPr>
              <w:t xml:space="preserve">Art. 672</w:t>
            </w:r>
          </w:p>
        </w:tc>
        <w:tc>
          <w:tcPr>
            <w:tcW w:type="dxa" w:w="731"/>
          </w:tcPr>
          <w:p>
            <w:pPr>
              <w:pStyle w:val="Compact"/>
              <w:spacing w:before="20" w:after="20" w:line="240" w:lineRule="auto"/>
              <w:jc w:val="right"/>
            </w:pPr>
            <w:r>
              <w:rPr>
                <w:rFonts w:ascii="Liberation Sans Narrow" w:hAnsi="Liberation Sans Narrow"/>
                <w:b/>
                <w:sz w:val="18"/>
              </w:rPr>
              <w:t xml:space="preserve">175</w:t>
            </w:r>
          </w:p>
        </w:tc>
        <w:tc>
          <w:tcPr>
            <w:tcW w:type="dxa" w:w="1608"/>
          </w:tcPr>
          <w:p>
            <w:pPr>
              <w:pStyle w:val="Compact"/>
              <w:spacing w:before="20" w:after="20" w:line="240" w:lineRule="auto"/>
              <w:jc w:val="left"/>
            </w:pPr>
            <w:r>
              <w:rPr>
                <w:rFonts w:ascii="Liberation Sans Narrow" w:hAnsi="Liberation Sans Narrow"/>
                <w:b w:val="0"/>
                <w:sz w:val="18"/>
              </w:rPr>
              <w:t xml:space="preserve">Art. 861</w:t>
            </w:r>
          </w:p>
        </w:tc>
        <w:tc>
          <w:tcPr>
            <w:tcW w:type="dxa" w:w="731"/>
          </w:tcPr>
          <w:p>
            <w:pPr>
              <w:pStyle w:val="Compact"/>
              <w:spacing w:before="20" w:after="20" w:line="240" w:lineRule="auto"/>
              <w:jc w:val="right"/>
            </w:pPr>
            <w:r>
              <w:rPr>
                <w:rFonts w:ascii="Liberation Sans Narrow" w:hAnsi="Liberation Sans Narrow"/>
                <w:b/>
                <w:sz w:val="18"/>
              </w:rPr>
              <w:t xml:space="preserve">241</w:t>
            </w:r>
          </w:p>
        </w:tc>
        <w:tc>
          <w:tcPr>
            <w:tcW w:type="dxa" w:w="1608"/>
          </w:tcPr>
          <w:p>
            <w:pPr>
              <w:pStyle w:val="Compact"/>
              <w:spacing w:before="20" w:after="20" w:line="240" w:lineRule="auto"/>
              <w:jc w:val="left"/>
            </w:pPr>
            <w:r>
              <w:rPr>
                <w:rFonts w:ascii="Liberation Sans Narrow" w:hAnsi="Liberation Sans Narrow"/>
                <w:b w:val="0"/>
                <w:sz w:val="18"/>
              </w:rPr>
              <w:t xml:space="preserve">Art. 1051</w:t>
            </w:r>
          </w:p>
        </w:tc>
        <w:tc>
          <w:tcPr>
            <w:tcW w:type="dxa" w:w="731"/>
          </w:tcPr>
          <w:p>
            <w:pPr>
              <w:pStyle w:val="Compact"/>
              <w:spacing w:before="20" w:after="20" w:line="240" w:lineRule="auto"/>
              <w:jc w:val="right"/>
            </w:pPr>
            <w:r>
              <w:rPr>
                <w:rFonts w:ascii="Liberation Sans Narrow" w:hAnsi="Liberation Sans Narrow"/>
                <w:b/>
                <w:sz w:val="18"/>
              </w:rPr>
              <w:t xml:space="preserve">323</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484</w:t>
            </w:r>
          </w:p>
        </w:tc>
        <w:tc>
          <w:tcPr>
            <w:tcW w:type="dxa" w:w="731"/>
          </w:tcPr>
          <w:p>
            <w:pPr>
              <w:pStyle w:val="Compact"/>
              <w:spacing w:before="20" w:after="20" w:line="240" w:lineRule="auto"/>
              <w:jc w:val="right"/>
            </w:pPr>
            <w:r>
              <w:rPr>
                <w:rFonts w:ascii="Liberation Sans Narrow" w:hAnsi="Liberation Sans Narrow"/>
                <w:b/>
                <w:sz w:val="18"/>
              </w:rPr>
              <w:t xml:space="preserve">100</w:t>
            </w:r>
          </w:p>
        </w:tc>
        <w:tc>
          <w:tcPr>
            <w:tcW w:type="dxa" w:w="1608"/>
          </w:tcPr>
          <w:p>
            <w:pPr>
              <w:pStyle w:val="Compact"/>
              <w:spacing w:before="20" w:after="20" w:line="240" w:lineRule="auto"/>
              <w:jc w:val="left"/>
            </w:pPr>
            <w:r>
              <w:rPr>
                <w:rFonts w:ascii="Liberation Sans Narrow" w:hAnsi="Liberation Sans Narrow"/>
                <w:b w:val="0"/>
                <w:sz w:val="18"/>
              </w:rPr>
              <w:t xml:space="preserve">Art. 673</w:t>
            </w:r>
          </w:p>
        </w:tc>
        <w:tc>
          <w:tcPr>
            <w:tcW w:type="dxa" w:w="731"/>
          </w:tcPr>
          <w:p>
            <w:pPr>
              <w:pStyle w:val="Compact"/>
              <w:spacing w:before="20" w:after="20" w:line="240" w:lineRule="auto"/>
              <w:jc w:val="right"/>
            </w:pPr>
            <w:r>
              <w:rPr>
                <w:rFonts w:ascii="Liberation Sans Narrow" w:hAnsi="Liberation Sans Narrow"/>
                <w:b/>
                <w:sz w:val="18"/>
              </w:rPr>
              <w:t xml:space="preserve">175</w:t>
            </w:r>
          </w:p>
        </w:tc>
        <w:tc>
          <w:tcPr>
            <w:tcW w:type="dxa" w:w="1608"/>
          </w:tcPr>
          <w:p>
            <w:pPr>
              <w:pStyle w:val="Compact"/>
              <w:spacing w:before="20" w:after="20" w:line="240" w:lineRule="auto"/>
              <w:jc w:val="left"/>
            </w:pPr>
            <w:r>
              <w:rPr>
                <w:rFonts w:ascii="Liberation Sans Narrow" w:hAnsi="Liberation Sans Narrow"/>
                <w:b w:val="0"/>
                <w:sz w:val="18"/>
              </w:rPr>
              <w:t xml:space="preserve">Art. 862</w:t>
            </w:r>
          </w:p>
        </w:tc>
        <w:tc>
          <w:tcPr>
            <w:tcW w:type="dxa" w:w="731"/>
          </w:tcPr>
          <w:p>
            <w:pPr>
              <w:pStyle w:val="Compact"/>
              <w:spacing w:before="20" w:after="20" w:line="240" w:lineRule="auto"/>
              <w:jc w:val="right"/>
            </w:pPr>
            <w:r>
              <w:rPr>
                <w:rFonts w:ascii="Liberation Sans Narrow" w:hAnsi="Liberation Sans Narrow"/>
                <w:b/>
                <w:sz w:val="18"/>
              </w:rPr>
              <w:t xml:space="preserve">242</w:t>
            </w:r>
          </w:p>
        </w:tc>
        <w:tc>
          <w:tcPr>
            <w:tcW w:type="dxa" w:w="1608"/>
          </w:tcPr>
          <w:p>
            <w:pPr>
              <w:pStyle w:val="Compact"/>
              <w:spacing w:before="20" w:after="20" w:line="240" w:lineRule="auto"/>
              <w:jc w:val="left"/>
            </w:pPr>
            <w:r>
              <w:rPr>
                <w:rFonts w:ascii="Liberation Sans Narrow" w:hAnsi="Liberation Sans Narrow"/>
                <w:b w:val="0"/>
                <w:sz w:val="18"/>
              </w:rPr>
              <w:t xml:space="preserve">Art. 1052</w:t>
            </w:r>
          </w:p>
        </w:tc>
        <w:tc>
          <w:tcPr>
            <w:tcW w:type="dxa" w:w="731"/>
          </w:tcPr>
          <w:p>
            <w:pPr>
              <w:pStyle w:val="Compact"/>
              <w:spacing w:before="20" w:after="20" w:line="240" w:lineRule="auto"/>
              <w:jc w:val="right"/>
            </w:pPr>
            <w:r>
              <w:rPr>
                <w:rFonts w:ascii="Liberation Sans Narrow" w:hAnsi="Liberation Sans Narrow"/>
                <w:b/>
                <w:sz w:val="18"/>
              </w:rPr>
              <w:t xml:space="preserve">324</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485</w:t>
            </w:r>
          </w:p>
        </w:tc>
        <w:tc>
          <w:tcPr>
            <w:tcW w:type="dxa" w:w="731"/>
          </w:tcPr>
          <w:p>
            <w:pPr>
              <w:pStyle w:val="Compact"/>
              <w:spacing w:before="20" w:after="20" w:line="240" w:lineRule="auto"/>
              <w:jc w:val="right"/>
            </w:pPr>
            <w:r>
              <w:rPr>
                <w:rFonts w:ascii="Liberation Sans Narrow" w:hAnsi="Liberation Sans Narrow"/>
                <w:b/>
                <w:sz w:val="18"/>
              </w:rPr>
              <w:t xml:space="preserve">101</w:t>
            </w:r>
          </w:p>
        </w:tc>
        <w:tc>
          <w:tcPr>
            <w:tcW w:type="dxa" w:w="1608"/>
          </w:tcPr>
          <w:p>
            <w:pPr>
              <w:pStyle w:val="Compact"/>
              <w:spacing w:before="20" w:after="20" w:line="240" w:lineRule="auto"/>
              <w:jc w:val="left"/>
            </w:pPr>
            <w:r>
              <w:rPr>
                <w:rFonts w:ascii="Liberation Sans Narrow" w:hAnsi="Liberation Sans Narrow"/>
                <w:b w:val="0"/>
                <w:sz w:val="18"/>
              </w:rPr>
              <w:t xml:space="preserve">Art. 674</w:t>
            </w:r>
          </w:p>
        </w:tc>
        <w:tc>
          <w:tcPr>
            <w:tcW w:type="dxa" w:w="731"/>
          </w:tcPr>
          <w:p>
            <w:pPr>
              <w:pStyle w:val="Compact"/>
              <w:spacing w:before="20" w:after="20" w:line="240" w:lineRule="auto"/>
              <w:jc w:val="right"/>
            </w:pPr>
            <w:r>
              <w:rPr>
                <w:rFonts w:ascii="Liberation Sans Narrow" w:hAnsi="Liberation Sans Narrow"/>
                <w:b/>
                <w:sz w:val="18"/>
              </w:rPr>
              <w:t xml:space="preserve">176</w:t>
            </w:r>
          </w:p>
        </w:tc>
        <w:tc>
          <w:tcPr>
            <w:tcW w:type="dxa" w:w="1608"/>
          </w:tcPr>
          <w:p>
            <w:pPr>
              <w:pStyle w:val="Compact"/>
              <w:spacing w:before="20" w:after="20" w:line="240" w:lineRule="auto"/>
              <w:jc w:val="left"/>
            </w:pPr>
            <w:r>
              <w:rPr>
                <w:rFonts w:ascii="Liberation Sans Narrow" w:hAnsi="Liberation Sans Narrow"/>
                <w:b w:val="0"/>
                <w:sz w:val="18"/>
              </w:rPr>
              <w:t xml:space="preserve">Art. 863</w:t>
            </w:r>
          </w:p>
        </w:tc>
        <w:tc>
          <w:tcPr>
            <w:tcW w:type="dxa" w:w="731"/>
          </w:tcPr>
          <w:p>
            <w:pPr>
              <w:pStyle w:val="Compact"/>
              <w:spacing w:before="20" w:after="20" w:line="240" w:lineRule="auto"/>
              <w:jc w:val="right"/>
            </w:pPr>
            <w:r>
              <w:rPr>
                <w:rFonts w:ascii="Liberation Sans Narrow" w:hAnsi="Liberation Sans Narrow"/>
                <w:b/>
                <w:sz w:val="18"/>
              </w:rPr>
              <w:t xml:space="preserve">242</w:t>
            </w:r>
          </w:p>
        </w:tc>
        <w:tc>
          <w:tcPr>
            <w:tcW w:type="dxa" w:w="1608"/>
          </w:tcPr>
          <w:p>
            <w:pPr>
              <w:pStyle w:val="Compact"/>
              <w:spacing w:before="20" w:after="20" w:line="240" w:lineRule="auto"/>
              <w:jc w:val="left"/>
            </w:pPr>
            <w:r>
              <w:rPr>
                <w:rFonts w:ascii="Liberation Sans Narrow" w:hAnsi="Liberation Sans Narrow"/>
                <w:b w:val="0"/>
                <w:sz w:val="18"/>
              </w:rPr>
              <w:t xml:space="preserve">Art. 1053</w:t>
            </w:r>
          </w:p>
        </w:tc>
        <w:tc>
          <w:tcPr>
            <w:tcW w:type="dxa" w:w="731"/>
          </w:tcPr>
          <w:p>
            <w:pPr>
              <w:pStyle w:val="Compact"/>
              <w:spacing w:before="20" w:after="20" w:line="240" w:lineRule="auto"/>
              <w:jc w:val="right"/>
            </w:pPr>
            <w:r>
              <w:rPr>
                <w:rFonts w:ascii="Liberation Sans Narrow" w:hAnsi="Liberation Sans Narrow"/>
                <w:b/>
                <w:sz w:val="18"/>
              </w:rPr>
              <w:t xml:space="preserve">324</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486</w:t>
            </w:r>
          </w:p>
        </w:tc>
        <w:tc>
          <w:tcPr>
            <w:tcW w:type="dxa" w:w="731"/>
          </w:tcPr>
          <w:p>
            <w:pPr>
              <w:pStyle w:val="Compact"/>
              <w:spacing w:before="20" w:after="20" w:line="240" w:lineRule="auto"/>
              <w:jc w:val="right"/>
            </w:pPr>
            <w:r>
              <w:rPr>
                <w:rFonts w:ascii="Liberation Sans Narrow" w:hAnsi="Liberation Sans Narrow"/>
                <w:b/>
                <w:sz w:val="18"/>
              </w:rPr>
              <w:t xml:space="preserve">102</w:t>
            </w:r>
          </w:p>
        </w:tc>
        <w:tc>
          <w:tcPr>
            <w:tcW w:type="dxa" w:w="1608"/>
          </w:tcPr>
          <w:p>
            <w:pPr>
              <w:pStyle w:val="Compact"/>
              <w:spacing w:before="20" w:after="20" w:line="240" w:lineRule="auto"/>
              <w:jc w:val="left"/>
            </w:pPr>
            <w:r>
              <w:rPr>
                <w:rFonts w:ascii="Liberation Sans Narrow" w:hAnsi="Liberation Sans Narrow"/>
                <w:b w:val="0"/>
                <w:sz w:val="18"/>
              </w:rPr>
              <w:t xml:space="preserve">Art. 675</w:t>
            </w:r>
          </w:p>
        </w:tc>
        <w:tc>
          <w:tcPr>
            <w:tcW w:type="dxa" w:w="731"/>
          </w:tcPr>
          <w:p>
            <w:pPr>
              <w:pStyle w:val="Compact"/>
              <w:spacing w:before="20" w:after="20" w:line="240" w:lineRule="auto"/>
              <w:jc w:val="right"/>
            </w:pPr>
            <w:r>
              <w:rPr>
                <w:rFonts w:ascii="Liberation Sans Narrow" w:hAnsi="Liberation Sans Narrow"/>
                <w:b/>
                <w:sz w:val="18"/>
              </w:rPr>
              <w:t xml:space="preserve">178</w:t>
            </w:r>
          </w:p>
        </w:tc>
        <w:tc>
          <w:tcPr>
            <w:tcW w:type="dxa" w:w="1608"/>
          </w:tcPr>
          <w:p>
            <w:pPr>
              <w:pStyle w:val="Compact"/>
              <w:spacing w:before="20" w:after="20" w:line="240" w:lineRule="auto"/>
              <w:jc w:val="left"/>
            </w:pPr>
            <w:r>
              <w:rPr>
                <w:rFonts w:ascii="Liberation Sans Narrow" w:hAnsi="Liberation Sans Narrow"/>
                <w:b w:val="0"/>
                <w:sz w:val="18"/>
              </w:rPr>
              <w:t xml:space="preserve">Art. 864</w:t>
            </w:r>
          </w:p>
        </w:tc>
        <w:tc>
          <w:tcPr>
            <w:tcW w:type="dxa" w:w="731"/>
          </w:tcPr>
          <w:p>
            <w:pPr>
              <w:pStyle w:val="Compact"/>
              <w:spacing w:before="20" w:after="20" w:line="240" w:lineRule="auto"/>
              <w:jc w:val="right"/>
            </w:pPr>
            <w:r>
              <w:rPr>
                <w:rFonts w:ascii="Liberation Sans Narrow" w:hAnsi="Liberation Sans Narrow"/>
                <w:b/>
                <w:sz w:val="18"/>
              </w:rPr>
              <w:t xml:space="preserve">243</w:t>
            </w:r>
          </w:p>
        </w:tc>
        <w:tc>
          <w:tcPr>
            <w:tcW w:type="dxa" w:w="1608"/>
          </w:tcPr>
          <w:p>
            <w:pPr>
              <w:pStyle w:val="Compact"/>
              <w:spacing w:before="20" w:after="20" w:line="240" w:lineRule="auto"/>
              <w:jc w:val="left"/>
            </w:pPr>
            <w:r>
              <w:rPr>
                <w:rFonts w:ascii="Liberation Sans Narrow" w:hAnsi="Liberation Sans Narrow"/>
                <w:b w:val="0"/>
                <w:sz w:val="18"/>
              </w:rPr>
              <w:t xml:space="preserve">Art. 1054</w:t>
            </w:r>
          </w:p>
        </w:tc>
        <w:tc>
          <w:tcPr>
            <w:tcW w:type="dxa" w:w="731"/>
          </w:tcPr>
          <w:p>
            <w:pPr>
              <w:pStyle w:val="Compact"/>
              <w:spacing w:before="20" w:after="20" w:line="240" w:lineRule="auto"/>
              <w:jc w:val="right"/>
            </w:pPr>
            <w:r>
              <w:rPr>
                <w:rFonts w:ascii="Liberation Sans Narrow" w:hAnsi="Liberation Sans Narrow"/>
                <w:b/>
                <w:sz w:val="18"/>
              </w:rPr>
              <w:t xml:space="preserve">324</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487</w:t>
            </w:r>
          </w:p>
        </w:tc>
        <w:tc>
          <w:tcPr>
            <w:tcW w:type="dxa" w:w="731"/>
          </w:tcPr>
          <w:p>
            <w:pPr>
              <w:pStyle w:val="Compact"/>
              <w:spacing w:before="20" w:after="20" w:line="240" w:lineRule="auto"/>
              <w:jc w:val="right"/>
            </w:pPr>
            <w:r>
              <w:rPr>
                <w:rFonts w:ascii="Liberation Sans Narrow" w:hAnsi="Liberation Sans Narrow"/>
                <w:b/>
                <w:sz w:val="18"/>
              </w:rPr>
              <w:t xml:space="preserve">102</w:t>
            </w:r>
          </w:p>
        </w:tc>
        <w:tc>
          <w:tcPr>
            <w:tcW w:type="dxa" w:w="1608"/>
          </w:tcPr>
          <w:p>
            <w:pPr>
              <w:pStyle w:val="Compact"/>
              <w:spacing w:before="20" w:after="20" w:line="240" w:lineRule="auto"/>
              <w:jc w:val="left"/>
            </w:pPr>
            <w:r>
              <w:rPr>
                <w:rFonts w:ascii="Liberation Sans Narrow" w:hAnsi="Liberation Sans Narrow"/>
                <w:b w:val="0"/>
                <w:sz w:val="18"/>
              </w:rPr>
              <w:t xml:space="preserve">Art. 676</w:t>
            </w:r>
          </w:p>
        </w:tc>
        <w:tc>
          <w:tcPr>
            <w:tcW w:type="dxa" w:w="731"/>
          </w:tcPr>
          <w:p>
            <w:pPr>
              <w:pStyle w:val="Compact"/>
              <w:spacing w:before="20" w:after="20" w:line="240" w:lineRule="auto"/>
              <w:jc w:val="right"/>
            </w:pPr>
            <w:r>
              <w:rPr>
                <w:rFonts w:ascii="Liberation Sans Narrow" w:hAnsi="Liberation Sans Narrow"/>
                <w:b/>
                <w:sz w:val="18"/>
              </w:rPr>
              <w:t xml:space="preserve">178</w:t>
            </w:r>
          </w:p>
        </w:tc>
        <w:tc>
          <w:tcPr>
            <w:tcW w:type="dxa" w:w="1608"/>
          </w:tcPr>
          <w:p>
            <w:pPr>
              <w:pStyle w:val="Compact"/>
              <w:spacing w:before="20" w:after="20" w:line="240" w:lineRule="auto"/>
              <w:jc w:val="left"/>
            </w:pPr>
            <w:r>
              <w:rPr>
                <w:rFonts w:ascii="Liberation Sans Narrow" w:hAnsi="Liberation Sans Narrow"/>
                <w:b w:val="0"/>
                <w:sz w:val="18"/>
              </w:rPr>
              <w:t xml:space="preserve">Art. 865</w:t>
            </w:r>
          </w:p>
        </w:tc>
        <w:tc>
          <w:tcPr>
            <w:tcW w:type="dxa" w:w="731"/>
          </w:tcPr>
          <w:p>
            <w:pPr>
              <w:pStyle w:val="Compact"/>
              <w:spacing w:before="20" w:after="20" w:line="240" w:lineRule="auto"/>
              <w:jc w:val="right"/>
            </w:pPr>
            <w:r>
              <w:rPr>
                <w:rFonts w:ascii="Liberation Sans Narrow" w:hAnsi="Liberation Sans Narrow"/>
                <w:b/>
                <w:sz w:val="18"/>
              </w:rPr>
              <w:t xml:space="preserve">243</w:t>
            </w:r>
          </w:p>
        </w:tc>
        <w:tc>
          <w:tcPr>
            <w:tcW w:type="dxa" w:w="1608"/>
          </w:tcPr>
          <w:p>
            <w:pPr>
              <w:pStyle w:val="Compact"/>
              <w:spacing w:before="20" w:after="20" w:line="240" w:lineRule="auto"/>
              <w:jc w:val="left"/>
            </w:pPr>
            <w:r>
              <w:rPr>
                <w:rFonts w:ascii="Liberation Sans Narrow" w:hAnsi="Liberation Sans Narrow"/>
                <w:b w:val="0"/>
                <w:sz w:val="18"/>
              </w:rPr>
              <w:t xml:space="preserve">Art. 1055</w:t>
            </w:r>
          </w:p>
        </w:tc>
        <w:tc>
          <w:tcPr>
            <w:tcW w:type="dxa" w:w="731"/>
          </w:tcPr>
          <w:p>
            <w:pPr>
              <w:pStyle w:val="Compact"/>
              <w:spacing w:before="20" w:after="20" w:line="240" w:lineRule="auto"/>
              <w:jc w:val="right"/>
            </w:pPr>
            <w:r>
              <w:rPr>
                <w:rFonts w:ascii="Liberation Sans Narrow" w:hAnsi="Liberation Sans Narrow"/>
                <w:b/>
                <w:sz w:val="18"/>
              </w:rPr>
              <w:t xml:space="preserve">324</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488</w:t>
            </w:r>
          </w:p>
        </w:tc>
        <w:tc>
          <w:tcPr>
            <w:tcW w:type="dxa" w:w="731"/>
          </w:tcPr>
          <w:p>
            <w:pPr>
              <w:pStyle w:val="Compact"/>
              <w:spacing w:before="20" w:after="20" w:line="240" w:lineRule="auto"/>
              <w:jc w:val="right"/>
            </w:pPr>
            <w:r>
              <w:rPr>
                <w:rFonts w:ascii="Liberation Sans Narrow" w:hAnsi="Liberation Sans Narrow"/>
                <w:b/>
                <w:sz w:val="18"/>
              </w:rPr>
              <w:t xml:space="preserve">103</w:t>
            </w:r>
          </w:p>
        </w:tc>
        <w:tc>
          <w:tcPr>
            <w:tcW w:type="dxa" w:w="1608"/>
          </w:tcPr>
          <w:p>
            <w:pPr>
              <w:pStyle w:val="Compact"/>
              <w:spacing w:before="20" w:after="20" w:line="240" w:lineRule="auto"/>
              <w:jc w:val="left"/>
            </w:pPr>
            <w:r>
              <w:rPr>
                <w:rFonts w:ascii="Liberation Sans Narrow" w:hAnsi="Liberation Sans Narrow"/>
                <w:b w:val="0"/>
                <w:sz w:val="18"/>
              </w:rPr>
              <w:t xml:space="preserve">Art. 677</w:t>
            </w:r>
          </w:p>
        </w:tc>
        <w:tc>
          <w:tcPr>
            <w:tcW w:type="dxa" w:w="731"/>
          </w:tcPr>
          <w:p>
            <w:pPr>
              <w:pStyle w:val="Compact"/>
              <w:spacing w:before="20" w:after="20" w:line="240" w:lineRule="auto"/>
              <w:jc w:val="right"/>
            </w:pPr>
            <w:r>
              <w:rPr>
                <w:rFonts w:ascii="Liberation Sans Narrow" w:hAnsi="Liberation Sans Narrow"/>
                <w:b/>
                <w:sz w:val="18"/>
              </w:rPr>
              <w:t xml:space="preserve">178</w:t>
            </w:r>
          </w:p>
        </w:tc>
        <w:tc>
          <w:tcPr>
            <w:tcW w:type="dxa" w:w="1608"/>
          </w:tcPr>
          <w:p>
            <w:pPr>
              <w:pStyle w:val="Compact"/>
              <w:spacing w:before="20" w:after="20" w:line="240" w:lineRule="auto"/>
              <w:jc w:val="left"/>
            </w:pPr>
            <w:r>
              <w:rPr>
                <w:rFonts w:ascii="Liberation Sans Narrow" w:hAnsi="Liberation Sans Narrow"/>
                <w:b w:val="0"/>
                <w:sz w:val="18"/>
              </w:rPr>
              <w:t xml:space="preserve">Art. 866</w:t>
            </w:r>
          </w:p>
        </w:tc>
        <w:tc>
          <w:tcPr>
            <w:tcW w:type="dxa" w:w="731"/>
          </w:tcPr>
          <w:p>
            <w:pPr>
              <w:pStyle w:val="Compact"/>
              <w:spacing w:before="20" w:after="20" w:line="240" w:lineRule="auto"/>
              <w:jc w:val="right"/>
            </w:pPr>
            <w:r>
              <w:rPr>
                <w:rFonts w:ascii="Liberation Sans Narrow" w:hAnsi="Liberation Sans Narrow"/>
                <w:b/>
                <w:sz w:val="18"/>
              </w:rPr>
              <w:t xml:space="preserve">243</w:t>
            </w:r>
          </w:p>
        </w:tc>
        <w:tc>
          <w:tcPr>
            <w:tcW w:type="dxa" w:w="1608"/>
          </w:tcPr>
          <w:p>
            <w:pPr>
              <w:pStyle w:val="Compact"/>
              <w:spacing w:before="20" w:after="20" w:line="240" w:lineRule="auto"/>
              <w:jc w:val="left"/>
            </w:pPr>
            <w:r>
              <w:rPr>
                <w:rFonts w:ascii="Liberation Sans Narrow" w:hAnsi="Liberation Sans Narrow"/>
                <w:b w:val="0"/>
                <w:sz w:val="18"/>
              </w:rPr>
              <w:t xml:space="preserve">Art. 1056</w:t>
            </w:r>
          </w:p>
        </w:tc>
        <w:tc>
          <w:tcPr>
            <w:tcW w:type="dxa" w:w="731"/>
          </w:tcPr>
          <w:p>
            <w:pPr>
              <w:pStyle w:val="Compact"/>
              <w:spacing w:before="20" w:after="20" w:line="240" w:lineRule="auto"/>
              <w:jc w:val="right"/>
            </w:pPr>
            <w:r>
              <w:rPr>
                <w:rFonts w:ascii="Liberation Sans Narrow" w:hAnsi="Liberation Sans Narrow"/>
                <w:b/>
                <w:sz w:val="18"/>
              </w:rPr>
              <w:t xml:space="preserve">324</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489</w:t>
            </w:r>
          </w:p>
        </w:tc>
        <w:tc>
          <w:tcPr>
            <w:tcW w:type="dxa" w:w="731"/>
          </w:tcPr>
          <w:p>
            <w:pPr>
              <w:pStyle w:val="Compact"/>
              <w:spacing w:before="20" w:after="20" w:line="240" w:lineRule="auto"/>
              <w:jc w:val="right"/>
            </w:pPr>
            <w:r>
              <w:rPr>
                <w:rFonts w:ascii="Liberation Sans Narrow" w:hAnsi="Liberation Sans Narrow"/>
                <w:b/>
                <w:sz w:val="18"/>
              </w:rPr>
              <w:t xml:space="preserve">103</w:t>
            </w:r>
          </w:p>
        </w:tc>
        <w:tc>
          <w:tcPr>
            <w:tcW w:type="dxa" w:w="1608"/>
          </w:tcPr>
          <w:p>
            <w:pPr>
              <w:pStyle w:val="Compact"/>
              <w:spacing w:before="20" w:after="20" w:line="240" w:lineRule="auto"/>
              <w:jc w:val="left"/>
            </w:pPr>
            <w:r>
              <w:rPr>
                <w:rFonts w:ascii="Liberation Sans Narrow" w:hAnsi="Liberation Sans Narrow"/>
                <w:b w:val="0"/>
                <w:sz w:val="18"/>
              </w:rPr>
              <w:t xml:space="preserve">Art. 678</w:t>
            </w:r>
          </w:p>
        </w:tc>
        <w:tc>
          <w:tcPr>
            <w:tcW w:type="dxa" w:w="731"/>
          </w:tcPr>
          <w:p>
            <w:pPr>
              <w:pStyle w:val="Compact"/>
              <w:spacing w:before="20" w:after="20" w:line="240" w:lineRule="auto"/>
              <w:jc w:val="right"/>
            </w:pPr>
            <w:r>
              <w:rPr>
                <w:rFonts w:ascii="Liberation Sans Narrow" w:hAnsi="Liberation Sans Narrow"/>
                <w:b/>
                <w:sz w:val="18"/>
              </w:rPr>
              <w:t xml:space="preserve">179</w:t>
            </w:r>
          </w:p>
        </w:tc>
        <w:tc>
          <w:tcPr>
            <w:tcW w:type="dxa" w:w="1608"/>
          </w:tcPr>
          <w:p>
            <w:pPr>
              <w:pStyle w:val="Compact"/>
              <w:spacing w:before="20" w:after="20" w:line="240" w:lineRule="auto"/>
              <w:jc w:val="left"/>
            </w:pPr>
            <w:r>
              <w:rPr>
                <w:rFonts w:ascii="Liberation Sans Narrow" w:hAnsi="Liberation Sans Narrow"/>
                <w:b w:val="0"/>
                <w:sz w:val="18"/>
              </w:rPr>
              <w:t xml:space="preserve">Art. 867</w:t>
            </w:r>
          </w:p>
        </w:tc>
        <w:tc>
          <w:tcPr>
            <w:tcW w:type="dxa" w:w="731"/>
          </w:tcPr>
          <w:p>
            <w:pPr>
              <w:pStyle w:val="Compact"/>
              <w:spacing w:before="20" w:after="20" w:line="240" w:lineRule="auto"/>
              <w:jc w:val="right"/>
            </w:pPr>
            <w:r>
              <w:rPr>
                <w:rFonts w:ascii="Liberation Sans Narrow" w:hAnsi="Liberation Sans Narrow"/>
                <w:b/>
                <w:sz w:val="18"/>
              </w:rPr>
              <w:t xml:space="preserve">243</w:t>
            </w:r>
          </w:p>
        </w:tc>
        <w:tc>
          <w:tcPr>
            <w:tcW w:type="dxa" w:w="1608"/>
          </w:tcPr>
          <w:p>
            <w:pPr>
              <w:pStyle w:val="Compact"/>
              <w:spacing w:before="20" w:after="20" w:line="240" w:lineRule="auto"/>
              <w:jc w:val="left"/>
            </w:pPr>
            <w:r>
              <w:rPr>
                <w:rFonts w:ascii="Liberation Sans Narrow" w:hAnsi="Liberation Sans Narrow"/>
                <w:b w:val="0"/>
                <w:sz w:val="18"/>
              </w:rPr>
              <w:t xml:space="preserve">Art. 1057</w:t>
            </w:r>
          </w:p>
        </w:tc>
        <w:tc>
          <w:tcPr>
            <w:tcW w:type="dxa" w:w="731"/>
          </w:tcPr>
          <w:p>
            <w:pPr>
              <w:pStyle w:val="Compact"/>
              <w:spacing w:before="20" w:after="20" w:line="240" w:lineRule="auto"/>
              <w:jc w:val="right"/>
            </w:pPr>
            <w:r>
              <w:rPr>
                <w:rFonts w:ascii="Liberation Sans Narrow" w:hAnsi="Liberation Sans Narrow"/>
                <w:b/>
                <w:sz w:val="18"/>
              </w:rPr>
              <w:t xml:space="preserve">324</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490</w:t>
            </w:r>
          </w:p>
        </w:tc>
        <w:tc>
          <w:tcPr>
            <w:tcW w:type="dxa" w:w="731"/>
          </w:tcPr>
          <w:p>
            <w:pPr>
              <w:pStyle w:val="Compact"/>
              <w:spacing w:before="20" w:after="20" w:line="240" w:lineRule="auto"/>
              <w:jc w:val="right"/>
            </w:pPr>
            <w:r>
              <w:rPr>
                <w:rFonts w:ascii="Liberation Sans Narrow" w:hAnsi="Liberation Sans Narrow"/>
                <w:b/>
                <w:sz w:val="18"/>
              </w:rPr>
              <w:t xml:space="preserve">104</w:t>
            </w:r>
          </w:p>
        </w:tc>
        <w:tc>
          <w:tcPr>
            <w:tcW w:type="dxa" w:w="1608"/>
          </w:tcPr>
          <w:p>
            <w:pPr>
              <w:pStyle w:val="Compact"/>
              <w:spacing w:before="20" w:after="20" w:line="240" w:lineRule="auto"/>
              <w:jc w:val="left"/>
            </w:pPr>
            <w:r>
              <w:rPr>
                <w:rFonts w:ascii="Liberation Sans Narrow" w:hAnsi="Liberation Sans Narrow"/>
                <w:b w:val="0"/>
                <w:sz w:val="18"/>
              </w:rPr>
              <w:t xml:space="preserve">Art. 679</w:t>
            </w:r>
          </w:p>
        </w:tc>
        <w:tc>
          <w:tcPr>
            <w:tcW w:type="dxa" w:w="731"/>
          </w:tcPr>
          <w:p>
            <w:pPr>
              <w:pStyle w:val="Compact"/>
              <w:spacing w:before="20" w:after="20" w:line="240" w:lineRule="auto"/>
              <w:jc w:val="right"/>
            </w:pPr>
            <w:r>
              <w:rPr>
                <w:rFonts w:ascii="Liberation Sans Narrow" w:hAnsi="Liberation Sans Narrow"/>
                <w:b/>
                <w:sz w:val="18"/>
              </w:rPr>
              <w:t xml:space="preserve">179</w:t>
            </w:r>
          </w:p>
        </w:tc>
        <w:tc>
          <w:tcPr>
            <w:tcW w:type="dxa" w:w="1608"/>
          </w:tcPr>
          <w:p>
            <w:pPr>
              <w:pStyle w:val="Compact"/>
              <w:spacing w:before="20" w:after="20" w:line="240" w:lineRule="auto"/>
              <w:jc w:val="left"/>
            </w:pPr>
            <w:r>
              <w:rPr>
                <w:rFonts w:ascii="Liberation Sans Narrow" w:hAnsi="Liberation Sans Narrow"/>
                <w:b w:val="0"/>
                <w:sz w:val="18"/>
              </w:rPr>
              <w:t xml:space="preserve">Art. 868</w:t>
            </w:r>
          </w:p>
        </w:tc>
        <w:tc>
          <w:tcPr>
            <w:tcW w:type="dxa" w:w="731"/>
          </w:tcPr>
          <w:p>
            <w:pPr>
              <w:pStyle w:val="Compact"/>
              <w:spacing w:before="20" w:after="20" w:line="240" w:lineRule="auto"/>
              <w:jc w:val="right"/>
            </w:pPr>
            <w:r>
              <w:rPr>
                <w:rFonts w:ascii="Liberation Sans Narrow" w:hAnsi="Liberation Sans Narrow"/>
                <w:b/>
                <w:sz w:val="18"/>
              </w:rPr>
              <w:t xml:space="preserve">243</w:t>
            </w:r>
          </w:p>
        </w:tc>
        <w:tc>
          <w:tcPr>
            <w:tcW w:type="dxa" w:w="1608"/>
          </w:tcPr>
          <w:p>
            <w:pPr>
              <w:pStyle w:val="Compact"/>
              <w:spacing w:before="20" w:after="20" w:line="240" w:lineRule="auto"/>
              <w:jc w:val="left"/>
            </w:pPr>
            <w:r>
              <w:rPr>
                <w:rFonts w:ascii="Liberation Sans Narrow" w:hAnsi="Liberation Sans Narrow"/>
                <w:b w:val="0"/>
                <w:sz w:val="18"/>
              </w:rPr>
              <w:t xml:space="preserve">Art. 1058</w:t>
            </w:r>
          </w:p>
        </w:tc>
        <w:tc>
          <w:tcPr>
            <w:tcW w:type="dxa" w:w="731"/>
          </w:tcPr>
          <w:p>
            <w:pPr>
              <w:pStyle w:val="Compact"/>
              <w:spacing w:before="20" w:after="20" w:line="240" w:lineRule="auto"/>
              <w:jc w:val="right"/>
            </w:pPr>
            <w:r>
              <w:rPr>
                <w:rFonts w:ascii="Liberation Sans Narrow" w:hAnsi="Liberation Sans Narrow"/>
                <w:b/>
                <w:sz w:val="18"/>
              </w:rPr>
              <w:t xml:space="preserve">325</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491</w:t>
            </w:r>
          </w:p>
        </w:tc>
        <w:tc>
          <w:tcPr>
            <w:tcW w:type="dxa" w:w="731"/>
          </w:tcPr>
          <w:p>
            <w:pPr>
              <w:pStyle w:val="Compact"/>
              <w:spacing w:before="20" w:after="20" w:line="240" w:lineRule="auto"/>
              <w:jc w:val="right"/>
            </w:pPr>
            <w:r>
              <w:rPr>
                <w:rFonts w:ascii="Liberation Sans Narrow" w:hAnsi="Liberation Sans Narrow"/>
                <w:b/>
                <w:sz w:val="18"/>
              </w:rPr>
              <w:t xml:space="preserve">104</w:t>
            </w:r>
          </w:p>
        </w:tc>
        <w:tc>
          <w:tcPr>
            <w:tcW w:type="dxa" w:w="1608"/>
          </w:tcPr>
          <w:p>
            <w:pPr>
              <w:pStyle w:val="Compact"/>
              <w:spacing w:before="20" w:after="20" w:line="240" w:lineRule="auto"/>
              <w:jc w:val="left"/>
            </w:pPr>
            <w:r>
              <w:rPr>
                <w:rFonts w:ascii="Liberation Sans Narrow" w:hAnsi="Liberation Sans Narrow"/>
                <w:b w:val="0"/>
                <w:sz w:val="18"/>
              </w:rPr>
              <w:t xml:space="preserve">Art. 680</w:t>
            </w:r>
          </w:p>
        </w:tc>
        <w:tc>
          <w:tcPr>
            <w:tcW w:type="dxa" w:w="731"/>
          </w:tcPr>
          <w:p>
            <w:pPr>
              <w:pStyle w:val="Compact"/>
              <w:spacing w:before="20" w:after="20" w:line="240" w:lineRule="auto"/>
              <w:jc w:val="right"/>
            </w:pPr>
            <w:r>
              <w:rPr>
                <w:rFonts w:ascii="Liberation Sans Narrow" w:hAnsi="Liberation Sans Narrow"/>
                <w:b/>
                <w:sz w:val="18"/>
              </w:rPr>
              <w:t xml:space="preserve">179</w:t>
            </w:r>
          </w:p>
        </w:tc>
        <w:tc>
          <w:tcPr>
            <w:tcW w:type="dxa" w:w="1608"/>
          </w:tcPr>
          <w:p>
            <w:pPr>
              <w:pStyle w:val="Compact"/>
              <w:spacing w:before="20" w:after="20" w:line="240" w:lineRule="auto"/>
              <w:jc w:val="left"/>
            </w:pPr>
            <w:r>
              <w:rPr>
                <w:rFonts w:ascii="Liberation Sans Narrow" w:hAnsi="Liberation Sans Narrow"/>
                <w:b w:val="0"/>
                <w:sz w:val="18"/>
              </w:rPr>
              <w:t xml:space="preserve">Art. 869</w:t>
            </w:r>
          </w:p>
        </w:tc>
        <w:tc>
          <w:tcPr>
            <w:tcW w:type="dxa" w:w="731"/>
          </w:tcPr>
          <w:p>
            <w:pPr>
              <w:pStyle w:val="Compact"/>
              <w:spacing w:before="20" w:after="20" w:line="240" w:lineRule="auto"/>
              <w:jc w:val="right"/>
            </w:pPr>
            <w:r>
              <w:rPr>
                <w:rFonts w:ascii="Liberation Sans Narrow" w:hAnsi="Liberation Sans Narrow"/>
                <w:b/>
                <w:sz w:val="18"/>
              </w:rPr>
              <w:t xml:space="preserve">244</w:t>
            </w:r>
          </w:p>
        </w:tc>
        <w:tc>
          <w:tcPr>
            <w:tcW w:type="dxa" w:w="1608"/>
          </w:tcPr>
          <w:p>
            <w:pPr>
              <w:pStyle w:val="Compact"/>
              <w:spacing w:before="20" w:after="20" w:line="240" w:lineRule="auto"/>
              <w:jc w:val="left"/>
            </w:pPr>
            <w:r>
              <w:rPr>
                <w:rFonts w:ascii="Liberation Sans Narrow" w:hAnsi="Liberation Sans Narrow"/>
                <w:b w:val="0"/>
                <w:sz w:val="18"/>
              </w:rPr>
              <w:t xml:space="preserve">Art. 1059</w:t>
            </w:r>
          </w:p>
        </w:tc>
        <w:tc>
          <w:tcPr>
            <w:tcW w:type="dxa" w:w="731"/>
          </w:tcPr>
          <w:p>
            <w:pPr>
              <w:pStyle w:val="Compact"/>
              <w:spacing w:before="20" w:after="20" w:line="240" w:lineRule="auto"/>
              <w:jc w:val="right"/>
            </w:pPr>
            <w:r>
              <w:rPr>
                <w:rFonts w:ascii="Liberation Sans Narrow" w:hAnsi="Liberation Sans Narrow"/>
                <w:b/>
                <w:sz w:val="18"/>
              </w:rPr>
              <w:t xml:space="preserve">325</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492</w:t>
            </w:r>
          </w:p>
        </w:tc>
        <w:tc>
          <w:tcPr>
            <w:tcW w:type="dxa" w:w="731"/>
          </w:tcPr>
          <w:p>
            <w:pPr>
              <w:pStyle w:val="Compact"/>
              <w:spacing w:before="20" w:after="20" w:line="240" w:lineRule="auto"/>
              <w:jc w:val="right"/>
            </w:pPr>
            <w:r>
              <w:rPr>
                <w:rFonts w:ascii="Liberation Sans Narrow" w:hAnsi="Liberation Sans Narrow"/>
                <w:b/>
                <w:sz w:val="18"/>
              </w:rPr>
              <w:t xml:space="preserve">105</w:t>
            </w:r>
          </w:p>
        </w:tc>
        <w:tc>
          <w:tcPr>
            <w:tcW w:type="dxa" w:w="1608"/>
          </w:tcPr>
          <w:p>
            <w:pPr>
              <w:pStyle w:val="Compact"/>
              <w:spacing w:before="20" w:after="20" w:line="240" w:lineRule="auto"/>
              <w:jc w:val="left"/>
            </w:pPr>
            <w:r>
              <w:rPr>
                <w:rFonts w:ascii="Liberation Sans Narrow" w:hAnsi="Liberation Sans Narrow"/>
                <w:b w:val="0"/>
                <w:sz w:val="18"/>
              </w:rPr>
              <w:t xml:space="preserve">Art. 681</w:t>
            </w:r>
          </w:p>
        </w:tc>
        <w:tc>
          <w:tcPr>
            <w:tcW w:type="dxa" w:w="731"/>
          </w:tcPr>
          <w:p>
            <w:pPr>
              <w:pStyle w:val="Compact"/>
              <w:spacing w:before="20" w:after="20" w:line="240" w:lineRule="auto"/>
              <w:jc w:val="right"/>
            </w:pPr>
            <w:r>
              <w:rPr>
                <w:rFonts w:ascii="Liberation Sans Narrow" w:hAnsi="Liberation Sans Narrow"/>
                <w:b/>
                <w:sz w:val="18"/>
              </w:rPr>
              <w:t xml:space="preserve">179</w:t>
            </w:r>
          </w:p>
        </w:tc>
        <w:tc>
          <w:tcPr>
            <w:tcW w:type="dxa" w:w="1608"/>
          </w:tcPr>
          <w:p>
            <w:pPr>
              <w:pStyle w:val="Compact"/>
              <w:spacing w:before="20" w:after="20" w:line="240" w:lineRule="auto"/>
              <w:jc w:val="left"/>
            </w:pPr>
            <w:r>
              <w:rPr>
                <w:rFonts w:ascii="Liberation Sans Narrow" w:hAnsi="Liberation Sans Narrow"/>
                <w:b w:val="0"/>
                <w:sz w:val="18"/>
              </w:rPr>
              <w:t xml:space="preserve">Art. 870</w:t>
            </w:r>
          </w:p>
        </w:tc>
        <w:tc>
          <w:tcPr>
            <w:tcW w:type="dxa" w:w="731"/>
          </w:tcPr>
          <w:p>
            <w:pPr>
              <w:pStyle w:val="Compact"/>
              <w:spacing w:before="20" w:after="20" w:line="240" w:lineRule="auto"/>
              <w:jc w:val="right"/>
            </w:pPr>
            <w:r>
              <w:rPr>
                <w:rFonts w:ascii="Liberation Sans Narrow" w:hAnsi="Liberation Sans Narrow"/>
                <w:b/>
                <w:sz w:val="18"/>
              </w:rPr>
              <w:t xml:space="preserve">244</w:t>
            </w:r>
          </w:p>
        </w:tc>
        <w:tc>
          <w:tcPr>
            <w:tcW w:type="dxa" w:w="1608"/>
          </w:tcPr>
          <w:p>
            <w:pPr>
              <w:pStyle w:val="Compact"/>
              <w:spacing w:before="20" w:after="20" w:line="240" w:lineRule="auto"/>
              <w:jc w:val="left"/>
            </w:pPr>
            <w:r>
              <w:rPr>
                <w:rFonts w:ascii="Liberation Sans Narrow" w:hAnsi="Liberation Sans Narrow"/>
                <w:b w:val="0"/>
                <w:sz w:val="18"/>
              </w:rPr>
              <w:t xml:space="preserve">Art. 1060</w:t>
            </w:r>
          </w:p>
        </w:tc>
        <w:tc>
          <w:tcPr>
            <w:tcW w:type="dxa" w:w="731"/>
          </w:tcPr>
          <w:p>
            <w:pPr>
              <w:pStyle w:val="Compact"/>
              <w:spacing w:before="20" w:after="20" w:line="240" w:lineRule="auto"/>
              <w:jc w:val="right"/>
            </w:pPr>
            <w:r>
              <w:rPr>
                <w:rFonts w:ascii="Liberation Sans Narrow" w:hAnsi="Liberation Sans Narrow"/>
                <w:b/>
                <w:sz w:val="18"/>
              </w:rPr>
              <w:t xml:space="preserve">325</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493</w:t>
            </w:r>
          </w:p>
        </w:tc>
        <w:tc>
          <w:tcPr>
            <w:tcW w:type="dxa" w:w="731"/>
          </w:tcPr>
          <w:p>
            <w:pPr>
              <w:pStyle w:val="Compact"/>
              <w:spacing w:before="20" w:after="20" w:line="240" w:lineRule="auto"/>
              <w:jc w:val="right"/>
            </w:pPr>
            <w:r>
              <w:rPr>
                <w:rFonts w:ascii="Liberation Sans Narrow" w:hAnsi="Liberation Sans Narrow"/>
                <w:b/>
                <w:sz w:val="18"/>
              </w:rPr>
              <w:t xml:space="preserve">105</w:t>
            </w:r>
          </w:p>
        </w:tc>
        <w:tc>
          <w:tcPr>
            <w:tcW w:type="dxa" w:w="1608"/>
          </w:tcPr>
          <w:p>
            <w:pPr>
              <w:pStyle w:val="Compact"/>
              <w:spacing w:before="20" w:after="20" w:line="240" w:lineRule="auto"/>
              <w:jc w:val="left"/>
            </w:pPr>
            <w:r>
              <w:rPr>
                <w:rFonts w:ascii="Liberation Sans Narrow" w:hAnsi="Liberation Sans Narrow"/>
                <w:b w:val="0"/>
                <w:sz w:val="18"/>
              </w:rPr>
              <w:t xml:space="preserve">Art. 682</w:t>
            </w:r>
          </w:p>
        </w:tc>
        <w:tc>
          <w:tcPr>
            <w:tcW w:type="dxa" w:w="731"/>
          </w:tcPr>
          <w:p>
            <w:pPr>
              <w:pStyle w:val="Compact"/>
              <w:spacing w:before="20" w:after="20" w:line="240" w:lineRule="auto"/>
              <w:jc w:val="right"/>
            </w:pPr>
            <w:r>
              <w:rPr>
                <w:rFonts w:ascii="Liberation Sans Narrow" w:hAnsi="Liberation Sans Narrow"/>
                <w:b/>
                <w:sz w:val="18"/>
              </w:rPr>
              <w:t xml:space="preserve">179</w:t>
            </w:r>
          </w:p>
        </w:tc>
        <w:tc>
          <w:tcPr>
            <w:tcW w:type="dxa" w:w="1608"/>
          </w:tcPr>
          <w:p>
            <w:pPr>
              <w:pStyle w:val="Compact"/>
              <w:spacing w:before="20" w:after="20" w:line="240" w:lineRule="auto"/>
              <w:jc w:val="left"/>
            </w:pPr>
            <w:r>
              <w:rPr>
                <w:rFonts w:ascii="Liberation Sans Narrow" w:hAnsi="Liberation Sans Narrow"/>
                <w:b w:val="0"/>
                <w:sz w:val="18"/>
              </w:rPr>
              <w:t xml:space="preserve">Art. 871</w:t>
            </w:r>
          </w:p>
        </w:tc>
        <w:tc>
          <w:tcPr>
            <w:tcW w:type="dxa" w:w="731"/>
          </w:tcPr>
          <w:p>
            <w:pPr>
              <w:pStyle w:val="Compact"/>
              <w:spacing w:before="20" w:after="20" w:line="240" w:lineRule="auto"/>
              <w:jc w:val="right"/>
            </w:pPr>
            <w:r>
              <w:rPr>
                <w:rFonts w:ascii="Liberation Sans Narrow" w:hAnsi="Liberation Sans Narrow"/>
                <w:b/>
                <w:sz w:val="18"/>
              </w:rPr>
              <w:t xml:space="preserve">244</w:t>
            </w:r>
          </w:p>
        </w:tc>
        <w:tc>
          <w:tcPr>
            <w:tcW w:type="dxa" w:w="1608"/>
          </w:tcPr>
          <w:p>
            <w:pPr>
              <w:pStyle w:val="Compact"/>
              <w:spacing w:before="20" w:after="20" w:line="240" w:lineRule="auto"/>
              <w:jc w:val="left"/>
            </w:pPr>
            <w:r>
              <w:rPr>
                <w:rFonts w:ascii="Liberation Sans Narrow" w:hAnsi="Liberation Sans Narrow"/>
                <w:b w:val="0"/>
                <w:sz w:val="18"/>
              </w:rPr>
              <w:t xml:space="preserve">Art. 1061</w:t>
            </w:r>
          </w:p>
        </w:tc>
        <w:tc>
          <w:tcPr>
            <w:tcW w:type="dxa" w:w="731"/>
          </w:tcPr>
          <w:p>
            <w:pPr>
              <w:pStyle w:val="Compact"/>
              <w:spacing w:before="20" w:after="20" w:line="240" w:lineRule="auto"/>
              <w:jc w:val="right"/>
            </w:pPr>
            <w:r>
              <w:rPr>
                <w:rFonts w:ascii="Liberation Sans Narrow" w:hAnsi="Liberation Sans Narrow"/>
                <w:b/>
                <w:sz w:val="18"/>
              </w:rPr>
              <w:t xml:space="preserve">325</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494</w:t>
            </w:r>
          </w:p>
        </w:tc>
        <w:tc>
          <w:tcPr>
            <w:tcW w:type="dxa" w:w="731"/>
          </w:tcPr>
          <w:p>
            <w:pPr>
              <w:pStyle w:val="Compact"/>
              <w:spacing w:before="20" w:after="20" w:line="240" w:lineRule="auto"/>
              <w:jc w:val="right"/>
            </w:pPr>
            <w:r>
              <w:rPr>
                <w:rFonts w:ascii="Liberation Sans Narrow" w:hAnsi="Liberation Sans Narrow"/>
                <w:b/>
                <w:sz w:val="18"/>
              </w:rPr>
              <w:t xml:space="preserve">105</w:t>
            </w:r>
          </w:p>
        </w:tc>
        <w:tc>
          <w:tcPr>
            <w:tcW w:type="dxa" w:w="1608"/>
          </w:tcPr>
          <w:p>
            <w:pPr>
              <w:pStyle w:val="Compact"/>
              <w:spacing w:before="20" w:after="20" w:line="240" w:lineRule="auto"/>
              <w:jc w:val="left"/>
            </w:pPr>
            <w:r>
              <w:rPr>
                <w:rFonts w:ascii="Liberation Sans Narrow" w:hAnsi="Liberation Sans Narrow"/>
                <w:b w:val="0"/>
                <w:sz w:val="18"/>
              </w:rPr>
              <w:t xml:space="preserve">Art. 683</w:t>
            </w:r>
          </w:p>
        </w:tc>
        <w:tc>
          <w:tcPr>
            <w:tcW w:type="dxa" w:w="731"/>
          </w:tcPr>
          <w:p>
            <w:pPr>
              <w:pStyle w:val="Compact"/>
              <w:spacing w:before="20" w:after="20" w:line="240" w:lineRule="auto"/>
              <w:jc w:val="right"/>
            </w:pPr>
            <w:r>
              <w:rPr>
                <w:rFonts w:ascii="Liberation Sans Narrow" w:hAnsi="Liberation Sans Narrow"/>
                <w:b/>
                <w:sz w:val="18"/>
              </w:rPr>
              <w:t xml:space="preserve">179</w:t>
            </w:r>
          </w:p>
        </w:tc>
        <w:tc>
          <w:tcPr>
            <w:tcW w:type="dxa" w:w="1608"/>
          </w:tcPr>
          <w:p>
            <w:pPr>
              <w:pStyle w:val="Compact"/>
              <w:spacing w:before="20" w:after="20" w:line="240" w:lineRule="auto"/>
              <w:jc w:val="left"/>
            </w:pPr>
            <w:r>
              <w:rPr>
                <w:rFonts w:ascii="Liberation Sans Narrow" w:hAnsi="Liberation Sans Narrow"/>
                <w:b w:val="0"/>
                <w:sz w:val="18"/>
              </w:rPr>
              <w:t xml:space="preserve">Art. 872</w:t>
            </w:r>
          </w:p>
        </w:tc>
        <w:tc>
          <w:tcPr>
            <w:tcW w:type="dxa" w:w="731"/>
          </w:tcPr>
          <w:p>
            <w:pPr>
              <w:pStyle w:val="Compact"/>
              <w:spacing w:before="20" w:after="20" w:line="240" w:lineRule="auto"/>
              <w:jc w:val="right"/>
            </w:pPr>
            <w:r>
              <w:rPr>
                <w:rFonts w:ascii="Liberation Sans Narrow" w:hAnsi="Liberation Sans Narrow"/>
                <w:b/>
                <w:sz w:val="18"/>
              </w:rPr>
              <w:t xml:space="preserve">245</w:t>
            </w:r>
          </w:p>
        </w:tc>
        <w:tc>
          <w:tcPr>
            <w:tcW w:type="dxa" w:w="1608"/>
          </w:tcPr>
          <w:p>
            <w:pPr>
              <w:pStyle w:val="Compact"/>
              <w:spacing w:before="20" w:after="20" w:line="240" w:lineRule="auto"/>
              <w:jc w:val="left"/>
            </w:pPr>
            <w:r>
              <w:rPr>
                <w:rFonts w:ascii="Liberation Sans Narrow" w:hAnsi="Liberation Sans Narrow"/>
                <w:b w:val="0"/>
                <w:sz w:val="18"/>
              </w:rPr>
              <w:t xml:space="preserve">Art. 1062</w:t>
            </w:r>
          </w:p>
        </w:tc>
        <w:tc>
          <w:tcPr>
            <w:tcW w:type="dxa" w:w="731"/>
          </w:tcPr>
          <w:p>
            <w:pPr>
              <w:pStyle w:val="Compact"/>
              <w:spacing w:before="20" w:after="20" w:line="240" w:lineRule="auto"/>
              <w:jc w:val="right"/>
            </w:pPr>
            <w:r>
              <w:rPr>
                <w:rFonts w:ascii="Liberation Sans Narrow" w:hAnsi="Liberation Sans Narrow"/>
                <w:b/>
                <w:sz w:val="18"/>
              </w:rPr>
              <w:t xml:space="preserve">325</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495</w:t>
            </w:r>
          </w:p>
        </w:tc>
        <w:tc>
          <w:tcPr>
            <w:tcW w:type="dxa" w:w="731"/>
          </w:tcPr>
          <w:p>
            <w:pPr>
              <w:pStyle w:val="Compact"/>
              <w:spacing w:before="20" w:after="20" w:line="240" w:lineRule="auto"/>
              <w:jc w:val="right"/>
            </w:pPr>
            <w:r>
              <w:rPr>
                <w:rFonts w:ascii="Liberation Sans Narrow" w:hAnsi="Liberation Sans Narrow"/>
                <w:b/>
                <w:sz w:val="18"/>
              </w:rPr>
              <w:t xml:space="preserve">106</w:t>
            </w:r>
          </w:p>
        </w:tc>
        <w:tc>
          <w:tcPr>
            <w:tcW w:type="dxa" w:w="1608"/>
          </w:tcPr>
          <w:p>
            <w:pPr>
              <w:pStyle w:val="Compact"/>
              <w:spacing w:before="20" w:after="20" w:line="240" w:lineRule="auto"/>
              <w:jc w:val="left"/>
            </w:pPr>
            <w:r>
              <w:rPr>
                <w:rFonts w:ascii="Liberation Sans Narrow" w:hAnsi="Liberation Sans Narrow"/>
                <w:b w:val="0"/>
                <w:sz w:val="18"/>
              </w:rPr>
              <w:t xml:space="preserve">Art. 684</w:t>
            </w:r>
          </w:p>
        </w:tc>
        <w:tc>
          <w:tcPr>
            <w:tcW w:type="dxa" w:w="731"/>
          </w:tcPr>
          <w:p>
            <w:pPr>
              <w:pStyle w:val="Compact"/>
              <w:spacing w:before="20" w:after="20" w:line="240" w:lineRule="auto"/>
              <w:jc w:val="right"/>
            </w:pPr>
            <w:r>
              <w:rPr>
                <w:rFonts w:ascii="Liberation Sans Narrow" w:hAnsi="Liberation Sans Narrow"/>
                <w:b/>
                <w:sz w:val="18"/>
              </w:rPr>
              <w:t xml:space="preserve">180</w:t>
            </w:r>
          </w:p>
        </w:tc>
        <w:tc>
          <w:tcPr>
            <w:tcW w:type="dxa" w:w="1608"/>
          </w:tcPr>
          <w:p>
            <w:pPr>
              <w:pStyle w:val="Compact"/>
              <w:spacing w:before="20" w:after="20" w:line="240" w:lineRule="auto"/>
              <w:jc w:val="left"/>
            </w:pPr>
            <w:r>
              <w:rPr>
                <w:rFonts w:ascii="Liberation Sans Narrow" w:hAnsi="Liberation Sans Narrow"/>
                <w:b w:val="0"/>
                <w:sz w:val="18"/>
              </w:rPr>
              <w:t xml:space="preserve">Art. 873</w:t>
            </w:r>
          </w:p>
        </w:tc>
        <w:tc>
          <w:tcPr>
            <w:tcW w:type="dxa" w:w="731"/>
          </w:tcPr>
          <w:p>
            <w:pPr>
              <w:pStyle w:val="Compact"/>
              <w:spacing w:before="20" w:after="20" w:line="240" w:lineRule="auto"/>
              <w:jc w:val="right"/>
            </w:pPr>
            <w:r>
              <w:rPr>
                <w:rFonts w:ascii="Liberation Sans Narrow" w:hAnsi="Liberation Sans Narrow"/>
                <w:b/>
                <w:sz w:val="18"/>
              </w:rPr>
              <w:t xml:space="preserve">245</w:t>
            </w:r>
          </w:p>
        </w:tc>
        <w:tc>
          <w:tcPr>
            <w:tcW w:type="dxa" w:w="1608"/>
          </w:tcPr>
          <w:p>
            <w:pPr>
              <w:pStyle w:val="Compact"/>
              <w:spacing w:before="20" w:after="20" w:line="240" w:lineRule="auto"/>
              <w:jc w:val="left"/>
            </w:pPr>
            <w:r>
              <w:rPr>
                <w:rFonts w:ascii="Liberation Sans Narrow" w:hAnsi="Liberation Sans Narrow"/>
                <w:b w:val="0"/>
                <w:sz w:val="18"/>
              </w:rPr>
              <w:t xml:space="preserve">Art. 1063</w:t>
            </w:r>
          </w:p>
        </w:tc>
        <w:tc>
          <w:tcPr>
            <w:tcW w:type="dxa" w:w="731"/>
          </w:tcPr>
          <w:p>
            <w:pPr>
              <w:pStyle w:val="Compact"/>
              <w:spacing w:before="20" w:after="20" w:line="240" w:lineRule="auto"/>
              <w:jc w:val="right"/>
            </w:pPr>
            <w:r>
              <w:rPr>
                <w:rFonts w:ascii="Liberation Sans Narrow" w:hAnsi="Liberation Sans Narrow"/>
                <w:b/>
                <w:sz w:val="18"/>
              </w:rPr>
              <w:t xml:space="preserve">326</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496</w:t>
            </w:r>
          </w:p>
        </w:tc>
        <w:tc>
          <w:tcPr>
            <w:tcW w:type="dxa" w:w="731"/>
          </w:tcPr>
          <w:p>
            <w:pPr>
              <w:pStyle w:val="Compact"/>
              <w:spacing w:before="20" w:after="20" w:line="240" w:lineRule="auto"/>
              <w:jc w:val="right"/>
            </w:pPr>
            <w:r>
              <w:rPr>
                <w:rFonts w:ascii="Liberation Sans Narrow" w:hAnsi="Liberation Sans Narrow"/>
                <w:b/>
                <w:sz w:val="18"/>
              </w:rPr>
              <w:t xml:space="preserve">107</w:t>
            </w:r>
          </w:p>
        </w:tc>
        <w:tc>
          <w:tcPr>
            <w:tcW w:type="dxa" w:w="1608"/>
          </w:tcPr>
          <w:p>
            <w:pPr>
              <w:pStyle w:val="Compact"/>
              <w:spacing w:before="20" w:after="20" w:line="240" w:lineRule="auto"/>
              <w:jc w:val="left"/>
            </w:pPr>
            <w:r>
              <w:rPr>
                <w:rFonts w:ascii="Liberation Sans Narrow" w:hAnsi="Liberation Sans Narrow"/>
                <w:b w:val="0"/>
                <w:sz w:val="18"/>
              </w:rPr>
              <w:t xml:space="preserve">Art. 685</w:t>
            </w:r>
          </w:p>
        </w:tc>
        <w:tc>
          <w:tcPr>
            <w:tcW w:type="dxa" w:w="731"/>
          </w:tcPr>
          <w:p>
            <w:pPr>
              <w:pStyle w:val="Compact"/>
              <w:spacing w:before="20" w:after="20" w:line="240" w:lineRule="auto"/>
              <w:jc w:val="right"/>
            </w:pPr>
            <w:r>
              <w:rPr>
                <w:rFonts w:ascii="Liberation Sans Narrow" w:hAnsi="Liberation Sans Narrow"/>
                <w:b/>
                <w:sz w:val="18"/>
              </w:rPr>
              <w:t xml:space="preserve">180</w:t>
            </w:r>
          </w:p>
        </w:tc>
        <w:tc>
          <w:tcPr>
            <w:tcW w:type="dxa" w:w="1608"/>
          </w:tcPr>
          <w:p>
            <w:pPr>
              <w:pStyle w:val="Compact"/>
              <w:spacing w:before="20" w:after="20" w:line="240" w:lineRule="auto"/>
              <w:jc w:val="left"/>
            </w:pPr>
            <w:r>
              <w:rPr>
                <w:rFonts w:ascii="Liberation Sans Narrow" w:hAnsi="Liberation Sans Narrow"/>
                <w:b w:val="0"/>
                <w:sz w:val="18"/>
              </w:rPr>
              <w:t xml:space="preserve">Art. 874</w:t>
            </w:r>
          </w:p>
        </w:tc>
        <w:tc>
          <w:tcPr>
            <w:tcW w:type="dxa" w:w="731"/>
          </w:tcPr>
          <w:p>
            <w:pPr>
              <w:pStyle w:val="Compact"/>
              <w:spacing w:before="20" w:after="20" w:line="240" w:lineRule="auto"/>
              <w:jc w:val="right"/>
            </w:pPr>
            <w:r>
              <w:rPr>
                <w:rFonts w:ascii="Liberation Sans Narrow" w:hAnsi="Liberation Sans Narrow"/>
                <w:b/>
                <w:sz w:val="18"/>
              </w:rPr>
              <w:t xml:space="preserve">246</w:t>
            </w:r>
          </w:p>
        </w:tc>
        <w:tc>
          <w:tcPr>
            <w:tcW w:type="dxa" w:w="1608"/>
          </w:tcPr>
          <w:p>
            <w:pPr>
              <w:pStyle w:val="Compact"/>
              <w:spacing w:before="20" w:after="20" w:line="240" w:lineRule="auto"/>
              <w:jc w:val="left"/>
            </w:pPr>
            <w:r>
              <w:rPr>
                <w:rFonts w:ascii="Liberation Sans Narrow" w:hAnsi="Liberation Sans Narrow"/>
                <w:b w:val="0"/>
                <w:sz w:val="18"/>
              </w:rPr>
              <w:t xml:space="preserve">Art. 1064</w:t>
            </w:r>
          </w:p>
        </w:tc>
        <w:tc>
          <w:tcPr>
            <w:tcW w:type="dxa" w:w="731"/>
          </w:tcPr>
          <w:p>
            <w:pPr>
              <w:pStyle w:val="Compact"/>
              <w:spacing w:before="20" w:after="20" w:line="240" w:lineRule="auto"/>
              <w:jc w:val="right"/>
            </w:pPr>
            <w:r>
              <w:rPr>
                <w:rFonts w:ascii="Liberation Sans Narrow" w:hAnsi="Liberation Sans Narrow"/>
                <w:b/>
                <w:sz w:val="18"/>
              </w:rPr>
              <w:t xml:space="preserve">326</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497</w:t>
            </w:r>
          </w:p>
        </w:tc>
        <w:tc>
          <w:tcPr>
            <w:tcW w:type="dxa" w:w="731"/>
          </w:tcPr>
          <w:p>
            <w:pPr>
              <w:pStyle w:val="Compact"/>
              <w:spacing w:before="20" w:after="20" w:line="240" w:lineRule="auto"/>
              <w:jc w:val="right"/>
            </w:pPr>
            <w:r>
              <w:rPr>
                <w:rFonts w:ascii="Liberation Sans Narrow" w:hAnsi="Liberation Sans Narrow"/>
                <w:b/>
                <w:sz w:val="18"/>
              </w:rPr>
              <w:t xml:space="preserve">108</w:t>
            </w:r>
          </w:p>
        </w:tc>
        <w:tc>
          <w:tcPr>
            <w:tcW w:type="dxa" w:w="1608"/>
          </w:tcPr>
          <w:p>
            <w:pPr>
              <w:pStyle w:val="Compact"/>
              <w:spacing w:before="20" w:after="20" w:line="240" w:lineRule="auto"/>
              <w:jc w:val="left"/>
            </w:pPr>
            <w:r>
              <w:rPr>
                <w:rFonts w:ascii="Liberation Sans Narrow" w:hAnsi="Liberation Sans Narrow"/>
                <w:b w:val="0"/>
                <w:sz w:val="18"/>
              </w:rPr>
              <w:t xml:space="preserve">Art. 686</w:t>
            </w:r>
          </w:p>
        </w:tc>
        <w:tc>
          <w:tcPr>
            <w:tcW w:type="dxa" w:w="731"/>
          </w:tcPr>
          <w:p>
            <w:pPr>
              <w:pStyle w:val="Compact"/>
              <w:spacing w:before="20" w:after="20" w:line="240" w:lineRule="auto"/>
              <w:jc w:val="right"/>
            </w:pPr>
            <w:r>
              <w:rPr>
                <w:rFonts w:ascii="Liberation Sans Narrow" w:hAnsi="Liberation Sans Narrow"/>
                <w:b/>
                <w:sz w:val="18"/>
              </w:rPr>
              <w:t xml:space="preserve">180</w:t>
            </w:r>
          </w:p>
        </w:tc>
        <w:tc>
          <w:tcPr>
            <w:tcW w:type="dxa" w:w="1608"/>
          </w:tcPr>
          <w:p>
            <w:pPr>
              <w:pStyle w:val="Compact"/>
              <w:spacing w:before="20" w:after="20" w:line="240" w:lineRule="auto"/>
              <w:jc w:val="left"/>
            </w:pPr>
            <w:r>
              <w:rPr>
                <w:rFonts w:ascii="Liberation Sans Narrow" w:hAnsi="Liberation Sans Narrow"/>
                <w:b w:val="0"/>
                <w:sz w:val="18"/>
              </w:rPr>
              <w:t xml:space="preserve">Art. 875</w:t>
            </w:r>
          </w:p>
        </w:tc>
        <w:tc>
          <w:tcPr>
            <w:tcW w:type="dxa" w:w="731"/>
          </w:tcPr>
          <w:p>
            <w:pPr>
              <w:pStyle w:val="Compact"/>
              <w:spacing w:before="20" w:after="20" w:line="240" w:lineRule="auto"/>
              <w:jc w:val="right"/>
            </w:pPr>
            <w:r>
              <w:rPr>
                <w:rFonts w:ascii="Liberation Sans Narrow" w:hAnsi="Liberation Sans Narrow"/>
                <w:b/>
                <w:sz w:val="18"/>
              </w:rPr>
              <w:t xml:space="preserve">246</w:t>
            </w:r>
          </w:p>
        </w:tc>
        <w:tc>
          <w:tcPr>
            <w:tcW w:type="dxa" w:w="1608"/>
          </w:tcPr>
          <w:p>
            <w:pPr>
              <w:pStyle w:val="Compact"/>
              <w:spacing w:before="20" w:after="20" w:line="240" w:lineRule="auto"/>
              <w:jc w:val="left"/>
            </w:pPr>
            <w:r>
              <w:rPr>
                <w:rFonts w:ascii="Liberation Sans Narrow" w:hAnsi="Liberation Sans Narrow"/>
                <w:b w:val="0"/>
                <w:sz w:val="18"/>
              </w:rPr>
              <w:t xml:space="preserve">Art. 1065</w:t>
            </w:r>
          </w:p>
        </w:tc>
        <w:tc>
          <w:tcPr>
            <w:tcW w:type="dxa" w:w="731"/>
          </w:tcPr>
          <w:p>
            <w:pPr>
              <w:pStyle w:val="Compact"/>
              <w:spacing w:before="20" w:after="20" w:line="240" w:lineRule="auto"/>
              <w:jc w:val="right"/>
            </w:pPr>
            <w:r>
              <w:rPr>
                <w:rFonts w:ascii="Liberation Sans Narrow" w:hAnsi="Liberation Sans Narrow"/>
                <w:b/>
                <w:sz w:val="18"/>
              </w:rPr>
              <w:t xml:space="preserve">326</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498</w:t>
            </w:r>
          </w:p>
        </w:tc>
        <w:tc>
          <w:tcPr>
            <w:tcW w:type="dxa" w:w="731"/>
          </w:tcPr>
          <w:p>
            <w:pPr>
              <w:pStyle w:val="Compact"/>
              <w:spacing w:before="20" w:after="20" w:line="240" w:lineRule="auto"/>
              <w:jc w:val="right"/>
            </w:pPr>
            <w:r>
              <w:rPr>
                <w:rFonts w:ascii="Liberation Sans Narrow" w:hAnsi="Liberation Sans Narrow"/>
                <w:b/>
                <w:sz w:val="18"/>
              </w:rPr>
              <w:t xml:space="preserve">108</w:t>
            </w:r>
          </w:p>
        </w:tc>
        <w:tc>
          <w:tcPr>
            <w:tcW w:type="dxa" w:w="1608"/>
          </w:tcPr>
          <w:p>
            <w:pPr>
              <w:pStyle w:val="Compact"/>
              <w:spacing w:before="20" w:after="20" w:line="240" w:lineRule="auto"/>
              <w:jc w:val="left"/>
            </w:pPr>
            <w:r>
              <w:rPr>
                <w:rFonts w:ascii="Liberation Sans Narrow" w:hAnsi="Liberation Sans Narrow"/>
                <w:b w:val="0"/>
                <w:sz w:val="18"/>
              </w:rPr>
              <w:t xml:space="preserve">Art. 687</w:t>
            </w:r>
          </w:p>
        </w:tc>
        <w:tc>
          <w:tcPr>
            <w:tcW w:type="dxa" w:w="731"/>
          </w:tcPr>
          <w:p>
            <w:pPr>
              <w:pStyle w:val="Compact"/>
              <w:spacing w:before="20" w:after="20" w:line="240" w:lineRule="auto"/>
              <w:jc w:val="right"/>
            </w:pPr>
            <w:r>
              <w:rPr>
                <w:rFonts w:ascii="Liberation Sans Narrow" w:hAnsi="Liberation Sans Narrow"/>
                <w:b/>
                <w:sz w:val="18"/>
              </w:rPr>
              <w:t xml:space="preserve">180</w:t>
            </w:r>
          </w:p>
        </w:tc>
        <w:tc>
          <w:tcPr>
            <w:tcW w:type="dxa" w:w="1608"/>
          </w:tcPr>
          <w:p>
            <w:pPr>
              <w:pStyle w:val="Compact"/>
              <w:spacing w:before="20" w:after="20" w:line="240" w:lineRule="auto"/>
              <w:jc w:val="left"/>
            </w:pPr>
            <w:r>
              <w:rPr>
                <w:rFonts w:ascii="Liberation Sans Narrow" w:hAnsi="Liberation Sans Narrow"/>
                <w:b w:val="0"/>
                <w:sz w:val="18"/>
              </w:rPr>
              <w:t xml:space="preserve">Art. 876</w:t>
            </w:r>
          </w:p>
        </w:tc>
        <w:tc>
          <w:tcPr>
            <w:tcW w:type="dxa" w:w="731"/>
          </w:tcPr>
          <w:p>
            <w:pPr>
              <w:pStyle w:val="Compact"/>
              <w:spacing w:before="20" w:after="20" w:line="240" w:lineRule="auto"/>
              <w:jc w:val="right"/>
            </w:pPr>
            <w:r>
              <w:rPr>
                <w:rFonts w:ascii="Liberation Sans Narrow" w:hAnsi="Liberation Sans Narrow"/>
                <w:b/>
                <w:sz w:val="18"/>
              </w:rPr>
              <w:t xml:space="preserve">246</w:t>
            </w:r>
          </w:p>
        </w:tc>
        <w:tc>
          <w:tcPr>
            <w:tcW w:type="dxa" w:w="1608"/>
          </w:tcPr>
          <w:p>
            <w:pPr>
              <w:pStyle w:val="Compact"/>
              <w:spacing w:before="20" w:after="20" w:line="240" w:lineRule="auto"/>
              <w:jc w:val="left"/>
            </w:pPr>
            <w:r>
              <w:rPr>
                <w:rFonts w:ascii="Liberation Sans Narrow" w:hAnsi="Liberation Sans Narrow"/>
                <w:b w:val="0"/>
                <w:sz w:val="18"/>
              </w:rPr>
              <w:t xml:space="preserve">Art. 1066</w:t>
            </w:r>
          </w:p>
        </w:tc>
        <w:tc>
          <w:tcPr>
            <w:tcW w:type="dxa" w:w="731"/>
          </w:tcPr>
          <w:p>
            <w:pPr>
              <w:pStyle w:val="Compact"/>
              <w:spacing w:before="20" w:after="20" w:line="240" w:lineRule="auto"/>
              <w:jc w:val="right"/>
            </w:pPr>
            <w:r>
              <w:rPr>
                <w:rFonts w:ascii="Liberation Sans Narrow" w:hAnsi="Liberation Sans Narrow"/>
                <w:b/>
                <w:sz w:val="18"/>
              </w:rPr>
              <w:t xml:space="preserve">326</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499</w:t>
            </w:r>
          </w:p>
        </w:tc>
        <w:tc>
          <w:tcPr>
            <w:tcW w:type="dxa" w:w="731"/>
          </w:tcPr>
          <w:p>
            <w:pPr>
              <w:pStyle w:val="Compact"/>
              <w:spacing w:before="20" w:after="20" w:line="240" w:lineRule="auto"/>
              <w:jc w:val="right"/>
            </w:pPr>
            <w:r>
              <w:rPr>
                <w:rFonts w:ascii="Liberation Sans Narrow" w:hAnsi="Liberation Sans Narrow"/>
                <w:b/>
                <w:sz w:val="18"/>
              </w:rPr>
              <w:t xml:space="preserve">108</w:t>
            </w:r>
          </w:p>
        </w:tc>
        <w:tc>
          <w:tcPr>
            <w:tcW w:type="dxa" w:w="1608"/>
          </w:tcPr>
          <w:p>
            <w:pPr>
              <w:pStyle w:val="Compact"/>
              <w:spacing w:before="20" w:after="20" w:line="240" w:lineRule="auto"/>
              <w:jc w:val="left"/>
            </w:pPr>
            <w:r>
              <w:rPr>
                <w:rFonts w:ascii="Liberation Sans Narrow" w:hAnsi="Liberation Sans Narrow"/>
                <w:b w:val="0"/>
                <w:sz w:val="18"/>
              </w:rPr>
              <w:t xml:space="preserve">Art. 688</w:t>
            </w:r>
          </w:p>
        </w:tc>
        <w:tc>
          <w:tcPr>
            <w:tcW w:type="dxa" w:w="731"/>
          </w:tcPr>
          <w:p>
            <w:pPr>
              <w:pStyle w:val="Compact"/>
              <w:spacing w:before="20" w:after="20" w:line="240" w:lineRule="auto"/>
              <w:jc w:val="right"/>
            </w:pPr>
            <w:r>
              <w:rPr>
                <w:rFonts w:ascii="Liberation Sans Narrow" w:hAnsi="Liberation Sans Narrow"/>
                <w:b/>
                <w:sz w:val="18"/>
              </w:rPr>
              <w:t xml:space="preserve">181</w:t>
            </w:r>
          </w:p>
        </w:tc>
        <w:tc>
          <w:tcPr>
            <w:tcW w:type="dxa" w:w="1608"/>
          </w:tcPr>
          <w:p>
            <w:pPr>
              <w:pStyle w:val="Compact"/>
              <w:spacing w:before="20" w:after="20" w:line="240" w:lineRule="auto"/>
              <w:jc w:val="left"/>
            </w:pPr>
            <w:r>
              <w:rPr>
                <w:rFonts w:ascii="Liberation Sans Narrow" w:hAnsi="Liberation Sans Narrow"/>
                <w:b w:val="0"/>
                <w:sz w:val="18"/>
              </w:rPr>
              <w:t xml:space="preserve">Art. 877</w:t>
            </w:r>
          </w:p>
        </w:tc>
        <w:tc>
          <w:tcPr>
            <w:tcW w:type="dxa" w:w="731"/>
          </w:tcPr>
          <w:p>
            <w:pPr>
              <w:pStyle w:val="Compact"/>
              <w:spacing w:before="20" w:after="20" w:line="240" w:lineRule="auto"/>
              <w:jc w:val="right"/>
            </w:pPr>
            <w:r>
              <w:rPr>
                <w:rFonts w:ascii="Liberation Sans Narrow" w:hAnsi="Liberation Sans Narrow"/>
                <w:b/>
                <w:sz w:val="18"/>
              </w:rPr>
              <w:t xml:space="preserve">247</w:t>
            </w:r>
          </w:p>
        </w:tc>
        <w:tc>
          <w:tcPr>
            <w:tcW w:type="dxa" w:w="1608"/>
          </w:tcPr>
          <w:p>
            <w:pPr>
              <w:pStyle w:val="Compact"/>
              <w:spacing w:before="20" w:after="20" w:line="240" w:lineRule="auto"/>
              <w:jc w:val="left"/>
            </w:pPr>
            <w:r>
              <w:rPr>
                <w:rFonts w:ascii="Liberation Sans Narrow" w:hAnsi="Liberation Sans Narrow"/>
                <w:b w:val="0"/>
                <w:sz w:val="18"/>
              </w:rPr>
              <w:t xml:space="preserve">Art. 1067</w:t>
            </w:r>
          </w:p>
        </w:tc>
        <w:tc>
          <w:tcPr>
            <w:tcW w:type="dxa" w:w="731"/>
          </w:tcPr>
          <w:p>
            <w:pPr>
              <w:pStyle w:val="Compact"/>
              <w:spacing w:before="20" w:after="20" w:line="240" w:lineRule="auto"/>
              <w:jc w:val="right"/>
            </w:pPr>
            <w:r>
              <w:rPr>
                <w:rFonts w:ascii="Liberation Sans Narrow" w:hAnsi="Liberation Sans Narrow"/>
                <w:b/>
                <w:sz w:val="18"/>
              </w:rPr>
              <w:t xml:space="preserve">326</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500</w:t>
            </w:r>
          </w:p>
        </w:tc>
        <w:tc>
          <w:tcPr>
            <w:tcW w:type="dxa" w:w="731"/>
          </w:tcPr>
          <w:p>
            <w:pPr>
              <w:pStyle w:val="Compact"/>
              <w:spacing w:before="20" w:after="20" w:line="240" w:lineRule="auto"/>
              <w:jc w:val="right"/>
            </w:pPr>
            <w:r>
              <w:rPr>
                <w:rFonts w:ascii="Liberation Sans Narrow" w:hAnsi="Liberation Sans Narrow"/>
                <w:b/>
                <w:sz w:val="18"/>
              </w:rPr>
              <w:t xml:space="preserve">109</w:t>
            </w:r>
          </w:p>
        </w:tc>
        <w:tc>
          <w:tcPr>
            <w:tcW w:type="dxa" w:w="1608"/>
          </w:tcPr>
          <w:p>
            <w:pPr>
              <w:pStyle w:val="Compact"/>
              <w:spacing w:before="20" w:after="20" w:line="240" w:lineRule="auto"/>
              <w:jc w:val="left"/>
            </w:pPr>
            <w:r>
              <w:rPr>
                <w:rFonts w:ascii="Liberation Sans Narrow" w:hAnsi="Liberation Sans Narrow"/>
                <w:b w:val="0"/>
                <w:sz w:val="18"/>
              </w:rPr>
              <w:t xml:space="preserve">Art. 689</w:t>
            </w:r>
          </w:p>
        </w:tc>
        <w:tc>
          <w:tcPr>
            <w:tcW w:type="dxa" w:w="731"/>
          </w:tcPr>
          <w:p>
            <w:pPr>
              <w:pStyle w:val="Compact"/>
              <w:spacing w:before="20" w:after="20" w:line="240" w:lineRule="auto"/>
              <w:jc w:val="right"/>
            </w:pPr>
            <w:r>
              <w:rPr>
                <w:rFonts w:ascii="Liberation Sans Narrow" w:hAnsi="Liberation Sans Narrow"/>
                <w:b/>
                <w:sz w:val="18"/>
              </w:rPr>
              <w:t xml:space="preserve">181</w:t>
            </w:r>
          </w:p>
        </w:tc>
        <w:tc>
          <w:tcPr>
            <w:tcW w:type="dxa" w:w="1608"/>
          </w:tcPr>
          <w:p>
            <w:pPr>
              <w:pStyle w:val="Compact"/>
              <w:spacing w:before="20" w:after="20" w:line="240" w:lineRule="auto"/>
              <w:jc w:val="left"/>
            </w:pPr>
            <w:r>
              <w:rPr>
                <w:rFonts w:ascii="Liberation Sans Narrow" w:hAnsi="Liberation Sans Narrow"/>
                <w:b w:val="0"/>
                <w:sz w:val="18"/>
              </w:rPr>
              <w:t xml:space="preserve">Art. 878</w:t>
            </w:r>
          </w:p>
        </w:tc>
        <w:tc>
          <w:tcPr>
            <w:tcW w:type="dxa" w:w="731"/>
          </w:tcPr>
          <w:p>
            <w:pPr>
              <w:pStyle w:val="Compact"/>
              <w:spacing w:before="20" w:after="20" w:line="240" w:lineRule="auto"/>
              <w:jc w:val="right"/>
            </w:pPr>
            <w:r>
              <w:rPr>
                <w:rFonts w:ascii="Liberation Sans Narrow" w:hAnsi="Liberation Sans Narrow"/>
                <w:b/>
                <w:sz w:val="18"/>
              </w:rPr>
              <w:t xml:space="preserve">248</w:t>
            </w:r>
          </w:p>
        </w:tc>
        <w:tc>
          <w:tcPr>
            <w:tcW w:type="dxa" w:w="1608"/>
          </w:tcPr>
          <w:p>
            <w:pPr>
              <w:pStyle w:val="Compact"/>
              <w:spacing w:before="20" w:after="20" w:line="240" w:lineRule="auto"/>
              <w:jc w:val="left"/>
            </w:pPr>
            <w:r>
              <w:rPr>
                <w:rFonts w:ascii="Liberation Sans Narrow" w:hAnsi="Liberation Sans Narrow"/>
                <w:b w:val="0"/>
                <w:sz w:val="18"/>
              </w:rPr>
              <w:t xml:space="preserve">Art. 1068</w:t>
            </w:r>
          </w:p>
        </w:tc>
        <w:tc>
          <w:tcPr>
            <w:tcW w:type="dxa" w:w="731"/>
          </w:tcPr>
          <w:p>
            <w:pPr>
              <w:pStyle w:val="Compact"/>
              <w:spacing w:before="20" w:after="20" w:line="240" w:lineRule="auto"/>
              <w:jc w:val="right"/>
            </w:pPr>
            <w:r>
              <w:rPr>
                <w:rFonts w:ascii="Liberation Sans Narrow" w:hAnsi="Liberation Sans Narrow"/>
                <w:b/>
                <w:sz w:val="18"/>
              </w:rPr>
              <w:t xml:space="preserve">327</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501</w:t>
            </w:r>
          </w:p>
        </w:tc>
        <w:tc>
          <w:tcPr>
            <w:tcW w:type="dxa" w:w="731"/>
          </w:tcPr>
          <w:p>
            <w:pPr>
              <w:pStyle w:val="Compact"/>
              <w:spacing w:before="20" w:after="20" w:line="240" w:lineRule="auto"/>
              <w:jc w:val="right"/>
            </w:pPr>
            <w:r>
              <w:rPr>
                <w:rFonts w:ascii="Liberation Sans Narrow" w:hAnsi="Liberation Sans Narrow"/>
                <w:b/>
                <w:sz w:val="18"/>
              </w:rPr>
              <w:t xml:space="preserve">109</w:t>
            </w:r>
          </w:p>
        </w:tc>
        <w:tc>
          <w:tcPr>
            <w:tcW w:type="dxa" w:w="1608"/>
          </w:tcPr>
          <w:p>
            <w:pPr>
              <w:pStyle w:val="Compact"/>
              <w:spacing w:before="20" w:after="20" w:line="240" w:lineRule="auto"/>
              <w:jc w:val="left"/>
            </w:pPr>
            <w:r>
              <w:rPr>
                <w:rFonts w:ascii="Liberation Sans Narrow" w:hAnsi="Liberation Sans Narrow"/>
                <w:b w:val="0"/>
                <w:sz w:val="18"/>
              </w:rPr>
              <w:t xml:space="preserve">Art. 690</w:t>
            </w:r>
          </w:p>
        </w:tc>
        <w:tc>
          <w:tcPr>
            <w:tcW w:type="dxa" w:w="731"/>
          </w:tcPr>
          <w:p>
            <w:pPr>
              <w:pStyle w:val="Compact"/>
              <w:spacing w:before="20" w:after="20" w:line="240" w:lineRule="auto"/>
              <w:jc w:val="right"/>
            </w:pPr>
            <w:r>
              <w:rPr>
                <w:rFonts w:ascii="Liberation Sans Narrow" w:hAnsi="Liberation Sans Narrow"/>
                <w:b/>
                <w:sz w:val="18"/>
              </w:rPr>
              <w:t xml:space="preserve">181</w:t>
            </w:r>
          </w:p>
        </w:tc>
        <w:tc>
          <w:tcPr>
            <w:tcW w:type="dxa" w:w="1608"/>
          </w:tcPr>
          <w:p>
            <w:pPr>
              <w:pStyle w:val="Compact"/>
              <w:spacing w:before="20" w:after="20" w:line="240" w:lineRule="auto"/>
              <w:jc w:val="left"/>
            </w:pPr>
            <w:r>
              <w:rPr>
                <w:rFonts w:ascii="Liberation Sans Narrow" w:hAnsi="Liberation Sans Narrow"/>
                <w:b w:val="0"/>
                <w:sz w:val="18"/>
              </w:rPr>
              <w:t xml:space="preserve">Art. 879</w:t>
            </w:r>
          </w:p>
        </w:tc>
        <w:tc>
          <w:tcPr>
            <w:tcW w:type="dxa" w:w="731"/>
          </w:tcPr>
          <w:p>
            <w:pPr>
              <w:pStyle w:val="Compact"/>
              <w:spacing w:before="20" w:after="20" w:line="240" w:lineRule="auto"/>
              <w:jc w:val="right"/>
            </w:pPr>
            <w:r>
              <w:rPr>
                <w:rFonts w:ascii="Liberation Sans Narrow" w:hAnsi="Liberation Sans Narrow"/>
                <w:b/>
                <w:sz w:val="18"/>
              </w:rPr>
              <w:t xml:space="preserve">248</w:t>
            </w:r>
          </w:p>
        </w:tc>
        <w:tc>
          <w:tcPr>
            <w:tcW w:type="dxa" w:w="1608"/>
          </w:tcPr>
          <w:p>
            <w:pPr>
              <w:pStyle w:val="Compact"/>
              <w:spacing w:before="20" w:after="20" w:line="240" w:lineRule="auto"/>
              <w:jc w:val="left"/>
            </w:pPr>
            <w:r>
              <w:rPr>
                <w:rFonts w:ascii="Liberation Sans Narrow" w:hAnsi="Liberation Sans Narrow"/>
                <w:b w:val="0"/>
                <w:sz w:val="18"/>
              </w:rPr>
              <w:t xml:space="preserve">Art. 1069</w:t>
            </w:r>
          </w:p>
        </w:tc>
        <w:tc>
          <w:tcPr>
            <w:tcW w:type="dxa" w:w="731"/>
          </w:tcPr>
          <w:p>
            <w:pPr>
              <w:pStyle w:val="Compact"/>
              <w:spacing w:before="20" w:after="20" w:line="240" w:lineRule="auto"/>
              <w:jc w:val="right"/>
            </w:pPr>
            <w:r>
              <w:rPr>
                <w:rFonts w:ascii="Liberation Sans Narrow" w:hAnsi="Liberation Sans Narrow"/>
                <w:b/>
                <w:sz w:val="18"/>
              </w:rPr>
              <w:t xml:space="preserve">327</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502</w:t>
            </w:r>
          </w:p>
        </w:tc>
        <w:tc>
          <w:tcPr>
            <w:tcW w:type="dxa" w:w="731"/>
          </w:tcPr>
          <w:p>
            <w:pPr>
              <w:pStyle w:val="Compact"/>
              <w:spacing w:before="20" w:after="20" w:line="240" w:lineRule="auto"/>
              <w:jc w:val="right"/>
            </w:pPr>
            <w:r>
              <w:rPr>
                <w:rFonts w:ascii="Liberation Sans Narrow" w:hAnsi="Liberation Sans Narrow"/>
                <w:b/>
                <w:sz w:val="18"/>
              </w:rPr>
              <w:t xml:space="preserve">109</w:t>
            </w:r>
          </w:p>
        </w:tc>
        <w:tc>
          <w:tcPr>
            <w:tcW w:type="dxa" w:w="1608"/>
          </w:tcPr>
          <w:p>
            <w:pPr>
              <w:pStyle w:val="Compact"/>
              <w:spacing w:before="20" w:after="20" w:line="240" w:lineRule="auto"/>
              <w:jc w:val="left"/>
            </w:pPr>
            <w:r>
              <w:rPr>
                <w:rFonts w:ascii="Liberation Sans Narrow" w:hAnsi="Liberation Sans Narrow"/>
                <w:b w:val="0"/>
                <w:sz w:val="18"/>
              </w:rPr>
              <w:t xml:space="preserve">Art. 691</w:t>
            </w:r>
          </w:p>
        </w:tc>
        <w:tc>
          <w:tcPr>
            <w:tcW w:type="dxa" w:w="731"/>
          </w:tcPr>
          <w:p>
            <w:pPr>
              <w:pStyle w:val="Compact"/>
              <w:spacing w:before="20" w:after="20" w:line="240" w:lineRule="auto"/>
              <w:jc w:val="right"/>
            </w:pPr>
            <w:r>
              <w:rPr>
                <w:rFonts w:ascii="Liberation Sans Narrow" w:hAnsi="Liberation Sans Narrow"/>
                <w:b/>
                <w:sz w:val="18"/>
              </w:rPr>
              <w:t xml:space="preserve">182</w:t>
            </w:r>
          </w:p>
        </w:tc>
        <w:tc>
          <w:tcPr>
            <w:tcW w:type="dxa" w:w="1608"/>
          </w:tcPr>
          <w:p>
            <w:pPr>
              <w:pStyle w:val="Compact"/>
              <w:spacing w:before="20" w:after="20" w:line="240" w:lineRule="auto"/>
              <w:jc w:val="left"/>
            </w:pPr>
            <w:r>
              <w:rPr>
                <w:rFonts w:ascii="Liberation Sans Narrow" w:hAnsi="Liberation Sans Narrow"/>
                <w:b w:val="0"/>
                <w:sz w:val="18"/>
              </w:rPr>
              <w:t xml:space="preserve">Art. 880</w:t>
            </w:r>
          </w:p>
        </w:tc>
        <w:tc>
          <w:tcPr>
            <w:tcW w:type="dxa" w:w="731"/>
          </w:tcPr>
          <w:p>
            <w:pPr>
              <w:pStyle w:val="Compact"/>
              <w:spacing w:before="20" w:after="20" w:line="240" w:lineRule="auto"/>
              <w:jc w:val="right"/>
            </w:pPr>
            <w:r>
              <w:rPr>
                <w:rFonts w:ascii="Liberation Sans Narrow" w:hAnsi="Liberation Sans Narrow"/>
                <w:b/>
                <w:sz w:val="18"/>
              </w:rPr>
              <w:t xml:space="preserve">248</w:t>
            </w:r>
          </w:p>
        </w:tc>
        <w:tc>
          <w:tcPr>
            <w:tcW w:type="dxa" w:w="1608"/>
          </w:tcPr>
          <w:p>
            <w:pPr>
              <w:pStyle w:val="Compact"/>
              <w:spacing w:before="20" w:after="20" w:line="240" w:lineRule="auto"/>
              <w:jc w:val="left"/>
            </w:pPr>
            <w:r>
              <w:rPr>
                <w:rFonts w:ascii="Liberation Sans Narrow" w:hAnsi="Liberation Sans Narrow"/>
                <w:b w:val="0"/>
                <w:sz w:val="18"/>
              </w:rPr>
              <w:t xml:space="preserve">Art. 1070</w:t>
            </w:r>
          </w:p>
        </w:tc>
        <w:tc>
          <w:tcPr>
            <w:tcW w:type="dxa" w:w="731"/>
          </w:tcPr>
          <w:p>
            <w:pPr>
              <w:pStyle w:val="Compact"/>
              <w:spacing w:before="20" w:after="20" w:line="240" w:lineRule="auto"/>
              <w:jc w:val="right"/>
            </w:pPr>
            <w:r>
              <w:rPr>
                <w:rFonts w:ascii="Liberation Sans Narrow" w:hAnsi="Liberation Sans Narrow"/>
                <w:b/>
                <w:sz w:val="18"/>
              </w:rPr>
              <w:t xml:space="preserve">327</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503</w:t>
            </w:r>
          </w:p>
        </w:tc>
        <w:tc>
          <w:tcPr>
            <w:tcW w:type="dxa" w:w="731"/>
          </w:tcPr>
          <w:p>
            <w:pPr>
              <w:pStyle w:val="Compact"/>
              <w:spacing w:before="20" w:after="20" w:line="240" w:lineRule="auto"/>
              <w:jc w:val="right"/>
            </w:pPr>
            <w:r>
              <w:rPr>
                <w:rFonts w:ascii="Liberation Sans Narrow" w:hAnsi="Liberation Sans Narrow"/>
                <w:b/>
                <w:sz w:val="18"/>
              </w:rPr>
              <w:t xml:space="preserve">109</w:t>
            </w:r>
          </w:p>
        </w:tc>
        <w:tc>
          <w:tcPr>
            <w:tcW w:type="dxa" w:w="1608"/>
          </w:tcPr>
          <w:p>
            <w:pPr>
              <w:pStyle w:val="Compact"/>
              <w:spacing w:before="20" w:after="20" w:line="240" w:lineRule="auto"/>
              <w:jc w:val="left"/>
            </w:pPr>
            <w:r>
              <w:rPr>
                <w:rFonts w:ascii="Liberation Sans Narrow" w:hAnsi="Liberation Sans Narrow"/>
                <w:b w:val="0"/>
                <w:sz w:val="18"/>
              </w:rPr>
              <w:t xml:space="preserve">Art. 692</w:t>
            </w:r>
          </w:p>
        </w:tc>
        <w:tc>
          <w:tcPr>
            <w:tcW w:type="dxa" w:w="731"/>
          </w:tcPr>
          <w:p>
            <w:pPr>
              <w:pStyle w:val="Compact"/>
              <w:spacing w:before="20" w:after="20" w:line="240" w:lineRule="auto"/>
              <w:jc w:val="right"/>
            </w:pPr>
            <w:r>
              <w:rPr>
                <w:rFonts w:ascii="Liberation Sans Narrow" w:hAnsi="Liberation Sans Narrow"/>
                <w:b/>
                <w:sz w:val="18"/>
              </w:rPr>
              <w:t xml:space="preserve">182</w:t>
            </w:r>
          </w:p>
        </w:tc>
        <w:tc>
          <w:tcPr>
            <w:tcW w:type="dxa" w:w="1608"/>
          </w:tcPr>
          <w:p>
            <w:pPr>
              <w:pStyle w:val="Compact"/>
              <w:spacing w:before="20" w:after="20" w:line="240" w:lineRule="auto"/>
              <w:jc w:val="left"/>
            </w:pPr>
            <w:r>
              <w:rPr>
                <w:rFonts w:ascii="Liberation Sans Narrow" w:hAnsi="Liberation Sans Narrow"/>
                <w:b w:val="0"/>
                <w:sz w:val="18"/>
              </w:rPr>
              <w:t xml:space="preserve">Art. 881</w:t>
            </w:r>
          </w:p>
        </w:tc>
        <w:tc>
          <w:tcPr>
            <w:tcW w:type="dxa" w:w="731"/>
          </w:tcPr>
          <w:p>
            <w:pPr>
              <w:pStyle w:val="Compact"/>
              <w:spacing w:before="20" w:after="20" w:line="240" w:lineRule="auto"/>
              <w:jc w:val="right"/>
            </w:pPr>
            <w:r>
              <w:rPr>
                <w:rFonts w:ascii="Liberation Sans Narrow" w:hAnsi="Liberation Sans Narrow"/>
                <w:b/>
                <w:sz w:val="18"/>
              </w:rPr>
              <w:t xml:space="preserve">249</w:t>
            </w:r>
          </w:p>
        </w:tc>
        <w:tc>
          <w:tcPr>
            <w:tcW w:type="dxa" w:w="1608"/>
          </w:tcPr>
          <w:p>
            <w:pPr>
              <w:pStyle w:val="Compact"/>
              <w:spacing w:before="20" w:after="20" w:line="240" w:lineRule="auto"/>
              <w:jc w:val="left"/>
            </w:pPr>
            <w:r>
              <w:rPr>
                <w:rFonts w:ascii="Liberation Sans Narrow" w:hAnsi="Liberation Sans Narrow"/>
                <w:b w:val="0"/>
                <w:sz w:val="18"/>
              </w:rPr>
              <w:t xml:space="preserve">Art. 1071</w:t>
            </w:r>
          </w:p>
        </w:tc>
        <w:tc>
          <w:tcPr>
            <w:tcW w:type="dxa" w:w="731"/>
          </w:tcPr>
          <w:p>
            <w:pPr>
              <w:pStyle w:val="Compact"/>
              <w:spacing w:before="20" w:after="20" w:line="240" w:lineRule="auto"/>
              <w:jc w:val="right"/>
            </w:pPr>
            <w:r>
              <w:rPr>
                <w:rFonts w:ascii="Liberation Sans Narrow" w:hAnsi="Liberation Sans Narrow"/>
                <w:b/>
                <w:sz w:val="18"/>
              </w:rPr>
              <w:t xml:space="preserve">327</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504</w:t>
            </w:r>
          </w:p>
        </w:tc>
        <w:tc>
          <w:tcPr>
            <w:tcW w:type="dxa" w:w="731"/>
          </w:tcPr>
          <w:p>
            <w:pPr>
              <w:pStyle w:val="Compact"/>
              <w:spacing w:before="20" w:after="20" w:line="240" w:lineRule="auto"/>
              <w:jc w:val="right"/>
            </w:pPr>
            <w:r>
              <w:rPr>
                <w:rFonts w:ascii="Liberation Sans Narrow" w:hAnsi="Liberation Sans Narrow"/>
                <w:b/>
                <w:sz w:val="18"/>
              </w:rPr>
              <w:t xml:space="preserve">110</w:t>
            </w:r>
          </w:p>
        </w:tc>
        <w:tc>
          <w:tcPr>
            <w:tcW w:type="dxa" w:w="1608"/>
          </w:tcPr>
          <w:p>
            <w:pPr>
              <w:pStyle w:val="Compact"/>
              <w:spacing w:before="20" w:after="20" w:line="240" w:lineRule="auto"/>
              <w:jc w:val="left"/>
            </w:pPr>
            <w:r>
              <w:rPr>
                <w:rFonts w:ascii="Liberation Sans Narrow" w:hAnsi="Liberation Sans Narrow"/>
                <w:b w:val="0"/>
                <w:sz w:val="18"/>
              </w:rPr>
              <w:t xml:space="preserve">Art. 693</w:t>
            </w:r>
          </w:p>
        </w:tc>
        <w:tc>
          <w:tcPr>
            <w:tcW w:type="dxa" w:w="731"/>
          </w:tcPr>
          <w:p>
            <w:pPr>
              <w:pStyle w:val="Compact"/>
              <w:spacing w:before="20" w:after="20" w:line="240" w:lineRule="auto"/>
              <w:jc w:val="right"/>
            </w:pPr>
            <w:r>
              <w:rPr>
                <w:rFonts w:ascii="Liberation Sans Narrow" w:hAnsi="Liberation Sans Narrow"/>
                <w:b/>
                <w:sz w:val="18"/>
              </w:rPr>
              <w:t xml:space="preserve">182</w:t>
            </w:r>
          </w:p>
        </w:tc>
        <w:tc>
          <w:tcPr>
            <w:tcW w:type="dxa" w:w="1608"/>
          </w:tcPr>
          <w:p>
            <w:pPr>
              <w:pStyle w:val="Compact"/>
              <w:spacing w:before="20" w:after="20" w:line="240" w:lineRule="auto"/>
              <w:jc w:val="left"/>
            </w:pPr>
            <w:r>
              <w:rPr>
                <w:rFonts w:ascii="Liberation Sans Narrow" w:hAnsi="Liberation Sans Narrow"/>
                <w:b w:val="0"/>
                <w:sz w:val="18"/>
              </w:rPr>
              <w:t xml:space="preserve">Art. 882</w:t>
            </w:r>
          </w:p>
        </w:tc>
        <w:tc>
          <w:tcPr>
            <w:tcW w:type="dxa" w:w="731"/>
          </w:tcPr>
          <w:p>
            <w:pPr>
              <w:pStyle w:val="Compact"/>
              <w:spacing w:before="20" w:after="20" w:line="240" w:lineRule="auto"/>
              <w:jc w:val="right"/>
            </w:pPr>
            <w:r>
              <w:rPr>
                <w:rFonts w:ascii="Liberation Sans Narrow" w:hAnsi="Liberation Sans Narrow"/>
                <w:b/>
                <w:sz w:val="18"/>
              </w:rPr>
              <w:t xml:space="preserve">249</w:t>
            </w:r>
          </w:p>
        </w:tc>
        <w:tc>
          <w:tcPr>
            <w:tcW w:type="dxa" w:w="1608"/>
          </w:tcPr>
          <w:p>
            <w:pPr>
              <w:pStyle w:val="Compact"/>
              <w:spacing w:before="20" w:after="20" w:line="240" w:lineRule="auto"/>
              <w:jc w:val="left"/>
            </w:pPr>
            <w:r>
              <w:rPr>
                <w:rFonts w:ascii="Liberation Sans Narrow" w:hAnsi="Liberation Sans Narrow"/>
                <w:b w:val="0"/>
                <w:sz w:val="18"/>
              </w:rPr>
              <w:t xml:space="preserve">Art. 1072</w:t>
            </w:r>
          </w:p>
        </w:tc>
        <w:tc>
          <w:tcPr>
            <w:tcW w:type="dxa" w:w="731"/>
          </w:tcPr>
          <w:p>
            <w:pPr>
              <w:pStyle w:val="Compact"/>
              <w:spacing w:before="20" w:after="20" w:line="240" w:lineRule="auto"/>
              <w:jc w:val="right"/>
            </w:pPr>
            <w:r>
              <w:rPr>
                <w:rFonts w:ascii="Liberation Sans Narrow" w:hAnsi="Liberation Sans Narrow"/>
                <w:b/>
                <w:sz w:val="18"/>
              </w:rPr>
              <w:t xml:space="preserve">329</w:t>
            </w: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505</w:t>
            </w:r>
          </w:p>
        </w:tc>
        <w:tc>
          <w:tcPr>
            <w:tcW w:type="dxa" w:w="731"/>
          </w:tcPr>
          <w:p>
            <w:pPr>
              <w:pStyle w:val="Compact"/>
              <w:spacing w:before="20" w:after="20" w:line="240" w:lineRule="auto"/>
              <w:jc w:val="right"/>
            </w:pPr>
            <w:r>
              <w:rPr>
                <w:rFonts w:ascii="Liberation Sans Narrow" w:hAnsi="Liberation Sans Narrow"/>
                <w:b/>
                <w:sz w:val="18"/>
              </w:rPr>
              <w:t xml:space="preserve">110</w:t>
            </w:r>
          </w:p>
        </w:tc>
        <w:tc>
          <w:tcPr>
            <w:tcW w:type="dxa" w:w="1608"/>
          </w:tcPr>
          <w:p>
            <w:pPr>
              <w:pStyle w:val="Compact"/>
              <w:spacing w:before="20" w:after="20" w:line="240" w:lineRule="auto"/>
              <w:jc w:val="left"/>
            </w:pPr>
            <w:r>
              <w:rPr>
                <w:rFonts w:ascii="Liberation Sans Narrow" w:hAnsi="Liberation Sans Narrow"/>
                <w:b w:val="0"/>
                <w:sz w:val="18"/>
              </w:rPr>
              <w:t xml:space="preserve">Art. 694</w:t>
            </w:r>
          </w:p>
        </w:tc>
        <w:tc>
          <w:tcPr>
            <w:tcW w:type="dxa" w:w="731"/>
          </w:tcPr>
          <w:p>
            <w:pPr>
              <w:pStyle w:val="Compact"/>
              <w:spacing w:before="20" w:after="20" w:line="240" w:lineRule="auto"/>
              <w:jc w:val="right"/>
            </w:pPr>
            <w:r>
              <w:rPr>
                <w:rFonts w:ascii="Liberation Sans Narrow" w:hAnsi="Liberation Sans Narrow"/>
                <w:b/>
                <w:sz w:val="18"/>
              </w:rPr>
              <w:t xml:space="preserve">182</w:t>
            </w:r>
          </w:p>
        </w:tc>
        <w:tc>
          <w:tcPr>
            <w:tcW w:type="dxa" w:w="1608"/>
          </w:tcPr>
          <w:p>
            <w:pPr>
              <w:pStyle w:val="Compact"/>
              <w:spacing w:before="20" w:after="20" w:line="240" w:lineRule="auto"/>
              <w:jc w:val="left"/>
            </w:pPr>
            <w:r>
              <w:rPr>
                <w:rFonts w:ascii="Liberation Sans Narrow" w:hAnsi="Liberation Sans Narrow"/>
                <w:b w:val="0"/>
                <w:sz w:val="18"/>
              </w:rPr>
              <w:t xml:space="preserve">Art. 883</w:t>
            </w:r>
          </w:p>
        </w:tc>
        <w:tc>
          <w:tcPr>
            <w:tcW w:type="dxa" w:w="731"/>
          </w:tcPr>
          <w:p>
            <w:pPr>
              <w:pStyle w:val="Compact"/>
              <w:spacing w:before="20" w:after="20" w:line="240" w:lineRule="auto"/>
              <w:jc w:val="right"/>
            </w:pPr>
            <w:r>
              <w:rPr>
                <w:rFonts w:ascii="Liberation Sans Narrow" w:hAnsi="Liberation Sans Narrow"/>
                <w:b/>
                <w:sz w:val="18"/>
              </w:rPr>
              <w:t xml:space="preserve">250</w:t>
            </w:r>
          </w:p>
        </w:tc>
        <w:tc>
          <w:tcPr>
            <w:tcW w:type="dxa" w:w="1608"/>
          </w:tcPr>
          <w:p>
            <w:pPr>
              <w:pStyle w:val="Compact"/>
              <w:spacing w:before="20" w:after="20" w:line="240" w:lineRule="auto"/>
              <w:jc w:val="left"/>
            </w:pPr>
          </w:p>
        </w:tc>
        <w:tc>
          <w:tcPr>
            <w:tcW w:type="dxa" w:w="731"/>
          </w:tcPr>
          <w:p>
            <w:pPr>
              <w:pStyle w:val="Compact"/>
              <w:spacing w:before="20" w:after="20" w:line="240" w:lineRule="auto"/>
              <w:jc w:val="right"/>
            </w:pPr>
          </w:p>
        </w:tc>
      </w:tr>
      <w:tr>
        <w:trPr>
          <w:cantSplit/>
        </w:trPr>
        <w:tc>
          <w:tcPr>
            <w:tcW w:type="dxa" w:w="1608"/>
          </w:tcPr>
          <w:p>
            <w:pPr>
              <w:pStyle w:val="Compact"/>
              <w:spacing w:before="20" w:after="20" w:line="240" w:lineRule="auto"/>
              <w:jc w:val="left"/>
            </w:pPr>
            <w:r>
              <w:rPr>
                <w:rFonts w:ascii="Liberation Sans Narrow" w:hAnsi="Liberation Sans Narrow"/>
                <w:b w:val="0"/>
                <w:sz w:val="18"/>
              </w:rPr>
              <w:t xml:space="preserve">Art. 506</w:t>
            </w:r>
          </w:p>
        </w:tc>
        <w:tc>
          <w:tcPr>
            <w:tcW w:type="dxa" w:w="731"/>
          </w:tcPr>
          <w:p>
            <w:pPr>
              <w:pStyle w:val="Compact"/>
              <w:spacing w:before="20" w:after="20" w:line="240" w:lineRule="auto"/>
              <w:jc w:val="right"/>
            </w:pPr>
            <w:r>
              <w:rPr>
                <w:rFonts w:ascii="Liberation Sans Narrow" w:hAnsi="Liberation Sans Narrow"/>
                <w:b/>
                <w:sz w:val="18"/>
              </w:rPr>
              <w:t xml:space="preserve">111</w:t>
            </w:r>
          </w:p>
        </w:tc>
        <w:tc>
          <w:tcPr>
            <w:tcW w:type="dxa" w:w="1608"/>
          </w:tcPr>
          <w:p>
            <w:pPr>
              <w:pStyle w:val="Compact"/>
              <w:spacing w:before="20" w:after="20" w:line="240" w:lineRule="auto"/>
              <w:jc w:val="left"/>
            </w:pPr>
            <w:r>
              <w:rPr>
                <w:rFonts w:ascii="Liberation Sans Narrow" w:hAnsi="Liberation Sans Narrow"/>
                <w:b w:val="0"/>
                <w:sz w:val="18"/>
              </w:rPr>
              <w:t xml:space="preserve">Art. 695</w:t>
            </w:r>
          </w:p>
        </w:tc>
        <w:tc>
          <w:tcPr>
            <w:tcW w:type="dxa" w:w="731"/>
          </w:tcPr>
          <w:p>
            <w:pPr>
              <w:pStyle w:val="Compact"/>
              <w:spacing w:before="20" w:after="20" w:line="240" w:lineRule="auto"/>
              <w:jc w:val="right"/>
            </w:pPr>
            <w:r>
              <w:rPr>
                <w:rFonts w:ascii="Liberation Sans Narrow" w:hAnsi="Liberation Sans Narrow"/>
                <w:b/>
                <w:sz w:val="18"/>
              </w:rPr>
              <w:t xml:space="preserve">182</w:t>
            </w:r>
          </w:p>
        </w:tc>
        <w:tc>
          <w:tcPr>
            <w:tcW w:type="dxa" w:w="1608"/>
          </w:tcPr>
          <w:p>
            <w:pPr>
              <w:pStyle w:val="Compact"/>
              <w:spacing w:before="20" w:after="20" w:line="240" w:lineRule="auto"/>
              <w:jc w:val="left"/>
            </w:pPr>
            <w:r>
              <w:rPr>
                <w:rFonts w:ascii="Liberation Sans Narrow" w:hAnsi="Liberation Sans Narrow"/>
                <w:b w:val="0"/>
                <w:sz w:val="18"/>
              </w:rPr>
              <w:t xml:space="preserve">Art. 884</w:t>
            </w:r>
          </w:p>
        </w:tc>
        <w:tc>
          <w:tcPr>
            <w:tcW w:type="dxa" w:w="731"/>
          </w:tcPr>
          <w:p>
            <w:pPr>
              <w:pStyle w:val="Compact"/>
              <w:spacing w:before="20" w:after="20" w:line="240" w:lineRule="auto"/>
              <w:jc w:val="right"/>
            </w:pPr>
            <w:r>
              <w:rPr>
                <w:rFonts w:ascii="Liberation Sans Narrow" w:hAnsi="Liberation Sans Narrow"/>
                <w:b/>
                <w:sz w:val="18"/>
              </w:rPr>
              <w:t xml:space="preserve">250</w:t>
            </w:r>
          </w:p>
        </w:tc>
        <w:tc>
          <w:tcPr>
            <w:tcW w:type="dxa" w:w="1608"/>
          </w:tcPr>
          <w:p>
            <w:pPr>
              <w:pStyle w:val="Compact"/>
              <w:spacing w:before="20" w:after="20" w:line="240" w:lineRule="auto"/>
              <w:jc w:val="left"/>
            </w:pPr>
          </w:p>
        </w:tc>
        <w:tc>
          <w:tcPr>
            <w:tcW w:type="dxa" w:w="731"/>
          </w:tcPr>
          <w:p>
            <w:pPr>
              <w:pStyle w:val="Compact"/>
              <w:spacing w:before="20" w:after="20" w:line="240" w:lineRule="auto"/>
              <w:jc w:val="right"/>
            </w:pPr>
          </w:p>
        </w:tc>
      </w:tr>
    </w:tbl>
    <w:bookmarkEnd w:id="937"/>
    <w:bookmarkStart w:id="940" w:name="licença"/>
    <w:p>
      <w:pPr>
        <w:pStyle w:val="Heading1"/>
        <w:pBdr>
          <w:left w:val="single" w:sz="48" w:space="8" w:color="1F3A5F"/>
        </w:pBdr>
        <w:shd w:val="clear" w:color="auto" w:fill="DCE6F2"/>
        <w:spacing w:before="200" w:after="100"/>
        <w:ind w:left="142"/>
      </w:pPr>
      <w:r>
        <w:t xml:space="preserve">Licença</w:t>
      </w:r>
    </w:p>
    <w:p>
      <w:pPr>
        <w:pStyle w:val="FirstParagraph"/>
        <w:spacing w:after="80"/>
        <w:jc w:val="both"/>
      </w:pPr>
      <w:r>
        <w:rPr>
          <w:b/>
          <w:bCs/>
        </w:rPr>
        <w:t xml:space="preserve">© 2026 Domingos José de Souza Lima Júnior.</w:t>
      </w:r>
      <w:r>
        <w:t xml:space="preserve"> </w:t>
      </w:r>
      <w:r>
        <w:t xml:space="preserve">Esta obra está licenciada sob a Licença Creative Commons Atribuição 4.0 Internacional (CC BY 4.0):</w:t>
      </w:r>
      <w:r>
        <w:t xml:space="preserve"> </w:t>
      </w:r>
      <w:hyperlink r:id="rId938">
        <w:r>
          <w:rPr>
            <w:rStyle w:val="Hyperlink"/>
          </w:rPr>
          <w:t xml:space="preserve">https://creativecommons.org/licenses/by/4.0/deed.pt-br</w:t>
        </w:r>
      </w:hyperlink>
      <w:r>
        <w:t xml:space="preserve">. É permitido copiar, redistribuir e adaptar o material, em qualquer meio ou formato e inclusive para fins comerciais, desde que se dê o crédito adequado ao autor, se indique se foram feitas alterações e se inclua o link para a licença.</w:t>
      </w:r>
    </w:p>
    <w:p>
      <w:pPr>
        <w:pStyle w:val="BodyText"/>
        <w:spacing w:after="80"/>
        <w:jc w:val="both"/>
      </w:pPr>
      <w:r>
        <w:rPr>
          <w:b/>
          <w:bCs/>
        </w:rPr>
        <w:t xml:space="preserve">Material de terceiros.</w:t>
      </w:r>
      <w:r>
        <w:t xml:space="preserve"> </w:t>
      </w:r>
      <w:r>
        <w:t xml:space="preserve">A licença alcança a contribuição original do autor (seleção, organização, sínteses e anotações). Textos de lei e decisões judiciais são atos oficiais, não protegidos por direito autoral (Lei nº 9.610/1998, art. 8º, IV), e o que for obtido de repositório de terceiros mantém as condições de sua origem.</w:t>
      </w:r>
    </w:p>
    <w:p>
      <w:pPr>
        <w:pStyle w:val="BodyText"/>
        <w:spacing w:after="80"/>
        <w:jc w:val="both"/>
      </w:pPr>
      <w:r>
        <w:rPr>
          <w:b/>
          <w:bCs/>
        </w:rPr>
        <w:t xml:space="preserve">Tradução.</w:t>
      </w:r>
      <w:r>
        <w:t xml:space="preserve"> </w:t>
      </w:r>
      <w:r>
        <w:t xml:space="preserve">O texto a seguir é tradução não oficial para o português, feita para conveniência do leitor. A Creative Commons não é parte dela nem a endossa. Havendo divergência, prevalece o texto oficial em inglês:</w:t>
      </w:r>
      <w:r>
        <w:t xml:space="preserve"> </w:t>
      </w:r>
      <w:hyperlink r:id="rId939">
        <w:r>
          <w:rPr>
            <w:rStyle w:val="Hyperlink"/>
          </w:rPr>
          <w:t xml:space="preserve">https://creativecommons.org/licenses/by/4.0/legalcode.en</w:t>
        </w:r>
      </w:hyperlink>
      <w:r>
        <w:t xml:space="preserve">.</w:t>
      </w:r>
    </w:p>
    <w:p>
      <w:pPr>
        <w:pStyle w:val="BodyText"/>
        <w:spacing w:after="80"/>
        <w:jc w:val="both"/>
      </w:pPr>
      <w:r>
        <w:rPr>
          <w:b/>
          <w:bCs/>
        </w:rPr>
        <w:t xml:space="preserve">Creative Commons Atribuição 4.0 Internacional: Licença Pública</w:t>
      </w:r>
    </w:p>
    <w:p>
      <w:pPr>
        <w:pStyle w:val="BodyText"/>
        <w:spacing w:after="80"/>
        <w:jc w:val="both"/>
      </w:pPr>
      <w:r>
        <w:t xml:space="preserve">Ao exercer os Direitos Licenciados (definidos abaixo), Você aceita e concorda em ficar vinculado aos termos e condições desta Licença Pública Creative Commons Atribuição 4.0 Internacional (</w:t>
      </w:r>
      <w:r>
        <w:t xml:space="preserve">“Licença Pública”</w:t>
      </w:r>
      <w:r>
        <w:t xml:space="preserve">). Na medida em que esta Licença Pública possa ser interpretada como um contrato, Você recebe os Direitos Licenciados em contrapartida à Sua aceitação destes termos e condições, e o Licenciante Lhe concede tais direitos em contrapartida aos benefícios que recebe por disponibilizar o Material Licenciado sob estes termos e condições.</w:t>
      </w:r>
    </w:p>
    <w:p>
      <w:pPr>
        <w:pStyle w:val="BodyText"/>
        <w:spacing w:after="80"/>
        <w:jc w:val="both"/>
      </w:pPr>
      <w:r>
        <w:rPr>
          <w:b/>
          <w:bCs/>
        </w:rPr>
        <w:t xml:space="preserve">Seção 1 – Definições.</w:t>
      </w:r>
    </w:p>
    <w:p>
      <w:pPr>
        <w:pStyle w:val="BodyText"/>
        <w:spacing w:after="80"/>
        <w:jc w:val="both"/>
      </w:pPr>
      <w:r>
        <w:t xml:space="preserve">a.</w:t>
      </w:r>
      <w:r>
        <w:t xml:space="preserve"> </w:t>
      </w:r>
      <w:r>
        <w:rPr>
          <w:i/>
          <w:iCs/>
        </w:rPr>
        <w:t xml:space="preserve">Material Adaptado</w:t>
      </w:r>
      <w:r>
        <w:t xml:space="preserve"> </w:t>
      </w:r>
      <w:r>
        <w:t xml:space="preserve">é o material sujeito a Direitos Autorais e Direitos Similares que seja derivado do Material Licenciado ou nele baseado, e no qual o Material Licenciado seja traduzido, alterado, arranjado, transformado ou de outro modo modificado de maneira que exija permissão segundo os Direitos Autorais e Direitos Similares detidos pelo Licenciante. Para os fins desta Licença Pública, quando o Material Licenciado for obra musical, interpretação ou fonograma, o Material Adaptado é sempre produzido quando o Material Licenciado for sincronizado, em relação temporal, com imagem em movimento.</w:t>
      </w:r>
    </w:p>
    <w:p>
      <w:pPr>
        <w:pStyle w:val="BodyText"/>
        <w:spacing w:after="80"/>
        <w:jc w:val="both"/>
      </w:pPr>
      <w:r>
        <w:t xml:space="preserve">b.</w:t>
      </w:r>
      <w:r>
        <w:t xml:space="preserve"> </w:t>
      </w:r>
      <w:r>
        <w:rPr>
          <w:i/>
          <w:iCs/>
        </w:rPr>
        <w:t xml:space="preserve">Licença do Adaptador</w:t>
      </w:r>
      <w:r>
        <w:t xml:space="preserve"> </w:t>
      </w:r>
      <w:r>
        <w:t xml:space="preserve">é a licença que Você aplica aos Seus Direitos Autorais e Direitos Similares sobre as Suas contribuições ao Material Adaptado, de acordo com os termos e condições desta Licença Pública.</w:t>
      </w:r>
    </w:p>
    <w:p>
      <w:pPr>
        <w:pStyle w:val="BodyText"/>
        <w:spacing w:after="80"/>
        <w:jc w:val="both"/>
      </w:pPr>
      <w:r>
        <w:t xml:space="preserve">c.</w:t>
      </w:r>
      <w:r>
        <w:t xml:space="preserve"> </w:t>
      </w:r>
      <w:r>
        <w:rPr>
          <w:i/>
          <w:iCs/>
        </w:rPr>
        <w:t xml:space="preserve">Direitos Autorais e Direitos Similares</w:t>
      </w:r>
      <w:r>
        <w:t xml:space="preserve"> </w:t>
      </w:r>
      <w:r>
        <w:t xml:space="preserve">são os direitos autorais e/ou direitos similares estreitamente relacionados aos direitos autorais, incluindo, sem limitação, execução, radiodifusão, fonograma e Direitos Sui Generis sobre Bancos de Dados, independentemente de como os direitos sejam rotulados ou categorizados. Para os fins desta Licença Pública, os direitos especificados na Seção 2(b)(1)-(2) não são Direitos Autorais e Direitos Similares.</w:t>
      </w:r>
    </w:p>
    <w:p>
      <w:pPr>
        <w:pStyle w:val="BodyText"/>
        <w:spacing w:after="80"/>
        <w:jc w:val="both"/>
      </w:pPr>
      <w:r>
        <w:t xml:space="preserve">d.</w:t>
      </w:r>
      <w:r>
        <w:t xml:space="preserve"> </w:t>
      </w:r>
      <w:r>
        <w:rPr>
          <w:i/>
          <w:iCs/>
        </w:rPr>
        <w:t xml:space="preserve">Medidas Tecnológicas Efetivas</w:t>
      </w:r>
      <w:r>
        <w:t xml:space="preserve"> </w:t>
      </w:r>
      <w:r>
        <w:t xml:space="preserve">são as medidas que, na ausência de autorização adequada, não podem ser contornadas segundo leis que cumpram as obrigações do Artigo 11 do Tratado da Organização Mundial da Propriedade Intelectual (OMPI) sobre Direito de Autor, adotado em 20 de dezembro de 1996, e/ou acordos internacionais semelhantes.</w:t>
      </w:r>
    </w:p>
    <w:p>
      <w:pPr>
        <w:pStyle w:val="BodyText"/>
        <w:spacing w:after="80"/>
        <w:jc w:val="both"/>
      </w:pPr>
      <w:r>
        <w:t xml:space="preserve">e.</w:t>
      </w:r>
      <w:r>
        <w:t xml:space="preserve"> </w:t>
      </w:r>
      <w:r>
        <w:rPr>
          <w:i/>
          <w:iCs/>
        </w:rPr>
        <w:t xml:space="preserve">Exceções e Limitações</w:t>
      </w:r>
      <w:r>
        <w:t xml:space="preserve"> </w:t>
      </w:r>
      <w:r>
        <w:t xml:space="preserve">são o uso justo (</w:t>
      </w:r>
      <w:r>
        <w:rPr>
          <w:i/>
          <w:iCs/>
        </w:rPr>
        <w:t xml:space="preserve">fair use</w:t>
      </w:r>
      <w:r>
        <w:t xml:space="preserve">), o tratamento justo (</w:t>
      </w:r>
      <w:r>
        <w:rPr>
          <w:i/>
          <w:iCs/>
        </w:rPr>
        <w:t xml:space="preserve">fair dealing</w:t>
      </w:r>
      <w:r>
        <w:t xml:space="preserve">) e/ou qualquer outra exceção ou limitação aos Direitos Autorais e Direitos Similares que se aplique ao Seu uso do Material Licenciado.</w:t>
      </w:r>
    </w:p>
    <w:p>
      <w:pPr>
        <w:pStyle w:val="BodyText"/>
        <w:spacing w:after="80"/>
        <w:jc w:val="both"/>
      </w:pPr>
      <w:r>
        <w:t xml:space="preserve">f.</w:t>
      </w:r>
      <w:r>
        <w:t xml:space="preserve"> </w:t>
      </w:r>
      <w:r>
        <w:rPr>
          <w:i/>
          <w:iCs/>
        </w:rPr>
        <w:t xml:space="preserve">Material Licenciado</w:t>
      </w:r>
      <w:r>
        <w:t xml:space="preserve"> </w:t>
      </w:r>
      <w:r>
        <w:t xml:space="preserve">é a obra artística ou literária, o banco de dados ou outro material ao qual o Licenciante aplicou esta Licença Pública.</w:t>
      </w:r>
    </w:p>
    <w:p>
      <w:pPr>
        <w:pStyle w:val="BodyText"/>
        <w:spacing w:after="80"/>
        <w:jc w:val="both"/>
      </w:pPr>
      <w:r>
        <w:t xml:space="preserve">g.</w:t>
      </w:r>
      <w:r>
        <w:t xml:space="preserve"> </w:t>
      </w:r>
      <w:r>
        <w:rPr>
          <w:i/>
          <w:iCs/>
        </w:rPr>
        <w:t xml:space="preserve">Direitos Licenciados</w:t>
      </w:r>
      <w:r>
        <w:t xml:space="preserve"> </w:t>
      </w:r>
      <w:r>
        <w:t xml:space="preserve">são os direitos concedidos a Você nos termos e condições desta Licença Pública, limitados a todos os Direitos Autorais e Direitos Similares que se apliquem ao Seu uso do Material Licenciado e que o Licenciante tenha autoridade para licenciar.</w:t>
      </w:r>
    </w:p>
    <w:p>
      <w:pPr>
        <w:pStyle w:val="BodyText"/>
        <w:spacing w:after="80"/>
        <w:jc w:val="both"/>
      </w:pPr>
      <w:r>
        <w:t xml:space="preserve">h.</w:t>
      </w:r>
      <w:r>
        <w:t xml:space="preserve"> </w:t>
      </w:r>
      <w:r>
        <w:rPr>
          <w:i/>
          <w:iCs/>
        </w:rPr>
        <w:t xml:space="preserve">Licenciante</w:t>
      </w:r>
      <w:r>
        <w:t xml:space="preserve"> </w:t>
      </w:r>
      <w:r>
        <w:t xml:space="preserve">é a pessoa física ou as pessoas físicas, ou a entidade ou as entidades, que concede(m) direitos nesta Licença Pública.</w:t>
      </w:r>
    </w:p>
    <w:p>
      <w:pPr>
        <w:pStyle w:val="BodyText"/>
        <w:spacing w:after="80"/>
        <w:jc w:val="both"/>
      </w:pPr>
      <w:r>
        <w:t xml:space="preserve">i.</w:t>
      </w:r>
      <w:r>
        <w:t xml:space="preserve"> </w:t>
      </w:r>
      <w:r>
        <w:rPr>
          <w:i/>
          <w:iCs/>
        </w:rPr>
        <w:t xml:space="preserve">Compartilhar</w:t>
      </w:r>
      <w:r>
        <w:t xml:space="preserve"> </w:t>
      </w:r>
      <w:r>
        <w:t xml:space="preserve">é fornecer material ao público por qualquer meio ou processo que exija permissão segundo os Direitos Licenciados, como reprodução, exibição pública, execução pública, distribuição, disseminação, comunicação ou importação, e tornar o material disponível ao público, inclusive de modo que seus membros possam acessá-lo de local e em momento por eles individualmente escolhidos.</w:t>
      </w:r>
    </w:p>
    <w:p>
      <w:pPr>
        <w:pStyle w:val="BodyText"/>
        <w:spacing w:after="80"/>
        <w:jc w:val="both"/>
      </w:pPr>
      <w:r>
        <w:t xml:space="preserve">j.</w:t>
      </w:r>
      <w:r>
        <w:t xml:space="preserve"> </w:t>
      </w:r>
      <w:r>
        <w:rPr>
          <w:i/>
          <w:iCs/>
        </w:rPr>
        <w:t xml:space="preserve">Direitos Sui Generis sobre Bancos de Dados</w:t>
      </w:r>
      <w:r>
        <w:t xml:space="preserve"> </w:t>
      </w:r>
      <w:r>
        <w:t xml:space="preserve">são os direitos, distintos dos direitos autorais, decorrentes da Diretiva 96/9/CE do Parlamento Europeu e do Conselho, de 11 de março de 1996, relativa à proteção jurídica das bases de dados, conforme alterada e/ou sucedida, bem como outros direitos essencialmente equivalentes em qualquer parte do mundo.</w:t>
      </w:r>
    </w:p>
    <w:p>
      <w:pPr>
        <w:pStyle w:val="BodyText"/>
        <w:spacing w:after="80"/>
        <w:jc w:val="both"/>
      </w:pPr>
      <w:r>
        <w:t xml:space="preserve">k.</w:t>
      </w:r>
      <w:r>
        <w:t xml:space="preserve"> </w:t>
      </w:r>
      <w:r>
        <w:rPr>
          <w:i/>
          <w:iCs/>
        </w:rPr>
        <w:t xml:space="preserve">Você</w:t>
      </w:r>
      <w:r>
        <w:t xml:space="preserve"> </w:t>
      </w:r>
      <w:r>
        <w:t xml:space="preserve">é a pessoa física ou a entidade que exerce os Direitos Licenciados nesta Licença Pública.</w:t>
      </w:r>
      <w:r>
        <w:t xml:space="preserve"> </w:t>
      </w:r>
      <w:r>
        <w:rPr>
          <w:i/>
          <w:iCs/>
        </w:rPr>
        <w:t xml:space="preserve">Seu</w:t>
      </w:r>
      <w:r>
        <w:t xml:space="preserve"> </w:t>
      </w:r>
      <w:r>
        <w:t xml:space="preserve">tem significado correspondente.</w:t>
      </w:r>
    </w:p>
    <w:p>
      <w:pPr>
        <w:pStyle w:val="BodyText"/>
        <w:spacing w:after="80"/>
        <w:jc w:val="both"/>
      </w:pPr>
      <w:r>
        <w:rPr>
          <w:b/>
          <w:bCs/>
        </w:rPr>
        <w:t xml:space="preserve">Seção 2 – Abrangência.</w:t>
      </w:r>
    </w:p>
    <w:p>
      <w:pPr>
        <w:pStyle w:val="BodyText"/>
        <w:spacing w:after="80"/>
        <w:jc w:val="both"/>
      </w:pPr>
      <w:r>
        <w:t xml:space="preserve">a.</w:t>
      </w:r>
      <w:r>
        <w:t xml:space="preserve"> </w:t>
      </w:r>
      <w:r>
        <w:rPr>
          <w:i/>
          <w:iCs/>
        </w:rPr>
        <w:t xml:space="preserve">Concessão da licença.</w:t>
      </w:r>
    </w:p>
    <w:p>
      <w:pPr>
        <w:pStyle w:val="BodyText"/>
        <w:spacing w:after="80"/>
        <w:jc w:val="both"/>
      </w:pPr>
      <w:r>
        <w:t xml:space="preserve">1. Sujeito aos termos e condições desta Licença Pública, o Licenciante concede a Você, por este ato, uma licença mundial, gratuita, não sublicenciável, não exclusiva e irrevogável para exercer os Direitos Licenciados sobre o Material Licenciado, a fim de:</w:t>
      </w:r>
    </w:p>
    <w:p>
      <w:pPr>
        <w:pStyle w:val="BodyText"/>
        <w:spacing w:after="80"/>
        <w:jc w:val="both"/>
      </w:pPr>
      <w:r>
        <w:t xml:space="preserve">A. reproduzir e Compartilhar o Material Licenciado, no todo ou em parte; e</w:t>
      </w:r>
    </w:p>
    <w:p>
      <w:pPr>
        <w:pStyle w:val="BodyText"/>
        <w:spacing w:after="80"/>
        <w:jc w:val="both"/>
      </w:pPr>
      <w:r>
        <w:t xml:space="preserve">B. produzir, reproduzir e Compartilhar Material Adaptado.</w:t>
      </w:r>
    </w:p>
    <w:p>
      <w:pPr>
        <w:pStyle w:val="BodyText"/>
        <w:spacing w:after="80"/>
        <w:jc w:val="both"/>
      </w:pPr>
      <w:r>
        <w:t xml:space="preserve">2. Exceções e Limitações. Para evitar dúvidas, quando as Exceções e Limitações se aplicarem ao Seu uso, esta Licença Pública não se aplica e Você não precisa cumprir seus termos e condições.</w:t>
      </w:r>
    </w:p>
    <w:p>
      <w:pPr>
        <w:pStyle w:val="BodyText"/>
        <w:spacing w:after="80"/>
        <w:jc w:val="both"/>
      </w:pPr>
      <w:r>
        <w:t xml:space="preserve">3. Vigência. A vigência desta Licença Pública é a especificada na Seção 6(a).</w:t>
      </w:r>
    </w:p>
    <w:p>
      <w:pPr>
        <w:pStyle w:val="BodyText"/>
        <w:spacing w:after="80"/>
        <w:jc w:val="both"/>
      </w:pPr>
      <w:r>
        <w:t xml:space="preserve">4. Meios e formatos; modificações técnicas permitidas. O Licenciante autoriza Você a exercer os Direitos Licenciados em todos os meios e formatos, conhecidos agora ou criados no futuro, e a fazer as modificações técnicas necessárias para tanto. O Licenciante renuncia e/ou concorda em não exercer qualquer direito ou autoridade para Lhe proibir as modificações técnicas necessárias ao exercício dos Direitos Licenciados, inclusive as necessárias para contornar Medidas Tecnológicas Efetivas. Para os fins desta Licença Pública, a simples realização de modificações autorizadas por esta Seção 2(a)(4) nunca produz Material Adaptado.</w:t>
      </w:r>
    </w:p>
    <w:p>
      <w:pPr>
        <w:pStyle w:val="BodyText"/>
        <w:spacing w:after="80"/>
        <w:jc w:val="both"/>
      </w:pPr>
      <w:r>
        <w:t xml:space="preserve">5. Destinatários subsequentes.</w:t>
      </w:r>
    </w:p>
    <w:p>
      <w:pPr>
        <w:pStyle w:val="BodyText"/>
        <w:spacing w:after="80"/>
        <w:jc w:val="both"/>
      </w:pPr>
      <w:r>
        <w:t xml:space="preserve">A. Oferta do Licenciante – Material Licenciado. Todo destinatário do Material Licenciado recebe automaticamente do Licenciante uma oferta para exercer os Direitos Licenciados nos termos e condições desta Licença Pública.</w:t>
      </w:r>
    </w:p>
    <w:p>
      <w:pPr>
        <w:pStyle w:val="BodyText"/>
        <w:spacing w:after="80"/>
        <w:jc w:val="both"/>
      </w:pPr>
      <w:r>
        <w:t xml:space="preserve">B. Sem restrições subsequentes. Você não pode oferecer nem impor termos ou condições adicionais ou diferentes sobre o Material Licenciado, nem aplicar a ele Medidas Tecnológicas Efetivas, se isso restringir o exercício dos Direitos Licenciados por qualquer destinatário do Material Licenciado.</w:t>
      </w:r>
    </w:p>
    <w:p>
      <w:pPr>
        <w:pStyle w:val="BodyText"/>
        <w:spacing w:after="80"/>
        <w:jc w:val="both"/>
      </w:pPr>
      <w:r>
        <w:t xml:space="preserve">6. Sem endosso. Nada nesta Licença Pública constitui nem pode ser interpretado como permissão para afirmar ou sugerir que Você, ou o Seu uso do Material Licenciado, está ligado, é patrocinado, endossado ou recebeu status oficial do Licenciante ou de outros designados para receber atribuição, conforme a Seção 3(a)(1)(A)(i).</w:t>
      </w:r>
    </w:p>
    <w:p>
      <w:pPr>
        <w:pStyle w:val="BodyText"/>
        <w:spacing w:after="80"/>
        <w:jc w:val="both"/>
      </w:pPr>
      <w:r>
        <w:t xml:space="preserve">b.</w:t>
      </w:r>
      <w:r>
        <w:t xml:space="preserve"> </w:t>
      </w:r>
      <w:r>
        <w:rPr>
          <w:i/>
          <w:iCs/>
        </w:rPr>
        <w:t xml:space="preserve">Outros direitos.</w:t>
      </w:r>
    </w:p>
    <w:p>
      <w:pPr>
        <w:pStyle w:val="BodyText"/>
        <w:spacing w:after="80"/>
        <w:jc w:val="both"/>
      </w:pPr>
      <w:r>
        <w:t xml:space="preserve">1. Os direitos morais, como o direito à integridade, não são licenciados por esta Licença Pública, tampouco os direitos de imagem, de privacidade e outros direitos de personalidade semelhantes; contudo, na medida do possível, o Licenciante renuncia e/ou concorda em não exercer tais direitos que detenha, na medida limitada necessária para permitir que Você exerça os Direitos Licenciados, mas não além disso.</w:t>
      </w:r>
    </w:p>
    <w:p>
      <w:pPr>
        <w:pStyle w:val="BodyText"/>
        <w:spacing w:after="80"/>
        <w:jc w:val="both"/>
      </w:pPr>
      <w:r>
        <w:t xml:space="preserve">2. Os direitos de patente e de marca não são licenciados por esta Licença Pública.</w:t>
      </w:r>
    </w:p>
    <w:p>
      <w:pPr>
        <w:pStyle w:val="BodyText"/>
        <w:spacing w:after="80"/>
        <w:jc w:val="both"/>
      </w:pPr>
      <w:r>
        <w:t xml:space="preserve">3. Na medida do possível, o Licenciante renuncia a qualquer direito de cobrar royalties de Você pelo exercício dos Direitos Licenciados, seja diretamente, seja por meio de entidade de gestão coletiva, em qualquer regime de licenciamento legal ou compulsório, voluntário ou renunciável. Em todos os demais casos, o Licenciante reserva-se expressamente o direito de cobrar tais royalties.</w:t>
      </w:r>
    </w:p>
    <w:p>
      <w:pPr>
        <w:pStyle w:val="BodyText"/>
        <w:spacing w:after="80"/>
        <w:jc w:val="both"/>
      </w:pPr>
      <w:r>
        <w:rPr>
          <w:b/>
          <w:bCs/>
        </w:rPr>
        <w:t xml:space="preserve">Seção 3 – Condições da Licença.</w:t>
      </w:r>
    </w:p>
    <w:p>
      <w:pPr>
        <w:pStyle w:val="BodyText"/>
        <w:spacing w:after="80"/>
        <w:jc w:val="both"/>
      </w:pPr>
      <w:r>
        <w:t xml:space="preserve">O exercício dos Direitos Licenciados por Você está expressamente sujeito às seguintes condições.</w:t>
      </w:r>
    </w:p>
    <w:p>
      <w:pPr>
        <w:pStyle w:val="BodyText"/>
        <w:spacing w:after="80"/>
        <w:jc w:val="both"/>
      </w:pPr>
      <w:r>
        <w:t xml:space="preserve">a.</w:t>
      </w:r>
      <w:r>
        <w:t xml:space="preserve"> </w:t>
      </w:r>
      <w:r>
        <w:rPr>
          <w:i/>
          <w:iCs/>
        </w:rPr>
        <w:t xml:space="preserve">Atribuição.</w:t>
      </w:r>
    </w:p>
    <w:p>
      <w:pPr>
        <w:pStyle w:val="BodyText"/>
        <w:spacing w:after="80"/>
        <w:jc w:val="both"/>
      </w:pPr>
      <w:r>
        <w:t xml:space="preserve">1. Se Você Compartilhar o Material Licenciado (inclusive em forma modificada), Você deve:</w:t>
      </w:r>
    </w:p>
    <w:p>
      <w:pPr>
        <w:pStyle w:val="BodyText"/>
        <w:spacing w:after="80"/>
        <w:jc w:val="both"/>
      </w:pPr>
      <w:r>
        <w:t xml:space="preserve">A. manter o seguinte, se fornecido pelo Licenciante com o Material Licenciado:</w:t>
      </w:r>
    </w:p>
    <w:p>
      <w:pPr>
        <w:pStyle w:val="BodyText"/>
        <w:spacing w:after="80"/>
        <w:jc w:val="both"/>
      </w:pPr>
      <w:r>
        <w:t xml:space="preserve">i. a identificação do(s) criador(es) do Material Licenciado e de outros designados para receber atribuição, de qualquer modo razoável solicitado pelo Licenciante (inclusive por pseudônimo, se designado);</w:t>
      </w:r>
    </w:p>
    <w:p>
      <w:pPr>
        <w:pStyle w:val="BodyText"/>
        <w:spacing w:after="80"/>
        <w:jc w:val="both"/>
      </w:pPr>
      <w:r>
        <w:t xml:space="preserve">ii. um aviso de direitos autorais;</w:t>
      </w:r>
    </w:p>
    <w:p>
      <w:pPr>
        <w:pStyle w:val="BodyText"/>
        <w:spacing w:after="80"/>
        <w:jc w:val="both"/>
      </w:pPr>
      <w:r>
        <w:t xml:space="preserve">iii. um aviso que faça referência a esta Licença Pública;</w:t>
      </w:r>
    </w:p>
    <w:p>
      <w:pPr>
        <w:pStyle w:val="BodyText"/>
        <w:spacing w:after="80"/>
        <w:jc w:val="both"/>
      </w:pPr>
      <w:r>
        <w:t xml:space="preserve">iv. um aviso que faça referência à exclusão de garantias;</w:t>
      </w:r>
    </w:p>
    <w:p>
      <w:pPr>
        <w:pStyle w:val="BodyText"/>
        <w:spacing w:after="80"/>
        <w:jc w:val="both"/>
      </w:pPr>
      <w:r>
        <w:t xml:space="preserve">v. um Identificador Uniforme de Recurso (URI) ou hiperlink para o Material Licenciado, na medida do razoavelmente possível;</w:t>
      </w:r>
    </w:p>
    <w:p>
      <w:pPr>
        <w:pStyle w:val="BodyText"/>
        <w:spacing w:after="80"/>
        <w:jc w:val="both"/>
      </w:pPr>
      <w:r>
        <w:t xml:space="preserve">B. indicar se Você modificou o Material Licenciado e manter a indicação de eventuais modificações anteriores; e</w:t>
      </w:r>
    </w:p>
    <w:p>
      <w:pPr>
        <w:pStyle w:val="BodyText"/>
        <w:spacing w:after="80"/>
        <w:jc w:val="both"/>
      </w:pPr>
      <w:r>
        <w:t xml:space="preserve">C. indicar que o Material Licenciado está licenciado sob esta Licença Pública e incluir o texto desta Licença Pública ou o URI ou hiperlink para ela.</w:t>
      </w:r>
    </w:p>
    <w:p>
      <w:pPr>
        <w:pStyle w:val="BodyText"/>
        <w:spacing w:after="80"/>
        <w:jc w:val="both"/>
      </w:pPr>
      <w:r>
        <w:t xml:space="preserve">2. Você pode cumprir as condições da Seção 3(a)(1) de qualquer modo razoável, conforme o meio, os recursos e o contexto em que Compartilhar o Material Licenciado. Por exemplo, pode ser razoável cumpri-las fornecendo um URI ou hiperlink para um recurso que contenha as informações exigidas.</w:t>
      </w:r>
    </w:p>
    <w:p>
      <w:pPr>
        <w:pStyle w:val="BodyText"/>
        <w:spacing w:after="80"/>
        <w:jc w:val="both"/>
      </w:pPr>
      <w:r>
        <w:t xml:space="preserve">3. Se solicitado pelo Licenciante, Você deve remover qualquer das informações exigidas pela Seção 3(a)(1)(A), na medida do razoavelmente possível.</w:t>
      </w:r>
    </w:p>
    <w:p>
      <w:pPr>
        <w:pStyle w:val="BodyText"/>
        <w:spacing w:after="80"/>
        <w:jc w:val="both"/>
      </w:pPr>
      <w:r>
        <w:t xml:space="preserve">4. Se Você Compartilhar Material Adaptado que produzir, a Licença do Adaptador que Você aplicar não deve impedir que os destinatários do Material Adaptado cumpram esta Licença Pública.</w:t>
      </w:r>
    </w:p>
    <w:p>
      <w:pPr>
        <w:pStyle w:val="BodyText"/>
        <w:spacing w:after="80"/>
        <w:jc w:val="both"/>
      </w:pPr>
      <w:r>
        <w:rPr>
          <w:b/>
          <w:bCs/>
        </w:rPr>
        <w:t xml:space="preserve">Seção 4 – Direitos Sui Generis sobre Bancos de Dados.</w:t>
      </w:r>
    </w:p>
    <w:p>
      <w:pPr>
        <w:pStyle w:val="BodyText"/>
        <w:spacing w:after="80"/>
        <w:jc w:val="both"/>
      </w:pPr>
      <w:r>
        <w:t xml:space="preserve">Quando os Direitos Licenciados incluírem Direitos Sui Generis sobre Bancos de Dados que se apliquem ao Seu uso do Material Licenciado:</w:t>
      </w:r>
    </w:p>
    <w:p>
      <w:pPr>
        <w:pStyle w:val="BodyText"/>
        <w:spacing w:after="80"/>
        <w:jc w:val="both"/>
      </w:pPr>
      <w:r>
        <w:t xml:space="preserve">a. para evitar dúvidas, a Seção 2(a)(1) concede a Você o direito de extrair, reutilizar, reproduzir e Compartilhar todo o conteúdo do banco de dados ou parte substancial dele;</w:t>
      </w:r>
    </w:p>
    <w:p>
      <w:pPr>
        <w:pStyle w:val="BodyText"/>
        <w:spacing w:after="80"/>
        <w:jc w:val="both"/>
      </w:pPr>
      <w:r>
        <w:t xml:space="preserve">b. se Você incluir todo o conteúdo do banco de dados ou parte substancial dele em um banco de dados sobre o qual tenha Direitos Sui Generis sobre Bancos de Dados, então o banco de dados sobre o qual Você tem Direitos Sui Generis sobre Bancos de Dados (mas não seus conteúdos individuais) é Material Adaptado; e</w:t>
      </w:r>
    </w:p>
    <w:p>
      <w:pPr>
        <w:pStyle w:val="BodyText"/>
        <w:spacing w:after="80"/>
        <w:jc w:val="both"/>
      </w:pPr>
      <w:r>
        <w:t xml:space="preserve">c. Você deve cumprir as condições da Seção 3(a) se Compartilhar todo o conteúdo do banco de dados ou parte substancial dele.</w:t>
      </w:r>
    </w:p>
    <w:p>
      <w:pPr>
        <w:pStyle w:val="BodyText"/>
        <w:spacing w:after="80"/>
        <w:jc w:val="both"/>
      </w:pPr>
      <w:r>
        <w:t xml:space="preserve">Para evitar dúvidas, esta Seção 4 complementa, e não substitui, as Suas obrigações nesta Licença Pública quando os Direitos Licenciados incluírem outros Direitos Autorais e Direitos Similares.</w:t>
      </w:r>
    </w:p>
    <w:p>
      <w:pPr>
        <w:pStyle w:val="BodyText"/>
        <w:spacing w:after="80"/>
        <w:jc w:val="both"/>
      </w:pPr>
      <w:r>
        <w:rPr>
          <w:b/>
          <w:bCs/>
        </w:rPr>
        <w:t xml:space="preserve">Seção 5 – Exclusão de Garantias e Limitação de Responsabilidade.</w:t>
      </w:r>
    </w:p>
    <w:p>
      <w:pPr>
        <w:pStyle w:val="BodyText"/>
        <w:spacing w:after="80"/>
        <w:jc w:val="both"/>
      </w:pPr>
      <w:r>
        <w:t xml:space="preserve">a. Salvo se o Licenciante assumir compromisso diverso em separado, na medida do possível o Licenciante oferece o Material Licenciado no estado em que se encontra e conforme disponível, e não presta declarações nem garantias de qualquer espécie sobre o Material Licenciado, sejam expressas, implícitas, legais ou de outra natureza. Isso inclui, sem limitação, garantias de titularidade, comerciabilidade, adequação a um fim específico, não violação, ausência de defeitos latentes ou de outra ordem, exatidão, ou presença ou ausência de erros, conhecidos ou detectáveis ou não. Quando a exclusão de garantias não for permitida, no todo ou em parte, esta exclusão pode não se aplicar a Você.</w:t>
      </w:r>
    </w:p>
    <w:p>
      <w:pPr>
        <w:pStyle w:val="BodyText"/>
        <w:spacing w:after="80"/>
        <w:jc w:val="both"/>
      </w:pPr>
      <w:r>
        <w:t xml:space="preserve">b. Na medida do possível, em nenhuma hipótese o Licenciante responderá perante Você, com base em qualquer teoria jurídica (incluindo, sem limitação, negligência) ou de outro modo, por quaisquer perdas, custos, despesas ou danos diretos, especiais, indiretos, incidentais, consequenciais, punitivos, exemplares ou de outra natureza decorrentes desta Licença Pública ou do uso do Material Licenciado, ainda que o Licenciante tenha sido avisado da possibilidade de tais perdas, custos, despesas ou danos. Quando a limitação de responsabilidade não for permitida, no todo ou em parte, esta limitação pode não se aplicar a Você.</w:t>
      </w:r>
    </w:p>
    <w:p>
      <w:pPr>
        <w:pStyle w:val="BodyText"/>
        <w:spacing w:after="80"/>
        <w:jc w:val="both"/>
      </w:pPr>
      <w:r>
        <w:t xml:space="preserve">c. A exclusão de garantias e a limitação de responsabilidade acima previstas devem ser interpretadas, na medida do possível, de modo a se aproximarem ao máximo de uma exclusão absoluta e de uma renúncia a toda responsabilidade.</w:t>
      </w:r>
    </w:p>
    <w:p>
      <w:pPr>
        <w:pStyle w:val="BodyText"/>
        <w:spacing w:after="80"/>
        <w:jc w:val="both"/>
      </w:pPr>
      <w:r>
        <w:rPr>
          <w:b/>
          <w:bCs/>
        </w:rPr>
        <w:t xml:space="preserve">Seção 6 – Vigência e Extinção.</w:t>
      </w:r>
    </w:p>
    <w:p>
      <w:pPr>
        <w:pStyle w:val="BodyText"/>
        <w:spacing w:after="80"/>
        <w:jc w:val="both"/>
      </w:pPr>
      <w:r>
        <w:t xml:space="preserve">a. Esta Licença Pública aplica-se durante o prazo dos Direitos Autorais e Direitos Similares aqui licenciados. Contudo, se Você descumprir esta Licença Pública, os Seus direitos nela previstos se extinguem automaticamente.</w:t>
      </w:r>
    </w:p>
    <w:p>
      <w:pPr>
        <w:pStyle w:val="BodyText"/>
        <w:spacing w:after="80"/>
        <w:jc w:val="both"/>
      </w:pPr>
      <w:r>
        <w:t xml:space="preserve">b. Quando o Seu direito de usar o Material Licenciado se extinguir nos termos da Seção 6(a), ele é restabelecido:</w:t>
      </w:r>
    </w:p>
    <w:p>
      <w:pPr>
        <w:pStyle w:val="BodyText"/>
        <w:spacing w:after="80"/>
        <w:jc w:val="both"/>
      </w:pPr>
      <w:r>
        <w:t xml:space="preserve">1. automaticamente, a partir da data em que a violação for sanada, desde que sanada em até 30 dias após Você tomar conhecimento dela; ou</w:t>
      </w:r>
    </w:p>
    <w:p>
      <w:pPr>
        <w:pStyle w:val="BodyText"/>
        <w:spacing w:after="80"/>
        <w:jc w:val="both"/>
      </w:pPr>
      <w:r>
        <w:t xml:space="preserve">2. mediante restabelecimento expresso pelo Licenciante.</w:t>
      </w:r>
    </w:p>
    <w:p>
      <w:pPr>
        <w:pStyle w:val="BodyText"/>
        <w:spacing w:after="80"/>
        <w:jc w:val="both"/>
      </w:pPr>
      <w:r>
        <w:t xml:space="preserve">c. Para evitar dúvidas, esta Seção 6(b) não afeta qualquer direito que o Licenciante possa ter de buscar reparação pelas Suas violações desta Licença Pública.</w:t>
      </w:r>
    </w:p>
    <w:p>
      <w:pPr>
        <w:pStyle w:val="BodyText"/>
        <w:spacing w:after="80"/>
        <w:jc w:val="both"/>
      </w:pPr>
      <w:r>
        <w:t xml:space="preserve">d. Para evitar dúvidas, o Licenciante também pode oferecer o Material Licenciado sob termos ou condições distintos ou deixar de distribuí-lo a qualquer momento; contudo, isso não extingue esta Licença Pública.</w:t>
      </w:r>
    </w:p>
    <w:p>
      <w:pPr>
        <w:pStyle w:val="BodyText"/>
        <w:spacing w:after="80"/>
        <w:jc w:val="both"/>
      </w:pPr>
      <w:r>
        <w:t xml:space="preserve">e. As Seções 1, 5, 6, 7 e 8 subsistem à extinção desta Licença Pública.</w:t>
      </w:r>
    </w:p>
    <w:p>
      <w:pPr>
        <w:pStyle w:val="BodyText"/>
        <w:spacing w:after="80"/>
        <w:jc w:val="both"/>
      </w:pPr>
      <w:r>
        <w:rPr>
          <w:b/>
          <w:bCs/>
        </w:rPr>
        <w:t xml:space="preserve">Seção 7 – Outros Termos e Condições.</w:t>
      </w:r>
    </w:p>
    <w:p>
      <w:pPr>
        <w:pStyle w:val="BodyText"/>
        <w:spacing w:after="80"/>
        <w:jc w:val="both"/>
      </w:pPr>
      <w:r>
        <w:t xml:space="preserve">a. O Licenciante não ficará vinculado a termos ou condições adicionais ou diferentes comunicados por Você, salvo se expressamente acordados.</w:t>
      </w:r>
    </w:p>
    <w:p>
      <w:pPr>
        <w:pStyle w:val="BodyText"/>
        <w:spacing w:after="80"/>
        <w:jc w:val="both"/>
      </w:pPr>
      <w:r>
        <w:t xml:space="preserve">b. Quaisquer arranjos, entendimentos ou acordos relativos ao Material Licenciado não declarados aqui são separados e independentes dos termos e condições desta Licença Pública.</w:t>
      </w:r>
    </w:p>
    <w:p>
      <w:pPr>
        <w:pStyle w:val="BodyText"/>
        <w:spacing w:after="80"/>
        <w:jc w:val="both"/>
      </w:pPr>
      <w:r>
        <w:rPr>
          <w:b/>
          <w:bCs/>
        </w:rPr>
        <w:t xml:space="preserve">Seção 8 – Interpretação.</w:t>
      </w:r>
    </w:p>
    <w:p>
      <w:pPr>
        <w:pStyle w:val="BodyText"/>
        <w:spacing w:after="80"/>
        <w:jc w:val="both"/>
      </w:pPr>
      <w:r>
        <w:t xml:space="preserve">a. Para evitar dúvidas, esta Licença Pública não reduz, limita, restringe nem impõe condições a qualquer uso do Material Licenciado que possa ser feito legalmente sem permissão segundo esta Licença Pública, e não deve ser interpretada nesse sentido.</w:t>
      </w:r>
    </w:p>
    <w:p>
      <w:pPr>
        <w:pStyle w:val="BodyText"/>
        <w:spacing w:after="80"/>
        <w:jc w:val="both"/>
      </w:pPr>
      <w:r>
        <w:t xml:space="preserve">b. Na medida do possível, se qualquer disposição desta Licença Pública for considerada inexequível, ela será reformada automaticamente na medida mínima necessária para torná-la exequível. Se a disposição não puder ser reformada, será separada desta Licença Pública, sem afetar a exequibilidade dos demais termos e condições.</w:t>
      </w:r>
    </w:p>
    <w:p>
      <w:pPr>
        <w:pStyle w:val="BodyText"/>
        <w:spacing w:after="80"/>
        <w:jc w:val="both"/>
      </w:pPr>
      <w:r>
        <w:t xml:space="preserve">c. Nenhum termo ou condição desta Licença Pública será objeto de renúncia, e nenhum descumprimento será consentido, salvo se expressamente acordado pelo Licenciante.</w:t>
      </w:r>
    </w:p>
    <w:p>
      <w:pPr>
        <w:pStyle w:val="BodyText"/>
        <w:spacing w:after="80"/>
        <w:jc w:val="both"/>
      </w:pPr>
      <w:r>
        <w:t xml:space="preserve">d. Nada nesta Licença Pública constitui nem pode ser interpretado como limitação ou renúncia a quaisquer privilégios e imunidades aplicáveis ao Licenciante ou a Você, inclusive quanto aos processos judiciais de qualquer jurisdição ou autoridade.</w:t>
      </w:r>
    </w:p>
    <w:p>
      <w:pPr>
        <w:pStyle w:val="BodyText"/>
        <w:spacing w:after="80"/>
        <w:jc w:val="both"/>
      </w:pPr>
      <w:r>
        <w:t xml:space="preserve">A Creative Commons não é parte em suas licenças públicas. Não obstante, a Creative Commons pode optar por aplicar uma de suas licenças públicas a material que publique e, nesses casos, será considerada</w:t>
      </w:r>
      <w:r>
        <w:t xml:space="preserve"> </w:t>
      </w:r>
      <w:r>
        <w:t xml:space="preserve">“Licenciante”</w:t>
      </w:r>
      <w:r>
        <w:t xml:space="preserve">. O texto das licenças públicas Creative Commons é dedicado ao domínio público pela Declaração de Dedicação ao Domínio Público CC0. Salvo para o fim limitado de indicar que o material é compartilhado sob uma licença pública Creative Commons ou conforme de outro modo permitido pelas políticas da Creative Commons publicadas em creativecommons.org/policies, a Creative Commons não autoriza o uso da marca</w:t>
      </w:r>
      <w:r>
        <w:t xml:space="preserve"> </w:t>
      </w:r>
      <w:r>
        <w:t xml:space="preserve">“Creative Commons”</w:t>
      </w:r>
      <w:r>
        <w:t xml:space="preserve"> </w:t>
      </w:r>
      <w:r>
        <w:t xml:space="preserve">nem de qualquer outra marca ou logotipo seu sem consentimento prévio por escrito, incluindo, sem limitação, em conexão com modificações não autorizadas de suas licenças públicas ou com quaisquer outros arranjos, entendimentos ou acordos relativos ao uso de material licenciado. Para evitar dúvidas, este parágrafo não integra as licenças públicas.</w:t>
      </w:r>
    </w:p>
    <w:p>
      <w:pPr>
        <w:pStyle w:val="BodyText"/>
        <w:spacing w:after="80"/>
        <w:jc w:val="both"/>
      </w:pPr>
      <w:r>
        <w:t xml:space="preserve">A Creative Commons pode ser contatada em creativecommons.org.</w:t>
      </w:r>
    </w:p>
    <w:bookmarkEnd w:id="940"/>
    <w:sectPr>
      <w:headerReference w:type="default" r:id="rId14"/>
      <w:footnotePr>
        <w:numRestart w:val="eachSect"/>
      </w:footnotePr>
      <w:pgSz w:w="11906" w:h="16838"/>
      <w:pgMar w:top="1417" w:left="1417" w:bottom="1134"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w:hAnsi="Noto Serif"/>
        <w:sz w:val="20"/>
      </w:rPr>
      <w:fldChar w:fldCharType="begin"/>
    </w:r>
    <w:r>
      <w:rPr>
        <w:rFonts w:ascii="Noto Serif" w:hAnsi="Noto Serif"/>
        <w:sz w:val="20"/>
      </w:rPr>
      <w:instrText xml:space="preserve"> PAGE </w:instrText>
    </w:r>
    <w:r>
      <w:rPr>
        <w:rFonts w:ascii="Noto Serif" w:hAnsi="Noto Serif"/>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9354" w:val="right"/>
      </w:tabs>
    </w:pPr>
    <w:r>
      <w:rPr>
        <w:rFonts w:ascii="Liberation Sans" w:hAnsi="Liberation Sans"/>
        <w:smallCaps/>
        <w:color w:val="595959"/>
        <w:sz w:val="16"/>
      </w:rPr>
      <w:t>CPC anotado · Parte Especial</w:t>
    </w:r>
    <w:r>
      <w:tab/>
    </w:r>
    <w:r>
      <w:rPr>
        <w:rFonts w:ascii="Liberation Sans" w:hAnsi="Liberation Sans"/>
        <w:color w:val="595959"/>
        <w:sz w:val="16"/>
      </w:rPr>
      <w:t>Arts. 318 a 1.072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9354" w:val="right"/>
      </w:tabs>
    </w:pPr>
    <w:r>
      <w:rPr>
        <w:rFonts w:ascii="Liberation Sans" w:hAnsi="Liberation Sans"/>
        <w:smallCaps/>
        <w:color w:val="595959"/>
        <w:sz w:val="16"/>
      </w:rPr>
      <w:t>CPC anotado · Parte Especial</w:t>
    </w:r>
    <w:r>
      <w:tab/>
    </w:r>
    <w:r>
      <w:rPr>
        <w:rFonts w:ascii="Liberation Sans" w:hAnsi="Liberation Sans"/>
        <w:color w:val="1F3A5F"/>
        <w:sz w:val="16"/>
      </w:rPr>
      <w:t>Livro I: do processo de conhecimento e do cumprimento de sentença (arts. 318 a 770)</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9354" w:val="right"/>
      </w:tabs>
    </w:pPr>
    <w:r>
      <w:rPr>
        <w:rFonts w:ascii="Liberation Sans" w:hAnsi="Liberation Sans"/>
        <w:smallCaps/>
        <w:color w:val="595959"/>
        <w:sz w:val="16"/>
      </w:rPr>
      <w:t>CPC anotado · Parte Especial</w:t>
    </w:r>
    <w:r>
      <w:tab/>
    </w:r>
    <w:r>
      <w:rPr>
        <w:rFonts w:ascii="Liberation Sans" w:hAnsi="Liberation Sans"/>
        <w:color w:val="1F3A5F"/>
        <w:sz w:val="16"/>
      </w:rPr>
      <w:t>Livro II: do processo de execução (arts. 771 a 925)</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9354" w:val="right"/>
      </w:tabs>
    </w:pPr>
    <w:r>
      <w:rPr>
        <w:rFonts w:ascii="Liberation Sans" w:hAnsi="Liberation Sans"/>
        <w:smallCaps/>
        <w:color w:val="595959"/>
        <w:sz w:val="16"/>
      </w:rPr>
      <w:t>CPC anotado · Parte Especial</w:t>
    </w:r>
    <w:r>
      <w:tab/>
    </w:r>
    <w:r>
      <w:rPr>
        <w:rFonts w:ascii="Liberation Sans" w:hAnsi="Liberation Sans"/>
        <w:color w:val="1F3A5F"/>
        <w:sz w:val="16"/>
      </w:rPr>
      <w:t>Livro III: dos processos nos tribunais e dos meios de impugnação das decisões judiciais (arts. 926 a 1.044)</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9354" w:val="right"/>
      </w:tabs>
    </w:pPr>
    <w:r>
      <w:rPr>
        <w:rFonts w:ascii="Liberation Sans" w:hAnsi="Liberation Sans"/>
        <w:smallCaps/>
        <w:color w:val="595959"/>
        <w:sz w:val="16"/>
      </w:rPr>
      <w:t>CPC anotado · Parte Especial</w:t>
    </w:r>
    <w:r>
      <w:tab/>
    </w:r>
    <w:r>
      <w:rPr>
        <w:rFonts w:ascii="Liberation Sans" w:hAnsi="Liberation Sans"/>
        <w:color w:val="1F3A5F"/>
        <w:sz w:val="16"/>
      </w:rPr>
      <w:t>Livro Complementar: disposições finais e transitórias (arts. 1.045 a 1.072)</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9354" w:val="right"/>
      </w:tabs>
    </w:pPr>
    <w:r>
      <w:rPr>
        <w:rFonts w:ascii="Liberation Sans" w:hAnsi="Liberation Sans"/>
        <w:smallCaps/>
        <w:color w:val="595959"/>
        <w:sz w:val="16"/>
      </w:rPr>
      <w:t>CPC anotado · Parte Especial</w:t>
    </w:r>
    <w:r>
      <w:tab/>
    </w:r>
    <w:r>
      <w:rPr>
        <w:rFonts w:ascii="Liberation Sans" w:hAnsi="Liberation Sans"/>
        <w:color w:val="595959"/>
        <w:sz w:val="16"/>
      </w:rPr>
      <w:t>Arts. 318 a 1.072</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pPr>
    <w:rPr>
      <w:rFonts w:ascii="Noto Serif" w:hAnsi="Noto Serif" w:cs="Noto Serif" w:eastAsia="Noto Serif"/>
      <w:b w:val="0"/>
      <w:color w:val="000000"/>
      <w:sz w:val="21"/>
    </w:rPr>
  </w:style>
  <w:style w:styleId="BodyText" w:type="paragraph">
    <w:name w:val="Body Text"/>
    <w:basedOn w:val="Normal"/>
    <w:link w:val="BodyTextChar"/>
    <w:qFormat/>
    <w:pPr>
      <w:spacing w:after="180" w:before="180" w:line="276" w:lineRule="auto"/>
    </w:pPr>
    <w:rPr>
      <w:rFonts w:ascii="Noto Serif" w:hAnsi="Noto Serif" w:cs="Noto Serif" w:eastAsia="Noto Serif"/>
      <w:b w:val="0"/>
      <w:color w:val="000000"/>
      <w:sz w:val="21"/>
    </w:rPr>
  </w:style>
  <w:style w:customStyle="1" w:styleId="FirstParagraph" w:type="paragraph">
    <w:name w:val="First Paragraph"/>
    <w:basedOn w:val="BodyText"/>
    <w:next w:val="BodyText"/>
    <w:qFormat/>
    <w:pPr>
      <w:spacing w:line="276" w:lineRule="auto"/>
    </w:pPr>
    <w:rPr>
      <w:rFonts w:ascii="Noto Serif" w:hAnsi="Noto Serif" w:cs="Noto Serif" w:eastAsia="Noto Serif"/>
      <w:b w:val="0"/>
      <w:color w:val="000000"/>
      <w:sz w:val="21"/>
    </w:rPr>
  </w:style>
  <w:style w:customStyle="1" w:styleId="Compact" w:type="paragraph">
    <w:name w:val="Compact"/>
    <w:basedOn w:val="BodyText"/>
    <w:qFormat/>
    <w:pPr>
      <w:spacing w:after="36" w:before="36" w:line="276" w:lineRule="auto"/>
    </w:pPr>
    <w:rPr>
      <w:rFonts w:ascii="Noto Serif" w:hAnsi="Noto Serif" w:cs="Noto Serif" w:eastAsia="Noto Serif"/>
      <w:b w:val="0"/>
      <w:color w:val="000000"/>
      <w:sz w:val="21"/>
    </w:rPr>
  </w:style>
  <w:style w:styleId="Title" w:type="paragraph">
    <w:name w:val="Title"/>
    <w:basedOn w:val="Normal"/>
    <w:next w:val="BodyText"/>
    <w:link w:val="TitleChar"/>
    <w:uiPriority w:val="10"/>
    <w:qFormat/>
    <w:rsid w:val="00A10FD9"/>
    <w:pPr>
      <w:keepNext/>
      <w:spacing w:after="80" w:line="276" w:lineRule="auto" w:before="200"/>
      <w:contextualSpacing/>
      <w:jc w:val="center"/>
    </w:pPr>
    <w:rPr>
      <w:rFonts w:ascii="Noto Serif" w:hAnsi="Noto Serif" w:cs="Noto Serif" w:eastAsia="Noto Serif"/>
      <w:b/>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spacing w:line="276" w:lineRule="auto" w:before="200" w:after="80"/>
    </w:pPr>
    <w:rPr>
      <w:rFonts w:ascii="Noto Serif" w:hAnsi="Noto Serif" w:cs="Noto Serif" w:eastAsia="Noto Serif"/>
      <w:b w:val="0"/>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line="276" w:lineRule="auto"/>
    </w:pPr>
    <w:rPr>
      <w:rFonts w:ascii="Noto Serif" w:hAnsi="Noto Serif" w:cs="Noto Serif" w:eastAsia="Noto Serif"/>
      <w:b w:val="0"/>
      <w:color w:val="000000"/>
      <w:sz w:val="24"/>
      <w:szCs w:val="24"/>
    </w:rPr>
  </w:style>
  <w:style w:styleId="Date" w:type="paragraph">
    <w:name w:val="Date"/>
    <w:basedOn w:val="Title"/>
    <w:next w:val="BodyText"/>
    <w:qFormat/>
    <w:pPr>
      <w:keepNext/>
      <w:keepLines/>
      <w:spacing w:line="276" w:lineRule="auto"/>
    </w:pPr>
    <w:rPr>
      <w:rFonts w:ascii="Noto Serif" w:hAnsi="Noto Serif" w:cs="Noto Serif" w:eastAsia="Noto Serif"/>
      <w:b w:val="0"/>
      <w:color w:val="000000"/>
      <w:sz w:val="24"/>
      <w:szCs w:val="24"/>
    </w:rPr>
  </w:style>
  <w:style w:customStyle="1" w:styleId="AbstractTitle" w:type="paragraph">
    <w:name w:val="Abstract Title"/>
    <w:basedOn w:val="Normal"/>
    <w:next w:val="Abstract"/>
    <w:qFormat/>
    <w:pPr>
      <w:keepNext/>
      <w:keepLines/>
      <w:spacing w:after="0" w:before="300" w:line="276" w:lineRule="auto"/>
      <w:jc w:val="center"/>
    </w:pPr>
    <w:rPr>
      <w:rFonts w:ascii="Noto Serif" w:hAnsi="Noto Serif" w:cs="Noto Serif" w:eastAsia="Noto Serif"/>
      <w:b w:val="0"/>
      <w:color w:val="000000"/>
      <w:sz w:val="21"/>
      <w:szCs w:val="20"/>
    </w:rPr>
  </w:style>
  <w:style w:customStyle="1" w:styleId="Abstract" w:type="paragraph">
    <w:name w:val="Abstract"/>
    <w:basedOn w:val="Normal"/>
    <w:next w:val="BodyText"/>
    <w:qFormat/>
    <w:pPr>
      <w:keepNext/>
      <w:keepLines/>
      <w:spacing w:after="300" w:before="100" w:line="276" w:lineRule="auto"/>
    </w:pPr>
    <w:rPr>
      <w:rFonts w:ascii="Noto Serif" w:hAnsi="Noto Serif" w:cs="Noto Serif" w:eastAsia="Noto Serif"/>
      <w:b w:val="0"/>
      <w:color w:val="000000"/>
      <w:sz w:val="21"/>
      <w:szCs w:val="20"/>
    </w:rPr>
  </w:style>
  <w:style w:styleId="Bibliography" w:type="paragraph">
    <w:name w:val="Bibliography"/>
    <w:basedOn w:val="Normal"/>
    <w:next w:val="Bibliography"/>
    <w:qFormat/>
    <w:pPr>
      <w:spacing w:line="276" w:lineRule="auto"/>
    </w:pPr>
    <w:rPr>
      <w:rFonts w:ascii="Noto Serif" w:hAnsi="Noto Serif" w:cs="Noto Serif" w:eastAsia="Noto Serif"/>
      <w:b w:val="0"/>
      <w:color w:val="000000"/>
      <w:sz w:val="21"/>
    </w:rPr>
  </w:style>
  <w:style w:styleId="Heading1" w:type="paragraph">
    <w:name w:val="heading 1"/>
    <w:basedOn w:val="Normal"/>
    <w:next w:val="BodyText"/>
    <w:link w:val="Heading1Char"/>
    <w:uiPriority w:val="9"/>
    <w:qFormat/>
    <w:rsid w:val="00A10FD9"/>
    <w:pPr>
      <w:keepNext/>
      <w:keepLines/>
      <w:spacing w:after="80" w:before="200" w:line="276" w:lineRule="auto"/>
      <w:outlineLvl w:val="0"/>
    </w:pPr>
    <w:rPr>
      <w:rFonts w:ascii="Liberation Sans" w:hAnsi="Liberation Sans" w:cs="Liberation Sans" w:eastAsia="Liberation Sans"/>
      <w:b/>
      <w:color w:val="1F3A5F"/>
      <w:sz w:val="30"/>
      <w:szCs w:val="40"/>
    </w:rPr>
  </w:style>
  <w:style w:styleId="Heading2" w:type="paragraph">
    <w:name w:val="heading 2"/>
    <w:basedOn w:val="Normal"/>
    <w:next w:val="BodyText"/>
    <w:link w:val="Heading2Char"/>
    <w:uiPriority w:val="9"/>
    <w:semiHidden/>
    <w:unhideWhenUsed/>
    <w:qFormat/>
    <w:rsid w:val="00A10FD9"/>
    <w:pPr>
      <w:keepNext/>
      <w:keepLines/>
      <w:spacing w:after="80" w:before="200" w:line="276" w:lineRule="auto"/>
      <w:outlineLvl w:val="1"/>
    </w:pPr>
    <w:rPr>
      <w:rFonts w:ascii="Liberation Sans" w:hAnsi="Liberation Sans" w:cs="Liberation Sans" w:eastAsia="Liberation Sans"/>
      <w:b/>
      <w:color w:val="1F3A5F"/>
      <w:sz w:val="22"/>
      <w:szCs w:val="32"/>
    </w:rPr>
  </w:style>
  <w:style w:styleId="Heading3" w:type="paragraph">
    <w:name w:val="heading 3"/>
    <w:basedOn w:val="Normal"/>
    <w:next w:val="BodyText"/>
    <w:link w:val="Heading3Char"/>
    <w:uiPriority w:val="9"/>
    <w:semiHidden/>
    <w:unhideWhenUsed/>
    <w:qFormat/>
    <w:rsid w:val="00A10FD9"/>
    <w:pPr>
      <w:keepNext/>
      <w:keepLines/>
      <w:spacing w:after="80" w:before="200" w:line="276" w:lineRule="auto"/>
      <w:outlineLvl w:val="2"/>
    </w:pPr>
    <w:rPr>
      <w:rFonts w:ascii="Liberation Sans" w:hAnsi="Liberation Sans" w:cs="Liberation Sans" w:eastAsia="Liberation Sans"/>
      <w:b/>
      <w:color w:val="1F3A5F"/>
      <w:sz w:val="22"/>
      <w:szCs w:val="28"/>
    </w:rPr>
  </w:style>
  <w:style w:styleId="Heading4" w:type="paragraph">
    <w:name w:val="heading 4"/>
    <w:basedOn w:val="Normal"/>
    <w:next w:val="BodyText"/>
    <w:link w:val="Heading4Char"/>
    <w:uiPriority w:val="9"/>
    <w:semiHidden/>
    <w:unhideWhenUsed/>
    <w:qFormat/>
    <w:rsid w:val="00A10FD9"/>
    <w:pPr>
      <w:keepNext/>
      <w:keepLines/>
      <w:spacing w:after="80" w:before="200" w:line="276" w:lineRule="auto"/>
      <w:outlineLvl w:val="3"/>
    </w:pPr>
    <w:rPr>
      <w:rFonts w:ascii="Liberation Sans" w:hAnsi="Liberation Sans" w:cs="Liberation Sans" w:eastAsia="Liberation Sans"/>
      <w:b/>
      <w:i/>
      <w:iCs/>
      <w:color w:val="1F3A5F"/>
      <w:sz w:val="22"/>
    </w:rPr>
  </w:style>
  <w:style w:styleId="Heading5" w:type="paragraph">
    <w:name w:val="heading 5"/>
    <w:basedOn w:val="Normal"/>
    <w:next w:val="BodyText"/>
    <w:link w:val="Heading5Char"/>
    <w:uiPriority w:val="9"/>
    <w:semiHidden/>
    <w:unhideWhenUsed/>
    <w:qFormat/>
    <w:rsid w:val="00A10FD9"/>
    <w:pPr>
      <w:keepNext/>
      <w:keepLines/>
      <w:spacing w:after="80" w:before="200" w:line="276" w:lineRule="auto"/>
      <w:outlineLvl w:val="4"/>
    </w:pPr>
    <w:rPr>
      <w:rFonts w:ascii="Liberation Sans" w:hAnsi="Liberation Sans" w:cs="Liberation Sans" w:eastAsia="Liberation Sans"/>
      <w:b/>
      <w:color w:val="1F3A5F"/>
      <w:sz w:val="22"/>
    </w:rPr>
  </w:style>
  <w:style w:styleId="Heading6" w:type="paragraph">
    <w:name w:val="heading 6"/>
    <w:basedOn w:val="Normal"/>
    <w:next w:val="BodyText"/>
    <w:link w:val="Heading6Char"/>
    <w:uiPriority w:val="9"/>
    <w:semiHidden/>
    <w:unhideWhenUsed/>
    <w:qFormat/>
    <w:rsid w:val="00A10FD9"/>
    <w:pPr>
      <w:keepNext/>
      <w:keepLines/>
      <w:spacing w:after="80" w:before="200" w:line="276" w:lineRule="auto"/>
      <w:outlineLvl w:val="5"/>
    </w:pPr>
    <w:rPr>
      <w:rFonts w:ascii="Liberation Sans" w:hAnsi="Liberation Sans" w:cs="Liberation Sans" w:eastAsia="Liberation Sans"/>
      <w:b/>
      <w:i/>
      <w:iCs/>
      <w:color w:val="1F3A5F"/>
      <w:sz w:val="22"/>
    </w:rPr>
  </w:style>
  <w:style w:styleId="Heading7" w:type="paragraph">
    <w:name w:val="heading 7"/>
    <w:basedOn w:val="Normal"/>
    <w:next w:val="BodyText"/>
    <w:link w:val="Heading7Char"/>
    <w:uiPriority w:val="9"/>
    <w:semiHidden/>
    <w:unhideWhenUsed/>
    <w:qFormat/>
    <w:rsid w:val="00A10FD9"/>
    <w:pPr>
      <w:keepNext/>
      <w:keepLines/>
      <w:spacing w:after="80" w:before="200" w:line="276" w:lineRule="auto"/>
      <w:outlineLvl w:val="6"/>
    </w:pPr>
    <w:rPr>
      <w:rFonts w:ascii="Liberation Sans" w:hAnsi="Liberation Sans" w:cs="Liberation Sans" w:eastAsia="Liberation Sans"/>
      <w:b/>
      <w:color w:val="1F3A5F"/>
      <w:sz w:val="22"/>
    </w:rPr>
  </w:style>
  <w:style w:styleId="Heading8" w:type="paragraph">
    <w:name w:val="heading 8"/>
    <w:basedOn w:val="Normal"/>
    <w:next w:val="BodyText"/>
    <w:link w:val="Heading8Char"/>
    <w:uiPriority w:val="9"/>
    <w:semiHidden/>
    <w:unhideWhenUsed/>
    <w:qFormat/>
    <w:rsid w:val="00A10FD9"/>
    <w:pPr>
      <w:keepNext/>
      <w:keepLines/>
      <w:spacing w:after="80" w:line="276" w:lineRule="auto" w:before="200"/>
      <w:outlineLvl w:val="7"/>
    </w:pPr>
    <w:rPr>
      <w:rFonts w:ascii="Liberation Sans" w:hAnsi="Liberation Sans" w:cs="Liberation Sans" w:eastAsia="Liberation Sans"/>
      <w:b/>
      <w:i/>
      <w:iCs/>
      <w:color w:val="1F3A5F"/>
      <w:sz w:val="22"/>
    </w:rPr>
  </w:style>
  <w:style w:styleId="Heading9" w:type="paragraph">
    <w:name w:val="heading 9"/>
    <w:basedOn w:val="Normal"/>
    <w:next w:val="BodyText"/>
    <w:link w:val="Heading9Char"/>
    <w:uiPriority w:val="9"/>
    <w:semiHidden/>
    <w:unhideWhenUsed/>
    <w:qFormat/>
    <w:rsid w:val="00A10FD9"/>
    <w:pPr>
      <w:keepNext/>
      <w:keepLines/>
      <w:spacing w:after="80" w:line="276" w:lineRule="auto" w:before="200"/>
      <w:outlineLvl w:val="8"/>
    </w:pPr>
    <w:rPr>
      <w:rFonts w:ascii="Liberation Sans" w:hAnsi="Liberation Sans" w:cs="Liberation Sans" w:eastAsia="Liberation Sans"/>
      <w:b/>
      <w:color w:val="1F3A5F"/>
      <w:sz w:val="22"/>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line="276" w:lineRule="auto"/>
      <w:ind w:firstLine="0" w:left="480" w:right="480"/>
    </w:pPr>
    <w:rPr>
      <w:rFonts w:ascii="Noto Serif" w:hAnsi="Noto Serif" w:cs="Noto Serif" w:eastAsia="Noto Serif"/>
      <w:b w:val="0"/>
      <w:color w:val="000000"/>
      <w:sz w:val="21"/>
    </w:rPr>
  </w:style>
  <w:style w:styleId="FootnoteText" w:type="paragraph">
    <w:name w:val="Footnote Text"/>
    <w:basedOn w:val="Normal"/>
    <w:next w:val="FootnoteText"/>
    <w:uiPriority w:val="9"/>
    <w:unhideWhenUsed/>
    <w:qFormat/>
    <w:pPr>
      <w:spacing w:line="276" w:lineRule="auto"/>
    </w:pPr>
    <w:rPr>
      <w:rFonts w:ascii="Noto Serif" w:hAnsi="Noto Serif" w:cs="Noto Serif" w:eastAsia="Noto Serif"/>
      <w:b w:val="0"/>
      <w:color w:val="000000"/>
      <w:sz w:val="21"/>
    </w:rPr>
  </w:style>
  <w:style w:styleId="FootnoteBlockText" w:type="paragraph">
    <w:name w:val="Footnote Block Text"/>
    <w:basedOn w:val="FootnoteText"/>
    <w:next w:val="FootnoteText"/>
    <w:uiPriority w:val="9"/>
    <w:unhideWhenUsed/>
    <w:qFormat/>
    <w:pPr>
      <w:spacing w:after="100" w:before="100" w:line="276" w:lineRule="auto"/>
      <w:ind w:firstLine="0" w:left="480" w:right="480"/>
    </w:pPr>
    <w:rPr>
      <w:rFonts w:ascii="Noto Serif" w:hAnsi="Noto Serif" w:cs="Noto Serif" w:eastAsia="Noto Serif"/>
      <w:b w:val="0"/>
      <w:color w:val="000000"/>
      <w:sz w:val="21"/>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line="276" w:lineRule="auto"/>
    </w:pPr>
    <w:rPr>
      <w:rFonts w:ascii="Noto Serif" w:hAnsi="Noto Serif" w:cs="Noto Serif" w:eastAsia="Noto Serif"/>
      <w:b w:val="0"/>
      <w:color w:val="000000"/>
      <w:sz w:val="21"/>
    </w:rPr>
  </w:style>
  <w:style w:customStyle="1" w:styleId="Definition" w:type="paragraph">
    <w:name w:val="Definition"/>
    <w:basedOn w:val="Normal"/>
    <w:pPr>
      <w:spacing w:line="276" w:lineRule="auto"/>
    </w:pPr>
    <w:rPr>
      <w:rFonts w:ascii="Noto Serif" w:hAnsi="Noto Serif" w:cs="Noto Serif" w:eastAsia="Noto Serif"/>
      <w:b w:val="0"/>
      <w:color w:val="000000"/>
      <w:sz w:val="21"/>
    </w:rPr>
  </w:style>
  <w:style w:styleId="Caption" w:type="paragraph">
    <w:name w:val="Caption"/>
    <w:basedOn w:val="Normal"/>
    <w:link w:val="BodyTextChar"/>
    <w:pPr>
      <w:spacing w:after="120" w:before="0" w:line="276" w:lineRule="auto"/>
    </w:pPr>
    <w:rPr>
      <w:rFonts w:ascii="Noto Serif" w:hAnsi="Noto Serif" w:cs="Noto Serif" w:eastAsia="Noto Serif"/>
      <w:b w:val="0"/>
      <w:i/>
      <w:color w:val="000000"/>
      <w:sz w:val="21"/>
    </w:rPr>
  </w:style>
  <w:style w:customStyle="1" w:styleId="TableCaption" w:type="paragraph">
    <w:name w:val="Table Caption"/>
    <w:basedOn w:val="Caption"/>
    <w:pPr>
      <w:keepNext/>
      <w:spacing w:line="276" w:lineRule="auto"/>
    </w:pPr>
    <w:rPr>
      <w:rFonts w:ascii="Noto Serif" w:hAnsi="Noto Serif" w:cs="Noto Serif" w:eastAsia="Noto Serif"/>
      <w:b w:val="0"/>
      <w:color w:val="000000"/>
      <w:sz w:val="21"/>
    </w:rPr>
  </w:style>
  <w:style w:customStyle="1" w:styleId="ImageCaption" w:type="paragraph">
    <w:name w:val="Image Caption"/>
    <w:basedOn w:val="Caption"/>
    <w:pPr>
      <w:spacing w:line="276" w:lineRule="auto"/>
    </w:pPr>
    <w:rPr>
      <w:rFonts w:ascii="Noto Serif" w:hAnsi="Noto Serif" w:cs="Noto Serif" w:eastAsia="Noto Serif"/>
      <w:b w:val="0"/>
      <w:color w:val="000000"/>
      <w:sz w:val="21"/>
    </w:rPr>
  </w:style>
  <w:style w:customStyle="1" w:styleId="Figure" w:type="paragraph">
    <w:name w:val="Figure"/>
    <w:basedOn w:val="Normal"/>
    <w:pPr>
      <w:spacing w:line="276" w:lineRule="auto"/>
    </w:pPr>
    <w:rPr>
      <w:rFonts w:ascii="Noto Serif" w:hAnsi="Noto Serif" w:cs="Noto Serif" w:eastAsia="Noto Serif"/>
      <w:b w:val="0"/>
      <w:color w:val="000000"/>
      <w:sz w:val="21"/>
    </w:rPr>
  </w:style>
  <w:style w:customStyle="1" w:styleId="CaptionedFigure" w:type="paragraph">
    <w:name w:val="Captioned Figure"/>
    <w:basedOn w:val="Figure"/>
    <w:pPr>
      <w:keepNext/>
      <w:spacing w:line="276" w:lineRule="auto"/>
    </w:pPr>
    <w:rPr>
      <w:rFonts w:ascii="Noto Serif" w:hAnsi="Noto Serif" w:cs="Noto Serif" w:eastAsia="Noto Serif"/>
      <w:b w:val="0"/>
      <w:color w:val="00000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76" w:lineRule="auto"/>
      <w:outlineLvl w:val="9"/>
    </w:pPr>
    <w:rPr>
      <w:rFonts w:ascii="Noto Serif" w:hAnsi="Noto Serif" w:cs="Noto Serif" w:eastAsia="Noto Serif"/>
      <w:b w:val="0"/>
      <w:bCs w:val="0"/>
      <w:color w:val="000000"/>
      <w:sz w:val="21"/>
    </w:rPr>
  </w:style>
  <w:style w:type="paragraph" w:customStyle="1" w:styleId="SourceCode">
    <w:name w:val="Source Code"/>
    <w:basedOn w:val="Normal"/>
    <w:link w:val="VerbatimChar"/>
    <w:pPr>
      <w:wordWrap w:val="off"/>
      <w:spacing w:line="276" w:lineRule="auto"/>
    </w:pPr>
    <w:rPr>
      <w:rFonts w:ascii="Noto Serif" w:hAnsi="Noto Serif" w:cs="Noto Serif" w:eastAsia="Noto Serif"/>
      <w:b w:val="0"/>
      <w:color w:val="000000"/>
      <w:sz w:val="21"/>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38" Type="http://schemas.openxmlformats.org/officeDocument/2006/relationships/hyperlink" Target="https://creativecommons.org/licenses/by/4.0/deed.pt-br" TargetMode="External"/><Relationship Id="rId939" Type="http://schemas.openxmlformats.org/officeDocument/2006/relationships/hyperlink" Target="https://creativecommons.org/licenses/by/4.0/legalcode.en"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1.xml"/></Relationships>
</file>

<file path=word/_rels/footnotes.xml.rels><?xml version='1.0' encoding='UTF-8' standalone='yes'?>
<Relationships xmlns="http://schemas.openxmlformats.org/package/2006/relationships"><Relationship Id="rId938" Type="http://schemas.openxmlformats.org/officeDocument/2006/relationships/hyperlink" Target="https://creativecommons.org/licenses/by/4.0/deed.pt-br" TargetMode="External"/><Relationship Id="rId939" Type="http://schemas.openxmlformats.org/officeDocument/2006/relationships/hyperlink" Target="https://creativecommons.org/licenses/by/4.0/legalcode.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Código de Processo Civil anotado: Parte Especial, arts. 318 a 1.072</dc:title>
  <dc:creator>Domingos José de Souza Lima Júnior</dc:creator>
  <dc:language>pt-BR</dc:language>
  <cp:keywords/>
  <dcterms:created xsi:type="dcterms:W3CDTF">2026-10-25T23:54:06Z</dcterms:created>
  <dcterms:modified xsi:type="dcterms:W3CDTF">2026-10-25T23:54:06Z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Realizado em 25 de outubro de 2026</vt:lpwstr>
  </property>
  <property fmtid="{D5CDD505-2E9C-101B-9397-08002B2CF9AE}" pid="3" name="subtitle">
    <vt:lpwstr>Estudo jurisprudencial do Supremo Tribunal Federal e do Superior Tribunal de Justiça</vt:lpwstr>
  </property>
  <property fmtid="{D5CDD505-2E9C-101B-9397-08002B2CF9AE}" pid="4" name="toc-title">
    <vt:lpwstr>Sumário</vt:lpwstr>
  </property>
</Properties>
</file>