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keepNext w:val="0"/>
        <w:spacing w:before="0" w:after="0" w:line="276" w:lineRule="auto"/>
        <w:jc w:val="left"/>
        <w:pBdr>
          <w:top w:val="single" w:sz="24" w:space="10" w:color="1F3A5F"/>
        </w:pBdr>
      </w:pPr>
    </w:p>
    <w:p>
      <w:pPr>
        <w:keepNext w:val="0"/>
        <w:spacing w:before="3000" w:after="0" w:line="288" w:lineRule="auto"/>
        <w:jc w:val="left"/>
      </w:pPr>
      <w:r>
        <w:rPr>
          <w:rFonts w:ascii="Times New Roman" w:hAnsi="Times New Roman" w:cs="Times New Roman" w:eastAsia="Times New Roman"/>
          <w:b/>
          <w:color w:val="1F3A5F"/>
          <w:sz w:val="48"/>
        </w:rPr>
        <w:t>Código de Processo Civil anotado: Parte Especial, arts. 318 a 1.072</w:t>
      </w:r>
    </w:p>
    <w:p>
      <w:pPr>
        <w:keepNext w:val="0"/>
        <w:spacing w:before="120" w:after="200" w:line="276" w:lineRule="auto"/>
        <w:jc w:val="left"/>
        <w:pBdr>
          <w:top w:val="single" w:sz="8" w:space="10" w:color="2E75B6"/>
        </w:pBdr>
      </w:pPr>
    </w:p>
    <w:p>
      <w:pPr>
        <w:keepNext w:val="0"/>
        <w:spacing w:before="80" w:after="0" w:line="276" w:lineRule="auto"/>
        <w:jc w:val="left"/>
      </w:pPr>
      <w:r>
        <w:rPr>
          <w:rFonts w:ascii="Times New Roman" w:hAnsi="Times New Roman" w:cs="Times New Roman" w:eastAsia="Times New Roman"/>
          <w:b w:val="0"/>
          <w:color w:val="595959"/>
          <w:sz w:val="32"/>
        </w:rPr>
        <w:t>Estudo jurisprudencial do Supremo Tribunal Federal e do Superior Tribunal de Justiça</w:t>
      </w:r>
    </w:p>
    <w:p>
      <w:pPr>
        <w:keepNext w:val="0"/>
        <w:spacing w:before="2400" w:after="0" w:line="276" w:lineRule="auto"/>
        <w:jc w:val="left"/>
      </w:pPr>
    </w:p>
    <w:p>
      <w:pPr>
        <w:keepNext w:val="0"/>
        <w:spacing w:before="0" w:after="0" w:line="276" w:lineRule="auto"/>
        <w:jc w:val="left"/>
        <w:pBdr>
          <w:top w:val="single" w:sz="6" w:space="10" w:color="7F7F7F"/>
        </w:pBdr>
      </w:pPr>
      <w:r>
        <w:rPr>
          <w:rFonts w:ascii="Times New Roman" w:hAnsi="Times New Roman" w:cs="Times New Roman" w:eastAsia="Times New Roman"/>
          <w:b/>
          <w:color w:val="000000"/>
          <w:sz w:val="36"/>
        </w:rPr>
        <w:t>Domingos José de Souza Lima Júnior</w:t>
      </w:r>
    </w:p>
    <w:p>
      <w:pPr>
        <w:keepNext w:val="0"/>
        <w:spacing w:before="40" w:after="0" w:line="276" w:lineRule="auto"/>
        <w:jc w:val="left"/>
      </w:pPr>
      <w:r>
        <w:rPr>
          <w:rFonts w:ascii="Times New Roman" w:hAnsi="Times New Roman" w:cs="Times New Roman" w:eastAsia="Times New Roman"/>
          <w:b w:val="0"/>
          <w:color w:val="595959"/>
          <w:sz w:val="32"/>
        </w:rPr>
        <w:t>Realizado em 25 de outubro de 2026</w:t>
      </w:r>
    </w:p>
    <w:p>
      <w:pPr>
        <w:keepNext w:val="0"/>
        <w:spacing w:before="400" w:after="0" w:line="276" w:lineRule="auto"/>
        <w:jc w:val="left"/>
        <w:pBdr>
          <w:top w:val="single" w:sz="6" w:space="10" w:color="2E75B6"/>
        </w:pBdr>
      </w:pPr>
      <w:r>
        <w:rPr>
          <w:rFonts w:ascii="Times New Roman" w:hAnsi="Times New Roman" w:cs="Times New Roman" w:eastAsia="Times New Roman"/>
          <w:b w:val="0"/>
          <w:color w:val="1F3A5F"/>
          <w:sz w:val="22"/>
        </w:rPr>
        <w:t>Licença Creative Commons Atribuição 4.0 Internacional (CC BY 4.0)</w:t>
      </w:r>
    </w:p>
    <w:p>
      <w:pPr>
        <w:keepNext w:val="0"/>
        <w:spacing w:before="40" w:after="0" w:line="276" w:lineRule="auto"/>
        <w:jc w:val="left"/>
      </w:pPr>
      <w:r>
        <w:rPr>
          <w:rFonts w:ascii="Times New Roman" w:hAnsi="Times New Roman" w:cs="Times New Roman" w:eastAsia="Times New Roman"/>
          <w:b w:val="0"/>
          <w:color w:val="595959"/>
          <w:sz w:val="20"/>
        </w:rPr>
        <w:t>creativecommons.org/licenses/by/4.0/deed.pt-br</w:t>
      </w:r>
    </w:p>
    <w:p>
      <w:pPr>
        <w:keepNext w:val="0"/>
        <w:spacing w:before="0" w:after="0" w:line="276" w:lineRule="auto"/>
        <w:jc w:val="left"/>
      </w:pPr>
      <w:r>
        <w:br w:type="page"/>
      </w:r>
    </w:p>
    <w:sdt>
      <w:sdtPr>
        <w:docPartObj>
          <w:docPartGallery w:val="Table of Contents"/>
          <w:docPartUnique/>
        </w:docPartObj>
      </w:sdtPr>
      <w:sdtContent>
        <w:p>
          <w:pPr>
            <w:pStyle w:val="TOCHeading"/>
          </w:pPr>
          <w:r>
            <w:t xml:space="preserve">Sumário</w:t>
          </w:r>
        </w:p>
        <w:p>
          <w:r>
            <w:fldChar w:fldCharType="begin" w:dirty="true"/>
            <w:instrText xml:space="preserve">TOC \o "1-5" \h \z \u</w:instrText>
            <w:fldChar w:fldCharType="separate"/>
            <w:fldChar w:fldCharType="end"/>
          </w:r>
        </w:p>
      </w:sdtContent>
    </w:sdt>
    <w:bookmarkStart w:id="9" w:name="lista-de-abreviaturas-e-siglas"/>
    <w:p>
      <w:pPr>
        <w:pStyle w:val="Heading1"/>
        <w:keepNext/>
        <w:pageBreakBefore/>
        <w:pBdr>
          <w:left w:val="single" w:sz="48" w:space="8" w:color="1F3A5F"/>
        </w:pBdr>
        <w:shd w:val="clear" w:color="auto" w:fill="DCE6F2"/>
        <w:spacing w:before="120" w:after="60"/>
        <w:ind w:left="142"/>
      </w:pPr>
      <w:r>
        <w:t xml:space="preserve">Lista de abreviaturas e siglas</w:t>
      </w:r>
    </w:p>
    <w:tbl>
      <w:tblPr>
        <w:tblStyle w:val="Table"/>
        <w:tblLook w:firstRow="1" w:lastRow="0" w:firstColumn="0" w:lastColumn="0" w:noHBand="0" w:noVBand="0" w:val="0020"/>
        <w:tblW w:w="10206" w:type="dxa"/>
        <w:tblLayout w:type="fixed"/>
      </w:tblPr>
      <w:tblGrid>
        <w:gridCol w:w="1474"/>
        <w:gridCol w:w="8731"/>
      </w:tblGrid>
      <w:tr>
        <w:trPr>
          <w:cantSplit/>
        </w:trPr>
        <w:tc>
          <w:tcPr>
            <w:tcW w:type="dxa" w:w="1474"/>
            <w:tcBorders>
              <w:right w:val="single" w:sz="12" w:space="0" w:color="1F3A5F"/>
            </w:tcBorders>
          </w:tcPr>
          <w:p>
            <w:pPr>
              <w:pStyle w:val="Compact"/>
              <w:keepNext/>
              <w:spacing w:before="40" w:after="40" w:line="264" w:lineRule="auto"/>
              <w:jc w:val="right"/>
            </w:pPr>
            <w:r>
              <w:rPr>
                <w:rFonts w:ascii="Liberation Sans" w:hAnsi="Liberation Sans"/>
                <w:b/>
                <w:bCs/>
                <w:sz w:val="20"/>
              </w:rPr>
              <w:t xml:space="preserve">ADI</w:t>
            </w:r>
          </w:p>
        </w:tc>
        <w:tc>
          <w:tcPr>
            <w:tcW w:type="dxa" w:w="8731"/>
          </w:tcPr>
          <w:p>
            <w:pPr>
              <w:pStyle w:val="Compact"/>
              <w:keepNext/>
              <w:spacing w:before="40" w:after="40" w:line="264" w:lineRule="auto"/>
              <w:jc w:val="left"/>
            </w:pPr>
            <w:r>
              <w:rPr>
                <w:rFonts w:ascii="Liberation Serif" w:hAnsi="Liberation Serif"/>
                <w:b w:val="0"/>
                <w:sz w:val="20"/>
              </w:rPr>
              <w:t xml:space="preserve">Ação direta de inconstitucionalidade</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0"/>
              </w:rPr>
              <w:t xml:space="preserve">ADPF</w:t>
            </w:r>
          </w:p>
        </w:tc>
        <w:tc>
          <w:tcPr>
            <w:tcW w:type="dxa" w:w="8731"/>
          </w:tcPr>
          <w:p>
            <w:pPr>
              <w:pStyle w:val="Compact"/>
              <w:spacing w:before="40" w:after="40" w:line="264" w:lineRule="auto"/>
              <w:jc w:val="left"/>
            </w:pPr>
            <w:r>
              <w:rPr>
                <w:rFonts w:ascii="Liberation Serif" w:hAnsi="Liberation Serif"/>
                <w:b w:val="0"/>
                <w:sz w:val="20"/>
              </w:rPr>
              <w:t xml:space="preserve">Arguição de descumprimento de preceito fundamental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0"/>
              </w:rPr>
              <w:t xml:space="preserve">AgInt</w:t>
            </w:r>
          </w:p>
        </w:tc>
        <w:tc>
          <w:tcPr>
            <w:tcW w:type="dxa" w:w="8731"/>
          </w:tcPr>
          <w:p>
            <w:pPr>
              <w:pStyle w:val="Compact"/>
              <w:spacing w:before="40" w:after="40" w:line="264" w:lineRule="auto"/>
              <w:jc w:val="left"/>
            </w:pPr>
            <w:r>
              <w:rPr>
                <w:rFonts w:ascii="Liberation Serif" w:hAnsi="Liberation Serif"/>
                <w:b w:val="0"/>
                <w:sz w:val="20"/>
              </w:rPr>
              <w:t xml:space="preserve">Agravo interno</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0"/>
              </w:rPr>
              <w:t xml:space="preserve">AgRg</w:t>
            </w:r>
          </w:p>
        </w:tc>
        <w:tc>
          <w:tcPr>
            <w:tcW w:type="dxa" w:w="8731"/>
          </w:tcPr>
          <w:p>
            <w:pPr>
              <w:pStyle w:val="Compact"/>
              <w:spacing w:before="40" w:after="40" w:line="264" w:lineRule="auto"/>
              <w:jc w:val="left"/>
            </w:pPr>
            <w:r>
              <w:rPr>
                <w:rFonts w:ascii="Liberation Serif" w:hAnsi="Liberation Serif"/>
                <w:b w:val="0"/>
                <w:sz w:val="20"/>
              </w:rPr>
              <w:t xml:space="preserve">Agravo regimental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0"/>
              </w:rPr>
              <w:t xml:space="preserve">AO</w:t>
            </w:r>
          </w:p>
        </w:tc>
        <w:tc>
          <w:tcPr>
            <w:tcW w:type="dxa" w:w="8731"/>
          </w:tcPr>
          <w:p>
            <w:pPr>
              <w:pStyle w:val="Compact"/>
              <w:spacing w:before="40" w:after="40" w:line="264" w:lineRule="auto"/>
              <w:jc w:val="left"/>
            </w:pPr>
            <w:r>
              <w:rPr>
                <w:rFonts w:ascii="Liberation Serif" w:hAnsi="Liberation Serif"/>
                <w:b w:val="0"/>
                <w:sz w:val="20"/>
              </w:rPr>
              <w:t xml:space="preserve">Ação originária</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0"/>
              </w:rPr>
              <w:t xml:space="preserve">AREsp</w:t>
            </w:r>
          </w:p>
        </w:tc>
        <w:tc>
          <w:tcPr>
            <w:tcW w:type="dxa" w:w="8731"/>
          </w:tcPr>
          <w:p>
            <w:pPr>
              <w:pStyle w:val="Compact"/>
              <w:spacing w:before="40" w:after="40" w:line="264" w:lineRule="auto"/>
              <w:jc w:val="left"/>
            </w:pPr>
            <w:r>
              <w:rPr>
                <w:rFonts w:ascii="Liberation Serif" w:hAnsi="Liberation Serif"/>
                <w:b w:val="0"/>
                <w:sz w:val="20"/>
              </w:rPr>
              <w:t xml:space="preserve">Agravo em recurso especial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0"/>
              </w:rPr>
              <w:t xml:space="preserve">CPC</w:t>
            </w:r>
          </w:p>
        </w:tc>
        <w:tc>
          <w:tcPr>
            <w:tcW w:type="dxa" w:w="8731"/>
          </w:tcPr>
          <w:p>
            <w:pPr>
              <w:pStyle w:val="Compact"/>
              <w:spacing w:before="40" w:after="40" w:line="264" w:lineRule="auto"/>
              <w:jc w:val="left"/>
            </w:pPr>
            <w:r>
              <w:rPr>
                <w:rFonts w:ascii="Liberation Serif" w:hAnsi="Liberation Serif"/>
                <w:b w:val="0"/>
                <w:sz w:val="20"/>
              </w:rPr>
              <w:t xml:space="preserve">Código de Processo Civil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0"/>
              </w:rPr>
              <w:t xml:space="preserve">DJe</w:t>
            </w:r>
          </w:p>
        </w:tc>
        <w:tc>
          <w:tcPr>
            <w:tcW w:type="dxa" w:w="8731"/>
          </w:tcPr>
          <w:p>
            <w:pPr>
              <w:pStyle w:val="Compact"/>
              <w:spacing w:before="40" w:after="40" w:line="264" w:lineRule="auto"/>
              <w:jc w:val="left"/>
            </w:pPr>
            <w:r>
              <w:rPr>
                <w:rFonts w:ascii="Liberation Serif" w:hAnsi="Liberation Serif"/>
                <w:b w:val="0"/>
                <w:sz w:val="20"/>
              </w:rPr>
              <w:t xml:space="preserve">Diário da Justiça eletrônico</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0"/>
              </w:rPr>
              <w:t xml:space="preserve">DJEN</w:t>
            </w:r>
          </w:p>
        </w:tc>
        <w:tc>
          <w:tcPr>
            <w:tcW w:type="dxa" w:w="8731"/>
          </w:tcPr>
          <w:p>
            <w:pPr>
              <w:pStyle w:val="Compact"/>
              <w:spacing w:before="40" w:after="40" w:line="264" w:lineRule="auto"/>
              <w:jc w:val="left"/>
            </w:pPr>
            <w:r>
              <w:rPr>
                <w:rFonts w:ascii="Liberation Serif" w:hAnsi="Liberation Serif"/>
                <w:b w:val="0"/>
                <w:sz w:val="20"/>
              </w:rPr>
              <w:t xml:space="preserve">Diário de Justiça Eletrônico Nacional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0"/>
              </w:rPr>
              <w:t xml:space="preserve">EAREsp</w:t>
            </w:r>
          </w:p>
        </w:tc>
        <w:tc>
          <w:tcPr>
            <w:tcW w:type="dxa" w:w="8731"/>
          </w:tcPr>
          <w:p>
            <w:pPr>
              <w:pStyle w:val="Compact"/>
              <w:spacing w:before="40" w:after="40" w:line="264" w:lineRule="auto"/>
              <w:jc w:val="left"/>
            </w:pPr>
            <w:r>
              <w:rPr>
                <w:rFonts w:ascii="Liberation Serif" w:hAnsi="Liberation Serif"/>
                <w:b w:val="0"/>
                <w:sz w:val="20"/>
              </w:rPr>
              <w:t xml:space="preserve">Embargos de divergência em agravo em recurso especial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0"/>
              </w:rPr>
              <w:t xml:space="preserve">EDcl</w:t>
            </w:r>
          </w:p>
        </w:tc>
        <w:tc>
          <w:tcPr>
            <w:tcW w:type="dxa" w:w="8731"/>
          </w:tcPr>
          <w:p>
            <w:pPr>
              <w:pStyle w:val="Compact"/>
              <w:spacing w:before="40" w:after="40" w:line="264" w:lineRule="auto"/>
              <w:jc w:val="left"/>
            </w:pPr>
            <w:r>
              <w:rPr>
                <w:rFonts w:ascii="Liberation Serif" w:hAnsi="Liberation Serif"/>
                <w:b w:val="0"/>
                <w:sz w:val="20"/>
              </w:rPr>
              <w:t xml:space="preserve">Embargos de declaração</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0"/>
              </w:rPr>
              <w:t xml:space="preserve">EREsp</w:t>
            </w:r>
          </w:p>
        </w:tc>
        <w:tc>
          <w:tcPr>
            <w:tcW w:type="dxa" w:w="8731"/>
          </w:tcPr>
          <w:p>
            <w:pPr>
              <w:pStyle w:val="Compact"/>
              <w:spacing w:before="40" w:after="40" w:line="264" w:lineRule="auto"/>
              <w:jc w:val="left"/>
            </w:pPr>
            <w:r>
              <w:rPr>
                <w:rFonts w:ascii="Liberation Serif" w:hAnsi="Liberation Serif"/>
                <w:b w:val="0"/>
                <w:sz w:val="20"/>
              </w:rPr>
              <w:t xml:space="preserve">Embargos de divergência em recurso especial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0"/>
              </w:rPr>
              <w:t xml:space="preserve">IA</w:t>
            </w:r>
          </w:p>
        </w:tc>
        <w:tc>
          <w:tcPr>
            <w:tcW w:type="dxa" w:w="8731"/>
          </w:tcPr>
          <w:p>
            <w:pPr>
              <w:pStyle w:val="Compact"/>
              <w:spacing w:before="40" w:after="40" w:line="264" w:lineRule="auto"/>
              <w:jc w:val="left"/>
            </w:pPr>
            <w:r>
              <w:rPr>
                <w:rFonts w:ascii="Liberation Serif" w:hAnsi="Liberation Serif"/>
                <w:b w:val="0"/>
                <w:sz w:val="20"/>
              </w:rPr>
              <w:t xml:space="preserve">Inteligência artificial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0"/>
              </w:rPr>
              <w:t xml:space="preserve">IAC</w:t>
            </w:r>
          </w:p>
        </w:tc>
        <w:tc>
          <w:tcPr>
            <w:tcW w:type="dxa" w:w="8731"/>
          </w:tcPr>
          <w:p>
            <w:pPr>
              <w:pStyle w:val="Compact"/>
              <w:spacing w:before="40" w:after="40" w:line="264" w:lineRule="auto"/>
              <w:jc w:val="left"/>
            </w:pPr>
            <w:r>
              <w:rPr>
                <w:rFonts w:ascii="Liberation Serif" w:hAnsi="Liberation Serif"/>
                <w:b w:val="0"/>
                <w:sz w:val="20"/>
              </w:rPr>
              <w:t xml:space="preserve">Incidente de assunção de competência</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0"/>
              </w:rPr>
              <w:t xml:space="preserve">RE</w:t>
            </w:r>
          </w:p>
        </w:tc>
        <w:tc>
          <w:tcPr>
            <w:tcW w:type="dxa" w:w="8731"/>
          </w:tcPr>
          <w:p>
            <w:pPr>
              <w:pStyle w:val="Compact"/>
              <w:spacing w:before="40" w:after="40" w:line="264" w:lineRule="auto"/>
              <w:jc w:val="left"/>
            </w:pPr>
            <w:r>
              <w:rPr>
                <w:rFonts w:ascii="Liberation Serif" w:hAnsi="Liberation Serif"/>
                <w:b w:val="0"/>
                <w:sz w:val="20"/>
              </w:rPr>
              <w:t xml:space="preserve">Recurso extraordinário</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0"/>
              </w:rPr>
              <w:t xml:space="preserve">REsp</w:t>
            </w:r>
          </w:p>
        </w:tc>
        <w:tc>
          <w:tcPr>
            <w:tcW w:type="dxa" w:w="8731"/>
          </w:tcPr>
          <w:p>
            <w:pPr>
              <w:pStyle w:val="Compact"/>
              <w:spacing w:before="40" w:after="40" w:line="264" w:lineRule="auto"/>
              <w:jc w:val="left"/>
            </w:pPr>
            <w:r>
              <w:rPr>
                <w:rFonts w:ascii="Liberation Serif" w:hAnsi="Liberation Serif"/>
                <w:b w:val="0"/>
                <w:sz w:val="20"/>
              </w:rPr>
              <w:t xml:space="preserve">Recurso especial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0"/>
              </w:rPr>
              <w:t xml:space="preserve">RHC</w:t>
            </w:r>
          </w:p>
        </w:tc>
        <w:tc>
          <w:tcPr>
            <w:tcW w:type="dxa" w:w="8731"/>
          </w:tcPr>
          <w:p>
            <w:pPr>
              <w:pStyle w:val="Compact"/>
              <w:spacing w:before="40" w:after="40" w:line="264" w:lineRule="auto"/>
              <w:jc w:val="left"/>
            </w:pPr>
            <w:r>
              <w:rPr>
                <w:rFonts w:ascii="Liberation Serif" w:hAnsi="Liberation Serif"/>
                <w:b w:val="0"/>
                <w:sz w:val="20"/>
              </w:rPr>
              <w:t xml:space="preserve">Recurso em</w:t>
            </w:r>
            <w:r>
              <w:rPr>
                <w:rFonts w:ascii="Liberation Serif" w:hAnsi="Liberation Serif"/>
                <w:b w:val="0"/>
                <w:sz w:val="20"/>
              </w:rPr>
              <w:t xml:space="preserve"> </w:t>
            </w:r>
            <w:r>
              <w:rPr>
                <w:rFonts w:ascii="Liberation Serif" w:hAnsi="Liberation Serif"/>
                <w:b w:val="0"/>
                <w:i/>
                <w:iCs/>
                <w:sz w:val="20"/>
              </w:rPr>
              <w:t xml:space="preserve">habeas corpus</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0"/>
              </w:rPr>
              <w:t xml:space="preserve">STF</w:t>
            </w:r>
          </w:p>
        </w:tc>
        <w:tc>
          <w:tcPr>
            <w:tcW w:type="dxa" w:w="8731"/>
          </w:tcPr>
          <w:p>
            <w:pPr>
              <w:pStyle w:val="Compact"/>
              <w:spacing w:before="40" w:after="40" w:line="264" w:lineRule="auto"/>
              <w:jc w:val="left"/>
            </w:pPr>
            <w:r>
              <w:rPr>
                <w:rFonts w:ascii="Liberation Serif" w:hAnsi="Liberation Serif"/>
                <w:b w:val="0"/>
                <w:sz w:val="20"/>
              </w:rPr>
              <w:t xml:space="preserve">Supremo Tribunal Federal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0"/>
              </w:rPr>
              <w:t xml:space="preserve">STJ</w:t>
            </w:r>
          </w:p>
        </w:tc>
        <w:tc>
          <w:tcPr>
            <w:tcW w:type="dxa" w:w="8731"/>
          </w:tcPr>
          <w:p>
            <w:pPr>
              <w:pStyle w:val="Compact"/>
              <w:spacing w:before="40" w:after="40" w:line="264" w:lineRule="auto"/>
              <w:jc w:val="left"/>
            </w:pPr>
            <w:r>
              <w:rPr>
                <w:rFonts w:ascii="Liberation Serif" w:hAnsi="Liberation Serif"/>
                <w:b w:val="0"/>
                <w:sz w:val="20"/>
              </w:rPr>
              <w:t xml:space="preserve">Superior Tribunal de Justiça</w:t>
            </w:r>
          </w:p>
        </w:tc>
      </w:tr>
    </w:tbl>
    <w:bookmarkEnd w:id="9"/>
    <w:bookmarkStart w:id="10" w:name="observações-iniciais"/>
    <w:p>
      <w:pPr>
        <w:pStyle w:val="Heading1"/>
        <w:keepNext/>
        <w:pageBreakBefore/>
        <w:pBdr>
          <w:left w:val="single" w:sz="48" w:space="8" w:color="1F3A5F"/>
        </w:pBdr>
        <w:shd w:val="clear" w:color="auto" w:fill="DCE6F2"/>
        <w:spacing w:before="120" w:after="60"/>
        <w:ind w:left="142"/>
      </w:pPr>
      <w:r>
        <w:t xml:space="preserve">Observações iniciais</w:t>
      </w: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3EEF9"/>
            <w:tcBorders>
              <w:left w:val="single" w:sz="36" w:space="0" w:color="2E75B6"/>
            </w:tcBorders>
            <w:vAlign w:val="center"/>
          </w:tcPr>
          <w:p>
            <w:pPr>
              <w:spacing w:before="80" w:after="80"/>
              <w:jc w:val="center"/>
            </w:pPr>
            <w:r>
              <w:rPr>
                <w:rFonts w:ascii="DejaVu Sans" w:hAnsi="DejaVu Sans" w:cs="DejaVu Sans" w:eastAsia="DejaVu Sans"/>
                <w:b/>
                <w:color w:val="2E75B6"/>
                <w:sz w:val="52"/>
              </w:rPr>
              <w:t>ⓘ</w:t>
            </w:r>
          </w:p>
        </w:tc>
        <w:tc>
          <w:tcPr>
            <w:tcW w:type="dxa" w:w="8220"/>
            <w:shd w:val="clear" w:color="auto" w:fill="E3EEF9"/>
          </w:tcPr>
          <w:p>
            <w:pPr>
              <w:pStyle w:val="BodyText"/>
              <w:spacing w:before="100" w:after="100" w:line="276" w:lineRule="auto"/>
              <w:ind w:left="113" w:right="113"/>
              <w:jc w:val="both"/>
            </w:pPr>
            <w:r>
              <w:rPr>
                <w:sz w:val="22"/>
              </w:rPr>
              <w:t xml:space="preserve">Os dados de legislação e de jurisprudência desta pesquisa são de curadoria interna e foram extraídos dos textos das fontes oficiais.</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3EEF9"/>
            <w:tcBorders>
              <w:left w:val="single" w:sz="36" w:space="0" w:color="2E75B6"/>
            </w:tcBorders>
            <w:vAlign w:val="center"/>
          </w:tcPr>
          <w:p>
            <w:pPr>
              <w:spacing w:before="80" w:after="80"/>
              <w:jc w:val="center"/>
            </w:pPr>
            <w:r>
              <w:rPr>
                <w:rFonts w:ascii="DejaVu Sans" w:hAnsi="DejaVu Sans" w:cs="DejaVu Sans" w:eastAsia="DejaVu Sans"/>
                <w:b/>
                <w:color w:val="2E75B6"/>
                <w:sz w:val="52"/>
              </w:rPr>
              <w:t>ⓘ</w:t>
            </w:r>
          </w:p>
        </w:tc>
        <w:tc>
          <w:tcPr>
            <w:tcW w:type="dxa" w:w="8220"/>
            <w:shd w:val="clear" w:color="auto" w:fill="E3EEF9"/>
          </w:tcPr>
          <w:p>
            <w:pPr>
              <w:pStyle w:val="BodyText"/>
              <w:spacing w:before="100" w:after="100" w:line="276" w:lineRule="auto"/>
              <w:ind w:left="113" w:right="113"/>
              <w:jc w:val="both"/>
            </w:pPr>
            <w:r>
              <w:rPr>
                <w:sz w:val="22"/>
              </w:rPr>
              <w:t xml:space="preserve">Os acórdãos marcados com</w:t>
            </w:r>
            <w:r>
              <w:rPr>
                <w:sz w:val="22"/>
              </w:rPr>
              <w:t xml:space="preserve"> </w:t>
            </w:r>
            <w:r>
              <w:rPr>
                <w:b/>
                <w:bCs/>
                <w:sz w:val="22"/>
              </w:rPr>
              <w:t xml:space="preserve">[Repositório externo]</w:t>
            </w:r>
            <w:r>
              <w:rPr>
                <w:sz w:val="22"/>
              </w:rPr>
              <w:t xml:space="preserve"> </w:t>
            </w:r>
            <w:r>
              <w:rPr>
                <w:sz w:val="22"/>
              </w:rPr>
              <w:t xml:space="preserve">provêm de repositório de terceiros, sem curadoria do autor. Para esses, recomenda-se cuidado redobrado, além do já indicado para os dados de curadoria interna, na conferência dos dados do acórdão (Tribunal, relator, data e número) e do seu texto, preferencialmente no sítio oficial do tribunal.</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FFF3D9"/>
            <w:tcBorders>
              <w:left w:val="single" w:sz="36" w:space="0" w:color="B26B00"/>
            </w:tcBorders>
            <w:vAlign w:val="center"/>
          </w:tcPr>
          <w:p>
            <w:pPr>
              <w:spacing w:before="80" w:after="80"/>
              <w:jc w:val="center"/>
            </w:pPr>
            <w:r>
              <w:rPr>
                <w:rFonts w:ascii="DejaVu Sans" w:hAnsi="DejaVu Sans" w:cs="DejaVu Sans" w:eastAsia="DejaVu Sans"/>
                <w:b/>
                <w:color w:val="B26B00"/>
                <w:sz w:val="52"/>
              </w:rPr>
              <w:t>⚠</w:t>
            </w:r>
          </w:p>
        </w:tc>
        <w:tc>
          <w:tcPr>
            <w:tcW w:type="dxa" w:w="8220"/>
            <w:shd w:val="clear" w:color="auto" w:fill="FFF3D9"/>
          </w:tcPr>
          <w:p>
            <w:pPr>
              <w:pStyle w:val="BodyText"/>
              <w:spacing w:before="100" w:after="100" w:line="276" w:lineRule="auto"/>
              <w:ind w:left="113" w:right="113"/>
              <w:jc w:val="both"/>
            </w:pPr>
            <w:r>
              <w:rPr>
                <w:b/>
                <w:bCs/>
                <w:sz w:val="22"/>
              </w:rPr>
              <w:t xml:space="preserve">Aviso.</w:t>
            </w:r>
            <w:r>
              <w:rPr>
                <w:sz w:val="22"/>
              </w:rPr>
              <w:t xml:space="preserve"> </w:t>
            </w:r>
            <w:r>
              <w:rPr>
                <w:sz w:val="22"/>
              </w:rPr>
              <w:t xml:space="preserve">Os dados desta pesquisa foram conferidos por meio de inteligência artificial (IA) e de scripts específicos. Contudo, cabe sempre ao leitor a responsabilidade de conferir as fontes na hipótese de uso.</w:t>
            </w:r>
          </w:p>
        </w:tc>
      </w:tr>
    </w:tbl>
    <w:p>
      <w:pPr>
        <w:spacing w:after="40"/>
      </w:pPr>
    </w:p>
    <w:bookmarkEnd w:id="10"/>
    <w:bookmarkStart w:id="11" w:name="identificação-da-pesquisa"/>
    <w:p>
      <w:pPr>
        <w:pStyle w:val="Heading1"/>
        <w:pBdr>
          <w:left w:val="single" w:sz="48" w:space="8" w:color="1F3A5F"/>
        </w:pBdr>
        <w:shd w:val="clear" w:color="auto" w:fill="DCE6F2"/>
        <w:spacing w:before="120" w:after="60"/>
        <w:ind w:left="142"/>
      </w:pPr>
      <w:r>
        <w:t xml:space="preserve">1 Identificação da pesquisa</w:t>
      </w:r>
    </w:p>
    <w:p>
      <w:pPr>
        <w:pStyle w:val="Compact"/>
        <w:numPr>
          <w:ilvl w:val="0"/>
          <w:numId w:val="1001"/>
        </w:numPr>
        <w:spacing w:after="60"/>
        <w:jc w:val="both"/>
      </w:pPr>
      <w:r>
        <w:rPr>
          <w:b/>
          <w:bCs/>
        </w:rPr>
        <w:t xml:space="preserve">Tema:</w:t>
      </w:r>
      <w:r>
        <w:t xml:space="preserve"> </w:t>
      </w:r>
      <w:r>
        <w:t xml:space="preserve">Código de Processo Civil (CPC) anotado com a jurisprudência do Supremo Tribunal Federal (STF) e do Superior Tribunal de Justiça (STJ) de 1º/01/2016 até a data da pesquisa: Parte Especial (do processo de conhecimento e do cumprimento de sentença), arts. 318 a 1.072.</w:t>
      </w:r>
    </w:p>
    <w:p>
      <w:pPr>
        <w:pStyle w:val="Compact"/>
        <w:numPr>
          <w:ilvl w:val="0"/>
          <w:numId w:val="1001"/>
        </w:numPr>
        <w:spacing w:after="60"/>
        <w:jc w:val="both"/>
      </w:pPr>
      <w:r>
        <w:rPr>
          <w:b/>
          <w:bCs/>
        </w:rPr>
        <w:t xml:space="preserve">Pesquisa realizada por:</w:t>
      </w:r>
      <w:r>
        <w:t xml:space="preserve"> </w:t>
      </w:r>
      <w:r>
        <w:t xml:space="preserve">Domingos José de Souza Lima Júnior</w:t>
      </w:r>
    </w:p>
    <w:p>
      <w:pPr>
        <w:pStyle w:val="Compact"/>
        <w:numPr>
          <w:ilvl w:val="0"/>
          <w:numId w:val="1001"/>
        </w:numPr>
        <w:spacing w:after="60"/>
        <w:jc w:val="both"/>
      </w:pPr>
      <w:r>
        <w:rPr>
          <w:b/>
          <w:bCs/>
        </w:rPr>
        <w:t xml:space="preserve">Data da pesquisa:</w:t>
      </w:r>
      <w:r>
        <w:t xml:space="preserve"> </w:t>
      </w:r>
      <w:r>
        <w:t xml:space="preserve">25/10/2026</w:t>
      </w:r>
    </w:p>
    <w:p>
      <w:pPr>
        <w:pStyle w:val="Compact"/>
        <w:numPr>
          <w:ilvl w:val="0"/>
          <w:numId w:val="1001"/>
        </w:numPr>
        <w:spacing w:after="60"/>
        <w:jc w:val="both"/>
      </w:pPr>
      <w:r>
        <w:rPr>
          <w:b/>
          <w:bCs/>
        </w:rPr>
        <w:t xml:space="preserve">Bases consultadas:</w:t>
      </w:r>
      <w:r>
        <w:t xml:space="preserve"> </w:t>
      </w:r>
      <w:r>
        <w:t xml:space="preserve">legislação e jurisprudência do STF e do STJ (curadoria interna); e repositório externo, com os acórdãos assinalados como</w:t>
      </w:r>
      <w:r>
        <w:t xml:space="preserve"> </w:t>
      </w:r>
      <w:r>
        <w:rPr>
          <w:b/>
          <w:bCs/>
        </w:rPr>
        <w:t xml:space="preserve">[Repositório externo]</w:t>
      </w:r>
    </w:p>
    <w:p>
      <w:pPr>
        <w:pStyle w:val="Compact"/>
        <w:numPr>
          <w:ilvl w:val="0"/>
          <w:numId w:val="1001"/>
        </w:numPr>
        <w:spacing w:after="60"/>
        <w:jc w:val="both"/>
      </w:pPr>
      <w:r>
        <w:rPr>
          <w:b/>
          <w:bCs/>
        </w:rPr>
        <w:t xml:space="preserve">Recorte:</w:t>
      </w:r>
      <w:r>
        <w:t xml:space="preserve"> </w:t>
      </w:r>
      <w:r>
        <w:t xml:space="preserve">julgados e entendimentos de 1º/01/2016 a 25/10/2026. Entendimento anterior só aparece quando ainda é o marco vigente do artigo, com a data de origem declarada. Só os artigos com julgado relevante são anotados (344 dos 752); os demais trazem apenas o texto legal.</w:t>
      </w:r>
    </w:p>
    <w:p>
      <w:pPr>
        <w:pStyle w:val="Compact"/>
        <w:numPr>
          <w:ilvl w:val="0"/>
          <w:numId w:val="1001"/>
        </w:numPr>
        <w:spacing w:after="60"/>
        <w:jc w:val="both"/>
      </w:pPr>
      <w:r>
        <w:rPr>
          <w:b/>
          <w:bCs/>
        </w:rPr>
        <w:t xml:space="preserve">Datas dos julgados:</w:t>
      </w:r>
      <w:r>
        <w:t xml:space="preserve"> </w:t>
      </w:r>
      <w:r>
        <w:t xml:space="preserve">a data indicada é a do julgamento e, quando a fonte traz apenas a da publicação, a do Diário da Justiça eletrônico (DJe).</w:t>
      </w:r>
    </w:p>
    <w:p>
      <w:pPr>
        <w:pStyle w:val="Compact"/>
        <w:numPr>
          <w:ilvl w:val="0"/>
          <w:numId w:val="1001"/>
        </w:numPr>
        <w:spacing w:after="60"/>
        <w:jc w:val="both"/>
      </w:pPr>
      <w:r>
        <w:rPr>
          <w:b/>
          <w:bCs/>
        </w:rPr>
        <w:t xml:space="preserve">Uso de IA:</w:t>
      </w:r>
      <w:r>
        <w:t xml:space="preserve"> </w:t>
      </w:r>
      <w:r>
        <w:t xml:space="preserve">consulta às fontes e redação assistidas por IA generativa (Claude Code). A conferência dos julgados na fonte primária cabe ao leitor (ver seção 7).</w:t>
      </w:r>
    </w:p>
    <w:p>
      <w:pPr>
        <w:pStyle w:val="Compact"/>
        <w:numPr>
          <w:ilvl w:val="0"/>
          <w:numId w:val="1001"/>
        </w:numPr>
        <w:spacing w:after="60"/>
        <w:jc w:val="both"/>
      </w:pPr>
      <w:r>
        <w:rPr>
          <w:b/>
          <w:bCs/>
        </w:rPr>
        <w:t xml:space="preserve">Estrutura:</w:t>
      </w:r>
      <w:r>
        <w:t xml:space="preserve"> </w:t>
      </w:r>
      <w:r>
        <w:t xml:space="preserve">a seção 5 reproduz o texto legal artigo por artigo, na ordem do Código, com as anotações nos artigos que as têm; o Livro I abre com página própria, seguido dos Títulos, Capítulos e Seções do Código, com a faixa de artigos de cada um. O índice de artigos, ao final, remete cada artigo à sua página.</w:t>
      </w:r>
    </w:p>
    <w:bookmarkEnd w:id="11"/>
    <w:bookmarkStart w:id="12" w:name="síntese-executiva"/>
    <w:p>
      <w:pPr>
        <w:pStyle w:val="Heading1"/>
        <w:pBdr>
          <w:left w:val="single" w:sz="48" w:space="8" w:color="1F3A5F"/>
        </w:pBdr>
        <w:shd w:val="clear" w:color="auto" w:fill="DCE6F2"/>
        <w:spacing w:before="120" w:after="60"/>
        <w:ind w:left="142"/>
      </w:pPr>
      <w:r>
        <w:t xml:space="preserve">2 Síntese executiva</w:t>
      </w:r>
    </w:p>
    <w:p>
      <w:pPr>
        <w:pStyle w:val="FirstParagraph"/>
        <w:keepNext/>
        <w:spacing w:after="60"/>
        <w:jc w:val="both"/>
      </w:pPr>
      <w:r>
        <w:rPr>
          <w:b/>
          <w:bCs/>
        </w:rPr>
        <w:t xml:space="preserve">Título I: do procedimento comum (arts. 318 a 512).</w:t>
      </w: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D6E0EE"/>
            <w:tcBorders>
              <w:left w:val="single" w:sz="36" w:space="0" w:color="1F3A5F"/>
            </w:tcBorders>
            <w:vAlign w:val="center"/>
          </w:tcPr>
          <w:p>
            <w:pPr>
              <w:spacing w:before="80" w:after="80"/>
              <w:jc w:val="center"/>
            </w:pPr>
            <w:r>
              <w:rPr>
                <w:rFonts w:ascii="DejaVu Sans" w:hAnsi="DejaVu Sans" w:cs="DejaVu Sans" w:eastAsia="DejaVu Sans"/>
                <w:b/>
                <w:color w:val="1F3A5F"/>
                <w:sz w:val="52"/>
              </w:rPr>
              <w:t>◆</w:t>
            </w:r>
          </w:p>
        </w:tc>
        <w:tc>
          <w:tcPr>
            <w:tcW w:type="dxa" w:w="8220"/>
            <w:shd w:val="clear" w:color="auto" w:fill="D6E0EE"/>
          </w:tcPr>
          <w:p>
            <w:pPr>
              <w:pStyle w:val="BodyText"/>
              <w:spacing w:before="100" w:after="100" w:line="276" w:lineRule="auto"/>
              <w:ind w:left="113" w:right="113"/>
              <w:jc w:val="both"/>
            </w:pPr>
            <w:r>
              <w:rPr>
                <w:b/>
                <w:bCs/>
                <w:sz w:val="22"/>
              </w:rPr>
              <w:t xml:space="preserve">Vinculante.</w:t>
            </w:r>
            <w:r>
              <w:rPr>
                <w:sz w:val="22"/>
              </w:rPr>
              <w:t xml:space="preserve"> </w:t>
            </w:r>
            <w:r>
              <w:rPr>
                <w:sz w:val="22"/>
              </w:rPr>
              <w:t xml:space="preserve">No Superior Tribunal de Justiça (STJ), cinco recursos repetitivos alcançam o Título I. Na Corte Especial: Tema 1198 (litigância abusiva e emenda da petição inicial, arts. 320 e 321); Tema 1306 (fundamentação por referência, art. 489, § 1º); e Tema 1081 (dispensa de remessa necessária em demanda previdenciária de valor aferível por cálculo, art. 496, § 3º, I). Na Primeira Seção: Tema 1169 (execução individual de título coletivo sem prévia liquidação, art. 509). Na Segunda Seção: Tema 1000 (multa na exibição de documento, art. 400, parágrafo único).</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D6E0EE"/>
            <w:tcBorders>
              <w:left w:val="single" w:sz="36" w:space="0" w:color="1F3A5F"/>
            </w:tcBorders>
            <w:vAlign w:val="center"/>
          </w:tcPr>
          <w:p>
            <w:pPr>
              <w:spacing w:before="80" w:after="80"/>
              <w:jc w:val="center"/>
            </w:pPr>
            <w:r>
              <w:rPr>
                <w:rFonts w:ascii="DejaVu Sans" w:hAnsi="DejaVu Sans" w:cs="DejaVu Sans" w:eastAsia="DejaVu Sans"/>
                <w:b/>
                <w:color w:val="1F3A5F"/>
                <w:sz w:val="52"/>
              </w:rPr>
              <w:t>◆</w:t>
            </w:r>
          </w:p>
        </w:tc>
        <w:tc>
          <w:tcPr>
            <w:tcW w:type="dxa" w:w="8220"/>
            <w:shd w:val="clear" w:color="auto" w:fill="D6E0EE"/>
          </w:tcPr>
          <w:p>
            <w:pPr>
              <w:pStyle w:val="BodyText"/>
              <w:spacing w:before="100" w:after="100" w:line="276" w:lineRule="auto"/>
              <w:ind w:left="113" w:right="113"/>
              <w:jc w:val="both"/>
            </w:pPr>
            <w:r>
              <w:rPr>
                <w:b/>
                <w:bCs/>
                <w:sz w:val="22"/>
              </w:rPr>
              <w:t xml:space="preserve">Vinculante.</w:t>
            </w:r>
            <w:r>
              <w:rPr>
                <w:sz w:val="22"/>
              </w:rPr>
              <w:t xml:space="preserve"> </w:t>
            </w:r>
            <w:r>
              <w:rPr>
                <w:sz w:val="22"/>
              </w:rPr>
              <w:t xml:space="preserve">No Supremo Tribunal Federal (STF), a ação direta de inconstitucionalidade (ADI) 5941 (Plenário, 09/02/2023) julgou improcedente o pedido de declaração de inconstitucionalidade dos parágrafos únicos dos arts. 380, 400 e 403, entre outros dispositivos: as medidas atípicas para fazer valer ordens judiciais não são inconstitucionais a priori, e sua proporcionalidade se afere no caso concreto.</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D6E0EE"/>
            <w:tcBorders>
              <w:left w:val="single" w:sz="36" w:space="0" w:color="1F3A5F"/>
            </w:tcBorders>
            <w:vAlign w:val="center"/>
          </w:tcPr>
          <w:p>
            <w:pPr>
              <w:spacing w:before="80" w:after="80"/>
              <w:jc w:val="center"/>
            </w:pPr>
            <w:r>
              <w:rPr>
                <w:rFonts w:ascii="DejaVu Sans" w:hAnsi="DejaVu Sans" w:cs="DejaVu Sans" w:eastAsia="DejaVu Sans"/>
                <w:b/>
                <w:color w:val="1F3A5F"/>
                <w:sz w:val="52"/>
              </w:rPr>
              <w:t>◆</w:t>
            </w:r>
          </w:p>
        </w:tc>
        <w:tc>
          <w:tcPr>
            <w:tcW w:type="dxa" w:w="8220"/>
            <w:shd w:val="clear" w:color="auto" w:fill="D6E0EE"/>
          </w:tcPr>
          <w:p>
            <w:pPr>
              <w:pStyle w:val="BodyText"/>
              <w:spacing w:before="100" w:after="100" w:line="276" w:lineRule="auto"/>
              <w:ind w:left="113" w:right="113"/>
              <w:jc w:val="both"/>
            </w:pPr>
            <w:r>
              <w:rPr>
                <w:b/>
                <w:bCs/>
                <w:sz w:val="22"/>
              </w:rPr>
              <w:t xml:space="preserve">Vinculante.</w:t>
            </w:r>
            <w:r>
              <w:rPr>
                <w:sz w:val="22"/>
              </w:rPr>
              <w:t xml:space="preserve"> </w:t>
            </w:r>
            <w:r>
              <w:rPr>
                <w:sz w:val="22"/>
              </w:rPr>
              <w:t xml:space="preserve">Ainda no STF, os Temas 881 e 885 de repercussão geral (Plenário, 08/02/2023,</w:t>
            </w:r>
            <w:r>
              <w:rPr>
                <w:sz w:val="22"/>
              </w:rPr>
              <w:t xml:space="preserve"> </w:t>
            </w:r>
            <w:r>
              <w:rPr>
                <w:b/>
                <w:bCs/>
                <w:sz w:val="22"/>
              </w:rPr>
              <w:t xml:space="preserve">[Repositório externo]</w:t>
            </w:r>
            <w:r>
              <w:rPr>
                <w:sz w:val="22"/>
              </w:rPr>
              <w:t xml:space="preserve">) fixaram que decisões em controle incidental anteriores ao regime de repercussão geral não alteram automaticamente a coisa julgada tributária de trato sucessivo, e que as proferidas em ação direta ou em repercussão geral interrompem automaticamente os efeitos temporais das decisões transitadas em julgado nessas relações (art. 505, I).</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No STF, em processos de sua competência originária e em reclamações: o descumprimento da ordem de emenda implica o indeferimento da inicial (Rcl 75.525, 2025, e Rcl 74.610, 2025; arts. 320 e 321), o julgamento antecipado do mérito não é, por si só, cerceamento de defesa (ação originária (AO) 2.511, 2021; art. 355) e o art. 356, II, autoriza o julgamento antecipado parcial do mérito (ACO 3.568, 2023). Todos</w:t>
            </w:r>
            <w:r>
              <w:rPr>
                <w:sz w:val="22"/>
              </w:rPr>
              <w:t xml:space="preserve"> </w:t>
            </w:r>
            <w:r>
              <w:rPr>
                <w:b/>
                <w:bCs/>
                <w:sz w:val="22"/>
              </w:rPr>
              <w:t xml:space="preserve">[Repositório externo]</w:t>
            </w:r>
            <w:r>
              <w:rPr>
                <w:sz w:val="22"/>
              </w:rPr>
              <w:t xml:space="preserve">.</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Nas Turmas do STJ, sobre a fase postulatória: a petição inicial compreensível não é inepta (agravo em recurso especial (AREsp) 3.068.085, 2026); depois da citação, o autor não pode alterar pedido ou causa de pedir sem o consentimento do réu (AREsp 3.027.064, 2025); na cumulação sucessiva, decide-se primeiro o pedido principal (AREsp 3.096.424, 2026); indeferida a inicial sem citação, não há honorários sucumbenciais (recurso especial (REsp) 1.801.586, 2019); a reconvenção é autônoma e exige conexão mais ampla que a do art. 55 (REsp 2.076.127, 2023); a revelia gera presunção relativa (REsp 1.971.966, 2024), e o prazo contra o revel sem advogado flui da publicação no órgão oficial (REsp 2.106.717, 2024).</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Sobre o saneamento e as provas: a decisão interlocutória de mérito (art. 356) não se confunde com a simples decisão saneadora (agravo interno (AgInt) no AREsp 1.410.278, 2024); a ação autônoma de exibição de documento ou coisa segue o procedimento comum (REsp 1.803.251, 2019); contra a decisão sobre distribuição dinâmica ou inversão do ônus da prova cabe agravo de instrumento, quer a modifique, quer a negue (REsp 1.729.110 e REsp 1.802.025, 2019; AREsp 2.249.352, 2025); os filhos comuns do casal podem depor como testemunha no divórcio dos pais (REsp 1.947.751, 2023); a perícia consensual exige acordo sobre o perito (REsp 1.924.452, 2022); a nova perícia pressupõe a insuficiência da primeira (REsp 1.782.516, 2024); e a juntada de documentos antigos fora de momento oportuno é excepcional (REsp 1.721.248, 2018). Sobre a produção antecipada de prova há divergência entre Turmas (ver seção 6).</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Sobre a prova testemunhal (arts. 442 a 463): o indeferimento fundamentado da prova testemunhal não configura cerceamento de defesa quando os autos já trazem prova bastante (AREsp 2.729.744, 2025) ou prova técnica suficiente (AREsp 2.953.224, 2026), e o exame da necessidade da prova esbarra na Súmula 7/STJ (AREsp 2.547.573, 2025; AgInt no REsp 2.195.778, 2025); o rol de testemunhas observa o prazo máximo de quinze dias do art. 357, § 4º, com preclusão pela inércia (AgInt no AREsp 3.097.599, 2026; REsp 2.251.512, 2026), salvo quando as testemunhas já constavam do rol apresentado com a inicial (REsp 2.272.635, 2026); acolhida a contradita, é lícita a oitiva como informante (AgInt no AREsp 2.940.126, 2026); sem início de prova escrita, a quitação não se prova apenas por prova oral (AgInt no AREsp 3.075.878, 2026); os filhos comuns do casal podem depor como testemunha no divórcio dos pais (REsp 1.947.751, 2023); e a prática de ato por videoconferência na carta precatória é faculdade do juízo deprecante (CC 196.664, 2023; CC 211.882, 2025).</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Sobre a prova pericial (arts. 464 a 480): a especialidade médica não é requisito de validade do laudo, e a impugnação à qualificação do perito apresentada só depois do laudo está precluída (AREsp 3.078.178, 2026; REsp 2.200.621, 2026); a perícia consensual exige consenso sobre o perito (REsp 1.924.452, 2022); a substituição do perito e a nova perícia pressupõem incapacidade técnica, comprometimento da imparcialidade ou insuficiência do laudo (REsp 2.150.255, 2026; REsp 1.782.516, 2024), e a revisão desse juízo esbarra na Súmula 7/STJ (AREsp 3.160.766, 2026); o juiz pode indeferir quesitos suplementares quando o laudo é suficiente (REsp 1.976.506, 2026; AgInt no AREsp 2.180.053, 2023); não está adstrito ao laudo, desde que motive a divergência com outros elementos dos autos (AgInt no REsp 2.102.610, 2024; AgInt no AREsp 2.336.619, 2024; AREsp 3.137.546, 2026; AgInt no AREsp 2.951.852, 2026); a decisão que fixa honorários periciais é impugnável por agravo de instrumento (AgInt no AREsp 1.636.832, 2021, aplicando o Tema 988), e a perícia determinada de ofício na segunda fase da ação de exigir contas tem a remuneração rateada entre as partes (AgInt no REsp 1.776.415, 2026).</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A inspeção judicial (arts. 481 a 484) exige prévia intimação das partes quanto ao dia, hora e local e a lavratura de auto circunstanciado, sob pena de cerceamento de defesa, e, havendo controvérsia técnica sobre a área litigiada, não dispensa perito especialista (AgInt no AREsp 2.038.411, 2024); a inspeção realizada pode, por outro lado, ser suficiente para dispensar a perícia (AgInt no REsp 2.158.677, 2026).</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Sobre a sentença e a coisa julgada: o abandono da causa exige intimação pessoal da parte (REsp 2.194.521, 2025, e REsp 2.089.756, 2024); a rejeição da decadência ou da prescrição desafia agravo de instrumento (REsp 2.246.924, 2026); a decisão que fixa alimentos em parâmetros alternativos é certa, e não condicional (REsp 2.219.394, 2026); o rol do art. 494 é exemplificativo (REsp 2.124.830, 2024); a coisa julgada alcança só o dispositivo (REsp 2.173.008, 2026); a sentença em relação de trato sucessivo pode ser revista quando muda o estado de fato ou de direito (REsp 2.201.672, 2025); e não há preclusão consumativa se o agravo de instrumento foi julgado prejudicado (REsp 2.220.835, 2026).</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FFF3D9"/>
            <w:tcBorders>
              <w:left w:val="single" w:sz="36" w:space="0" w:color="B26B00"/>
            </w:tcBorders>
            <w:vAlign w:val="center"/>
          </w:tcPr>
          <w:p>
            <w:pPr>
              <w:spacing w:before="80" w:after="80"/>
              <w:jc w:val="center"/>
            </w:pPr>
            <w:r>
              <w:rPr>
                <w:rFonts w:ascii="DejaVu Sans" w:hAnsi="DejaVu Sans" w:cs="DejaVu Sans" w:eastAsia="DejaVu Sans"/>
                <w:b/>
                <w:color w:val="B26B00"/>
                <w:sz w:val="52"/>
              </w:rPr>
              <w:t>⚠</w:t>
            </w:r>
          </w:p>
        </w:tc>
        <w:tc>
          <w:tcPr>
            <w:tcW w:type="dxa" w:w="8220"/>
            <w:shd w:val="clear" w:color="auto" w:fill="FFF3D9"/>
          </w:tcPr>
          <w:p>
            <w:pPr>
              <w:pStyle w:val="BodyText"/>
              <w:spacing w:before="100" w:after="100" w:line="276" w:lineRule="auto"/>
              <w:ind w:left="113" w:right="113"/>
              <w:jc w:val="both"/>
            </w:pPr>
            <w:r>
              <w:rPr>
                <w:b/>
                <w:bCs/>
                <w:sz w:val="22"/>
              </w:rPr>
              <w:t xml:space="preserve">Cautela.</w:t>
            </w:r>
            <w:r>
              <w:rPr>
                <w:sz w:val="22"/>
              </w:rPr>
              <w:t xml:space="preserve"> </w:t>
            </w:r>
            <w:r>
              <w:rPr>
                <w:sz w:val="22"/>
              </w:rPr>
              <w:t xml:space="preserve">A maior parte dos artigos do Título I não tem, nos acervos consultados, acórdão com tese própria além dos citados. Ver as pendências.</w:t>
            </w:r>
          </w:p>
        </w:tc>
      </w:tr>
    </w:tbl>
    <w:p>
      <w:pPr>
        <w:spacing w:after="40"/>
      </w:pPr>
    </w:p>
    <w:p>
      <w:pPr>
        <w:pStyle w:val="FirstParagraph"/>
        <w:keepNext/>
        <w:spacing w:after="60"/>
        <w:jc w:val="both"/>
      </w:pPr>
      <w:r>
        <w:rPr>
          <w:b/>
          <w:bCs/>
        </w:rPr>
        <w:t xml:space="preserve">Título II: do cumprimento da sentença (arts. 513 a 538).</w:t>
      </w: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D6E0EE"/>
            <w:tcBorders>
              <w:left w:val="single" w:sz="36" w:space="0" w:color="1F3A5F"/>
            </w:tcBorders>
            <w:vAlign w:val="center"/>
          </w:tcPr>
          <w:p>
            <w:pPr>
              <w:spacing w:before="80" w:after="80"/>
              <w:jc w:val="center"/>
            </w:pPr>
            <w:r>
              <w:rPr>
                <w:rFonts w:ascii="DejaVu Sans" w:hAnsi="DejaVu Sans" w:cs="DejaVu Sans" w:eastAsia="DejaVu Sans"/>
                <w:b/>
                <w:color w:val="1F3A5F"/>
                <w:sz w:val="52"/>
              </w:rPr>
              <w:t>◆</w:t>
            </w:r>
          </w:p>
        </w:tc>
        <w:tc>
          <w:tcPr>
            <w:tcW w:type="dxa" w:w="8220"/>
            <w:shd w:val="clear" w:color="auto" w:fill="D6E0EE"/>
          </w:tcPr>
          <w:p>
            <w:pPr>
              <w:pStyle w:val="BodyText"/>
              <w:spacing w:before="100" w:after="100" w:line="276" w:lineRule="auto"/>
              <w:ind w:left="113" w:right="113"/>
              <w:jc w:val="both"/>
            </w:pPr>
            <w:r>
              <w:rPr>
                <w:b/>
                <w:bCs/>
                <w:sz w:val="22"/>
              </w:rPr>
              <w:t xml:space="preserve">Vinculante.</w:t>
            </w:r>
            <w:r>
              <w:rPr>
                <w:sz w:val="22"/>
              </w:rPr>
              <w:t xml:space="preserve"> </w:t>
            </w:r>
            <w:r>
              <w:rPr>
                <w:sz w:val="22"/>
              </w:rPr>
              <w:t xml:space="preserve">No Supremo Tribunal Federal (STF), a ADI 5534 (Plenário, 19/12/2020) declarou constitucional o art. 535, § 3º, II (competência da União para fixar o prazo de pagamento da requisição de pequeno valor) e deu interpretação conforme ao § 4º: o regime de pagamento do valor incontroverso observa o valor total da condenação. A ADI 5492 (Plenário, 24/04/2023) declarou inconstitucional a expressão</w:t>
            </w:r>
            <w:r>
              <w:rPr>
                <w:sz w:val="22"/>
              </w:rPr>
              <w:t xml:space="preserve"> </w:t>
            </w:r>
            <w:r>
              <w:rPr>
                <w:sz w:val="22"/>
              </w:rPr>
              <w:t xml:space="preserve">“de banco oficial”</w:t>
            </w:r>
            <w:r>
              <w:rPr>
                <w:sz w:val="22"/>
              </w:rPr>
              <w:t xml:space="preserve"> </w:t>
            </w:r>
            <w:r>
              <w:rPr>
                <w:sz w:val="22"/>
              </w:rPr>
              <w:t xml:space="preserve">do art. 535, § 3º, II. A AR 2876, a que remetem os arts. 525, §§ 14 e 15, e 535, §§ 7º e 8º, não foi localizada.</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D6E0EE"/>
            <w:tcBorders>
              <w:left w:val="single" w:sz="36" w:space="0" w:color="1F3A5F"/>
            </w:tcBorders>
            <w:vAlign w:val="center"/>
          </w:tcPr>
          <w:p>
            <w:pPr>
              <w:spacing w:before="80" w:after="80"/>
              <w:jc w:val="center"/>
            </w:pPr>
            <w:r>
              <w:rPr>
                <w:rFonts w:ascii="DejaVu Sans" w:hAnsi="DejaVu Sans" w:cs="DejaVu Sans" w:eastAsia="DejaVu Sans"/>
                <w:b/>
                <w:color w:val="1F3A5F"/>
                <w:sz w:val="52"/>
              </w:rPr>
              <w:t>◆</w:t>
            </w:r>
          </w:p>
        </w:tc>
        <w:tc>
          <w:tcPr>
            <w:tcW w:type="dxa" w:w="8220"/>
            <w:shd w:val="clear" w:color="auto" w:fill="D6E0EE"/>
          </w:tcPr>
          <w:p>
            <w:pPr>
              <w:pStyle w:val="BodyText"/>
              <w:spacing w:before="100" w:after="100" w:line="276" w:lineRule="auto"/>
              <w:ind w:left="113" w:right="113"/>
              <w:jc w:val="both"/>
            </w:pPr>
            <w:r>
              <w:rPr>
                <w:b/>
                <w:bCs/>
                <w:sz w:val="22"/>
              </w:rPr>
              <w:t xml:space="preserve">Vinculante.</w:t>
            </w:r>
            <w:r>
              <w:rPr>
                <w:sz w:val="22"/>
              </w:rPr>
              <w:t xml:space="preserve"> </w:t>
            </w:r>
            <w:r>
              <w:rPr>
                <w:sz w:val="22"/>
              </w:rPr>
              <w:t xml:space="preserve">No Superior Tribunal de Justiça (STJ), seis recursos repetitivos alcançam o cumprimento de sentença. Na Corte Especial: Tema 889 (a sentença, de procedência ou improcedência, é título executivo judicial, art. 515, I); Tema 1235 (a impenhorabilidade de quantia até 40 salários mínimos não é matéria de ordem pública e se alega na impugnação, art. 525); Tema 677 (o depósito em garantia não isenta os consectários da mora, art. 526); e Tema 1296 (a multa coercitiva exige prévia intimação pessoal do devedor, art. 537). Na Primeira Seção: Tema 1232 (sem honorários no cumprimento de sentença em mandado de segurança); Tema 1190 (sem honorários contra a Fazenda Pública que não impugna); Tema 1311 (a prescrição não se suspende durante a obrigação de implantar em folha); Tema 1029 (execução de título de ação coletiva fora dos Juizados da Fazenda); Tema 1419 (honorários na rescisória com modulação do Tema 69 do STF); e Tema 98 (astreintes contra ente público para fornecer medicamento). A Corte Especial também decidiu, no embargos de divergência em agravo em recurso especial (EAREsp) 1.479.019 (2025), que só a multa vincenda pode ser revista (art. 537, § 1º).</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Nas Turmas do STJ: a intimação pessoal do executado é necessária quando o cumprimento vem após mais de um ano do trânsito em julgado (AREsp 2.407.683, 2025) e quando o cumprimento provisório se converte em definitivo (REsp 1.997.512, 2026); o prazo de 15 dias para pagar é processual, contado em dias úteis (REsp 1.708.348, 2019), e em dobro para litisconsortes com advogados distintos em autos físicos (REsp 1.693.784, 2017); o cumprimento definitivo dispensa caução para levantar valores incontroversos (REsp 2.100.037, 2025); a multa do art. 523 não incide se há depósito integral no prazo sem impugnação (REsp 1.834.337, 2019); a garantia do juízo não é requisito da impugnação, que em regra não suspende a execução do valor incontroverso (REsp 1.761.068, 2020, e REsp 2.077.121, 2023); e a competência para o cumprimento é do juízo que decidiu a causa em primeiro grau (CC 198.794, 2023, e CC 191.185, 2024).</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Nos alimentos, escolhido o rito da prisão civil, o juiz não pode convertê-lo de ofício para o da expropriação (REsp 1.773.359, 2019, e REsp 2.236.955, 2026), e o cumprimento dos alimentos pretéritos e atuais pode correr no mesmo processo (REsp 2.004.516, 2022). Na multa cominatória, ela só é exigível a partir de decisão que reconhece o inadimplemento (REsp 1.963.548, 2026) e pode ser executada provisoriamente (AREsp 2.079.649, 2023).</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FFF3D9"/>
            <w:tcBorders>
              <w:left w:val="single" w:sz="36" w:space="0" w:color="B26B00"/>
            </w:tcBorders>
            <w:vAlign w:val="center"/>
          </w:tcPr>
          <w:p>
            <w:pPr>
              <w:spacing w:before="80" w:after="80"/>
              <w:jc w:val="center"/>
            </w:pPr>
            <w:r>
              <w:rPr>
                <w:rFonts w:ascii="DejaVu Sans" w:hAnsi="DejaVu Sans" w:cs="DejaVu Sans" w:eastAsia="DejaVu Sans"/>
                <w:b/>
                <w:color w:val="B26B00"/>
                <w:sz w:val="52"/>
              </w:rPr>
              <w:t>⚠</w:t>
            </w:r>
          </w:p>
        </w:tc>
        <w:tc>
          <w:tcPr>
            <w:tcW w:type="dxa" w:w="8220"/>
            <w:shd w:val="clear" w:color="auto" w:fill="FFF3D9"/>
          </w:tcPr>
          <w:p>
            <w:pPr>
              <w:pStyle w:val="BodyText"/>
              <w:spacing w:before="100" w:after="100" w:line="276" w:lineRule="auto"/>
              <w:ind w:left="113" w:right="113"/>
              <w:jc w:val="both"/>
            </w:pPr>
            <w:r>
              <w:rPr>
                <w:b/>
                <w:bCs/>
                <w:sz w:val="22"/>
              </w:rPr>
              <w:t xml:space="preserve">Cautela.</w:t>
            </w:r>
            <w:r>
              <w:rPr>
                <w:sz w:val="22"/>
              </w:rPr>
              <w:t xml:space="preserve"> </w:t>
            </w:r>
            <w:r>
              <w:rPr>
                <w:sz w:val="22"/>
              </w:rPr>
              <w:t xml:space="preserve">Os arts. 513 a 538 sem anotação não têm, nos acervos consultados, acórdão com tese própria além dos citados. Ver as pendências.</w:t>
            </w:r>
          </w:p>
        </w:tc>
      </w:tr>
    </w:tbl>
    <w:p>
      <w:pPr>
        <w:spacing w:after="40"/>
      </w:pPr>
    </w:p>
    <w:p>
      <w:pPr>
        <w:pStyle w:val="FirstParagraph"/>
        <w:keepNext/>
        <w:spacing w:after="60"/>
        <w:jc w:val="both"/>
      </w:pPr>
      <w:r>
        <w:rPr>
          <w:b/>
          <w:bCs/>
        </w:rPr>
        <w:t xml:space="preserve">Título III: dos procedimentos especiais (arts. 539 a 770).</w:t>
      </w: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D6E0EE"/>
            <w:tcBorders>
              <w:left w:val="single" w:sz="36" w:space="0" w:color="1F3A5F"/>
            </w:tcBorders>
            <w:vAlign w:val="center"/>
          </w:tcPr>
          <w:p>
            <w:pPr>
              <w:spacing w:before="80" w:after="80"/>
              <w:jc w:val="center"/>
            </w:pPr>
            <w:r>
              <w:rPr>
                <w:rFonts w:ascii="DejaVu Sans" w:hAnsi="DejaVu Sans" w:cs="DejaVu Sans" w:eastAsia="DejaVu Sans"/>
                <w:b/>
                <w:color w:val="1F3A5F"/>
                <w:sz w:val="52"/>
              </w:rPr>
              <w:t>◆</w:t>
            </w:r>
          </w:p>
        </w:tc>
        <w:tc>
          <w:tcPr>
            <w:tcW w:type="dxa" w:w="8220"/>
            <w:shd w:val="clear" w:color="auto" w:fill="D6E0EE"/>
          </w:tcPr>
          <w:p>
            <w:pPr>
              <w:pStyle w:val="BodyText"/>
              <w:spacing w:before="100" w:after="100" w:line="276" w:lineRule="auto"/>
              <w:ind w:left="113" w:right="113"/>
              <w:jc w:val="both"/>
            </w:pPr>
            <w:r>
              <w:rPr>
                <w:b/>
                <w:bCs/>
                <w:sz w:val="22"/>
              </w:rPr>
              <w:t xml:space="preserve">Vinculante.</w:t>
            </w:r>
            <w:r>
              <w:rPr>
                <w:sz w:val="22"/>
              </w:rPr>
              <w:t xml:space="preserve"> </w:t>
            </w:r>
            <w:r>
              <w:rPr>
                <w:sz w:val="22"/>
              </w:rPr>
              <w:t xml:space="preserve">No Supremo Tribunal Federal (STF), a arguição de descumprimento de preceito fundamental (ADPF) 828 (Plenário, 02/11/2022) fixou o regime de transição para a retomada das desocupações coletivas suspensas na pandemia: Comissões de Conflitos Fundiários nos tribunais, com visitas técnicas e audiências de mediação, retomada gradual e escalonada e garantias nas remoções administrativas (arts. 554 e 565). As Súmulas 265 (apuração de haveres: não prevalece o balanço não aprovado pelo sócio falecido, excluído ou retirante) e 621 (promessa de compra e venda não inscrita não enseja embargos de terceiro) também alcançam o Título III.</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D6E0EE"/>
            <w:tcBorders>
              <w:left w:val="single" w:sz="36" w:space="0" w:color="1F3A5F"/>
            </w:tcBorders>
            <w:vAlign w:val="center"/>
          </w:tcPr>
          <w:p>
            <w:pPr>
              <w:spacing w:before="80" w:after="80"/>
              <w:jc w:val="center"/>
            </w:pPr>
            <w:r>
              <w:rPr>
                <w:rFonts w:ascii="DejaVu Sans" w:hAnsi="DejaVu Sans" w:cs="DejaVu Sans" w:eastAsia="DejaVu Sans"/>
                <w:b/>
                <w:color w:val="1F3A5F"/>
                <w:sz w:val="52"/>
              </w:rPr>
              <w:t>◆</w:t>
            </w:r>
          </w:p>
        </w:tc>
        <w:tc>
          <w:tcPr>
            <w:tcW w:type="dxa" w:w="8220"/>
            <w:shd w:val="clear" w:color="auto" w:fill="D6E0EE"/>
          </w:tcPr>
          <w:p>
            <w:pPr>
              <w:pStyle w:val="BodyText"/>
              <w:spacing w:before="100" w:after="100" w:line="276" w:lineRule="auto"/>
              <w:ind w:left="113" w:right="113"/>
              <w:jc w:val="both"/>
            </w:pPr>
            <w:r>
              <w:rPr>
                <w:b/>
                <w:bCs/>
                <w:sz w:val="22"/>
              </w:rPr>
              <w:t xml:space="preserve">Vinculante.</w:t>
            </w:r>
            <w:r>
              <w:rPr>
                <w:sz w:val="22"/>
              </w:rPr>
              <w:t xml:space="preserve"> </w:t>
            </w:r>
            <w:r>
              <w:rPr>
                <w:sz w:val="22"/>
              </w:rPr>
              <w:t xml:space="preserve">No Superior Tribunal de Justiça (STJ), três recursos repetitivos: Tema 967 (Segunda Seção: na consignação em pagamento, a insuficiência do depósito leva à improcedência, art. 545); Tema 1074 (Primeira Seção: no arrolamento sumário, a partilha e os títulos independem do prévio recolhimento do imposto de transmissão causa mortis, art. 659, § 2º); e Tema 243 (Corte Especial, julgado em 20/08/2014, ainda vigente: a fraude à execução depende do registro da penhora ou da prova de má-fé do adquirente). As Súmulas 259 (prestação de contas pelo titular de conta-corrente), 292 (reconvenção na monitória), 299 (monitória com cheque prescrito), 339 (monitória contra a Fazenda Pública), 84, 134, 303 e 375 (embargos de terceiro e fraude à execução) orientam os capítulos correspondentes.</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Nas Turmas do STJ: a ação de exigir contas segue em duas fases, o prazo de 15 dias corre da intimação da decisão da primeira fase e a pretensão de dar contas segue o procedimento comum (REsp 1.707.014, 2021, e REsp 2.176.491, 2026); na pendência de ação possessória é vedada a ação de domínio (REsp 1.909.196, 2021, REsp 2.199.860, 2025, e REsp 2.159.015, 2026); na dissolução parcial, a sociedade tem legitimidade ativa (REsp 2.142.834, 2024), a data da resolução e os juros seguem a retirada ou o óbito (REsp 1.735.360, 2019, REsp 1.372.139, 2023, e AREsp 2.882.565, 2025) e a apuração de haveres usa o balanço de determinação, sem fluxo de caixa descontado (REsp 1.877.331, 2021, e REsp 1.892.139, 2024).</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No inventário: o credor do autor da herança pode pedir o inventário e os herdeiros não respondem individualmente antes da partilha (REsp 2.191.565, 2025, e REsp 2.219.305, 2026); a habilitação de crédito é só do credor do espólio, impugnada vai às vias ordinárias e exige concordância expressa dos herdeiros (REsp 1.985.045, 2023, REsp 2.045.640, 2023, e REsp 2.176.470, 2025); a meação é direito próprio do cônjuge sobrevivente (REsp 2.261.913, 2026); e é possível o inventário extrajudicial havendo testamento, se registrado ou autorizado pelo juízo (REsp 1.808.767, 2019). Nos embargos de terceiro, a má-fé do adquirente não se presume sem registro da penhora (REsp 1.959.861, 2025, e REsp 2.183.157, 2026). Na monitória, sem embargos o título se constitui de pleno direito, e opostos os embargos não se extingue o feito por inaptidão da prova escrita (AREsp 2.764.416, 2026, e AREsp 3.054.913, 2026).</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Na jurisdição voluntária: o testamento particular admite flexibilizar vícios puramente formais, não os formais-materiais que ponham em dúvida a vontade do testador (REsp 2.080.530, 2023, REsp 2.033.581, 2024, REsp 2.005.877, 2022, REsp 2.000.938, 2023, e REsp 1.618.754, 2017); o rol de legitimados para a interdição é taxativo, sem ordem preferencial (REsp 2.156.970, 2026); e é inviável o arrependimento unilateral do acordo de divórcio consensual antes da homologação (REsp 2.162.164, 2026).</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No inventário e na partilha: o inventário é de interesse público, e a inércia do inventariante conduz à remoção ou ao arquivamento, não à extinção sem resolução do mérito (REsp 1.537.879, 2016); o juízo do inventário examina questões de direito e fatos amparados em prova documental, e a controvérsia que exige dilação probatória complexa é questão de alta indagação, remetida às vias ordinárias (AREsp 2.751.613, 2026); a ordem de nomeação do art. 617 é, a rigor, obrigatória, mas cede diante de intensa animosidade, com nomeação de inventariante dativo (REsp 2.203.769, 2025), e o inventariante é removido quando não apresenta as primeiras declarações no prazo legal (AgInt no AREsp 1.414.100, 2023); o incidente de remoção em autos apartados é, em regra, necessário, mas sua ausência não gera nulidade quando o herdeiro não exerceu a função e não se demonstrou prejuízo (REsp 2.059.870, 2023).</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Na ação de exigir contas, a intempestividade na prestação de contas pelo réu acarreta a preclusão do art. 550, § 5º, e não há obrigatoriedade abstrata de perícia contábil na segunda fase, bastando o exame documental (AREsp 3.192.632, 2026); o inventariante tem legitimidade e interesse de agir para ajuizar ação autônoma de prestação de contas quando o inventário termina sem o acertamento das despesas (REsp 1.707.014, 2021).</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Na dissolução parcial de sociedade, a ação compreende duas fases — a resolução do vínculo e a apuração de haveres —, e a decisão que homologa a transação é sentença, impugnável por apelação (REsp 1.954.643, 2022); na dissolução parcial nomeia-se perito para a perícia contábil, e não liquidante, cuja figura só cabe na dissolução total (REsp 1.557.989, 2016); a legitimidade passiva é da sociedade e dos sócios remanescentes, em litisconsórcio necessário e com responsabilidade solidária (AgInt no REsp 2.125.898, 2025).</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Nos embargos de terceiro, o prazo de cinco dias conta-se da adjudicação, da alienação por iniciativa particular ou da arrematação, antes da assinatura da carta, ainda que o embargante conheça a penhora, e só excepcionalmente, em seu benefício, conta-se da turbação ou do esbulho (AgInt no AREsp 1.906.915, 2026; AgInt no REsp 1.893.259, 2025); o promitente comprador pode opor embargos com base na Súmula 84, inclusive em imóvel em construção (REsp 2.082.580, 2026). No julgamento simultâneo da ação e da oposição, os recursos são autônomos e o interposto em uma causa não interrompe o prazo da outra (AgInt no REsp 1.725.179, 2022).</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Na possessória, a determinação de ofício da audiência de justificação prévia não é julgamento extra petita e não afasta o ônus dos autores de provar a posse e o esbulho (AREsp 2.640.027, 2026).</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Nos procedimentos de jurisdição voluntária: a existência de litigiosidade excepciona a regra de não cabimento de honorários advocatícios (AgInt no AREsp 1.562.651, 2021); na extinção de condomínio com alienação judicial, não havendo acordo entre todos os condôminos, o juiz designa leilão e prossegue nos próprios autos, sem cumprimentos de sentença individualizados (REsp 2.175.109, 2026); o ato que homologa (art. 714, § 1º) ou julga (art. 716) a restauração de autos é sentença, impugnável por apelação, e a dúvida objetiva sobre essa natureza autoriza a fungibilidade do agravo (REsp 2.207.935, 2025).</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Na interdição, o laudo médico do art. 750 é documento necessário à propositura, mas a exigência cede quando o interditando recusa o exame, hipótese em que a audiência de justificação é providência substitutiva, sob pena de extinção do processo por excesso de rigor (REsp 1.933.597, 2021).</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FFF3D9"/>
            <w:tcBorders>
              <w:left w:val="single" w:sz="36" w:space="0" w:color="B26B00"/>
            </w:tcBorders>
            <w:vAlign w:val="center"/>
          </w:tcPr>
          <w:p>
            <w:pPr>
              <w:spacing w:before="80" w:after="80"/>
              <w:jc w:val="center"/>
            </w:pPr>
            <w:r>
              <w:rPr>
                <w:rFonts w:ascii="DejaVu Sans" w:hAnsi="DejaVu Sans" w:cs="DejaVu Sans" w:eastAsia="DejaVu Sans"/>
                <w:b/>
                <w:color w:val="B26B00"/>
                <w:sz w:val="52"/>
              </w:rPr>
              <w:t>⚠</w:t>
            </w:r>
          </w:p>
        </w:tc>
        <w:tc>
          <w:tcPr>
            <w:tcW w:type="dxa" w:w="8220"/>
            <w:shd w:val="clear" w:color="auto" w:fill="FFF3D9"/>
          </w:tcPr>
          <w:p>
            <w:pPr>
              <w:pStyle w:val="BodyText"/>
              <w:spacing w:before="100" w:after="100" w:line="276" w:lineRule="auto"/>
              <w:ind w:left="113" w:right="113"/>
              <w:jc w:val="both"/>
            </w:pPr>
            <w:r>
              <w:rPr>
                <w:b/>
                <w:bCs/>
                <w:sz w:val="22"/>
              </w:rPr>
              <w:t xml:space="preserve">Cautela.</w:t>
            </w:r>
            <w:r>
              <w:rPr>
                <w:sz w:val="22"/>
              </w:rPr>
              <w:t xml:space="preserve"> </w:t>
            </w:r>
            <w:r>
              <w:rPr>
                <w:sz w:val="22"/>
              </w:rPr>
              <w:t xml:space="preserve">Os capítulos sobre divisão e demarcação, habilitação, ações de família, penhor legal, avaria grossa e herança jacente e ausentes, bem como os demais procedimentos de jurisdição voluntária (notificação, divórcio consensual, testamentos, fundações e protestos marítimos), não têm, nos acervos consultados, acórdão com tese própria. Ver as pendências.</w:t>
            </w:r>
          </w:p>
        </w:tc>
      </w:tr>
    </w:tbl>
    <w:p>
      <w:pPr>
        <w:spacing w:after="40"/>
      </w:pPr>
    </w:p>
    <w:p>
      <w:pPr>
        <w:pStyle w:val="FirstParagraph"/>
        <w:keepNext/>
        <w:spacing w:after="60"/>
        <w:jc w:val="both"/>
      </w:pPr>
      <w:r>
        <w:rPr>
          <w:b/>
          <w:bCs/>
        </w:rPr>
        <w:t xml:space="preserve">Livro II: do processo de execução (arts. 771 a 925).</w:t>
      </w: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D6E0EE"/>
            <w:tcBorders>
              <w:left w:val="single" w:sz="36" w:space="0" w:color="1F3A5F"/>
            </w:tcBorders>
            <w:vAlign w:val="center"/>
          </w:tcPr>
          <w:p>
            <w:pPr>
              <w:spacing w:before="80" w:after="80"/>
              <w:jc w:val="center"/>
            </w:pPr>
            <w:r>
              <w:rPr>
                <w:rFonts w:ascii="DejaVu Sans" w:hAnsi="DejaVu Sans" w:cs="DejaVu Sans" w:eastAsia="DejaVu Sans"/>
                <w:b/>
                <w:color w:val="1F3A5F"/>
                <w:sz w:val="52"/>
              </w:rPr>
              <w:t>◆</w:t>
            </w:r>
          </w:p>
        </w:tc>
        <w:tc>
          <w:tcPr>
            <w:tcW w:type="dxa" w:w="8220"/>
            <w:shd w:val="clear" w:color="auto" w:fill="D6E0EE"/>
          </w:tcPr>
          <w:p>
            <w:pPr>
              <w:pStyle w:val="BodyText"/>
              <w:spacing w:before="100" w:after="100" w:line="276" w:lineRule="auto"/>
              <w:ind w:left="113" w:right="113"/>
              <w:jc w:val="both"/>
            </w:pPr>
            <w:r>
              <w:rPr>
                <w:b/>
                <w:bCs/>
                <w:sz w:val="22"/>
              </w:rPr>
              <w:t xml:space="preserve">Vinculante.</w:t>
            </w:r>
            <w:r>
              <w:rPr>
                <w:sz w:val="22"/>
              </w:rPr>
              <w:t xml:space="preserve"> </w:t>
            </w:r>
            <w:r>
              <w:rPr>
                <w:sz w:val="22"/>
              </w:rPr>
              <w:t xml:space="preserve">No Superior Tribunal de Justiça (STJ), o Tema Repetitivo 1385 (Primeira Seção, rel. Min. Maria Thereza de Assis Moura, julgado em 23/9/2025, trânsito em julgado) fixou que, na execução fiscal, a fiança bancária ou o seguro-garantia não é recusável por inobservância à ordem legal da penhora. No mesmo sentido, a Quarta Turma afirma que o seguro-garantia e a fiança são equiparados a dinheiro (art. 835, § 2º) e que a recusa não pode fundar-se em argumento abstrato, cabendo examinar a suficiência, a regularidade e a idoneidade da apólice (REsp 2.178.147, 2026).</w:t>
            </w:r>
          </w:p>
        </w:tc>
      </w:tr>
    </w:tbl>
    <w:p>
      <w:pPr>
        <w:spacing w:after="40"/>
      </w:pPr>
    </w:p>
    <w:p>
      <w:pPr>
        <w:pStyle w:val="FirstParagraph"/>
        <w:spacing w:after="60"/>
        <w:jc w:val="both"/>
      </w:pPr>
      <w:r>
        <w:rPr>
          <w:b/>
          <w:bCs/>
        </w:rPr>
        <w:t xml:space="preserve">Título e liquidez.</w:t>
      </w:r>
      <w:r>
        <w:t xml:space="preserve"> </w:t>
      </w:r>
      <w:r>
        <w:t xml:space="preserve">A execução exige obrigação certa, líquida e exigível (art. 783): a escritura de abertura de linha de crédito sem valor nem vencimento carece de liquidez (REsp 2.225.590, 2026), enquanto a cédula de crédito bancário a tem ainda que o saldo venha de contrato de conta corrente (AgInt no AREsp 1.746.039, 2021). O contrato de seguro saúde tem força executiva pelo art. 784, XII, e pelo art. 27 do Decreto-Lei n. 73/1966 (AgInt no AREsp 2.720.239, 2025).</w:t>
      </w:r>
    </w:p>
    <w:p>
      <w:pPr>
        <w:pStyle w:val="BodyText"/>
        <w:spacing w:after="60"/>
        <w:jc w:val="both"/>
      </w:pPr>
      <w:r>
        <w:rPr>
          <w:b/>
          <w:bCs/>
        </w:rPr>
        <w:t xml:space="preserve">Legitimidade e responsabilidade.</w:t>
      </w:r>
      <w:r>
        <w:t xml:space="preserve"> </w:t>
      </w:r>
      <w:r>
        <w:t xml:space="preserve">A sucessão do exequente pelo cessionário independe do consentimento do executado (AgInt no AREsp 3.004.092, 2026); sem renúncia expressa ao benefício de ordem e sem solidariedade convencional, o fiador é parte ilegítima na execução proposta só contra ele (AgInt no AREsp 2.716.112, 2026). A responsabilidade do exequente pelos danos da execução indevida é objetiva, e a liquidação corre nos próprios autos (AREsp 2.096.621, 2026). A desistência motivada pela ausência de bens não gera honorários (REsp 1.675.741, 2019).</w:t>
      </w:r>
    </w:p>
    <w:p>
      <w:pPr>
        <w:pStyle w:val="BodyText"/>
        <w:spacing w:after="60"/>
        <w:jc w:val="both"/>
      </w:pPr>
      <w:r>
        <w:rPr>
          <w:b/>
          <w:bCs/>
        </w:rPr>
        <w:t xml:space="preserve">Penhora e expropriação.</w:t>
      </w:r>
      <w:r>
        <w:t xml:space="preserve"> </w:t>
      </w:r>
      <w:r>
        <w:t xml:space="preserve">A competência territorial é relativa e não admite declínio de ofício quando há foro de eleição (CC 216.850, 2025). É cabível a consulta ao CCS-Bacen para localizar relacionamentos financeiros (REsp 2.197.058, 2026), e os valores até 40 salários-mínimos são impenhoráveis qualquer que seja a aplicação (AgInt no REsp 2.018.134, 2023). No SISBAJUD, o contraditório é diferido (AREsp 2.726.728, 2026); na penhora de crédito, o pagamento ao executado depois da intimação do terceiro devedor é ineficaz (REsp 1.964.457, 2022). A averbação premonitória presume a fraude (AREsp 2.621.183, 2026), mas, sem ela, a má-fé do terceiro não se presume (AgInt no embargos de divergência em recurso especial (EREsp) 1.896.456, 2021). O art. 876 não se aplica à arrematação em segunda hasta (AgInt no AREsp 2.254.162, 2023).</w:t>
      </w:r>
      <w:r>
        <w:t xml:space="preserve"> </w:t>
      </w:r>
      <w:r>
        <w:rPr>
          <w:b/>
          <w:bCs/>
        </w:rPr>
        <w:t xml:space="preserve">Alienação, arrematação e embargos.</w:t>
      </w:r>
      <w:r>
        <w:t xml:space="preserve"> </w:t>
      </w:r>
      <w:r>
        <w:t xml:space="preserve">A alienação por iniciativa particular segue as condições do art. 880, § 1º, e suas invalidades dependem de prejuízo demonstrado (REsp 2.202.208, 2026); o leilão eletrônico prevalece sobre o presencial (CC 210.807, 2025). A arrematação perfeita e acabada pode ser impugnada por ação autônoma, inclusive por preço vil (AgInt no AREsp 2.331.515, 2025). No concurso de credores, a dação em pagamento não prevalece sobre a anterioridade da penhora (AgInt no REsp 2.251.445, 2026). A gratuidade não supre os requisitos do efeito suspensivo dos embargos (AREsp 3.133.045, 2026), e o regime da prescrição intercorrente da Lei 14.195/2021 não retroage (AREsp 2.983.239, 2026). Na execução de alimentos, o rito é escolha do credor e o pagamento parcial não afasta a prisão (REsp 1.773.359, 2019); na execução contra a Fazenda Pública, os honorários iniciais seguem o art. 827 (AgInt no REsp 1.877.544, 2023).</w:t>
      </w:r>
    </w:p>
    <w:p>
      <w:pPr>
        <w:pStyle w:val="BodyText"/>
        <w:keepNext/>
        <w:spacing w:after="60"/>
        <w:jc w:val="both"/>
      </w:pPr>
      <w:r>
        <w:rPr>
          <w:b/>
          <w:bCs/>
        </w:rPr>
        <w:t xml:space="preserve">Livro III: dos processos nos tribunais e dos meios de impugnação das decisões judiciais (arts. 926 a 1.044).</w:t>
      </w: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D6E0EE"/>
            <w:tcBorders>
              <w:left w:val="single" w:sz="36" w:space="0" w:color="1F3A5F"/>
            </w:tcBorders>
            <w:vAlign w:val="center"/>
          </w:tcPr>
          <w:p>
            <w:pPr>
              <w:spacing w:before="80" w:after="80"/>
              <w:jc w:val="center"/>
            </w:pPr>
            <w:r>
              <w:rPr>
                <w:rFonts w:ascii="DejaVu Sans" w:hAnsi="DejaVu Sans" w:cs="DejaVu Sans" w:eastAsia="DejaVu Sans"/>
                <w:b/>
                <w:color w:val="1F3A5F"/>
                <w:sz w:val="52"/>
              </w:rPr>
              <w:t>◆</w:t>
            </w:r>
          </w:p>
        </w:tc>
        <w:tc>
          <w:tcPr>
            <w:tcW w:type="dxa" w:w="8220"/>
            <w:shd w:val="clear" w:color="auto" w:fill="D6E0EE"/>
          </w:tcPr>
          <w:p>
            <w:pPr>
              <w:pStyle w:val="BodyText"/>
              <w:spacing w:before="100" w:after="100" w:line="276" w:lineRule="auto"/>
              <w:ind w:left="113" w:right="113"/>
              <w:jc w:val="both"/>
            </w:pPr>
            <w:r>
              <w:rPr>
                <w:b/>
                <w:bCs/>
                <w:sz w:val="22"/>
              </w:rPr>
              <w:t xml:space="preserve">Vinculante.</w:t>
            </w:r>
            <w:r>
              <w:rPr>
                <w:sz w:val="22"/>
              </w:rPr>
              <w:t xml:space="preserve"> </w:t>
            </w:r>
            <w:r>
              <w:rPr>
                <w:sz w:val="22"/>
              </w:rPr>
              <w:t xml:space="preserve">O bloco dos recursos e dos processos nos tribunais é, no acervo consultado, mais pobre em teses do que a execução. As anotações confirmadas tratam de: efeito suspensivo automático do recurso extraordinário (RE) e do especial interposto do acórdão do incidente de resolução de demandas repetitivas (REsp 1.869.867, 2021); nulidade do julgamento virtual sem publicação prévia da pauta (AREsp 3.184.455, 2026); nulidade pela inobservância da técnica de ampliação do colegiado no julgamento não unânime (REsp 1.922.044, 2021); descabimento da reclamação para preservar ordem de sobrestamento de decisão de afetação (AgInt no Rcl 40.663, 2021); desistência do recurso (embargos de declaração (EDcl) no MS 25.453, 2022) e renúncia que gera preclusão lógica (AgInt no AREsp 2.146.524, 2023); irrecorribilidade do despacho sem carga decisória (AgInt no AREsp 1.854.995, 2021); e erro grosseiro na interposição de agravo de instrumento contra decisão de admissibilidade do recurso especial (AgInt no AREsp 1.775.856, 2021).</w:t>
            </w:r>
          </w:p>
        </w:tc>
      </w:tr>
    </w:tbl>
    <w:p>
      <w:pPr>
        <w:spacing w:after="40"/>
      </w:pPr>
    </w:p>
    <w:p>
      <w:pPr>
        <w:pStyle w:val="FirstParagraph"/>
        <w:spacing w:after="60"/>
        <w:jc w:val="both"/>
      </w:pPr>
      <w:r>
        <w:rPr>
          <w:b/>
          <w:bCs/>
        </w:rPr>
        <w:t xml:space="preserve">Livro Complementar: disposições finais e transitórias (arts. 1.045 a 1.072).</w:t>
      </w:r>
    </w:p>
    <w:p>
      <w:pPr>
        <w:pStyle w:val="BodyText"/>
        <w:spacing w:after="60"/>
        <w:jc w:val="both"/>
      </w:pPr>
      <w:r>
        <w:rPr>
          <w:b/>
          <w:bCs/>
        </w:rPr>
        <w:t xml:space="preserve">Sem tese própria.</w:t>
      </w:r>
      <w:r>
        <w:t xml:space="preserve"> </w:t>
      </w:r>
      <w:r>
        <w:t xml:space="preserve">O Livro Complementar reúne as disposições finais e transitórias (arts. 1.045 a 1.072). A busca por artigo não localizou, nos acervos consultados, acórdão que enfrente esses dispositivos como razão de decidir: o que aparece são decisões que apenas aplicam o direito intertemporal do Código, sem tese sobre a norma de transição. O bloco fica com o texto legal e as pendências declaradas.</w:t>
      </w:r>
    </w:p>
    <w:bookmarkEnd w:id="12"/>
    <w:bookmarkStart w:id="13" w:name="X37444aeb7e8d3408be9a3008290cc19211b97dc"/>
    <w:p>
      <w:pPr>
        <w:pStyle w:val="Heading1"/>
        <w:pBdr>
          <w:left w:val="single" w:sz="48" w:space="8" w:color="1F3A5F"/>
        </w:pBdr>
        <w:shd w:val="clear" w:color="auto" w:fill="DCE6F2"/>
        <w:spacing w:before="120" w:after="60"/>
        <w:ind w:left="142"/>
      </w:pPr>
      <w:r>
        <w:t xml:space="preserve">3 Quadro de entendimentos vinculantes e de observância obrigatória</w:t>
      </w:r>
    </w:p>
    <w:p>
      <w:pPr>
        <w:pStyle w:val="FirstParagraph"/>
        <w:keepNext/>
        <w:spacing w:after="60"/>
        <w:jc w:val="both"/>
      </w:pPr>
      <w:r>
        <w:t xml:space="preserve">Reúne os entendimentos de eficácia vinculante ou de observância obrigatória localizados, na ordem dos Títulos. O mesmo julgado aparece em mais de um Título quando alcança dispositivos de Títulos diferentes.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10206" w:type="dxa"/>
        <w:tblLayout w:type="fixed"/>
      </w:tblPr>
      <w:tblGrid>
        <w:gridCol w:w="1655"/>
        <w:gridCol w:w="782"/>
        <w:gridCol w:w="1780"/>
        <w:gridCol w:w="2426"/>
        <w:gridCol w:w="1780"/>
        <w:gridCol w:w="1780"/>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Instrumento</w:t>
            </w:r>
          </w:p>
        </w:tc>
        <w:tc>
          <w:tcPr>
            <w:tcW w:type="dxa" w:w="782"/>
            <w:shd w:val="clear" w:color="auto" w:fill="DCE6F2"/>
          </w:tcPr>
          <w:p>
            <w:pPr>
              <w:pStyle w:val="Compact"/>
              <w:keepNext/>
              <w:spacing w:line="276" w:lineRule="auto" w:before="40" w:after="40"/>
            </w:pPr>
            <w:r>
              <w:rPr>
                <w:rFonts w:ascii="Liberation Sans Narrow" w:hAnsi="Liberation Sans Narrow"/>
                <w:b/>
                <w:sz w:val="17"/>
              </w:rPr>
              <w:t xml:space="preserve">Nº</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Órgão</w:t>
            </w:r>
          </w:p>
        </w:tc>
        <w:tc>
          <w:tcPr>
            <w:tcW w:type="dxa" w:w="2426"/>
            <w:shd w:val="clear" w:color="auto" w:fill="DCE6F2"/>
          </w:tcPr>
          <w:p>
            <w:pPr>
              <w:pStyle w:val="Compact"/>
              <w:keepNext/>
              <w:spacing w:line="276" w:lineRule="auto" w:before="40" w:after="40"/>
            </w:pPr>
            <w:r>
              <w:rPr>
                <w:rFonts w:ascii="Liberation Sans Narrow" w:hAnsi="Liberation Sans Narrow"/>
                <w:b/>
                <w:sz w:val="17"/>
              </w:rPr>
              <w:t xml:space="preserve">Tese / enunciado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Artigos do CPC</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Situação</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782"/>
          </w:tcPr>
          <w:p>
            <w:pPr>
              <w:pStyle w:val="Compact"/>
              <w:spacing w:line="276" w:lineRule="auto" w:before="40" w:after="40"/>
            </w:pPr>
            <w:r>
              <w:rPr>
                <w:rFonts w:ascii="Liberation Sans Narrow" w:hAnsi="Liberation Sans Narrow"/>
                <w:sz w:val="17"/>
              </w:rPr>
              <w:t xml:space="preserve">1198</w:t>
            </w:r>
          </w:p>
        </w:tc>
        <w:tc>
          <w:tcPr>
            <w:tcW w:type="dxa" w:w="1780"/>
          </w:tcPr>
          <w:p>
            <w:pPr>
              <w:pStyle w:val="Compact"/>
              <w:spacing w:line="276" w:lineRule="auto" w:before="40" w:after="40"/>
            </w:pPr>
            <w:r>
              <w:rPr>
                <w:rFonts w:ascii="Liberation Sans Narrow" w:hAnsi="Liberation Sans Narrow"/>
                <w:sz w:val="17"/>
              </w:rPr>
              <w:t xml:space="preserve">STJ, Corte Especial</w:t>
            </w:r>
          </w:p>
        </w:tc>
        <w:tc>
          <w:tcPr>
            <w:tcW w:type="dxa" w:w="2426"/>
          </w:tcPr>
          <w:p>
            <w:pPr>
              <w:pStyle w:val="Compact"/>
              <w:spacing w:line="276" w:lineRule="auto" w:before="40" w:after="40"/>
            </w:pPr>
            <w:r>
              <w:rPr>
                <w:rFonts w:ascii="Liberation Sans Narrow" w:hAnsi="Liberation Sans Narrow"/>
                <w:sz w:val="17"/>
              </w:rPr>
              <w:t xml:space="preserve">Constatados indícios de litigância abusiva, o juiz pode exigir, de modo fundamentado e com observância à razoabilidade do caso concreto, a emenda da petição inicial a fim de demonstrar o interesse de agir e a autenticidade da post…</w:t>
            </w:r>
          </w:p>
        </w:tc>
        <w:tc>
          <w:tcPr>
            <w:tcW w:type="dxa" w:w="1780"/>
          </w:tcPr>
          <w:p>
            <w:pPr>
              <w:pStyle w:val="Compact"/>
              <w:spacing w:line="276" w:lineRule="auto" w:before="40" w:after="40"/>
            </w:pPr>
            <w:r>
              <w:rPr>
                <w:rFonts w:ascii="Liberation Sans Narrow" w:hAnsi="Liberation Sans Narrow"/>
                <w:sz w:val="17"/>
              </w:rPr>
              <w:t xml:space="preserve">CPC, arts. 319 a 321</w:t>
            </w:r>
          </w:p>
        </w:tc>
        <w:tc>
          <w:tcPr>
            <w:tcW w:type="dxa" w:w="1780"/>
          </w:tcPr>
          <w:p>
            <w:pPr>
              <w:pStyle w:val="Compact"/>
              <w:spacing w:line="276" w:lineRule="auto" w:before="40" w:after="40"/>
            </w:pPr>
            <w:r>
              <w:rPr>
                <w:rFonts w:ascii="Liberation Sans Narrow" w:hAnsi="Liberation Sans Narrow"/>
                <w:sz w:val="17"/>
              </w:rPr>
              <w:t xml:space="preserve">Acórdão Publicado - RE Pendente</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782"/>
          </w:tcPr>
          <w:p>
            <w:pPr>
              <w:pStyle w:val="Compact"/>
              <w:spacing w:line="276" w:lineRule="auto" w:before="40" w:after="40"/>
            </w:pPr>
            <w:r>
              <w:rPr>
                <w:rFonts w:ascii="Liberation Sans Narrow" w:hAnsi="Liberation Sans Narrow"/>
                <w:sz w:val="17"/>
              </w:rPr>
              <w:t xml:space="preserve">1000</w:t>
            </w:r>
          </w:p>
        </w:tc>
        <w:tc>
          <w:tcPr>
            <w:tcW w:type="dxa" w:w="1780"/>
          </w:tcPr>
          <w:p>
            <w:pPr>
              <w:pStyle w:val="Compact"/>
              <w:spacing w:line="276" w:lineRule="auto" w:before="40" w:after="40"/>
            </w:pPr>
            <w:r>
              <w:rPr>
                <w:rFonts w:ascii="Liberation Sans Narrow" w:hAnsi="Liberation Sans Narrow"/>
                <w:sz w:val="17"/>
              </w:rPr>
              <w:t xml:space="preserve">STJ, Segunda Seção</w:t>
            </w:r>
          </w:p>
        </w:tc>
        <w:tc>
          <w:tcPr>
            <w:tcW w:type="dxa" w:w="2426"/>
          </w:tcPr>
          <w:p>
            <w:pPr>
              <w:pStyle w:val="Compact"/>
              <w:spacing w:line="276" w:lineRule="auto" w:before="40" w:after="40"/>
            </w:pPr>
            <w:r>
              <w:rPr>
                <w:rFonts w:ascii="Liberation Sans Narrow" w:hAnsi="Liberation Sans Narrow"/>
                <w:sz w:val="17"/>
              </w:rPr>
              <w:t xml:space="preserve">Desde que prováveis a existência da relação jurídica entre as partes e de documento ou coisa que se pretende seja exibido, apurada em contraditório prévio, poderá o juiz, após tentativa de busca e apreensão ou outra medida coercit…</w:t>
            </w:r>
          </w:p>
        </w:tc>
        <w:tc>
          <w:tcPr>
            <w:tcW w:type="dxa" w:w="1780"/>
          </w:tcPr>
          <w:p>
            <w:pPr>
              <w:pStyle w:val="Compact"/>
              <w:spacing w:line="276" w:lineRule="auto" w:before="40" w:after="40"/>
            </w:pPr>
            <w:r>
              <w:rPr>
                <w:rFonts w:ascii="Liberation Sans Narrow" w:hAnsi="Liberation Sans Narrow"/>
                <w:sz w:val="17"/>
              </w:rPr>
              <w:t xml:space="preserve">CPC, art. 400, parágrafo único</w:t>
            </w:r>
          </w:p>
        </w:tc>
        <w:tc>
          <w:tcPr>
            <w:tcW w:type="dxa" w:w="1780"/>
          </w:tcPr>
          <w:p>
            <w:pPr>
              <w:pStyle w:val="Compact"/>
              <w:spacing w:line="276" w:lineRule="auto" w:before="40" w:after="40"/>
            </w:pPr>
            <w:r>
              <w:rPr>
                <w:rFonts w:ascii="Liberation Sans Narrow" w:hAnsi="Liberation Sans Narrow"/>
                <w:sz w:val="17"/>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782"/>
          </w:tcPr>
          <w:p>
            <w:pPr>
              <w:pStyle w:val="Compact"/>
              <w:spacing w:line="276" w:lineRule="auto" w:before="40" w:after="40"/>
            </w:pPr>
            <w:r>
              <w:rPr>
                <w:rFonts w:ascii="Liberation Sans Narrow" w:hAnsi="Liberation Sans Narrow"/>
                <w:sz w:val="17"/>
              </w:rPr>
              <w:t xml:space="preserve">1306</w:t>
            </w:r>
          </w:p>
        </w:tc>
        <w:tc>
          <w:tcPr>
            <w:tcW w:type="dxa" w:w="1780"/>
          </w:tcPr>
          <w:p>
            <w:pPr>
              <w:pStyle w:val="Compact"/>
              <w:spacing w:line="276" w:lineRule="auto" w:before="40" w:after="40"/>
            </w:pPr>
            <w:r>
              <w:rPr>
                <w:rFonts w:ascii="Liberation Sans Narrow" w:hAnsi="Liberation Sans Narrow"/>
                <w:sz w:val="17"/>
              </w:rPr>
              <w:t xml:space="preserve">STJ, Corte Especial</w:t>
            </w:r>
          </w:p>
        </w:tc>
        <w:tc>
          <w:tcPr>
            <w:tcW w:type="dxa" w:w="2426"/>
          </w:tcPr>
          <w:p>
            <w:pPr>
              <w:pStyle w:val="Compact"/>
              <w:spacing w:line="276" w:lineRule="auto" w:before="40" w:after="40"/>
            </w:pPr>
            <w:r>
              <w:rPr>
                <w:rFonts w:ascii="Liberation Sans Narrow" w:hAnsi="Liberation Sans Narrow"/>
                <w:sz w:val="17"/>
              </w:rPr>
              <w:t xml:space="preserve">1. A técnica da fundamentação por referência (per relationem) é permitida desde que o julgador, ao reproduzir trechos de decisão anterior (documentos e/ou pareceres) como razões de decidir, enfrente, ainda que de forma sucinta, as…</w:t>
            </w:r>
          </w:p>
        </w:tc>
        <w:tc>
          <w:tcPr>
            <w:tcW w:type="dxa" w:w="1780"/>
          </w:tcPr>
          <w:p>
            <w:pPr>
              <w:pStyle w:val="Compact"/>
              <w:spacing w:line="276" w:lineRule="auto" w:before="40" w:after="40"/>
            </w:pPr>
            <w:r>
              <w:rPr>
                <w:rFonts w:ascii="Liberation Sans Narrow" w:hAnsi="Liberation Sans Narrow"/>
                <w:sz w:val="17"/>
              </w:rPr>
              <w:t xml:space="preserve">CPC, art. 489, § 1º</w:t>
            </w:r>
          </w:p>
        </w:tc>
        <w:tc>
          <w:tcPr>
            <w:tcW w:type="dxa" w:w="1780"/>
          </w:tcPr>
          <w:p>
            <w:pPr>
              <w:pStyle w:val="Compact"/>
              <w:spacing w:line="276" w:lineRule="auto" w:before="40" w:after="40"/>
            </w:pPr>
            <w:r>
              <w:rPr>
                <w:rFonts w:ascii="Liberation Sans Narrow" w:hAnsi="Liberation Sans Narrow"/>
                <w:sz w:val="17"/>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782"/>
          </w:tcPr>
          <w:p>
            <w:pPr>
              <w:pStyle w:val="Compact"/>
              <w:spacing w:line="276" w:lineRule="auto" w:before="40" w:after="40"/>
            </w:pPr>
            <w:r>
              <w:rPr>
                <w:rFonts w:ascii="Liberation Sans Narrow" w:hAnsi="Liberation Sans Narrow"/>
                <w:sz w:val="17"/>
              </w:rPr>
              <w:t xml:space="preserve">1081</w:t>
            </w:r>
          </w:p>
        </w:tc>
        <w:tc>
          <w:tcPr>
            <w:tcW w:type="dxa" w:w="1780"/>
          </w:tcPr>
          <w:p>
            <w:pPr>
              <w:pStyle w:val="Compact"/>
              <w:spacing w:line="276" w:lineRule="auto" w:before="40" w:after="40"/>
            </w:pPr>
            <w:r>
              <w:rPr>
                <w:rFonts w:ascii="Liberation Sans Narrow" w:hAnsi="Liberation Sans Narrow"/>
                <w:sz w:val="17"/>
              </w:rPr>
              <w:t xml:space="preserve">STJ, Corte Especial</w:t>
            </w:r>
          </w:p>
        </w:tc>
        <w:tc>
          <w:tcPr>
            <w:tcW w:type="dxa" w:w="2426"/>
          </w:tcPr>
          <w:p>
            <w:pPr>
              <w:pStyle w:val="Compact"/>
              <w:spacing w:line="276" w:lineRule="auto" w:before="40" w:after="40"/>
            </w:pPr>
            <w:r>
              <w:rPr>
                <w:rFonts w:ascii="Liberation Sans Narrow" w:hAnsi="Liberation Sans Narrow"/>
                <w:sz w:val="17"/>
              </w:rPr>
              <w:t xml:space="preserve">A demanda previdenciária cujo valor da condenação seja aferível por simples cálculos aritméticos, com base nos parâmetros fixados na sentença, deve ser dispensada da remessa necessária quando for possível estimar que não excederá…</w:t>
            </w:r>
          </w:p>
        </w:tc>
        <w:tc>
          <w:tcPr>
            <w:tcW w:type="dxa" w:w="1780"/>
          </w:tcPr>
          <w:p>
            <w:pPr>
              <w:pStyle w:val="Compact"/>
              <w:spacing w:line="276" w:lineRule="auto" w:before="40" w:after="40"/>
            </w:pPr>
            <w:r>
              <w:rPr>
                <w:rFonts w:ascii="Liberation Sans Narrow" w:hAnsi="Liberation Sans Narrow"/>
                <w:sz w:val="17"/>
              </w:rPr>
              <w:t xml:space="preserve">CPC, art. 496, § 3º, I</w:t>
            </w:r>
          </w:p>
        </w:tc>
        <w:tc>
          <w:tcPr>
            <w:tcW w:type="dxa" w:w="1780"/>
          </w:tcPr>
          <w:p>
            <w:pPr>
              <w:pStyle w:val="Compact"/>
              <w:spacing w:line="276" w:lineRule="auto" w:before="40" w:after="40"/>
            </w:pPr>
            <w:r>
              <w:rPr>
                <w:rFonts w:ascii="Liberation Sans Narrow" w:hAnsi="Liberation Sans Narrow"/>
                <w:sz w:val="17"/>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782"/>
          </w:tcPr>
          <w:p>
            <w:pPr>
              <w:pStyle w:val="Compact"/>
              <w:spacing w:line="276" w:lineRule="auto" w:before="40" w:after="40"/>
            </w:pPr>
            <w:r>
              <w:rPr>
                <w:rFonts w:ascii="Liberation Sans Narrow" w:hAnsi="Liberation Sans Narrow"/>
                <w:sz w:val="17"/>
              </w:rPr>
              <w:t xml:space="preserve">1169</w:t>
            </w:r>
          </w:p>
        </w:tc>
        <w:tc>
          <w:tcPr>
            <w:tcW w:type="dxa" w:w="1780"/>
          </w:tcPr>
          <w:p>
            <w:pPr>
              <w:pStyle w:val="Compact"/>
              <w:spacing w:line="276" w:lineRule="auto" w:before="40" w:after="40"/>
            </w:pPr>
            <w:r>
              <w:rPr>
                <w:rFonts w:ascii="Liberation Sans Narrow" w:hAnsi="Liberation Sans Narrow"/>
                <w:sz w:val="17"/>
              </w:rPr>
              <w:t xml:space="preserve">STJ, Primeira Seção</w:t>
            </w:r>
          </w:p>
        </w:tc>
        <w:tc>
          <w:tcPr>
            <w:tcW w:type="dxa" w:w="2426"/>
          </w:tcPr>
          <w:p>
            <w:pPr>
              <w:pStyle w:val="Compact"/>
              <w:spacing w:line="276" w:lineRule="auto" w:before="40" w:after="40"/>
            </w:pPr>
            <w:r>
              <w:rPr>
                <w:rFonts w:ascii="Liberation Sans Narrow" w:hAnsi="Liberation Sans Narrow"/>
                <w:sz w:val="17"/>
              </w:rPr>
              <w:t xml:space="preserve">(i) na execução individual do título formado em processo coletivo em favor de servidores públicos, sempre que demonstrado documentalmente que o exequente legitimado se encontre na situação estabelecida de forma genérica na sentenç…</w:t>
            </w:r>
          </w:p>
        </w:tc>
        <w:tc>
          <w:tcPr>
            <w:tcW w:type="dxa" w:w="1780"/>
          </w:tcPr>
          <w:p>
            <w:pPr>
              <w:pStyle w:val="Compact"/>
              <w:spacing w:line="276" w:lineRule="auto" w:before="40" w:after="40"/>
            </w:pPr>
            <w:r>
              <w:rPr>
                <w:rFonts w:ascii="Liberation Sans Narrow" w:hAnsi="Liberation Sans Narrow"/>
                <w:sz w:val="17"/>
              </w:rPr>
              <w:t xml:space="preserve">CPC, art. 509</w:t>
            </w:r>
          </w:p>
        </w:tc>
        <w:tc>
          <w:tcPr>
            <w:tcW w:type="dxa" w:w="1780"/>
          </w:tcPr>
          <w:p>
            <w:pPr>
              <w:pStyle w:val="Compact"/>
              <w:spacing w:line="276" w:lineRule="auto" w:before="40" w:after="40"/>
            </w:pPr>
            <w:r>
              <w:rPr>
                <w:rFonts w:ascii="Liberation Sans Narrow" w:hAnsi="Liberation Sans Narrow"/>
                <w:sz w:val="17"/>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7"/>
              </w:rPr>
              <w:t xml:space="preserve">Repercussão geral (Tema)</w:t>
            </w:r>
          </w:p>
        </w:tc>
        <w:tc>
          <w:tcPr>
            <w:tcW w:type="dxa" w:w="782"/>
          </w:tcPr>
          <w:p>
            <w:pPr>
              <w:pStyle w:val="Compact"/>
              <w:spacing w:line="276" w:lineRule="auto" w:before="40" w:after="40"/>
            </w:pPr>
            <w:r>
              <w:rPr>
                <w:rFonts w:ascii="Liberation Sans Narrow" w:hAnsi="Liberation Sans Narrow"/>
                <w:sz w:val="17"/>
              </w:rPr>
              <w:t xml:space="preserve">881</w:t>
            </w:r>
          </w:p>
        </w:tc>
        <w:tc>
          <w:tcPr>
            <w:tcW w:type="dxa" w:w="1780"/>
          </w:tcPr>
          <w:p>
            <w:pPr>
              <w:pStyle w:val="Compact"/>
              <w:spacing w:line="276" w:lineRule="auto" w:before="40" w:after="40"/>
            </w:pPr>
            <w:r>
              <w:rPr>
                <w:rFonts w:ascii="Liberation Sans Narrow" w:hAnsi="Liberation Sans Narrow"/>
                <w:sz w:val="17"/>
              </w:rPr>
              <w:t xml:space="preserve">STF, Tribunal Pleno</w:t>
            </w:r>
            <w:r>
              <w:rPr>
                <w:rFonts w:ascii="Liberation Sans Narrow" w:hAnsi="Liberation Sans Narrow"/>
                <w:sz w:val="17"/>
              </w:rPr>
              <w:t xml:space="preserve"> </w:t>
            </w:r>
            <w:r>
              <w:rPr>
                <w:rFonts w:ascii="Liberation Sans Narrow" w:hAnsi="Liberation Sans Narrow"/>
                <w:b/>
                <w:bCs/>
                <w:sz w:val="17"/>
              </w:rPr>
              <w:t xml:space="preserve">[Repositório externo]</w:t>
            </w:r>
          </w:p>
        </w:tc>
        <w:tc>
          <w:tcPr>
            <w:tcW w:type="dxa" w:w="2426"/>
          </w:tcPr>
          <w:p>
            <w:pPr>
              <w:pStyle w:val="Compact"/>
              <w:spacing w:line="276" w:lineRule="auto" w:before="40" w:after="40"/>
            </w:pPr>
            <w:r>
              <w:rPr>
                <w:rFonts w:ascii="Liberation Sans Narrow" w:hAnsi="Liberation Sans Narrow"/>
                <w:sz w:val="17"/>
              </w:rPr>
              <w:t xml:space="preserve">Decisões do STF em controle incidental, anteriores ao regime de repercussão geral, não alteram automaticamente a coisa julgada formada, mesmo nas relações tributárias de trato sucessivo; já as proferidas em ação direta ou em reper…</w:t>
            </w:r>
          </w:p>
        </w:tc>
        <w:tc>
          <w:tcPr>
            <w:tcW w:type="dxa" w:w="1780"/>
          </w:tcPr>
          <w:p>
            <w:pPr>
              <w:pStyle w:val="Compact"/>
              <w:spacing w:line="276" w:lineRule="auto" w:before="40" w:after="40"/>
            </w:pPr>
            <w:r>
              <w:rPr>
                <w:rFonts w:ascii="Liberation Sans Narrow" w:hAnsi="Liberation Sans Narrow"/>
                <w:sz w:val="17"/>
              </w:rPr>
              <w:t xml:space="preserve">CPC, arts. 502 a 508 (art. 505, I)</w:t>
            </w:r>
          </w:p>
        </w:tc>
        <w:tc>
          <w:tcPr>
            <w:tcW w:type="dxa" w:w="1780"/>
          </w:tcPr>
          <w:p>
            <w:pPr>
              <w:pStyle w:val="Compact"/>
              <w:spacing w:line="276" w:lineRule="auto" w:before="40" w:after="40"/>
            </w:pPr>
            <w:r>
              <w:rPr>
                <w:rFonts w:ascii="Liberation Sans Narrow" w:hAnsi="Liberation Sans Narrow"/>
                <w:sz w:val="17"/>
              </w:rPr>
              <w:t xml:space="preserve">Leading case transitado em julgado</w:t>
            </w:r>
          </w:p>
        </w:tc>
      </w:tr>
      <w:tr>
        <w:trPr>
          <w:cantSplit/>
        </w:trPr>
        <w:tc>
          <w:tcPr>
            <w:tcW w:type="dxa" w:w="1655"/>
          </w:tcPr>
          <w:p>
            <w:pPr>
              <w:pStyle w:val="Compact"/>
              <w:spacing w:line="276" w:lineRule="auto" w:before="40" w:after="40"/>
            </w:pPr>
            <w:r>
              <w:rPr>
                <w:rFonts w:ascii="Liberation Sans Narrow" w:hAnsi="Liberation Sans Narrow"/>
                <w:sz w:val="17"/>
              </w:rPr>
              <w:t xml:space="preserve">Repercussão geral (Tema)</w:t>
            </w:r>
          </w:p>
        </w:tc>
        <w:tc>
          <w:tcPr>
            <w:tcW w:type="dxa" w:w="782"/>
          </w:tcPr>
          <w:p>
            <w:pPr>
              <w:pStyle w:val="Compact"/>
              <w:spacing w:line="276" w:lineRule="auto" w:before="40" w:after="40"/>
            </w:pPr>
            <w:r>
              <w:rPr>
                <w:rFonts w:ascii="Liberation Sans Narrow" w:hAnsi="Liberation Sans Narrow"/>
                <w:sz w:val="17"/>
              </w:rPr>
              <w:t xml:space="preserve">885</w:t>
            </w:r>
          </w:p>
        </w:tc>
        <w:tc>
          <w:tcPr>
            <w:tcW w:type="dxa" w:w="1780"/>
          </w:tcPr>
          <w:p>
            <w:pPr>
              <w:pStyle w:val="Compact"/>
              <w:spacing w:line="276" w:lineRule="auto" w:before="40" w:after="40"/>
            </w:pPr>
            <w:r>
              <w:rPr>
                <w:rFonts w:ascii="Liberation Sans Narrow" w:hAnsi="Liberation Sans Narrow"/>
                <w:sz w:val="17"/>
              </w:rPr>
              <w:t xml:space="preserve">STF, Tribunal Pleno</w:t>
            </w:r>
            <w:r>
              <w:rPr>
                <w:rFonts w:ascii="Liberation Sans Narrow" w:hAnsi="Liberation Sans Narrow"/>
                <w:sz w:val="17"/>
              </w:rPr>
              <w:t xml:space="preserve"> </w:t>
            </w:r>
            <w:r>
              <w:rPr>
                <w:rFonts w:ascii="Liberation Sans Narrow" w:hAnsi="Liberation Sans Narrow"/>
                <w:b/>
                <w:bCs/>
                <w:sz w:val="17"/>
              </w:rPr>
              <w:t xml:space="preserve">[Repositório externo]</w:t>
            </w:r>
          </w:p>
        </w:tc>
        <w:tc>
          <w:tcPr>
            <w:tcW w:type="dxa" w:w="2426"/>
          </w:tcPr>
          <w:p>
            <w:pPr>
              <w:pStyle w:val="Compact"/>
              <w:spacing w:line="276" w:lineRule="auto" w:before="40" w:after="40"/>
            </w:pPr>
            <w:r>
              <w:rPr>
                <w:rFonts w:ascii="Liberation Sans Narrow" w:hAnsi="Liberation Sans Narrow"/>
                <w:sz w:val="17"/>
              </w:rPr>
              <w:t xml:space="preserve">Decisões do STF em controle incidental, anteriores ao regime de repercussão geral, não alteram automaticamente a coisa julgada formada, mesmo nas relações tributárias de trato sucessivo; já as proferidas em ação direta ou em reper…</w:t>
            </w:r>
          </w:p>
        </w:tc>
        <w:tc>
          <w:tcPr>
            <w:tcW w:type="dxa" w:w="1780"/>
          </w:tcPr>
          <w:p>
            <w:pPr>
              <w:pStyle w:val="Compact"/>
              <w:spacing w:line="276" w:lineRule="auto" w:before="40" w:after="40"/>
            </w:pPr>
            <w:r>
              <w:rPr>
                <w:rFonts w:ascii="Liberation Sans Narrow" w:hAnsi="Liberation Sans Narrow"/>
                <w:sz w:val="17"/>
              </w:rPr>
              <w:t xml:space="preserve">CPC, arts. 502 a 508 (art. 505, I)</w:t>
            </w:r>
          </w:p>
        </w:tc>
        <w:tc>
          <w:tcPr>
            <w:tcW w:type="dxa" w:w="1780"/>
          </w:tcPr>
          <w:p>
            <w:pPr>
              <w:pStyle w:val="Compact"/>
              <w:spacing w:line="276" w:lineRule="auto" w:before="40" w:after="40"/>
            </w:pPr>
            <w:r>
              <w:rPr>
                <w:rFonts w:ascii="Liberation Sans Narrow" w:hAnsi="Liberation Sans Narrow"/>
                <w:sz w:val="17"/>
              </w:rPr>
              <w:t xml:space="preserve">Leading case transitado em julgado</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782"/>
          </w:tcPr>
          <w:p>
            <w:pPr>
              <w:pStyle w:val="Compact"/>
              <w:spacing w:line="276" w:lineRule="auto" w:before="40" w:after="40"/>
            </w:pPr>
            <w:r>
              <w:rPr>
                <w:rFonts w:ascii="Liberation Sans Narrow" w:hAnsi="Liberation Sans Narrow"/>
                <w:sz w:val="17"/>
              </w:rPr>
              <w:t xml:space="preserve">995</w:t>
            </w:r>
          </w:p>
        </w:tc>
        <w:tc>
          <w:tcPr>
            <w:tcW w:type="dxa" w:w="1780"/>
          </w:tcPr>
          <w:p>
            <w:pPr>
              <w:pStyle w:val="Compact"/>
              <w:spacing w:line="276" w:lineRule="auto" w:before="40" w:after="40"/>
            </w:pPr>
            <w:r>
              <w:rPr>
                <w:rFonts w:ascii="Liberation Sans Narrow" w:hAnsi="Liberation Sans Narrow"/>
                <w:sz w:val="17"/>
              </w:rPr>
              <w:t xml:space="preserve">STJ, Primeira Seção</w:t>
            </w:r>
          </w:p>
        </w:tc>
        <w:tc>
          <w:tcPr>
            <w:tcW w:type="dxa" w:w="2426"/>
          </w:tcPr>
          <w:p>
            <w:pPr>
              <w:pStyle w:val="Compact"/>
              <w:spacing w:line="276" w:lineRule="auto" w:before="40" w:after="40"/>
            </w:pPr>
            <w:r>
              <w:rPr>
                <w:rFonts w:ascii="Liberation Sans Narrow" w:hAnsi="Liberation Sans Narrow"/>
                <w:sz w:val="17"/>
              </w:rPr>
              <w:t xml:space="preserve">É possível a reafirmação da DER (Data de Entrada do Requerimento) para o momento em que implementados os requisitos para a concessão do benefício, mesmo que isso se dê no interstício entre o ajuizamento da ação e a entrega da pres…</w:t>
            </w:r>
          </w:p>
        </w:tc>
        <w:tc>
          <w:tcPr>
            <w:tcW w:type="dxa" w:w="1780"/>
          </w:tcPr>
          <w:p>
            <w:pPr>
              <w:pStyle w:val="Compact"/>
              <w:spacing w:line="276" w:lineRule="auto" w:before="40" w:after="40"/>
            </w:pPr>
            <w:r>
              <w:rPr>
                <w:rFonts w:ascii="Liberation Sans Narrow" w:hAnsi="Liberation Sans Narrow"/>
                <w:sz w:val="17"/>
              </w:rPr>
              <w:t xml:space="preserve">493</w:t>
            </w:r>
          </w:p>
        </w:tc>
        <w:tc>
          <w:tcPr>
            <w:tcW w:type="dxa" w:w="1780"/>
          </w:tcPr>
          <w:p>
            <w:pPr>
              <w:pStyle w:val="Compact"/>
              <w:spacing w:line="276" w:lineRule="auto" w:before="40" w:after="40"/>
            </w:pPr>
            <w:r>
              <w:rPr>
                <w:rFonts w:ascii="Liberation Sans Narrow" w:hAnsi="Liberation Sans Narrow"/>
                <w:sz w:val="17"/>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7"/>
              </w:rPr>
              <w:t xml:space="preserve">Controle concentrado (ADI)</w:t>
            </w:r>
          </w:p>
        </w:tc>
        <w:tc>
          <w:tcPr>
            <w:tcW w:type="dxa" w:w="782"/>
          </w:tcPr>
          <w:p>
            <w:pPr>
              <w:pStyle w:val="Compact"/>
              <w:spacing w:line="276" w:lineRule="auto" w:before="40" w:after="40"/>
            </w:pPr>
            <w:r>
              <w:rPr>
                <w:rFonts w:ascii="Liberation Sans Narrow" w:hAnsi="Liberation Sans Narrow"/>
                <w:sz w:val="17"/>
              </w:rPr>
              <w:t xml:space="preserve">5534</w:t>
            </w:r>
          </w:p>
        </w:tc>
        <w:tc>
          <w:tcPr>
            <w:tcW w:type="dxa" w:w="1780"/>
          </w:tcPr>
          <w:p>
            <w:pPr>
              <w:pStyle w:val="Compact"/>
              <w:spacing w:line="276" w:lineRule="auto" w:before="40" w:after="40"/>
            </w:pPr>
            <w:r>
              <w:rPr>
                <w:rFonts w:ascii="Liberation Sans Narrow" w:hAnsi="Liberation Sans Narrow"/>
                <w:sz w:val="17"/>
              </w:rPr>
              <w:t xml:space="preserve">STF, Tribunal Pleno</w:t>
            </w:r>
            <w:r>
              <w:rPr>
                <w:rFonts w:ascii="Liberation Sans Narrow" w:hAnsi="Liberation Sans Narrow"/>
                <w:sz w:val="17"/>
              </w:rPr>
              <w:t xml:space="preserve"> </w:t>
            </w:r>
            <w:r>
              <w:rPr>
                <w:rFonts w:ascii="Liberation Sans Narrow" w:hAnsi="Liberation Sans Narrow"/>
                <w:b/>
                <w:bCs/>
                <w:sz w:val="17"/>
              </w:rPr>
              <w:t xml:space="preserve">[Repositório externo]</w:t>
            </w:r>
          </w:p>
        </w:tc>
        <w:tc>
          <w:tcPr>
            <w:tcW w:type="dxa" w:w="2426"/>
          </w:tcPr>
          <w:p>
            <w:pPr>
              <w:pStyle w:val="Compact"/>
              <w:spacing w:line="276" w:lineRule="auto" w:before="40" w:after="40"/>
            </w:pPr>
            <w:r>
              <w:rPr>
                <w:rFonts w:ascii="Liberation Sans Narrow" w:hAnsi="Liberation Sans Narrow"/>
                <w:sz w:val="17"/>
              </w:rPr>
              <w:t xml:space="preserve">Art. 535, § 3º, II, constitucional (competência da União para fixar o prazo de pagamento da RPV); art. 535, § 4º, com interpretação conforme: para o regime de pagamento do valor incontroverso, observa-se o valor total da condenação.</w:t>
            </w:r>
          </w:p>
        </w:tc>
        <w:tc>
          <w:tcPr>
            <w:tcW w:type="dxa" w:w="1780"/>
          </w:tcPr>
          <w:p>
            <w:pPr>
              <w:pStyle w:val="Compact"/>
              <w:spacing w:line="276" w:lineRule="auto" w:before="40" w:after="40"/>
            </w:pPr>
            <w:r>
              <w:rPr>
                <w:rFonts w:ascii="Liberation Sans Narrow" w:hAnsi="Liberation Sans Narrow"/>
                <w:sz w:val="17"/>
              </w:rPr>
              <w:t xml:space="preserve">CPC, art. 535, §§ 3º, II, e 4º</w:t>
            </w:r>
          </w:p>
        </w:tc>
        <w:tc>
          <w:tcPr>
            <w:tcW w:type="dxa" w:w="1780"/>
          </w:tcPr>
          <w:p>
            <w:pPr>
              <w:pStyle w:val="Compact"/>
              <w:spacing w:line="276" w:lineRule="auto" w:before="40" w:after="40"/>
            </w:pPr>
            <w:r>
              <w:rPr>
                <w:rFonts w:ascii="Liberation Sans Narrow" w:hAnsi="Liberation Sans Narrow"/>
                <w:sz w:val="17"/>
              </w:rPr>
              <w:t xml:space="preserve">Julgada parcialmente procedente</w:t>
            </w:r>
          </w:p>
        </w:tc>
      </w:tr>
      <w:tr>
        <w:trPr>
          <w:cantSplit/>
        </w:trPr>
        <w:tc>
          <w:tcPr>
            <w:tcW w:type="dxa" w:w="1655"/>
          </w:tcPr>
          <w:p>
            <w:pPr>
              <w:pStyle w:val="Compact"/>
              <w:spacing w:line="276" w:lineRule="auto" w:before="40" w:after="40"/>
            </w:pPr>
            <w:r>
              <w:rPr>
                <w:rFonts w:ascii="Liberation Sans Narrow" w:hAnsi="Liberation Sans Narrow"/>
                <w:sz w:val="17"/>
              </w:rPr>
              <w:t xml:space="preserve">Controle concentrado (ADI)</w:t>
            </w:r>
          </w:p>
        </w:tc>
        <w:tc>
          <w:tcPr>
            <w:tcW w:type="dxa" w:w="782"/>
          </w:tcPr>
          <w:p>
            <w:pPr>
              <w:pStyle w:val="Compact"/>
              <w:spacing w:line="276" w:lineRule="auto" w:before="40" w:after="40"/>
            </w:pPr>
            <w:r>
              <w:rPr>
                <w:rFonts w:ascii="Liberation Sans Narrow" w:hAnsi="Liberation Sans Narrow"/>
                <w:sz w:val="17"/>
              </w:rPr>
              <w:t xml:space="preserve">5492</w:t>
            </w:r>
          </w:p>
        </w:tc>
        <w:tc>
          <w:tcPr>
            <w:tcW w:type="dxa" w:w="1780"/>
          </w:tcPr>
          <w:p>
            <w:pPr>
              <w:pStyle w:val="Compact"/>
              <w:spacing w:line="276" w:lineRule="auto" w:before="40" w:after="40"/>
            </w:pPr>
            <w:r>
              <w:rPr>
                <w:rFonts w:ascii="Liberation Sans Narrow" w:hAnsi="Liberation Sans Narrow"/>
                <w:sz w:val="17"/>
              </w:rPr>
              <w:t xml:space="preserve">STF, Tribunal Pleno</w:t>
            </w:r>
            <w:r>
              <w:rPr>
                <w:rFonts w:ascii="Liberation Sans Narrow" w:hAnsi="Liberation Sans Narrow"/>
                <w:sz w:val="17"/>
              </w:rPr>
              <w:t xml:space="preserve"> </w:t>
            </w:r>
            <w:r>
              <w:rPr>
                <w:rFonts w:ascii="Liberation Sans Narrow" w:hAnsi="Liberation Sans Narrow"/>
                <w:b/>
                <w:bCs/>
                <w:sz w:val="17"/>
              </w:rPr>
              <w:t xml:space="preserve">[Repositório externo]</w:t>
            </w:r>
          </w:p>
        </w:tc>
        <w:tc>
          <w:tcPr>
            <w:tcW w:type="dxa" w:w="2426"/>
          </w:tcPr>
          <w:p>
            <w:pPr>
              <w:pStyle w:val="Compact"/>
              <w:spacing w:line="276" w:lineRule="auto" w:before="40" w:after="40"/>
            </w:pPr>
            <w:r>
              <w:rPr>
                <w:rFonts w:ascii="Liberation Sans Narrow" w:hAnsi="Liberation Sans Narrow"/>
                <w:sz w:val="17"/>
              </w:rPr>
              <w:t xml:space="preserve">Inconstitucional a expressão</w:t>
            </w:r>
            <w:r>
              <w:rPr>
                <w:rFonts w:ascii="Liberation Sans Narrow" w:hAnsi="Liberation Sans Narrow"/>
                <w:sz w:val="17"/>
              </w:rPr>
              <w:t xml:space="preserve"> </w:t>
            </w:r>
            <w:r>
              <w:rPr>
                <w:rFonts w:ascii="Liberation Sans Narrow" w:hAnsi="Liberation Sans Narrow"/>
                <w:sz w:val="17"/>
              </w:rPr>
              <w:t xml:space="preserve">“de banco oficial”</w:t>
            </w:r>
            <w:r>
              <w:rPr>
                <w:rFonts w:ascii="Liberation Sans Narrow" w:hAnsi="Liberation Sans Narrow"/>
                <w:sz w:val="17"/>
              </w:rPr>
              <w:t xml:space="preserve"> </w:t>
            </w:r>
            <w:r>
              <w:rPr>
                <w:rFonts w:ascii="Liberation Sans Narrow" w:hAnsi="Liberation Sans Narrow"/>
                <w:sz w:val="17"/>
              </w:rPr>
              <w:t xml:space="preserve">do art. 535, § 3º, II; a</w:t>
            </w:r>
            <w:r>
              <w:rPr>
                <w:rFonts w:ascii="Liberation Sans Narrow" w:hAnsi="Liberation Sans Narrow"/>
                <w:sz w:val="17"/>
              </w:rPr>
              <w:t xml:space="preserve"> </w:t>
            </w:r>
            <w:r>
              <w:rPr>
                <w:rFonts w:ascii="Liberation Sans Narrow" w:hAnsi="Liberation Sans Narrow"/>
                <w:sz w:val="17"/>
              </w:rPr>
              <w:t xml:space="preserve">“agência”</w:t>
            </w:r>
            <w:r>
              <w:rPr>
                <w:rFonts w:ascii="Liberation Sans Narrow" w:hAnsi="Liberation Sans Narrow"/>
                <w:sz w:val="17"/>
              </w:rPr>
              <w:t xml:space="preserve"> </w:t>
            </w:r>
            <w:r>
              <w:rPr>
                <w:rFonts w:ascii="Liberation Sans Narrow" w:hAnsi="Liberation Sans Narrow"/>
                <w:sz w:val="17"/>
              </w:rPr>
              <w:t xml:space="preserve">pode ser de instituição financeira pública ou privada.</w:t>
            </w:r>
          </w:p>
        </w:tc>
        <w:tc>
          <w:tcPr>
            <w:tcW w:type="dxa" w:w="1780"/>
          </w:tcPr>
          <w:p>
            <w:pPr>
              <w:pStyle w:val="Compact"/>
              <w:spacing w:line="276" w:lineRule="auto" w:before="40" w:after="40"/>
            </w:pPr>
            <w:r>
              <w:rPr>
                <w:rFonts w:ascii="Liberation Sans Narrow" w:hAnsi="Liberation Sans Narrow"/>
                <w:sz w:val="17"/>
              </w:rPr>
              <w:t xml:space="preserve">CPC, art. 535, § 3º, II (e arts. 46, § 5º, 52, p.ú., e 840, I)</w:t>
            </w:r>
          </w:p>
        </w:tc>
        <w:tc>
          <w:tcPr>
            <w:tcW w:type="dxa" w:w="1780"/>
          </w:tcPr>
          <w:p>
            <w:pPr>
              <w:pStyle w:val="Compact"/>
              <w:spacing w:line="276" w:lineRule="auto" w:before="40" w:after="40"/>
            </w:pPr>
            <w:r>
              <w:rPr>
                <w:rFonts w:ascii="Liberation Sans Narrow" w:hAnsi="Liberation Sans Narrow"/>
                <w:sz w:val="17"/>
              </w:rPr>
              <w:t xml:space="preserve">Julgada parcialmente procedente</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782"/>
          </w:tcPr>
          <w:p>
            <w:pPr>
              <w:pStyle w:val="Compact"/>
              <w:spacing w:line="276" w:lineRule="auto" w:before="40" w:after="40"/>
            </w:pPr>
            <w:r>
              <w:rPr>
                <w:rFonts w:ascii="Liberation Sans Narrow" w:hAnsi="Liberation Sans Narrow"/>
                <w:sz w:val="17"/>
              </w:rPr>
              <w:t xml:space="preserve">889</w:t>
            </w:r>
          </w:p>
        </w:tc>
        <w:tc>
          <w:tcPr>
            <w:tcW w:type="dxa" w:w="1780"/>
          </w:tcPr>
          <w:p>
            <w:pPr>
              <w:pStyle w:val="Compact"/>
              <w:spacing w:line="276" w:lineRule="auto" w:before="40" w:after="40"/>
            </w:pPr>
            <w:r>
              <w:rPr>
                <w:rFonts w:ascii="Liberation Sans Narrow" w:hAnsi="Liberation Sans Narrow"/>
                <w:sz w:val="17"/>
              </w:rPr>
              <w:t xml:space="preserve">STJ, Corte Especial</w:t>
            </w:r>
          </w:p>
        </w:tc>
        <w:tc>
          <w:tcPr>
            <w:tcW w:type="dxa" w:w="2426"/>
          </w:tcPr>
          <w:p>
            <w:pPr>
              <w:pStyle w:val="Compact"/>
              <w:spacing w:line="276" w:lineRule="auto" w:before="40" w:after="40"/>
            </w:pPr>
            <w:r>
              <w:rPr>
                <w:rFonts w:ascii="Liberation Sans Narrow" w:hAnsi="Liberation Sans Narrow"/>
                <w:sz w:val="17"/>
              </w:rPr>
              <w:t xml:space="preserve">A sentença, qualquer que seja sua natureza, de procedência ou improcedência do pedido, constitui título executivo judicial, desde que estabeleça obrigação de pagar quantia, de fazer, não fazer ou entregar coisa, admitida sua prévi…</w:t>
            </w:r>
          </w:p>
        </w:tc>
        <w:tc>
          <w:tcPr>
            <w:tcW w:type="dxa" w:w="1780"/>
          </w:tcPr>
          <w:p>
            <w:pPr>
              <w:pStyle w:val="Compact"/>
              <w:spacing w:line="276" w:lineRule="auto" w:before="40" w:after="40"/>
            </w:pPr>
            <w:r>
              <w:rPr>
                <w:rFonts w:ascii="Liberation Sans Narrow" w:hAnsi="Liberation Sans Narrow"/>
                <w:sz w:val="17"/>
              </w:rPr>
              <w:t xml:space="preserve">CPC, art. 515, I</w:t>
            </w:r>
          </w:p>
        </w:tc>
        <w:tc>
          <w:tcPr>
            <w:tcW w:type="dxa" w:w="1780"/>
          </w:tcPr>
          <w:p>
            <w:pPr>
              <w:pStyle w:val="Compact"/>
              <w:spacing w:line="276" w:lineRule="auto" w:before="40" w:after="40"/>
            </w:pPr>
            <w:r>
              <w:rPr>
                <w:rFonts w:ascii="Liberation Sans Narrow" w:hAnsi="Liberation Sans Narrow"/>
                <w:sz w:val="17"/>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782"/>
          </w:tcPr>
          <w:p>
            <w:pPr>
              <w:pStyle w:val="Compact"/>
              <w:spacing w:line="276" w:lineRule="auto" w:before="40" w:after="40"/>
            </w:pPr>
            <w:r>
              <w:rPr>
                <w:rFonts w:ascii="Liberation Sans Narrow" w:hAnsi="Liberation Sans Narrow"/>
                <w:sz w:val="17"/>
              </w:rPr>
              <w:t xml:space="preserve">1232</w:t>
            </w:r>
          </w:p>
        </w:tc>
        <w:tc>
          <w:tcPr>
            <w:tcW w:type="dxa" w:w="1780"/>
          </w:tcPr>
          <w:p>
            <w:pPr>
              <w:pStyle w:val="Compact"/>
              <w:spacing w:line="276" w:lineRule="auto" w:before="40" w:after="40"/>
            </w:pPr>
            <w:r>
              <w:rPr>
                <w:rFonts w:ascii="Liberation Sans Narrow" w:hAnsi="Liberation Sans Narrow"/>
                <w:sz w:val="17"/>
              </w:rPr>
              <w:t xml:space="preserve">STJ, Primeira Seção</w:t>
            </w:r>
          </w:p>
        </w:tc>
        <w:tc>
          <w:tcPr>
            <w:tcW w:type="dxa" w:w="2426"/>
          </w:tcPr>
          <w:p>
            <w:pPr>
              <w:pStyle w:val="Compact"/>
              <w:spacing w:line="276" w:lineRule="auto" w:before="40" w:after="40"/>
            </w:pPr>
            <w:r>
              <w:rPr>
                <w:rFonts w:ascii="Liberation Sans Narrow" w:hAnsi="Liberation Sans Narrow"/>
                <w:sz w:val="17"/>
              </w:rPr>
              <w:t xml:space="preserve">Nos termos do art. 25 da Lei n. 12.016/2009, não se revela cabível a fixação de honorários de sucumbência em cumprimento de sentença proferida em mandado de segurança individual, ainda que dela resultem efeitos patrimoniais a sere…</w:t>
            </w:r>
          </w:p>
        </w:tc>
        <w:tc>
          <w:tcPr>
            <w:tcW w:type="dxa" w:w="1780"/>
          </w:tcPr>
          <w:p>
            <w:pPr>
              <w:pStyle w:val="Compact"/>
              <w:spacing w:line="276" w:lineRule="auto" w:before="40" w:after="40"/>
            </w:pPr>
            <w:r>
              <w:rPr>
                <w:rFonts w:ascii="Liberation Sans Narrow" w:hAnsi="Liberation Sans Narrow"/>
                <w:sz w:val="17"/>
              </w:rPr>
              <w:t xml:space="preserve">CPC, art. 523; Lei 12.016/2009, art. 25</w:t>
            </w:r>
          </w:p>
        </w:tc>
        <w:tc>
          <w:tcPr>
            <w:tcW w:type="dxa" w:w="1780"/>
          </w:tcPr>
          <w:p>
            <w:pPr>
              <w:pStyle w:val="Compact"/>
              <w:spacing w:line="276" w:lineRule="auto" w:before="40" w:after="40"/>
            </w:pPr>
            <w:r>
              <w:rPr>
                <w:rFonts w:ascii="Liberation Sans Narrow" w:hAnsi="Liberation Sans Narrow"/>
                <w:sz w:val="17"/>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782"/>
          </w:tcPr>
          <w:p>
            <w:pPr>
              <w:pStyle w:val="Compact"/>
              <w:spacing w:line="276" w:lineRule="auto" w:before="40" w:after="40"/>
            </w:pPr>
            <w:r>
              <w:rPr>
                <w:rFonts w:ascii="Liberation Sans Narrow" w:hAnsi="Liberation Sans Narrow"/>
                <w:sz w:val="17"/>
              </w:rPr>
              <w:t xml:space="preserve">1235</w:t>
            </w:r>
          </w:p>
        </w:tc>
        <w:tc>
          <w:tcPr>
            <w:tcW w:type="dxa" w:w="1780"/>
          </w:tcPr>
          <w:p>
            <w:pPr>
              <w:pStyle w:val="Compact"/>
              <w:spacing w:line="276" w:lineRule="auto" w:before="40" w:after="40"/>
            </w:pPr>
            <w:r>
              <w:rPr>
                <w:rFonts w:ascii="Liberation Sans Narrow" w:hAnsi="Liberation Sans Narrow"/>
                <w:sz w:val="17"/>
              </w:rPr>
              <w:t xml:space="preserve">STJ, Corte Especial</w:t>
            </w:r>
          </w:p>
        </w:tc>
        <w:tc>
          <w:tcPr>
            <w:tcW w:type="dxa" w:w="2426"/>
          </w:tcPr>
          <w:p>
            <w:pPr>
              <w:pStyle w:val="Compact"/>
              <w:spacing w:line="276" w:lineRule="auto" w:before="40" w:after="40"/>
            </w:pPr>
            <w:r>
              <w:rPr>
                <w:rFonts w:ascii="Liberation Sans Narrow" w:hAnsi="Liberation Sans Narrow"/>
                <w:sz w:val="17"/>
              </w:rPr>
              <w:t xml:space="preserve">A impenhorabilidade de quantia inferior a 40 salários mínimos (art. 833, X, do CPC) não é matéria de ordem pública e não pode ser reconhecida de ofício pelo juiz, devendo ser arguida pelo executado no primeiro momento em que lhe c…</w:t>
            </w:r>
          </w:p>
        </w:tc>
        <w:tc>
          <w:tcPr>
            <w:tcW w:type="dxa" w:w="1780"/>
          </w:tcPr>
          <w:p>
            <w:pPr>
              <w:pStyle w:val="Compact"/>
              <w:spacing w:line="276" w:lineRule="auto" w:before="40" w:after="40"/>
            </w:pPr>
            <w:r>
              <w:rPr>
                <w:rFonts w:ascii="Liberation Sans Narrow" w:hAnsi="Liberation Sans Narrow"/>
                <w:sz w:val="17"/>
              </w:rPr>
              <w:t xml:space="preserve">CPC, arts. 525 e 833, X</w:t>
            </w:r>
          </w:p>
        </w:tc>
        <w:tc>
          <w:tcPr>
            <w:tcW w:type="dxa" w:w="1780"/>
          </w:tcPr>
          <w:p>
            <w:pPr>
              <w:pStyle w:val="Compact"/>
              <w:spacing w:line="276" w:lineRule="auto" w:before="40" w:after="40"/>
            </w:pPr>
            <w:r>
              <w:rPr>
                <w:rFonts w:ascii="Liberation Sans Narrow" w:hAnsi="Liberation Sans Narrow"/>
                <w:sz w:val="17"/>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782"/>
          </w:tcPr>
          <w:p>
            <w:pPr>
              <w:pStyle w:val="Compact"/>
              <w:spacing w:line="276" w:lineRule="auto" w:before="40" w:after="40"/>
            </w:pPr>
            <w:r>
              <w:rPr>
                <w:rFonts w:ascii="Liberation Sans Narrow" w:hAnsi="Liberation Sans Narrow"/>
                <w:sz w:val="17"/>
              </w:rPr>
              <w:t xml:space="preserve">677</w:t>
            </w:r>
          </w:p>
        </w:tc>
        <w:tc>
          <w:tcPr>
            <w:tcW w:type="dxa" w:w="1780"/>
          </w:tcPr>
          <w:p>
            <w:pPr>
              <w:pStyle w:val="Compact"/>
              <w:spacing w:line="276" w:lineRule="auto" w:before="40" w:after="40"/>
            </w:pPr>
            <w:r>
              <w:rPr>
                <w:rFonts w:ascii="Liberation Sans Narrow" w:hAnsi="Liberation Sans Narrow"/>
                <w:sz w:val="17"/>
              </w:rPr>
              <w:t xml:space="preserve">STJ, Corte Especial</w:t>
            </w:r>
          </w:p>
        </w:tc>
        <w:tc>
          <w:tcPr>
            <w:tcW w:type="dxa" w:w="2426"/>
          </w:tcPr>
          <w:p>
            <w:pPr>
              <w:pStyle w:val="Compact"/>
              <w:spacing w:line="276" w:lineRule="auto" w:before="40" w:after="40"/>
            </w:pPr>
            <w:r>
              <w:rPr>
                <w:rFonts w:ascii="Liberation Sans Narrow" w:hAnsi="Liberation Sans Narrow"/>
                <w:sz w:val="17"/>
              </w:rPr>
              <w:t xml:space="preserve">Na execução, o depósito efetuado a título de garantia do juízo ou decorrente da penhora de ativos financeiros não isenta o devedor do pagamento dos consectários de sua mora, conforme previstos no título executivo, devendo-se, quan…</w:t>
            </w:r>
          </w:p>
        </w:tc>
        <w:tc>
          <w:tcPr>
            <w:tcW w:type="dxa" w:w="1780"/>
          </w:tcPr>
          <w:p>
            <w:pPr>
              <w:pStyle w:val="Compact"/>
              <w:spacing w:line="276" w:lineRule="auto" w:before="40" w:after="40"/>
            </w:pPr>
            <w:r>
              <w:rPr>
                <w:rFonts w:ascii="Liberation Sans Narrow" w:hAnsi="Liberation Sans Narrow"/>
                <w:sz w:val="17"/>
              </w:rPr>
              <w:t xml:space="preserve">CPC, arts. 523 e 526</w:t>
            </w:r>
          </w:p>
        </w:tc>
        <w:tc>
          <w:tcPr>
            <w:tcW w:type="dxa" w:w="1780"/>
          </w:tcPr>
          <w:p>
            <w:pPr>
              <w:pStyle w:val="Compact"/>
              <w:spacing w:line="276" w:lineRule="auto" w:before="40" w:after="40"/>
            </w:pPr>
            <w:r>
              <w:rPr>
                <w:rFonts w:ascii="Liberation Sans Narrow" w:hAnsi="Liberation Sans Narrow"/>
                <w:sz w:val="17"/>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782"/>
          </w:tcPr>
          <w:p>
            <w:pPr>
              <w:pStyle w:val="Compact"/>
              <w:spacing w:line="276" w:lineRule="auto" w:before="40" w:after="40"/>
            </w:pPr>
            <w:r>
              <w:rPr>
                <w:rFonts w:ascii="Liberation Sans Narrow" w:hAnsi="Liberation Sans Narrow"/>
                <w:sz w:val="17"/>
              </w:rPr>
              <w:t xml:space="preserve">1029</w:t>
            </w:r>
          </w:p>
        </w:tc>
        <w:tc>
          <w:tcPr>
            <w:tcW w:type="dxa" w:w="1780"/>
          </w:tcPr>
          <w:p>
            <w:pPr>
              <w:pStyle w:val="Compact"/>
              <w:spacing w:line="276" w:lineRule="auto" w:before="40" w:after="40"/>
            </w:pPr>
            <w:r>
              <w:rPr>
                <w:rFonts w:ascii="Liberation Sans Narrow" w:hAnsi="Liberation Sans Narrow"/>
                <w:sz w:val="17"/>
              </w:rPr>
              <w:t xml:space="preserve">STJ, Primeira Seção</w:t>
            </w:r>
          </w:p>
        </w:tc>
        <w:tc>
          <w:tcPr>
            <w:tcW w:type="dxa" w:w="2426"/>
          </w:tcPr>
          <w:p>
            <w:pPr>
              <w:pStyle w:val="Compact"/>
              <w:spacing w:line="276" w:lineRule="auto" w:before="40" w:after="40"/>
            </w:pPr>
            <w:r>
              <w:rPr>
                <w:rFonts w:ascii="Liberation Sans Narrow" w:hAnsi="Liberation Sans Narrow"/>
                <w:sz w:val="17"/>
              </w:rPr>
              <w:t xml:space="preserve">Não é possível propor nos Juizados Especiais da Fazenda Pública a execução de título executivo formado em Ação Coletiva que tramitou sob o rito ordinário, assim como impor o rito sumaríssimo da Lei 12.153/2009 ao juízo comum da ex…</w:t>
            </w:r>
          </w:p>
        </w:tc>
        <w:tc>
          <w:tcPr>
            <w:tcW w:type="dxa" w:w="1780"/>
          </w:tcPr>
          <w:p>
            <w:pPr>
              <w:pStyle w:val="Compact"/>
              <w:spacing w:line="276" w:lineRule="auto" w:before="40" w:after="40"/>
            </w:pPr>
            <w:r>
              <w:rPr>
                <w:rFonts w:ascii="Liberation Sans Narrow" w:hAnsi="Liberation Sans Narrow"/>
                <w:sz w:val="17"/>
              </w:rPr>
              <w:t xml:space="preserve">CPC, arts. 516, 534 e 535</w:t>
            </w:r>
          </w:p>
        </w:tc>
        <w:tc>
          <w:tcPr>
            <w:tcW w:type="dxa" w:w="1780"/>
          </w:tcPr>
          <w:p>
            <w:pPr>
              <w:pStyle w:val="Compact"/>
              <w:spacing w:line="276" w:lineRule="auto" w:before="40" w:after="40"/>
            </w:pPr>
            <w:r>
              <w:rPr>
                <w:rFonts w:ascii="Liberation Sans Narrow" w:hAnsi="Liberation Sans Narrow"/>
                <w:sz w:val="17"/>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782"/>
          </w:tcPr>
          <w:p>
            <w:pPr>
              <w:pStyle w:val="Compact"/>
              <w:spacing w:line="276" w:lineRule="auto" w:before="40" w:after="40"/>
            </w:pPr>
            <w:r>
              <w:rPr>
                <w:rFonts w:ascii="Liberation Sans Narrow" w:hAnsi="Liberation Sans Narrow"/>
                <w:sz w:val="17"/>
              </w:rPr>
              <w:t xml:space="preserve">1190</w:t>
            </w:r>
          </w:p>
        </w:tc>
        <w:tc>
          <w:tcPr>
            <w:tcW w:type="dxa" w:w="1780"/>
          </w:tcPr>
          <w:p>
            <w:pPr>
              <w:pStyle w:val="Compact"/>
              <w:spacing w:line="276" w:lineRule="auto" w:before="40" w:after="40"/>
            </w:pPr>
            <w:r>
              <w:rPr>
                <w:rFonts w:ascii="Liberation Sans Narrow" w:hAnsi="Liberation Sans Narrow"/>
                <w:sz w:val="17"/>
              </w:rPr>
              <w:t xml:space="preserve">STJ, Primeira Seção</w:t>
            </w:r>
          </w:p>
        </w:tc>
        <w:tc>
          <w:tcPr>
            <w:tcW w:type="dxa" w:w="2426"/>
          </w:tcPr>
          <w:p>
            <w:pPr>
              <w:pStyle w:val="Compact"/>
              <w:spacing w:line="276" w:lineRule="auto" w:before="40" w:after="40"/>
            </w:pPr>
            <w:r>
              <w:rPr>
                <w:rFonts w:ascii="Liberation Sans Narrow" w:hAnsi="Liberation Sans Narrow"/>
                <w:sz w:val="17"/>
              </w:rPr>
              <w:t xml:space="preserve">Na ausência de impugnação à pretensão executória, não são devidos honorários advocatícios sucumbenciais em cumprimento de sentença contra a Fazenda Pública, ainda que o crédito esteja submetido a pagamento por meio de Requisição d…</w:t>
            </w:r>
          </w:p>
        </w:tc>
        <w:tc>
          <w:tcPr>
            <w:tcW w:type="dxa" w:w="1780"/>
          </w:tcPr>
          <w:p>
            <w:pPr>
              <w:pStyle w:val="Compact"/>
              <w:spacing w:line="276" w:lineRule="auto" w:before="40" w:after="40"/>
            </w:pPr>
            <w:r>
              <w:rPr>
                <w:rFonts w:ascii="Liberation Sans Narrow" w:hAnsi="Liberation Sans Narrow"/>
                <w:sz w:val="17"/>
              </w:rPr>
              <w:t xml:space="preserve">CPC, arts. 534 e 535</w:t>
            </w:r>
          </w:p>
        </w:tc>
        <w:tc>
          <w:tcPr>
            <w:tcW w:type="dxa" w:w="1780"/>
          </w:tcPr>
          <w:p>
            <w:pPr>
              <w:pStyle w:val="Compact"/>
              <w:spacing w:line="276" w:lineRule="auto" w:before="40" w:after="40"/>
            </w:pPr>
            <w:r>
              <w:rPr>
                <w:rFonts w:ascii="Liberation Sans Narrow" w:hAnsi="Liberation Sans Narrow"/>
                <w:sz w:val="17"/>
              </w:rPr>
              <w:t xml:space="preserve">Acórdão Publicado - RE Pendente</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782"/>
          </w:tcPr>
          <w:p>
            <w:pPr>
              <w:pStyle w:val="Compact"/>
              <w:spacing w:line="276" w:lineRule="auto" w:before="40" w:after="40"/>
            </w:pPr>
            <w:r>
              <w:rPr>
                <w:rFonts w:ascii="Liberation Sans Narrow" w:hAnsi="Liberation Sans Narrow"/>
                <w:sz w:val="17"/>
              </w:rPr>
              <w:t xml:space="preserve">1311</w:t>
            </w:r>
          </w:p>
        </w:tc>
        <w:tc>
          <w:tcPr>
            <w:tcW w:type="dxa" w:w="1780"/>
          </w:tcPr>
          <w:p>
            <w:pPr>
              <w:pStyle w:val="Compact"/>
              <w:spacing w:line="276" w:lineRule="auto" w:before="40" w:after="40"/>
            </w:pPr>
            <w:r>
              <w:rPr>
                <w:rFonts w:ascii="Liberation Sans Narrow" w:hAnsi="Liberation Sans Narrow"/>
                <w:sz w:val="17"/>
              </w:rPr>
              <w:t xml:space="preserve">STJ, Primeira Seção</w:t>
            </w:r>
          </w:p>
        </w:tc>
        <w:tc>
          <w:tcPr>
            <w:tcW w:type="dxa" w:w="2426"/>
          </w:tcPr>
          <w:p>
            <w:pPr>
              <w:pStyle w:val="Compact"/>
              <w:spacing w:line="276" w:lineRule="auto" w:before="40" w:after="40"/>
            </w:pPr>
            <w:r>
              <w:rPr>
                <w:rFonts w:ascii="Liberation Sans Narrow" w:hAnsi="Liberation Sans Narrow"/>
                <w:sz w:val="17"/>
              </w:rPr>
              <w:t xml:space="preserve">O curso do prazo prescricional da obrigação de pagar quantia certa pela fazenda pública não é suspenso durante o cumprimento da obrigação de implantar em folha de pagamento imposta na mesma sentença.</w:t>
            </w:r>
          </w:p>
        </w:tc>
        <w:tc>
          <w:tcPr>
            <w:tcW w:type="dxa" w:w="1780"/>
          </w:tcPr>
          <w:p>
            <w:pPr>
              <w:pStyle w:val="Compact"/>
              <w:spacing w:line="276" w:lineRule="auto" w:before="40" w:after="40"/>
            </w:pPr>
            <w:r>
              <w:rPr>
                <w:rFonts w:ascii="Liberation Sans Narrow" w:hAnsi="Liberation Sans Narrow"/>
                <w:sz w:val="17"/>
              </w:rPr>
              <w:t xml:space="preserve">CPC, arts. 534 e 535</w:t>
            </w:r>
          </w:p>
        </w:tc>
        <w:tc>
          <w:tcPr>
            <w:tcW w:type="dxa" w:w="1780"/>
          </w:tcPr>
          <w:p>
            <w:pPr>
              <w:pStyle w:val="Compact"/>
              <w:spacing w:line="276" w:lineRule="auto" w:before="40" w:after="40"/>
            </w:pPr>
            <w:r>
              <w:rPr>
                <w:rFonts w:ascii="Liberation Sans Narrow" w:hAnsi="Liberation Sans Narrow"/>
                <w:sz w:val="17"/>
              </w:rPr>
              <w:t xml:space="preserve">Acórdão Publicado - RE Pendente</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782"/>
          </w:tcPr>
          <w:p>
            <w:pPr>
              <w:pStyle w:val="Compact"/>
              <w:spacing w:line="276" w:lineRule="auto" w:before="40" w:after="40"/>
            </w:pPr>
            <w:r>
              <w:rPr>
                <w:rFonts w:ascii="Liberation Sans Narrow" w:hAnsi="Liberation Sans Narrow"/>
                <w:sz w:val="17"/>
              </w:rPr>
              <w:t xml:space="preserve">1419</w:t>
            </w:r>
          </w:p>
        </w:tc>
        <w:tc>
          <w:tcPr>
            <w:tcW w:type="dxa" w:w="1780"/>
          </w:tcPr>
          <w:p>
            <w:pPr>
              <w:pStyle w:val="Compact"/>
              <w:spacing w:line="276" w:lineRule="auto" w:before="40" w:after="40"/>
            </w:pPr>
            <w:r>
              <w:rPr>
                <w:rFonts w:ascii="Liberation Sans Narrow" w:hAnsi="Liberation Sans Narrow"/>
                <w:sz w:val="17"/>
              </w:rPr>
              <w:t xml:space="preserve">STJ, Primeira Seção</w:t>
            </w:r>
          </w:p>
        </w:tc>
        <w:tc>
          <w:tcPr>
            <w:tcW w:type="dxa" w:w="2426"/>
          </w:tcPr>
          <w:p>
            <w:pPr>
              <w:pStyle w:val="Compact"/>
              <w:spacing w:line="276" w:lineRule="auto" w:before="40" w:after="40"/>
            </w:pPr>
            <w:r>
              <w:rPr>
                <w:rFonts w:ascii="Liberation Sans Narrow" w:hAnsi="Liberation Sans Narrow"/>
                <w:sz w:val="17"/>
              </w:rPr>
              <w:t xml:space="preserve">A decisão que, para aplicar a modulação de efeitos realizada pelo STF no Tema 69 da repercussão geral, julga procedente ação rescisória contestada até 11/9/2024 não deve condenar ao pagamento de honorários advocatícios de sucumbên…</w:t>
            </w:r>
          </w:p>
        </w:tc>
        <w:tc>
          <w:tcPr>
            <w:tcW w:type="dxa" w:w="1780"/>
          </w:tcPr>
          <w:p>
            <w:pPr>
              <w:pStyle w:val="Compact"/>
              <w:spacing w:line="276" w:lineRule="auto" w:before="40" w:after="40"/>
            </w:pPr>
            <w:r>
              <w:rPr>
                <w:rFonts w:ascii="Liberation Sans Narrow" w:hAnsi="Liberation Sans Narrow"/>
                <w:sz w:val="17"/>
              </w:rPr>
              <w:t xml:space="preserve">CPC, art. 535, §§ 5º a 8º</w:t>
            </w:r>
          </w:p>
        </w:tc>
        <w:tc>
          <w:tcPr>
            <w:tcW w:type="dxa" w:w="1780"/>
          </w:tcPr>
          <w:p>
            <w:pPr>
              <w:pStyle w:val="Compact"/>
              <w:spacing w:line="276" w:lineRule="auto" w:before="40" w:after="40"/>
            </w:pPr>
            <w:r>
              <w:rPr>
                <w:rFonts w:ascii="Liberation Sans Narrow" w:hAnsi="Liberation Sans Narrow"/>
                <w:sz w:val="17"/>
              </w:rPr>
              <w:t xml:space="preserve">Acórdão Publicado</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782"/>
          </w:tcPr>
          <w:p>
            <w:pPr>
              <w:pStyle w:val="Compact"/>
              <w:spacing w:line="276" w:lineRule="auto" w:before="40" w:after="40"/>
            </w:pPr>
            <w:r>
              <w:rPr>
                <w:rFonts w:ascii="Liberation Sans Narrow" w:hAnsi="Liberation Sans Narrow"/>
                <w:sz w:val="17"/>
              </w:rPr>
              <w:t xml:space="preserve">98</w:t>
            </w:r>
          </w:p>
        </w:tc>
        <w:tc>
          <w:tcPr>
            <w:tcW w:type="dxa" w:w="1780"/>
          </w:tcPr>
          <w:p>
            <w:pPr>
              <w:pStyle w:val="Compact"/>
              <w:spacing w:line="276" w:lineRule="auto" w:before="40" w:after="40"/>
            </w:pPr>
            <w:r>
              <w:rPr>
                <w:rFonts w:ascii="Liberation Sans Narrow" w:hAnsi="Liberation Sans Narrow"/>
                <w:sz w:val="17"/>
              </w:rPr>
              <w:t xml:space="preserve">STJ, Primeira Seção</w:t>
            </w:r>
          </w:p>
        </w:tc>
        <w:tc>
          <w:tcPr>
            <w:tcW w:type="dxa" w:w="2426"/>
          </w:tcPr>
          <w:p>
            <w:pPr>
              <w:pStyle w:val="Compact"/>
              <w:spacing w:line="276" w:lineRule="auto" w:before="40" w:after="40"/>
            </w:pPr>
            <w:r>
              <w:rPr>
                <w:rFonts w:ascii="Liberation Sans Narrow" w:hAnsi="Liberation Sans Narrow"/>
                <w:sz w:val="17"/>
              </w:rPr>
              <w:t xml:space="preserve">Possibilidade de imposição de multa diária (astreintes) a ente público, para compeli-lo a fornecer medicamento à pessoa desprovida de recursos financeiros.</w:t>
            </w:r>
          </w:p>
        </w:tc>
        <w:tc>
          <w:tcPr>
            <w:tcW w:type="dxa" w:w="1780"/>
          </w:tcPr>
          <w:p>
            <w:pPr>
              <w:pStyle w:val="Compact"/>
              <w:spacing w:line="276" w:lineRule="auto" w:before="40" w:after="40"/>
            </w:pPr>
            <w:r>
              <w:rPr>
                <w:rFonts w:ascii="Liberation Sans Narrow" w:hAnsi="Liberation Sans Narrow"/>
                <w:sz w:val="17"/>
              </w:rPr>
              <w:t xml:space="preserve">CPC, arts. 536 e 537</w:t>
            </w:r>
          </w:p>
        </w:tc>
        <w:tc>
          <w:tcPr>
            <w:tcW w:type="dxa" w:w="1780"/>
          </w:tcPr>
          <w:p>
            <w:pPr>
              <w:pStyle w:val="Compact"/>
              <w:spacing w:line="276" w:lineRule="auto" w:before="40" w:after="40"/>
            </w:pPr>
            <w:r>
              <w:rPr>
                <w:rFonts w:ascii="Liberation Sans Narrow" w:hAnsi="Liberation Sans Narrow"/>
                <w:sz w:val="17"/>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782"/>
          </w:tcPr>
          <w:p>
            <w:pPr>
              <w:pStyle w:val="Compact"/>
              <w:spacing w:line="276" w:lineRule="auto" w:before="40" w:after="40"/>
            </w:pPr>
            <w:r>
              <w:rPr>
                <w:rFonts w:ascii="Liberation Sans Narrow" w:hAnsi="Liberation Sans Narrow"/>
                <w:sz w:val="17"/>
              </w:rPr>
              <w:t xml:space="preserve">1296</w:t>
            </w:r>
          </w:p>
        </w:tc>
        <w:tc>
          <w:tcPr>
            <w:tcW w:type="dxa" w:w="1780"/>
          </w:tcPr>
          <w:p>
            <w:pPr>
              <w:pStyle w:val="Compact"/>
              <w:spacing w:line="276" w:lineRule="auto" w:before="40" w:after="40"/>
            </w:pPr>
            <w:r>
              <w:rPr>
                <w:rFonts w:ascii="Liberation Sans Narrow" w:hAnsi="Liberation Sans Narrow"/>
                <w:sz w:val="17"/>
              </w:rPr>
              <w:t xml:space="preserve">STJ, Corte Especial</w:t>
            </w:r>
          </w:p>
        </w:tc>
        <w:tc>
          <w:tcPr>
            <w:tcW w:type="dxa" w:w="2426"/>
          </w:tcPr>
          <w:p>
            <w:pPr>
              <w:pStyle w:val="Compact"/>
              <w:spacing w:line="276" w:lineRule="auto" w:before="40" w:after="40"/>
            </w:pPr>
            <w:r>
              <w:rPr>
                <w:rFonts w:ascii="Liberation Sans Narrow" w:hAnsi="Liberation Sans Narrow"/>
                <w:sz w:val="17"/>
              </w:rPr>
              <w:t xml:space="preserve">A prévia intimação pessoal do devedor para o cumprimento de obrigação de fazer ou de não fazer especificada na decisão judicial é pressuposto para a incidência da multa coercitiva, nos termos da Súmula n. 410/STJ, cujo teor perman…</w:t>
            </w:r>
          </w:p>
        </w:tc>
        <w:tc>
          <w:tcPr>
            <w:tcW w:type="dxa" w:w="1780"/>
          </w:tcPr>
          <w:p>
            <w:pPr>
              <w:pStyle w:val="Compact"/>
              <w:spacing w:line="276" w:lineRule="auto" w:before="40" w:after="40"/>
            </w:pPr>
            <w:r>
              <w:rPr>
                <w:rFonts w:ascii="Liberation Sans Narrow" w:hAnsi="Liberation Sans Narrow"/>
                <w:sz w:val="17"/>
              </w:rPr>
              <w:t xml:space="preserve">CPC, arts. 513, 536 e 537</w:t>
            </w:r>
          </w:p>
        </w:tc>
        <w:tc>
          <w:tcPr>
            <w:tcW w:type="dxa" w:w="1780"/>
          </w:tcPr>
          <w:p>
            <w:pPr>
              <w:pStyle w:val="Compact"/>
              <w:spacing w:line="276" w:lineRule="auto" w:before="40" w:after="40"/>
            </w:pPr>
            <w:r>
              <w:rPr>
                <w:rFonts w:ascii="Liberation Sans Narrow" w:hAnsi="Liberation Sans Narrow"/>
                <w:sz w:val="17"/>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782"/>
          </w:tcPr>
          <w:p>
            <w:pPr>
              <w:pStyle w:val="Compact"/>
              <w:spacing w:line="276" w:lineRule="auto" w:before="40" w:after="40"/>
            </w:pPr>
            <w:r>
              <w:rPr>
                <w:rFonts w:ascii="Liberation Sans Narrow" w:hAnsi="Liberation Sans Narrow"/>
                <w:sz w:val="17"/>
              </w:rPr>
              <w:t xml:space="preserve">967</w:t>
            </w:r>
          </w:p>
        </w:tc>
        <w:tc>
          <w:tcPr>
            <w:tcW w:type="dxa" w:w="1780"/>
          </w:tcPr>
          <w:p>
            <w:pPr>
              <w:pStyle w:val="Compact"/>
              <w:spacing w:line="276" w:lineRule="auto" w:before="40" w:after="40"/>
            </w:pPr>
            <w:r>
              <w:rPr>
                <w:rFonts w:ascii="Liberation Sans Narrow" w:hAnsi="Liberation Sans Narrow"/>
                <w:sz w:val="17"/>
              </w:rPr>
              <w:t xml:space="preserve">STJ, Segunda Seção</w:t>
            </w:r>
          </w:p>
        </w:tc>
        <w:tc>
          <w:tcPr>
            <w:tcW w:type="dxa" w:w="2426"/>
          </w:tcPr>
          <w:p>
            <w:pPr>
              <w:pStyle w:val="Compact"/>
              <w:spacing w:line="276" w:lineRule="auto" w:before="40" w:after="40"/>
            </w:pPr>
            <w:r>
              <w:rPr>
                <w:rFonts w:ascii="Liberation Sans Narrow" w:hAnsi="Liberation Sans Narrow"/>
                <w:sz w:val="17"/>
              </w:rPr>
              <w:t xml:space="preserve">Em ação consignatória, a insuficiência do depósito realizado pelo devedor conduz ao julgamento de improcedência do pedido, pois o pagamento parcial da dívida não extingue o vínculo obrigacional.</w:t>
            </w:r>
          </w:p>
        </w:tc>
        <w:tc>
          <w:tcPr>
            <w:tcW w:type="dxa" w:w="1780"/>
          </w:tcPr>
          <w:p>
            <w:pPr>
              <w:pStyle w:val="Compact"/>
              <w:spacing w:line="276" w:lineRule="auto" w:before="40" w:after="40"/>
            </w:pPr>
            <w:r>
              <w:rPr>
                <w:rFonts w:ascii="Liberation Sans Narrow" w:hAnsi="Liberation Sans Narrow"/>
                <w:sz w:val="17"/>
              </w:rPr>
              <w:t xml:space="preserve">CPC, arts. 539 a 549</w:t>
            </w:r>
          </w:p>
        </w:tc>
        <w:tc>
          <w:tcPr>
            <w:tcW w:type="dxa" w:w="1780"/>
          </w:tcPr>
          <w:p>
            <w:pPr>
              <w:pStyle w:val="Compact"/>
              <w:spacing w:line="276" w:lineRule="auto" w:before="40" w:after="40"/>
            </w:pPr>
            <w:r>
              <w:rPr>
                <w:rFonts w:ascii="Liberation Sans Narrow" w:hAnsi="Liberation Sans Narrow"/>
                <w:sz w:val="17"/>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7"/>
              </w:rPr>
              <w:t xml:space="preserve">Súmula</w:t>
            </w:r>
          </w:p>
        </w:tc>
        <w:tc>
          <w:tcPr>
            <w:tcW w:type="dxa" w:w="782"/>
          </w:tcPr>
          <w:p>
            <w:pPr>
              <w:pStyle w:val="Compact"/>
              <w:spacing w:line="276" w:lineRule="auto" w:before="40" w:after="40"/>
            </w:pPr>
            <w:r>
              <w:rPr>
                <w:rFonts w:ascii="Liberation Sans Narrow" w:hAnsi="Liberation Sans Narrow"/>
                <w:sz w:val="17"/>
              </w:rPr>
              <w:t xml:space="preserve">259</w:t>
            </w:r>
          </w:p>
        </w:tc>
        <w:tc>
          <w:tcPr>
            <w:tcW w:type="dxa" w:w="1780"/>
          </w:tcPr>
          <w:p>
            <w:pPr>
              <w:pStyle w:val="Compact"/>
              <w:spacing w:line="276" w:lineRule="auto" w:before="40" w:after="40"/>
            </w:pPr>
            <w:r>
              <w:rPr>
                <w:rFonts w:ascii="Liberation Sans Narrow" w:hAnsi="Liberation Sans Narrow"/>
                <w:sz w:val="17"/>
              </w:rPr>
              <w:t xml:space="preserve">STJ, Segunda Seção</w:t>
            </w:r>
          </w:p>
        </w:tc>
        <w:tc>
          <w:tcPr>
            <w:tcW w:type="dxa" w:w="2426"/>
          </w:tcPr>
          <w:p>
            <w:pPr>
              <w:pStyle w:val="Compact"/>
              <w:spacing w:line="276" w:lineRule="auto" w:before="40" w:after="40"/>
            </w:pPr>
            <w:r>
              <w:rPr>
                <w:rFonts w:ascii="Liberation Sans Narrow" w:hAnsi="Liberation Sans Narrow"/>
                <w:sz w:val="17"/>
              </w:rPr>
              <w:t xml:space="preserve">A ação de prestação de contas pode ser proposta pelo titular de conta-corrente bancária.</w:t>
            </w:r>
          </w:p>
        </w:tc>
        <w:tc>
          <w:tcPr>
            <w:tcW w:type="dxa" w:w="1780"/>
          </w:tcPr>
          <w:p>
            <w:pPr>
              <w:pStyle w:val="Compact"/>
              <w:spacing w:line="276" w:lineRule="auto" w:before="40" w:after="40"/>
            </w:pPr>
            <w:r>
              <w:rPr>
                <w:rFonts w:ascii="Liberation Sans Narrow" w:hAnsi="Liberation Sans Narrow"/>
                <w:sz w:val="17"/>
              </w:rPr>
              <w:t xml:space="preserve">CPC, art. 550</w:t>
            </w:r>
          </w:p>
        </w:tc>
        <w:tc>
          <w:tcPr>
            <w:tcW w:type="dxa" w:w="1780"/>
          </w:tcPr>
          <w:p>
            <w:pPr>
              <w:pStyle w:val="Compact"/>
              <w:spacing w:line="276" w:lineRule="auto" w:before="40" w:after="40"/>
            </w:pPr>
            <w:r>
              <w:rPr>
                <w:rFonts w:ascii="Liberation Sans Narrow" w:hAnsi="Liberation Sans Narrow"/>
                <w:sz w:val="17"/>
              </w:rPr>
              <w:t xml:space="preserve">Vigente</w:t>
            </w:r>
          </w:p>
        </w:tc>
      </w:tr>
      <w:tr>
        <w:trPr>
          <w:cantSplit/>
        </w:trPr>
        <w:tc>
          <w:tcPr>
            <w:tcW w:type="dxa" w:w="1655"/>
          </w:tcPr>
          <w:p>
            <w:pPr>
              <w:pStyle w:val="Compact"/>
              <w:spacing w:line="276" w:lineRule="auto" w:before="40" w:after="40"/>
            </w:pPr>
            <w:r>
              <w:rPr>
                <w:rFonts w:ascii="Liberation Sans Narrow" w:hAnsi="Liberation Sans Narrow"/>
                <w:sz w:val="17"/>
              </w:rPr>
              <w:t xml:space="preserve">Controle concentrado (ADPF)</w:t>
            </w:r>
          </w:p>
        </w:tc>
        <w:tc>
          <w:tcPr>
            <w:tcW w:type="dxa" w:w="782"/>
          </w:tcPr>
          <w:p>
            <w:pPr>
              <w:pStyle w:val="Compact"/>
              <w:spacing w:line="276" w:lineRule="auto" w:before="40" w:after="40"/>
            </w:pPr>
            <w:r>
              <w:rPr>
                <w:rFonts w:ascii="Liberation Sans Narrow" w:hAnsi="Liberation Sans Narrow"/>
                <w:sz w:val="17"/>
              </w:rPr>
              <w:t xml:space="preserve">828</w:t>
            </w:r>
          </w:p>
        </w:tc>
        <w:tc>
          <w:tcPr>
            <w:tcW w:type="dxa" w:w="1780"/>
          </w:tcPr>
          <w:p>
            <w:pPr>
              <w:pStyle w:val="Compact"/>
              <w:spacing w:line="276" w:lineRule="auto" w:before="40" w:after="40"/>
            </w:pPr>
            <w:r>
              <w:rPr>
                <w:rFonts w:ascii="Liberation Sans Narrow" w:hAnsi="Liberation Sans Narrow"/>
                <w:sz w:val="17"/>
              </w:rPr>
              <w:t xml:space="preserve">STF, Tribunal Pleno</w:t>
            </w:r>
          </w:p>
        </w:tc>
        <w:tc>
          <w:tcPr>
            <w:tcW w:type="dxa" w:w="2426"/>
          </w:tcPr>
          <w:p>
            <w:pPr>
              <w:pStyle w:val="Compact"/>
              <w:spacing w:line="276" w:lineRule="auto" w:before="40" w:after="40"/>
            </w:pPr>
            <w:r>
              <w:rPr>
                <w:rFonts w:ascii="Liberation Sans Narrow" w:hAnsi="Liberation Sans Narrow"/>
                <w:sz w:val="17"/>
              </w:rPr>
              <w:t xml:space="preserve">Regime de transição para a retomada de desocupações coletivas: Comissões de Conflitos Fundiários, mediação e retomada escalonada; garantias nas remoções administrativas coletivas.</w:t>
            </w:r>
          </w:p>
        </w:tc>
        <w:tc>
          <w:tcPr>
            <w:tcW w:type="dxa" w:w="1780"/>
          </w:tcPr>
          <w:p>
            <w:pPr>
              <w:pStyle w:val="Compact"/>
              <w:spacing w:line="276" w:lineRule="auto" w:before="40" w:after="40"/>
            </w:pPr>
            <w:r>
              <w:rPr>
                <w:rFonts w:ascii="Liberation Sans Narrow" w:hAnsi="Liberation Sans Narrow"/>
                <w:sz w:val="17"/>
              </w:rPr>
              <w:t xml:space="preserve">CPC, arts. 554, §§ 1º a 4º, e 565</w:t>
            </w:r>
          </w:p>
        </w:tc>
        <w:tc>
          <w:tcPr>
            <w:tcW w:type="dxa" w:w="1780"/>
          </w:tcPr>
          <w:p>
            <w:pPr>
              <w:pStyle w:val="Compact"/>
              <w:spacing w:line="276" w:lineRule="auto" w:before="40" w:after="40"/>
            </w:pPr>
            <w:r>
              <w:rPr>
                <w:rFonts w:ascii="Liberation Sans Narrow" w:hAnsi="Liberation Sans Narrow"/>
                <w:sz w:val="17"/>
              </w:rPr>
              <w:t xml:space="preserve">Referendo da tutela provisória incidental (02/11/2022)</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782"/>
          </w:tcPr>
          <w:p>
            <w:pPr>
              <w:pStyle w:val="Compact"/>
              <w:spacing w:line="276" w:lineRule="auto" w:before="40" w:after="40"/>
            </w:pPr>
            <w:r>
              <w:rPr>
                <w:rFonts w:ascii="Liberation Sans Narrow" w:hAnsi="Liberation Sans Narrow"/>
                <w:sz w:val="17"/>
              </w:rPr>
              <w:t xml:space="preserve">1074</w:t>
            </w:r>
          </w:p>
        </w:tc>
        <w:tc>
          <w:tcPr>
            <w:tcW w:type="dxa" w:w="1780"/>
          </w:tcPr>
          <w:p>
            <w:pPr>
              <w:pStyle w:val="Compact"/>
              <w:spacing w:line="276" w:lineRule="auto" w:before="40" w:after="40"/>
            </w:pPr>
            <w:r>
              <w:rPr>
                <w:rFonts w:ascii="Liberation Sans Narrow" w:hAnsi="Liberation Sans Narrow"/>
                <w:sz w:val="17"/>
              </w:rPr>
              <w:t xml:space="preserve">STJ, Primeira Seção</w:t>
            </w:r>
          </w:p>
        </w:tc>
        <w:tc>
          <w:tcPr>
            <w:tcW w:type="dxa" w:w="2426"/>
          </w:tcPr>
          <w:p>
            <w:pPr>
              <w:pStyle w:val="Compact"/>
              <w:spacing w:line="276" w:lineRule="auto" w:before="40" w:after="40"/>
            </w:pPr>
            <w:r>
              <w:rPr>
                <w:rFonts w:ascii="Liberation Sans Narrow" w:hAnsi="Liberation Sans Narrow"/>
                <w:sz w:val="17"/>
              </w:rPr>
              <w:t xml:space="preserve">No arrolamento sumário, a homologação da partilha ou da adjudicação, bem como a expedição do formal de partilha e da carta de adjudicação, não se condicionam ao prévio recolhimento do imposto de transmissão causa mortis, devendo s…</w:t>
            </w:r>
          </w:p>
        </w:tc>
        <w:tc>
          <w:tcPr>
            <w:tcW w:type="dxa" w:w="1780"/>
          </w:tcPr>
          <w:p>
            <w:pPr>
              <w:pStyle w:val="Compact"/>
              <w:spacing w:line="276" w:lineRule="auto" w:before="40" w:after="40"/>
            </w:pPr>
            <w:r>
              <w:rPr>
                <w:rFonts w:ascii="Liberation Sans Narrow" w:hAnsi="Liberation Sans Narrow"/>
                <w:sz w:val="17"/>
              </w:rPr>
              <w:t xml:space="preserve">CPC, arts. 659, § 2º, e 662</w:t>
            </w:r>
          </w:p>
        </w:tc>
        <w:tc>
          <w:tcPr>
            <w:tcW w:type="dxa" w:w="1780"/>
          </w:tcPr>
          <w:p>
            <w:pPr>
              <w:pStyle w:val="Compact"/>
              <w:spacing w:line="276" w:lineRule="auto" w:before="40" w:after="40"/>
            </w:pPr>
            <w:r>
              <w:rPr>
                <w:rFonts w:ascii="Liberation Sans Narrow" w:hAnsi="Liberation Sans Narrow"/>
                <w:sz w:val="17"/>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7"/>
              </w:rPr>
              <w:t xml:space="preserve">Súmula</w:t>
            </w:r>
          </w:p>
        </w:tc>
        <w:tc>
          <w:tcPr>
            <w:tcW w:type="dxa" w:w="782"/>
          </w:tcPr>
          <w:p>
            <w:pPr>
              <w:pStyle w:val="Compact"/>
              <w:spacing w:line="276" w:lineRule="auto" w:before="40" w:after="40"/>
            </w:pPr>
            <w:r>
              <w:rPr>
                <w:rFonts w:ascii="Liberation Sans Narrow" w:hAnsi="Liberation Sans Narrow"/>
                <w:sz w:val="17"/>
              </w:rPr>
              <w:t xml:space="preserve">84</w:t>
            </w:r>
          </w:p>
        </w:tc>
        <w:tc>
          <w:tcPr>
            <w:tcW w:type="dxa" w:w="1780"/>
          </w:tcPr>
          <w:p>
            <w:pPr>
              <w:pStyle w:val="Compact"/>
              <w:spacing w:line="276" w:lineRule="auto" w:before="40" w:after="40"/>
            </w:pPr>
            <w:r>
              <w:rPr>
                <w:rFonts w:ascii="Liberation Sans Narrow" w:hAnsi="Liberation Sans Narrow"/>
                <w:sz w:val="17"/>
              </w:rPr>
              <w:t xml:space="preserve">STJ, Corte Especial</w:t>
            </w:r>
          </w:p>
        </w:tc>
        <w:tc>
          <w:tcPr>
            <w:tcW w:type="dxa" w:w="2426"/>
          </w:tcPr>
          <w:p>
            <w:pPr>
              <w:pStyle w:val="Compact"/>
              <w:spacing w:line="276" w:lineRule="auto" w:before="40" w:after="40"/>
            </w:pPr>
            <w:r>
              <w:rPr>
                <w:rFonts w:ascii="Liberation Sans Narrow" w:hAnsi="Liberation Sans Narrow"/>
                <w:sz w:val="17"/>
              </w:rPr>
              <w:t xml:space="preserve">É admissível a oposição de embargos de terceiro fundados em alegação de posse advinda do compromisso de compra e venda de imóvel, ainda que desprovido do registro.</w:t>
            </w:r>
          </w:p>
        </w:tc>
        <w:tc>
          <w:tcPr>
            <w:tcW w:type="dxa" w:w="1780"/>
          </w:tcPr>
          <w:p>
            <w:pPr>
              <w:pStyle w:val="Compact"/>
              <w:spacing w:line="276" w:lineRule="auto" w:before="40" w:after="40"/>
            </w:pPr>
            <w:r>
              <w:rPr>
                <w:rFonts w:ascii="Liberation Sans Narrow" w:hAnsi="Liberation Sans Narrow"/>
                <w:sz w:val="17"/>
              </w:rPr>
              <w:t xml:space="preserve">CPC, art. 674</w:t>
            </w:r>
          </w:p>
        </w:tc>
        <w:tc>
          <w:tcPr>
            <w:tcW w:type="dxa" w:w="1780"/>
          </w:tcPr>
          <w:p>
            <w:pPr>
              <w:pStyle w:val="Compact"/>
              <w:spacing w:line="276" w:lineRule="auto" w:before="40" w:after="40"/>
            </w:pPr>
            <w:r>
              <w:rPr>
                <w:rFonts w:ascii="Liberation Sans Narrow" w:hAnsi="Liberation Sans Narrow"/>
                <w:sz w:val="17"/>
              </w:rPr>
              <w:t xml:space="preserve">Vigente</w:t>
            </w:r>
          </w:p>
        </w:tc>
      </w:tr>
      <w:tr>
        <w:trPr>
          <w:cantSplit/>
        </w:trPr>
        <w:tc>
          <w:tcPr>
            <w:tcW w:type="dxa" w:w="1655"/>
          </w:tcPr>
          <w:p>
            <w:pPr>
              <w:pStyle w:val="Compact"/>
              <w:spacing w:line="276" w:lineRule="auto" w:before="40" w:after="40"/>
            </w:pPr>
            <w:r>
              <w:rPr>
                <w:rFonts w:ascii="Liberation Sans Narrow" w:hAnsi="Liberation Sans Narrow"/>
                <w:sz w:val="17"/>
              </w:rPr>
              <w:t xml:space="preserve">Súmula</w:t>
            </w:r>
          </w:p>
        </w:tc>
        <w:tc>
          <w:tcPr>
            <w:tcW w:type="dxa" w:w="782"/>
          </w:tcPr>
          <w:p>
            <w:pPr>
              <w:pStyle w:val="Compact"/>
              <w:spacing w:line="276" w:lineRule="auto" w:before="40" w:after="40"/>
            </w:pPr>
            <w:r>
              <w:rPr>
                <w:rFonts w:ascii="Liberation Sans Narrow" w:hAnsi="Liberation Sans Narrow"/>
                <w:sz w:val="17"/>
              </w:rPr>
              <w:t xml:space="preserve">375</w:t>
            </w:r>
          </w:p>
        </w:tc>
        <w:tc>
          <w:tcPr>
            <w:tcW w:type="dxa" w:w="1780"/>
          </w:tcPr>
          <w:p>
            <w:pPr>
              <w:pStyle w:val="Compact"/>
              <w:spacing w:line="276" w:lineRule="auto" w:before="40" w:after="40"/>
            </w:pPr>
            <w:r>
              <w:rPr>
                <w:rFonts w:ascii="Liberation Sans Narrow" w:hAnsi="Liberation Sans Narrow"/>
                <w:sz w:val="17"/>
              </w:rPr>
              <w:t xml:space="preserve">STJ, Corte Especial</w:t>
            </w:r>
          </w:p>
        </w:tc>
        <w:tc>
          <w:tcPr>
            <w:tcW w:type="dxa" w:w="2426"/>
          </w:tcPr>
          <w:p>
            <w:pPr>
              <w:pStyle w:val="Compact"/>
              <w:spacing w:line="276" w:lineRule="auto" w:before="40" w:after="40"/>
            </w:pPr>
            <w:r>
              <w:rPr>
                <w:rFonts w:ascii="Liberation Sans Narrow" w:hAnsi="Liberation Sans Narrow"/>
                <w:sz w:val="17"/>
              </w:rPr>
              <w:t xml:space="preserve">O reconhecimento da fraude à execução depende do registro da penhora do bem alienado ou da prova de má-fé do terceiro adquirente.</w:t>
            </w:r>
          </w:p>
        </w:tc>
        <w:tc>
          <w:tcPr>
            <w:tcW w:type="dxa" w:w="1780"/>
          </w:tcPr>
          <w:p>
            <w:pPr>
              <w:pStyle w:val="Compact"/>
              <w:spacing w:line="276" w:lineRule="auto" w:before="40" w:after="40"/>
            </w:pPr>
            <w:r>
              <w:rPr>
                <w:rFonts w:ascii="Liberation Sans Narrow" w:hAnsi="Liberation Sans Narrow"/>
                <w:sz w:val="17"/>
              </w:rPr>
              <w:t xml:space="preserve">CPC, art. 674</w:t>
            </w:r>
          </w:p>
        </w:tc>
        <w:tc>
          <w:tcPr>
            <w:tcW w:type="dxa" w:w="1780"/>
          </w:tcPr>
          <w:p>
            <w:pPr>
              <w:pStyle w:val="Compact"/>
              <w:spacing w:line="276" w:lineRule="auto" w:before="40" w:after="40"/>
            </w:pPr>
            <w:r>
              <w:rPr>
                <w:rFonts w:ascii="Liberation Sans Narrow" w:hAnsi="Liberation Sans Narrow"/>
                <w:sz w:val="17"/>
              </w:rPr>
              <w:t xml:space="preserve">Vigente</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782"/>
          </w:tcPr>
          <w:p>
            <w:pPr>
              <w:pStyle w:val="Compact"/>
              <w:spacing w:line="276" w:lineRule="auto" w:before="40" w:after="40"/>
            </w:pPr>
            <w:r>
              <w:rPr>
                <w:rFonts w:ascii="Liberation Sans Narrow" w:hAnsi="Liberation Sans Narrow"/>
                <w:sz w:val="17"/>
              </w:rPr>
              <w:t xml:space="preserve">243</w:t>
            </w:r>
          </w:p>
        </w:tc>
        <w:tc>
          <w:tcPr>
            <w:tcW w:type="dxa" w:w="1780"/>
          </w:tcPr>
          <w:p>
            <w:pPr>
              <w:pStyle w:val="Compact"/>
              <w:spacing w:line="276" w:lineRule="auto" w:before="40" w:after="40"/>
            </w:pPr>
            <w:r>
              <w:rPr>
                <w:rFonts w:ascii="Liberation Sans Narrow" w:hAnsi="Liberation Sans Narrow"/>
                <w:sz w:val="17"/>
              </w:rPr>
              <w:t xml:space="preserve">STJ, Corte Especial</w:t>
            </w:r>
          </w:p>
        </w:tc>
        <w:tc>
          <w:tcPr>
            <w:tcW w:type="dxa" w:w="2426"/>
          </w:tcPr>
          <w:p>
            <w:pPr>
              <w:pStyle w:val="Compact"/>
              <w:spacing w:line="276" w:lineRule="auto" w:before="40" w:after="40"/>
            </w:pPr>
            <w:r>
              <w:rPr>
                <w:rFonts w:ascii="Liberation Sans Narrow" w:hAnsi="Liberation Sans Narrow"/>
                <w:sz w:val="17"/>
              </w:rPr>
              <w:t xml:space="preserve">Para fins do art. 543-c do CPC, firma-se a seguinte orientação: 1.1. É indispensável citação válida para configuração da fraude de execução, ressalvada a hipótese prevista no § 3º do art. 615-A do CPC. 1.2. O reconhecimento da fra…</w:t>
            </w:r>
          </w:p>
        </w:tc>
        <w:tc>
          <w:tcPr>
            <w:tcW w:type="dxa" w:w="1780"/>
          </w:tcPr>
          <w:p>
            <w:pPr>
              <w:pStyle w:val="Compact"/>
              <w:spacing w:line="276" w:lineRule="auto" w:before="40" w:after="40"/>
            </w:pPr>
            <w:r>
              <w:rPr>
                <w:rFonts w:ascii="Liberation Sans Narrow" w:hAnsi="Liberation Sans Narrow"/>
                <w:sz w:val="17"/>
              </w:rPr>
              <w:t xml:space="preserve">CPC, arts. 674 e 792</w:t>
            </w:r>
          </w:p>
        </w:tc>
        <w:tc>
          <w:tcPr>
            <w:tcW w:type="dxa" w:w="1780"/>
          </w:tcPr>
          <w:p>
            <w:pPr>
              <w:pStyle w:val="Compact"/>
              <w:spacing w:line="276" w:lineRule="auto" w:before="40" w:after="40"/>
            </w:pPr>
            <w:r>
              <w:rPr>
                <w:rFonts w:ascii="Liberation Sans Narrow" w:hAnsi="Liberation Sans Narrow"/>
                <w:sz w:val="17"/>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7"/>
              </w:rPr>
              <w:t xml:space="preserve">Súmula</w:t>
            </w:r>
          </w:p>
        </w:tc>
        <w:tc>
          <w:tcPr>
            <w:tcW w:type="dxa" w:w="782"/>
          </w:tcPr>
          <w:p>
            <w:pPr>
              <w:pStyle w:val="Compact"/>
              <w:spacing w:line="276" w:lineRule="auto" w:before="40" w:after="40"/>
            </w:pPr>
            <w:r>
              <w:rPr>
                <w:rFonts w:ascii="Liberation Sans Narrow" w:hAnsi="Liberation Sans Narrow"/>
                <w:sz w:val="17"/>
              </w:rPr>
              <w:t xml:space="preserve">339</w:t>
            </w:r>
          </w:p>
        </w:tc>
        <w:tc>
          <w:tcPr>
            <w:tcW w:type="dxa" w:w="1780"/>
          </w:tcPr>
          <w:p>
            <w:pPr>
              <w:pStyle w:val="Compact"/>
              <w:spacing w:line="276" w:lineRule="auto" w:before="40" w:after="40"/>
            </w:pPr>
            <w:r>
              <w:rPr>
                <w:rFonts w:ascii="Liberation Sans Narrow" w:hAnsi="Liberation Sans Narrow"/>
                <w:sz w:val="17"/>
              </w:rPr>
              <w:t xml:space="preserve">STJ, Corte Especial</w:t>
            </w:r>
          </w:p>
        </w:tc>
        <w:tc>
          <w:tcPr>
            <w:tcW w:type="dxa" w:w="2426"/>
          </w:tcPr>
          <w:p>
            <w:pPr>
              <w:pStyle w:val="Compact"/>
              <w:spacing w:line="276" w:lineRule="auto" w:before="40" w:after="40"/>
            </w:pPr>
            <w:r>
              <w:rPr>
                <w:rFonts w:ascii="Liberation Sans Narrow" w:hAnsi="Liberation Sans Narrow"/>
                <w:sz w:val="17"/>
              </w:rPr>
              <w:t xml:space="preserve">É cabível ação monitória contra a Fazenda Pública.</w:t>
            </w:r>
          </w:p>
        </w:tc>
        <w:tc>
          <w:tcPr>
            <w:tcW w:type="dxa" w:w="1780"/>
          </w:tcPr>
          <w:p>
            <w:pPr>
              <w:pStyle w:val="Compact"/>
              <w:spacing w:line="276" w:lineRule="auto" w:before="40" w:after="40"/>
            </w:pPr>
            <w:r>
              <w:rPr>
                <w:rFonts w:ascii="Liberation Sans Narrow" w:hAnsi="Liberation Sans Narrow"/>
                <w:sz w:val="17"/>
              </w:rPr>
              <w:t xml:space="preserve">CPC, art. 700</w:t>
            </w:r>
          </w:p>
        </w:tc>
        <w:tc>
          <w:tcPr>
            <w:tcW w:type="dxa" w:w="1780"/>
          </w:tcPr>
          <w:p>
            <w:pPr>
              <w:pStyle w:val="Compact"/>
              <w:spacing w:line="276" w:lineRule="auto" w:before="40" w:after="40"/>
            </w:pPr>
            <w:r>
              <w:rPr>
                <w:rFonts w:ascii="Liberation Sans Narrow" w:hAnsi="Liberation Sans Narrow"/>
                <w:sz w:val="17"/>
              </w:rPr>
              <w:t xml:space="preserve">Vigente</w:t>
            </w:r>
          </w:p>
        </w:tc>
      </w:tr>
      <w:tr>
        <w:trPr>
          <w:cantSplit/>
        </w:trPr>
        <w:tc>
          <w:tcPr>
            <w:tcW w:type="dxa" w:w="1655"/>
          </w:tcPr>
          <w:p>
            <w:pPr>
              <w:pStyle w:val="Compact"/>
              <w:spacing w:line="276" w:lineRule="auto" w:before="40" w:after="40"/>
            </w:pPr>
            <w:r>
              <w:rPr>
                <w:rFonts w:ascii="Liberation Sans Narrow" w:hAnsi="Liberation Sans Narrow"/>
                <w:sz w:val="17"/>
              </w:rPr>
              <w:t xml:space="preserve">Súmula</w:t>
            </w:r>
          </w:p>
        </w:tc>
        <w:tc>
          <w:tcPr>
            <w:tcW w:type="dxa" w:w="782"/>
          </w:tcPr>
          <w:p>
            <w:pPr>
              <w:pStyle w:val="Compact"/>
              <w:spacing w:line="276" w:lineRule="auto" w:before="40" w:after="40"/>
            </w:pPr>
            <w:r>
              <w:rPr>
                <w:rFonts w:ascii="Liberation Sans Narrow" w:hAnsi="Liberation Sans Narrow"/>
                <w:sz w:val="17"/>
              </w:rPr>
              <w:t xml:space="preserve">292</w:t>
            </w:r>
          </w:p>
        </w:tc>
        <w:tc>
          <w:tcPr>
            <w:tcW w:type="dxa" w:w="1780"/>
          </w:tcPr>
          <w:p>
            <w:pPr>
              <w:pStyle w:val="Compact"/>
              <w:spacing w:line="276" w:lineRule="auto" w:before="40" w:after="40"/>
            </w:pPr>
            <w:r>
              <w:rPr>
                <w:rFonts w:ascii="Liberation Sans Narrow" w:hAnsi="Liberation Sans Narrow"/>
                <w:sz w:val="17"/>
              </w:rPr>
              <w:t xml:space="preserve">STJ, Corte Especial</w:t>
            </w:r>
          </w:p>
        </w:tc>
        <w:tc>
          <w:tcPr>
            <w:tcW w:type="dxa" w:w="2426"/>
          </w:tcPr>
          <w:p>
            <w:pPr>
              <w:pStyle w:val="Compact"/>
              <w:spacing w:line="276" w:lineRule="auto" w:before="40" w:after="40"/>
            </w:pPr>
            <w:r>
              <w:rPr>
                <w:rFonts w:ascii="Liberation Sans Narrow" w:hAnsi="Liberation Sans Narrow"/>
                <w:sz w:val="17"/>
              </w:rPr>
              <w:t xml:space="preserve">A reconvenção é cabível na ação monitória, após a conversão do procedimento em ordinário.</w:t>
            </w:r>
          </w:p>
        </w:tc>
        <w:tc>
          <w:tcPr>
            <w:tcW w:type="dxa" w:w="1780"/>
          </w:tcPr>
          <w:p>
            <w:pPr>
              <w:pStyle w:val="Compact"/>
              <w:spacing w:line="276" w:lineRule="auto" w:before="40" w:after="40"/>
            </w:pPr>
            <w:r>
              <w:rPr>
                <w:rFonts w:ascii="Liberation Sans Narrow" w:hAnsi="Liberation Sans Narrow"/>
                <w:sz w:val="17"/>
              </w:rPr>
              <w:t xml:space="preserve">CPC, art. 702</w:t>
            </w:r>
          </w:p>
        </w:tc>
        <w:tc>
          <w:tcPr>
            <w:tcW w:type="dxa" w:w="1780"/>
          </w:tcPr>
          <w:p>
            <w:pPr>
              <w:pStyle w:val="Compact"/>
              <w:spacing w:line="276" w:lineRule="auto" w:before="40" w:after="40"/>
            </w:pPr>
            <w:r>
              <w:rPr>
                <w:rFonts w:ascii="Liberation Sans Narrow" w:hAnsi="Liberation Sans Narrow"/>
                <w:sz w:val="17"/>
              </w:rPr>
              <w:t xml:space="preserve">Vigente</w:t>
            </w:r>
          </w:p>
        </w:tc>
      </w:tr>
      <w:tr>
        <w:trPr>
          <w:cantSplit/>
        </w:trPr>
        <w:tc>
          <w:tcPr>
            <w:tcW w:type="dxa" w:w="1655"/>
          </w:tcPr>
          <w:p>
            <w:pPr>
              <w:pStyle w:val="Compact"/>
              <w:spacing w:line="276" w:lineRule="auto" w:before="40" w:after="40"/>
            </w:pPr>
            <w:r>
              <w:rPr>
                <w:rFonts w:ascii="Liberation Sans Narrow" w:hAnsi="Liberation Sans Narrow"/>
                <w:sz w:val="17"/>
              </w:rPr>
              <w:t xml:space="preserve">Súmula</w:t>
            </w:r>
          </w:p>
        </w:tc>
        <w:tc>
          <w:tcPr>
            <w:tcW w:type="dxa" w:w="782"/>
          </w:tcPr>
          <w:p>
            <w:pPr>
              <w:pStyle w:val="Compact"/>
              <w:spacing w:line="276" w:lineRule="auto" w:before="40" w:after="40"/>
            </w:pPr>
            <w:r>
              <w:rPr>
                <w:rFonts w:ascii="Liberation Sans Narrow" w:hAnsi="Liberation Sans Narrow"/>
                <w:sz w:val="17"/>
              </w:rPr>
              <w:t xml:space="preserve">299</w:t>
            </w:r>
          </w:p>
        </w:tc>
        <w:tc>
          <w:tcPr>
            <w:tcW w:type="dxa" w:w="1780"/>
          </w:tcPr>
          <w:p>
            <w:pPr>
              <w:pStyle w:val="Compact"/>
              <w:spacing w:line="276" w:lineRule="auto" w:before="40" w:after="40"/>
            </w:pPr>
            <w:r>
              <w:rPr>
                <w:rFonts w:ascii="Liberation Sans Narrow" w:hAnsi="Liberation Sans Narrow"/>
                <w:sz w:val="17"/>
              </w:rPr>
              <w:t xml:space="preserve">STJ, Segunda Seção</w:t>
            </w:r>
          </w:p>
        </w:tc>
        <w:tc>
          <w:tcPr>
            <w:tcW w:type="dxa" w:w="2426"/>
          </w:tcPr>
          <w:p>
            <w:pPr>
              <w:pStyle w:val="Compact"/>
              <w:spacing w:line="276" w:lineRule="auto" w:before="40" w:after="40"/>
            </w:pPr>
            <w:r>
              <w:rPr>
                <w:rFonts w:ascii="Liberation Sans Narrow" w:hAnsi="Liberation Sans Narrow"/>
                <w:sz w:val="17"/>
              </w:rPr>
              <w:t xml:space="preserve">É admissível a ação monitória fundada em cheque prescrito.</w:t>
            </w:r>
          </w:p>
        </w:tc>
        <w:tc>
          <w:tcPr>
            <w:tcW w:type="dxa" w:w="1780"/>
          </w:tcPr>
          <w:p>
            <w:pPr>
              <w:pStyle w:val="Compact"/>
              <w:spacing w:line="276" w:lineRule="auto" w:before="40" w:after="40"/>
            </w:pPr>
            <w:r>
              <w:rPr>
                <w:rFonts w:ascii="Liberation Sans Narrow" w:hAnsi="Liberation Sans Narrow"/>
                <w:sz w:val="17"/>
              </w:rPr>
              <w:t xml:space="preserve">CPC, art. 700</w:t>
            </w:r>
          </w:p>
        </w:tc>
        <w:tc>
          <w:tcPr>
            <w:tcW w:type="dxa" w:w="1780"/>
          </w:tcPr>
          <w:p>
            <w:pPr>
              <w:pStyle w:val="Compact"/>
              <w:spacing w:line="276" w:lineRule="auto" w:before="40" w:after="40"/>
            </w:pPr>
            <w:r>
              <w:rPr>
                <w:rFonts w:ascii="Liberation Sans Narrow" w:hAnsi="Liberation Sans Narrow"/>
                <w:sz w:val="17"/>
              </w:rPr>
              <w:t xml:space="preserve">Vigente</w:t>
            </w:r>
          </w:p>
        </w:tc>
      </w:tr>
      <w:tr>
        <w:trPr>
          <w:cantSplit/>
        </w:trPr>
        <w:tc>
          <w:tcPr>
            <w:tcW w:type="dxa" w:w="1655"/>
          </w:tcPr>
          <w:p>
            <w:pPr>
              <w:pStyle w:val="Compact"/>
              <w:spacing w:line="276" w:lineRule="auto" w:before="40" w:after="40"/>
            </w:pPr>
            <w:r>
              <w:rPr>
                <w:rFonts w:ascii="Liberation Sans Narrow" w:hAnsi="Liberation Sans Narrow"/>
                <w:sz w:val="17"/>
              </w:rPr>
              <w:t xml:space="preserve">Súmula</w:t>
            </w:r>
          </w:p>
        </w:tc>
        <w:tc>
          <w:tcPr>
            <w:tcW w:type="dxa" w:w="782"/>
          </w:tcPr>
          <w:p>
            <w:pPr>
              <w:pStyle w:val="Compact"/>
              <w:spacing w:line="276" w:lineRule="auto" w:before="40" w:after="40"/>
            </w:pPr>
            <w:r>
              <w:rPr>
                <w:rFonts w:ascii="Liberation Sans Narrow" w:hAnsi="Liberation Sans Narrow"/>
                <w:sz w:val="17"/>
              </w:rPr>
              <w:t xml:space="preserve">265</w:t>
            </w:r>
          </w:p>
        </w:tc>
        <w:tc>
          <w:tcPr>
            <w:tcW w:type="dxa" w:w="1780"/>
          </w:tcPr>
          <w:p>
            <w:pPr>
              <w:pStyle w:val="Compact"/>
              <w:spacing w:line="276" w:lineRule="auto" w:before="40" w:after="40"/>
            </w:pPr>
            <w:r>
              <w:rPr>
                <w:rFonts w:ascii="Liberation Sans Narrow" w:hAnsi="Liberation Sans Narrow"/>
                <w:sz w:val="17"/>
              </w:rPr>
              <w:t xml:space="preserve">STF</w:t>
            </w:r>
          </w:p>
        </w:tc>
        <w:tc>
          <w:tcPr>
            <w:tcW w:type="dxa" w:w="2426"/>
          </w:tcPr>
          <w:p>
            <w:pPr>
              <w:pStyle w:val="Compact"/>
              <w:spacing w:line="276" w:lineRule="auto" w:before="40" w:after="40"/>
            </w:pPr>
            <w:r>
              <w:rPr>
                <w:rFonts w:ascii="Liberation Sans Narrow" w:hAnsi="Liberation Sans Narrow"/>
                <w:sz w:val="17"/>
              </w:rPr>
              <w:t xml:space="preserve">Na apuração de haveres não prevalece o balanço não aprovado pelo sócio falecido, excluído ou que se retirou.</w:t>
            </w:r>
          </w:p>
        </w:tc>
        <w:tc>
          <w:tcPr>
            <w:tcW w:type="dxa" w:w="1780"/>
          </w:tcPr>
          <w:p>
            <w:pPr>
              <w:pStyle w:val="Compact"/>
              <w:spacing w:line="276" w:lineRule="auto" w:before="40" w:after="40"/>
            </w:pPr>
            <w:r>
              <w:rPr>
                <w:rFonts w:ascii="Liberation Sans Narrow" w:hAnsi="Liberation Sans Narrow"/>
                <w:sz w:val="17"/>
              </w:rPr>
              <w:t xml:space="preserve">CPC, art. 606</w:t>
            </w:r>
          </w:p>
        </w:tc>
        <w:tc>
          <w:tcPr>
            <w:tcW w:type="dxa" w:w="1780"/>
          </w:tcPr>
          <w:p>
            <w:pPr>
              <w:pStyle w:val="Compact"/>
              <w:spacing w:line="276" w:lineRule="auto" w:before="40" w:after="40"/>
            </w:pPr>
            <w:r>
              <w:rPr>
                <w:rFonts w:ascii="Liberation Sans Narrow" w:hAnsi="Liberation Sans Narrow"/>
                <w:sz w:val="17"/>
              </w:rPr>
              <w:t xml:space="preserve">Aprovada</w:t>
            </w:r>
          </w:p>
        </w:tc>
      </w:tr>
      <w:tr>
        <w:trPr>
          <w:cantSplit/>
        </w:trPr>
        <w:tc>
          <w:tcPr>
            <w:tcW w:type="dxa" w:w="1655"/>
          </w:tcPr>
          <w:p>
            <w:pPr>
              <w:pStyle w:val="Compact"/>
              <w:spacing w:line="276" w:lineRule="auto" w:before="40" w:after="40"/>
            </w:pPr>
            <w:r>
              <w:rPr>
                <w:rFonts w:ascii="Liberation Sans Narrow" w:hAnsi="Liberation Sans Narrow"/>
                <w:sz w:val="17"/>
              </w:rPr>
              <w:t xml:space="preserve">Súmula</w:t>
            </w:r>
          </w:p>
        </w:tc>
        <w:tc>
          <w:tcPr>
            <w:tcW w:type="dxa" w:w="782"/>
          </w:tcPr>
          <w:p>
            <w:pPr>
              <w:pStyle w:val="Compact"/>
              <w:spacing w:line="276" w:lineRule="auto" w:before="40" w:after="40"/>
            </w:pPr>
            <w:r>
              <w:rPr>
                <w:rFonts w:ascii="Liberation Sans Narrow" w:hAnsi="Liberation Sans Narrow"/>
                <w:sz w:val="17"/>
              </w:rPr>
              <w:t xml:space="preserve">621</w:t>
            </w:r>
          </w:p>
        </w:tc>
        <w:tc>
          <w:tcPr>
            <w:tcW w:type="dxa" w:w="1780"/>
          </w:tcPr>
          <w:p>
            <w:pPr>
              <w:pStyle w:val="Compact"/>
              <w:spacing w:line="276" w:lineRule="auto" w:before="40" w:after="40"/>
            </w:pPr>
            <w:r>
              <w:rPr>
                <w:rFonts w:ascii="Liberation Sans Narrow" w:hAnsi="Liberation Sans Narrow"/>
                <w:sz w:val="17"/>
              </w:rPr>
              <w:t xml:space="preserve">STF</w:t>
            </w:r>
          </w:p>
        </w:tc>
        <w:tc>
          <w:tcPr>
            <w:tcW w:type="dxa" w:w="2426"/>
          </w:tcPr>
          <w:p>
            <w:pPr>
              <w:pStyle w:val="Compact"/>
              <w:spacing w:line="276" w:lineRule="auto" w:before="40" w:after="40"/>
            </w:pPr>
            <w:r>
              <w:rPr>
                <w:rFonts w:ascii="Liberation Sans Narrow" w:hAnsi="Liberation Sans Narrow"/>
                <w:sz w:val="17"/>
              </w:rPr>
              <w:t xml:space="preserve">Não enseja embargos de terceiro à penhora a promessa de compra e venda não inscrita no registro de imóveis.</w:t>
            </w:r>
          </w:p>
        </w:tc>
        <w:tc>
          <w:tcPr>
            <w:tcW w:type="dxa" w:w="1780"/>
          </w:tcPr>
          <w:p>
            <w:pPr>
              <w:pStyle w:val="Compact"/>
              <w:spacing w:line="276" w:lineRule="auto" w:before="40" w:after="40"/>
            </w:pPr>
            <w:r>
              <w:rPr>
                <w:rFonts w:ascii="Liberation Sans Narrow" w:hAnsi="Liberation Sans Narrow"/>
                <w:sz w:val="17"/>
              </w:rPr>
              <w:t xml:space="preserve">CPC, art. 674</w:t>
            </w:r>
          </w:p>
        </w:tc>
        <w:tc>
          <w:tcPr>
            <w:tcW w:type="dxa" w:w="1780"/>
          </w:tcPr>
          <w:p>
            <w:pPr>
              <w:pStyle w:val="Compact"/>
              <w:spacing w:line="276" w:lineRule="auto" w:before="40" w:after="40"/>
            </w:pPr>
            <w:r>
              <w:rPr>
                <w:rFonts w:ascii="Liberation Sans Narrow" w:hAnsi="Liberation Sans Narrow"/>
                <w:sz w:val="17"/>
              </w:rPr>
              <w:t xml:space="preserve">Aprovada</w:t>
            </w:r>
          </w:p>
        </w:tc>
      </w:tr>
      <w:tr>
        <w:trPr>
          <w:cantSplit/>
        </w:trPr>
        <w:tc>
          <w:tcPr>
            <w:tcW w:type="dxa" w:w="1655"/>
          </w:tcPr>
          <w:p>
            <w:pPr>
              <w:pStyle w:val="Compact"/>
              <w:spacing w:line="276" w:lineRule="auto" w:before="40" w:after="40"/>
            </w:pPr>
            <w:r>
              <w:rPr>
                <w:rFonts w:ascii="Liberation Sans Narrow" w:hAnsi="Liberation Sans Narrow"/>
                <w:sz w:val="17"/>
              </w:rPr>
              <w:t xml:space="preserve">Súmula</w:t>
            </w:r>
          </w:p>
        </w:tc>
        <w:tc>
          <w:tcPr>
            <w:tcW w:type="dxa" w:w="782"/>
          </w:tcPr>
          <w:p>
            <w:pPr>
              <w:pStyle w:val="Compact"/>
              <w:spacing w:line="276" w:lineRule="auto" w:before="40" w:after="40"/>
            </w:pPr>
            <w:r>
              <w:rPr>
                <w:rFonts w:ascii="Liberation Sans Narrow" w:hAnsi="Liberation Sans Narrow"/>
                <w:sz w:val="17"/>
              </w:rPr>
              <w:t xml:space="preserve">134</w:t>
            </w:r>
          </w:p>
        </w:tc>
        <w:tc>
          <w:tcPr>
            <w:tcW w:type="dxa" w:w="1780"/>
          </w:tcPr>
          <w:p>
            <w:pPr>
              <w:pStyle w:val="Compact"/>
              <w:spacing w:line="276" w:lineRule="auto" w:before="40" w:after="40"/>
            </w:pPr>
            <w:r>
              <w:rPr>
                <w:rFonts w:ascii="Liberation Sans Narrow" w:hAnsi="Liberation Sans Narrow"/>
                <w:sz w:val="17"/>
              </w:rPr>
              <w:t xml:space="preserve">STJ, Segunda Seção</w:t>
            </w:r>
          </w:p>
        </w:tc>
        <w:tc>
          <w:tcPr>
            <w:tcW w:type="dxa" w:w="2426"/>
          </w:tcPr>
          <w:p>
            <w:pPr>
              <w:pStyle w:val="Compact"/>
              <w:spacing w:line="276" w:lineRule="auto" w:before="40" w:after="40"/>
            </w:pPr>
            <w:r>
              <w:rPr>
                <w:rFonts w:ascii="Liberation Sans Narrow" w:hAnsi="Liberation Sans Narrow"/>
                <w:sz w:val="17"/>
              </w:rPr>
              <w:t xml:space="preserve">Embora intimado da penhora em imóvel do casal, o cônjuge do executado pode opor embargos de terceiro para defesa de sua meação.</w:t>
            </w:r>
          </w:p>
        </w:tc>
        <w:tc>
          <w:tcPr>
            <w:tcW w:type="dxa" w:w="1780"/>
          </w:tcPr>
          <w:p>
            <w:pPr>
              <w:pStyle w:val="Compact"/>
              <w:spacing w:line="276" w:lineRule="auto" w:before="40" w:after="40"/>
            </w:pPr>
            <w:r>
              <w:rPr>
                <w:rFonts w:ascii="Liberation Sans Narrow" w:hAnsi="Liberation Sans Narrow"/>
                <w:sz w:val="17"/>
              </w:rPr>
              <w:t xml:space="preserve">CPC, art. 674</w:t>
            </w:r>
          </w:p>
        </w:tc>
        <w:tc>
          <w:tcPr>
            <w:tcW w:type="dxa" w:w="1780"/>
          </w:tcPr>
          <w:p>
            <w:pPr>
              <w:pStyle w:val="Compact"/>
              <w:spacing w:line="276" w:lineRule="auto" w:before="40" w:after="40"/>
            </w:pPr>
            <w:r>
              <w:rPr>
                <w:rFonts w:ascii="Liberation Sans Narrow" w:hAnsi="Liberation Sans Narrow"/>
                <w:sz w:val="17"/>
              </w:rPr>
              <w:t xml:space="preserve">Vigente</w:t>
            </w:r>
          </w:p>
        </w:tc>
      </w:tr>
      <w:tr>
        <w:trPr>
          <w:cantSplit/>
        </w:trPr>
        <w:tc>
          <w:tcPr>
            <w:tcW w:type="dxa" w:w="1655"/>
          </w:tcPr>
          <w:p>
            <w:pPr>
              <w:pStyle w:val="Compact"/>
              <w:spacing w:line="276" w:lineRule="auto" w:before="40" w:after="40"/>
            </w:pPr>
            <w:r>
              <w:rPr>
                <w:rFonts w:ascii="Liberation Sans Narrow" w:hAnsi="Liberation Sans Narrow"/>
                <w:sz w:val="17"/>
              </w:rPr>
              <w:t xml:space="preserve">Súmula</w:t>
            </w:r>
          </w:p>
        </w:tc>
        <w:tc>
          <w:tcPr>
            <w:tcW w:type="dxa" w:w="782"/>
          </w:tcPr>
          <w:p>
            <w:pPr>
              <w:pStyle w:val="Compact"/>
              <w:spacing w:line="276" w:lineRule="auto" w:before="40" w:after="40"/>
            </w:pPr>
            <w:r>
              <w:rPr>
                <w:rFonts w:ascii="Liberation Sans Narrow" w:hAnsi="Liberation Sans Narrow"/>
                <w:sz w:val="17"/>
              </w:rPr>
              <w:t xml:space="preserve">303</w:t>
            </w:r>
          </w:p>
        </w:tc>
        <w:tc>
          <w:tcPr>
            <w:tcW w:type="dxa" w:w="1780"/>
          </w:tcPr>
          <w:p>
            <w:pPr>
              <w:pStyle w:val="Compact"/>
              <w:spacing w:line="276" w:lineRule="auto" w:before="40" w:after="40"/>
            </w:pPr>
            <w:r>
              <w:rPr>
                <w:rFonts w:ascii="Liberation Sans Narrow" w:hAnsi="Liberation Sans Narrow"/>
                <w:sz w:val="17"/>
              </w:rPr>
              <w:t xml:space="preserve">STJ, Corte Especial</w:t>
            </w:r>
          </w:p>
        </w:tc>
        <w:tc>
          <w:tcPr>
            <w:tcW w:type="dxa" w:w="2426"/>
          </w:tcPr>
          <w:p>
            <w:pPr>
              <w:pStyle w:val="Compact"/>
              <w:spacing w:line="276" w:lineRule="auto" w:before="40" w:after="40"/>
            </w:pPr>
            <w:r>
              <w:rPr>
                <w:rFonts w:ascii="Liberation Sans Narrow" w:hAnsi="Liberation Sans Narrow"/>
                <w:sz w:val="17"/>
              </w:rPr>
              <w:t xml:space="preserve">Em embargos de terceiro, quem deu causa à constrição indevida deve arcar com os honorários advocatícios.</w:t>
            </w:r>
          </w:p>
        </w:tc>
        <w:tc>
          <w:tcPr>
            <w:tcW w:type="dxa" w:w="1780"/>
          </w:tcPr>
          <w:p>
            <w:pPr>
              <w:pStyle w:val="Compact"/>
              <w:spacing w:line="276" w:lineRule="auto" w:before="40" w:after="40"/>
            </w:pPr>
            <w:r>
              <w:rPr>
                <w:rFonts w:ascii="Liberation Sans Narrow" w:hAnsi="Liberation Sans Narrow"/>
                <w:sz w:val="17"/>
              </w:rPr>
              <w:t xml:space="preserve">CPC, art. 674</w:t>
            </w:r>
          </w:p>
        </w:tc>
        <w:tc>
          <w:tcPr>
            <w:tcW w:type="dxa" w:w="1780"/>
          </w:tcPr>
          <w:p>
            <w:pPr>
              <w:pStyle w:val="Compact"/>
              <w:spacing w:line="276" w:lineRule="auto" w:before="40" w:after="40"/>
            </w:pPr>
            <w:r>
              <w:rPr>
                <w:rFonts w:ascii="Liberation Sans Narrow" w:hAnsi="Liberation Sans Narrow"/>
                <w:sz w:val="17"/>
              </w:rPr>
              <w:t xml:space="preserve">Vigente</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782"/>
          </w:tcPr>
          <w:p>
            <w:pPr>
              <w:pStyle w:val="Compact"/>
              <w:spacing w:line="276" w:lineRule="auto" w:before="40" w:after="40"/>
            </w:pPr>
            <w:r>
              <w:rPr>
                <w:rFonts w:ascii="Liberation Sans Narrow" w:hAnsi="Liberation Sans Narrow"/>
                <w:sz w:val="17"/>
              </w:rPr>
              <w:t xml:space="preserve">1385</w:t>
            </w:r>
          </w:p>
        </w:tc>
        <w:tc>
          <w:tcPr>
            <w:tcW w:type="dxa" w:w="1780"/>
          </w:tcPr>
          <w:p>
            <w:pPr>
              <w:pStyle w:val="Compact"/>
              <w:spacing w:line="276" w:lineRule="auto" w:before="40" w:after="40"/>
            </w:pPr>
            <w:r>
              <w:rPr>
                <w:rFonts w:ascii="Liberation Sans Narrow" w:hAnsi="Liberation Sans Narrow"/>
                <w:sz w:val="17"/>
              </w:rPr>
              <w:t xml:space="preserve">STJ, Primeira Seção</w:t>
            </w:r>
          </w:p>
        </w:tc>
        <w:tc>
          <w:tcPr>
            <w:tcW w:type="dxa" w:w="2426"/>
          </w:tcPr>
          <w:p>
            <w:pPr>
              <w:pStyle w:val="Compact"/>
              <w:spacing w:line="276" w:lineRule="auto" w:before="40" w:after="40"/>
            </w:pPr>
            <w:r>
              <w:rPr>
                <w:rFonts w:ascii="Liberation Sans Narrow" w:hAnsi="Liberation Sans Narrow"/>
                <w:sz w:val="17"/>
              </w:rPr>
              <w:t xml:space="preserve">Na execução fiscal, a fiança bancária ou o seguro garantia oferecido em garantia de execução de crédito tributário não é recusável por inobservância à ordem legal da penhora.</w:t>
            </w:r>
          </w:p>
        </w:tc>
        <w:tc>
          <w:tcPr>
            <w:tcW w:type="dxa" w:w="1780"/>
          </w:tcPr>
          <w:p>
            <w:pPr>
              <w:pStyle w:val="Compact"/>
              <w:spacing w:line="276" w:lineRule="auto" w:before="40" w:after="40"/>
            </w:pPr>
            <w:r>
              <w:rPr>
                <w:rFonts w:ascii="Liberation Sans Narrow" w:hAnsi="Liberation Sans Narrow"/>
                <w:sz w:val="17"/>
              </w:rPr>
              <w:t xml:space="preserve">835</w:t>
            </w:r>
          </w:p>
        </w:tc>
        <w:tc>
          <w:tcPr>
            <w:tcW w:type="dxa" w:w="1780"/>
          </w:tcPr>
          <w:p>
            <w:pPr>
              <w:pStyle w:val="Compact"/>
              <w:spacing w:line="276" w:lineRule="auto" w:before="40" w:after="40"/>
            </w:pPr>
            <w:r>
              <w:rPr>
                <w:rFonts w:ascii="Liberation Sans Narrow" w:hAnsi="Liberation Sans Narrow"/>
                <w:sz w:val="17"/>
              </w:rPr>
              <w:t xml:space="preserve">Trânsito em Julgado</w:t>
            </w:r>
          </w:p>
        </w:tc>
      </w:tr>
    </w:tbl>
    <w:bookmarkEnd w:id="13"/>
    <w:bookmarkStart w:id="14" w:name="escopo-das-fontes-e-método"/>
    <w:p>
      <w:pPr>
        <w:pStyle w:val="Heading1"/>
        <w:pBdr>
          <w:left w:val="single" w:sz="48" w:space="8" w:color="1F3A5F"/>
        </w:pBdr>
        <w:shd w:val="clear" w:color="auto" w:fill="DCE6F2"/>
        <w:spacing w:before="120" w:after="60"/>
        <w:ind w:left="142"/>
      </w:pPr>
      <w:r>
        <w:t xml:space="preserve">4 Escopo das fontes e método</w:t>
      </w:r>
    </w:p>
    <w:p>
      <w:pPr>
        <w:pStyle w:val="FirstParagraph"/>
        <w:spacing w:after="60"/>
        <w:jc w:val="both"/>
      </w:pPr>
      <w:r>
        <w:t xml:space="preserve">As fontes desta pesquisa são exclusivamente a legislação e a jurisprudência, de curadoria interna, salvo os acórdãos marcados como</w:t>
      </w:r>
      <w:r>
        <w:t xml:space="preserve"> </w:t>
      </w:r>
      <w:r>
        <w:rPr>
          <w:b/>
          <w:bCs/>
        </w:rPr>
        <w:t xml:space="preserve">[Repositório externo]</w:t>
      </w:r>
      <w:r>
        <w:t xml:space="preserve"> </w:t>
      </w:r>
      <w:r>
        <w:t xml:space="preserve">(ver Observações iniciais).</w:t>
      </w:r>
    </w:p>
    <w:p>
      <w:pPr>
        <w:pStyle w:val="Compact"/>
        <w:numPr>
          <w:ilvl w:val="0"/>
          <w:numId w:val="1002"/>
        </w:numPr>
        <w:spacing w:after="60"/>
        <w:jc w:val="both"/>
      </w:pPr>
      <w:r>
        <w:rPr>
          <w:b/>
          <w:bCs/>
        </w:rPr>
        <w:t xml:space="preserve">Citação de julgados.</w:t>
      </w:r>
      <w:r>
        <w:t xml:space="preserve"> </w:t>
      </w:r>
      <w:r>
        <w:t xml:space="preserve">Cada julgado foi citado depois de confirmados, no texto retornado pela fonte, o Tribunal, o relator, a data e a tese. O que não foi confirmado fica nas pendências.</w:t>
      </w:r>
    </w:p>
    <w:p>
      <w:pPr>
        <w:pStyle w:val="Compact"/>
        <w:numPr>
          <w:ilvl w:val="0"/>
          <w:numId w:val="1002"/>
        </w:numPr>
        <w:spacing w:after="60"/>
        <w:jc w:val="both"/>
      </w:pPr>
      <w:r>
        <w:rPr>
          <w:b/>
          <w:bCs/>
        </w:rPr>
        <w:t xml:space="preserve">Texto legal.</w:t>
      </w:r>
      <w:r>
        <w:t xml:space="preserve"> </w:t>
      </w:r>
      <w:r>
        <w:t xml:space="preserve">Reproduz o texto vigente em 25/10/2026, com as marcas de alteração e as remissões a ações de controle concentrado que constam da fonte.</w:t>
      </w:r>
    </w:p>
    <w:p>
      <w:pPr>
        <w:pStyle w:val="Compact"/>
        <w:numPr>
          <w:ilvl w:val="0"/>
          <w:numId w:val="1002"/>
        </w:numPr>
        <w:spacing w:after="60"/>
        <w:jc w:val="both"/>
      </w:pPr>
      <w:r>
        <w:rPr>
          <w:b/>
          <w:bCs/>
        </w:rPr>
        <w:t xml:space="preserve">Siglas.</w:t>
      </w:r>
      <w:r>
        <w:t xml:space="preserve"> </w:t>
      </w:r>
      <w:r>
        <w:t xml:space="preserve">Seguem o padrão de apresentação do estudo: o extenso vem na primeira ocorrência, com a sigla entre parênteses, inclusive quando a expressão figura no texto legal reproduzido; a inserção não integra a redação da lei.</w:t>
      </w:r>
    </w:p>
    <w:p>
      <w:pPr>
        <w:pStyle w:val="Compact"/>
        <w:numPr>
          <w:ilvl w:val="0"/>
          <w:numId w:val="1002"/>
        </w:numPr>
        <w:spacing w:after="60"/>
        <w:jc w:val="both"/>
      </w:pPr>
      <w:r>
        <w:rPr>
          <w:b/>
          <w:bCs/>
        </w:rPr>
        <w:t xml:space="preserve">Busca.</w:t>
      </w:r>
      <w:r>
        <w:t xml:space="preserve"> </w:t>
      </w:r>
      <w:r>
        <w:t xml:space="preserve">Consultas curtas por instituto regulado em cada faixa de artigos, sem priorização por hierarquia, com variante restrita a CPC/2015 no Superior Tribunal de Justiça e, no repositório externo, a partir de 2016, com ementa integral; entendimentos vinculantes e súmulas colhidos em camada própria. Cada candidato foi lido pela ementa, sem filtrar por classe processual nem por menção ao número do artigo.</w:t>
      </w:r>
    </w:p>
    <w:p>
      <w:pPr>
        <w:pStyle w:val="Compact"/>
        <w:numPr>
          <w:ilvl w:val="0"/>
          <w:numId w:val="1002"/>
        </w:numPr>
        <w:spacing w:after="60"/>
        <w:jc w:val="both"/>
      </w:pPr>
      <w:r>
        <w:rPr>
          <w:b/>
          <w:bCs/>
        </w:rPr>
        <w:t xml:space="preserve">Critério de anotação.</w:t>
      </w:r>
      <w:r>
        <w:t xml:space="preserve"> </w:t>
      </w:r>
      <w:r>
        <w:t xml:space="preserve">Entram, nesta ordem, os entendimentos de eficácia vinculante (controle concentrado, repercussão geral, recursos repetitivos e incidentes de assunção de competência), as súmulas e, depois, os acórdãos de órgão fracionário que firmem tese sobre o dispositivo ou fixem orientação para a sua aplicação — enunciem, na ementa, como o dispositivo se aplica. Não é anotado o acórdão que apenas aplica óbice de admissibilidade, que decide exclusivamente o caso concreto sem enunciar regra ou que rejeita embargos de declaração.</w:t>
      </w:r>
    </w:p>
    <w:p>
      <w:pPr>
        <w:pStyle w:val="Compact"/>
        <w:numPr>
          <w:ilvl w:val="0"/>
          <w:numId w:val="1002"/>
        </w:numPr>
        <w:spacing w:after="60"/>
        <w:jc w:val="both"/>
      </w:pPr>
      <w:r>
        <w:rPr>
          <w:b/>
          <w:bCs/>
        </w:rPr>
        <w:t xml:space="preserve">Ordem de apresentação.</w:t>
      </w:r>
      <w:r>
        <w:t xml:space="preserve"> </w:t>
      </w:r>
      <w:r>
        <w:t xml:space="preserve">Em cada quadro, vêm primeiro os entendimentos vinculantes; depois, os acórdãos de Plenário, Corte Especial e Seção, que prevalecem sobre os de Turma, e as súmulas; por último, os de Turma. Em cada nível, o mais novo vem antes do mais antigo, e a possível superação do mais antigo é indicada na ratio ou na seção de divergências.</w:t>
      </w:r>
    </w:p>
    <w:p>
      <w:pPr>
        <w:pStyle w:val="Compact"/>
        <w:numPr>
          <w:ilvl w:val="0"/>
          <w:numId w:val="1002"/>
        </w:numPr>
        <w:spacing w:after="60"/>
        <w:jc w:val="both"/>
      </w:pPr>
      <w:r>
        <w:rPr>
          <w:b/>
          <w:bCs/>
        </w:rPr>
        <w:t xml:space="preserve">Natureza dos textos.</w:t>
      </w:r>
      <w:r>
        <w:t xml:space="preserve"> </w:t>
      </w:r>
      <w:r>
        <w:t xml:space="preserve">Os acórdãos do Superior Tribunal de Justiça foram lidos pela ementa; os do Supremo Tribunal Federal de curadoria interna, pelo texto do Informativo ou pela ementa do acervo, e os marcados como</w:t>
      </w:r>
      <w:r>
        <w:t xml:space="preserve"> </w:t>
      </w:r>
      <w:r>
        <w:rPr>
          <w:b/>
          <w:bCs/>
        </w:rPr>
        <w:t xml:space="preserve">[Repositório externo]</w:t>
      </w:r>
      <w:r>
        <w:t xml:space="preserve">, pela ementa.</w:t>
      </w:r>
    </w:p>
    <w:p>
      <w:pPr>
        <w:pStyle w:val="Compact"/>
        <w:numPr>
          <w:ilvl w:val="0"/>
          <w:numId w:val="1002"/>
        </w:numPr>
        <w:spacing w:after="60"/>
        <w:jc w:val="both"/>
      </w:pPr>
      <w:r>
        <w:rPr>
          <w:b/>
          <w:bCs/>
        </w:rPr>
        <w:t xml:space="preserve">Organização.</w:t>
      </w:r>
      <w:r>
        <w:t xml:space="preserve"> </w:t>
      </w:r>
      <w:r>
        <w:t xml:space="preserve">A obra ocupa a seção 5. Cada anotação vem imediatamente abaixo do dispositivo a que se refere — caput, parágrafo, inciso ou alínea —, e o tribunal é indicado no início de cada julgado. O sumário traz Livro, Títulos, Capítulos e Seções, com a faixa de artigos e a página; o índice de artigos, ao final, traz a página de cada artigo.</w:t>
      </w:r>
    </w:p>
    <w:bookmarkEnd w:id="14"/>
    <w:bookmarkStart w:id="918" w:name="anotações-aos-artigos"/>
    <w:p>
      <w:pPr>
        <w:spacing w:before="0" w:after="0" w:line="20" w:lineRule="exact"/>
        <w:sectPr>
          <w:headerReference w:type="default" r:id="rId9"/>
          <w:footerReference w:type="default" r:id="rId15"/>
          <w:footnotePr>
            <w:numRestart w:val="eachSect"/>
          </w:footnotePr>
          <w:pgSz w:w="11906" w:h="16838"/>
          <w:pgMar w:top="850" w:left="850" w:bottom="964" w:right="850"/>
          <w:cols w:num="1" w:space="340"/>
          <w:titlePg/>
        </w:sectPr>
      </w:pPr>
    </w:p>
    <w:p>
      <w:pPr>
        <w:pStyle w:val="Heading1"/>
        <w:pBdr>
          <w:left w:val="single" w:sz="48" w:space="8" w:color="1F3A5F"/>
        </w:pBdr>
        <w:shd w:val="clear" w:color="auto" w:fill="DCE6F2"/>
        <w:spacing w:before="120" w:after="60"/>
        <w:ind w:left="142"/>
      </w:pPr>
      <w:r>
        <w:t xml:space="preserve">5 Anotações aos artigos</w:t>
      </w:r>
    </w:p>
    <w:bookmarkStart w:id="562" w:name="X86e8a5022c59a41e6dd863f5f929a90df48b2ec"/>
    <w:p>
      <w:pPr>
        <w:pStyle w:val="Heading2"/>
        <w:shd w:val="clear" w:color="auto" w:fill="1F3A5F"/>
        <w:spacing w:before="0" w:after="60"/>
        <w:ind w:left="113"/>
      </w:pPr>
      <w:r>
        <w:rPr>
          <w:color w:val="FFFFFF"/>
          <w:sz w:val="26"/>
        </w:rPr>
        <w:t xml:space="preserve">Livro I: do processo de conhecimento e do cumprimento de sentença (arts. 318 a 770)</w:t>
      </w:r>
    </w:p>
    <w:bookmarkStart w:id="250" w:name="Xb2123b266d5b0aad522a2dc4fa826babdb29d38"/>
    <w:p>
      <w:pPr>
        <w:pStyle w:val="Heading3"/>
        <w:pBdr>
          <w:bottom w:val="single" w:sz="8" w:space="2" w:color="2E75B6"/>
        </w:pBdr>
        <w:spacing w:before="120" w:after="60"/>
      </w:pPr>
      <w:r>
        <w:rPr>
          <w:sz w:val="22"/>
        </w:rPr>
        <w:t xml:space="preserve">Título I: do procedimento comum (arts. 318 a 512)</w:t>
      </w:r>
    </w:p>
    <w:bookmarkStart w:id="16" w:name="capítulo-i-disposições-gerais-arts.-318"/>
    <w:p>
      <w:pPr>
        <w:pStyle w:val="Heading4"/>
        <w:spacing w:before="80" w:after="40"/>
      </w:pPr>
      <w:r>
        <w:rPr>
          <w:smallCaps/>
          <w:color w:val="2E75B6"/>
        </w:rPr>
        <w:t xml:space="preserve">Capítulo I: disposições gerais (arts. 318)</w:t>
      </w:r>
    </w:p>
    <w:bookmarkStart w:id="15" w:name="art.-318"/>
    <w:p>
      <w:pPr>
        <w:pStyle w:val="Heading6"/>
        <w:pBdr>
          <w:left w:val="single" w:sz="36" w:space="4" w:color="2E75B6"/>
        </w:pBdr>
        <w:shd w:val="clear" w:color="auto" w:fill="E3EEF9"/>
        <w:spacing w:before="120" w:after="60"/>
        <w:ind w:left="85"/>
      </w:pPr>
      <w:r>
        <w:rPr>
          <w:i w:val="0"/>
          <w:color w:val="1F3A5F"/>
          <w:sz w:val="22"/>
        </w:rPr>
        <w:t xml:space="preserve">Art. 318</w:t>
      </w:r>
    </w:p>
    <w:p>
      <w:pPr>
        <w:pStyle w:val="FirstParagraph"/>
        <w:keepNext/>
        <w:spacing w:after="60"/>
        <w:jc w:val="both"/>
      </w:pPr>
      <w:r>
        <w:rPr>
          <w:b/>
          <w:bCs/>
        </w:rPr>
        <w:t xml:space="preserve">Art. 318.</w:t>
      </w:r>
      <w:r>
        <w:t xml:space="preserve"> </w:t>
      </w:r>
      <w:r>
        <w:t xml:space="preserve">Aplica-se a todas as causas o procedimento comum, salvo disposição em contrário deste Código ou de lei.</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8"/>
        <w:gridCol w:w="2154"/>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8"/>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Art. 318: ação autônoma de exibição de documentos pelo procedimento comum</w:t>
            </w:r>
          </w:p>
        </w:tc>
        <w:tc>
          <w:tcPr>
            <w:tcW w:type="dxa" w:w="1658"/>
          </w:tcPr>
          <w:p>
            <w:pPr>
              <w:pStyle w:val="Compact"/>
              <w:spacing w:line="276" w:lineRule="auto" w:before="40" w:after="40"/>
            </w:pPr>
            <w:r>
              <w:rPr>
                <w:rFonts w:ascii="Liberation Sans Narrow" w:hAnsi="Liberation Sans Narrow"/>
                <w:sz w:val="17"/>
              </w:rPr>
              <w:t xml:space="preserve">STJ, REsp 2.174.791, Quarta Turma, relator Min. João Otávio de Noronha, julgado em 04/05/2026, Diário de Justiça Eletrônico Nacional (DJEN) de 07/05/2026</w:t>
            </w:r>
          </w:p>
        </w:tc>
        <w:tc>
          <w:tcPr>
            <w:tcW w:type="dxa" w:w="2154"/>
          </w:tcPr>
          <w:p>
            <w:pPr>
              <w:pStyle w:val="Compact"/>
              <w:spacing w:line="276" w:lineRule="auto" w:before="40" w:after="40"/>
            </w:pPr>
            <w:r>
              <w:rPr>
                <w:rFonts w:ascii="Liberation Sans Narrow" w:hAnsi="Liberation Sans Narrow"/>
                <w:sz w:val="17"/>
              </w:rPr>
              <w:t xml:space="preserve">Admite-se a ação autônoma de exibição de documentos pelo procedimento comum (art. 318) ou pela via da produção antecipada de provas (arts. 381, III, e 396). A negativa de acesso a documentos necessários à verificação da viabilidade de demanda futura caracteriza negativa de jurisdição, impondo o retorno dos autos ao primeiro grau para prosseguimento.</w:t>
            </w:r>
          </w:p>
        </w:tc>
      </w:tr>
    </w:tbl>
    <w:p>
      <w:pPr>
        <w:pStyle w:val="BodyText"/>
        <w:spacing w:after="60"/>
        <w:jc w:val="both"/>
      </w:pPr>
      <w:r>
        <w:t xml:space="preserve">Parágrafo único. O procedimento comum aplica-se subsidiariamente aos demais procedimentos especiais e ao processo de execução.</w:t>
      </w:r>
    </w:p>
    <w:bookmarkEnd w:id="15"/>
    <w:bookmarkEnd w:id="16"/>
    <w:bookmarkStart w:id="33" w:name="X451badeb07c2ccf90a62217fd24a14988b2e419"/>
    <w:p>
      <w:pPr>
        <w:pStyle w:val="Heading4"/>
        <w:spacing w:before="80" w:after="40"/>
      </w:pPr>
      <w:r>
        <w:rPr>
          <w:smallCaps/>
          <w:color w:val="2E75B6"/>
        </w:rPr>
        <w:t xml:space="preserve">Capítulo II: da petição inicial (arts. 319 a 331)</w:t>
      </w:r>
    </w:p>
    <w:bookmarkStart w:id="20" w:name="X68d51f452bcb10073d4c534718b4d13a193ea7c"/>
    <w:p>
      <w:pPr>
        <w:pStyle w:val="Heading5"/>
        <w:spacing w:before="60" w:after="20"/>
      </w:pPr>
      <w:r>
        <w:rPr>
          <w:i/>
          <w:color w:val="595959"/>
        </w:rPr>
        <w:t xml:space="preserve">Seção I: dos requisitos da petição inicial (arts. 319 a 321)</w:t>
      </w:r>
    </w:p>
    <w:bookmarkStart w:id="17" w:name="art.-319"/>
    <w:p>
      <w:pPr>
        <w:pStyle w:val="Heading6"/>
        <w:pBdr>
          <w:left w:val="single" w:sz="36" w:space="4" w:color="2E75B6"/>
        </w:pBdr>
        <w:shd w:val="clear" w:color="auto" w:fill="E3EEF9"/>
        <w:spacing w:before="120" w:after="60"/>
        <w:ind w:left="85"/>
      </w:pPr>
      <w:r>
        <w:rPr>
          <w:i w:val="0"/>
          <w:color w:val="1F3A5F"/>
          <w:sz w:val="22"/>
        </w:rPr>
        <w:t xml:space="preserve">Art. 319</w:t>
      </w:r>
    </w:p>
    <w:p>
      <w:pPr>
        <w:pStyle w:val="FirstParagraph"/>
        <w:keepNext/>
        <w:spacing w:after="60"/>
        <w:jc w:val="both"/>
      </w:pPr>
      <w:r>
        <w:rPr>
          <w:b/>
          <w:bCs/>
        </w:rPr>
        <w:t xml:space="preserve">Art. 319.</w:t>
      </w:r>
      <w:r>
        <w:t xml:space="preserve"> </w:t>
      </w:r>
      <w:r>
        <w:t xml:space="preserve">A petição inicial indicará:</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2154"/>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requisitos da petição inicial</w:t>
            </w:r>
          </w:p>
        </w:tc>
        <w:tc>
          <w:tcPr>
            <w:tcW w:type="dxa" w:w="1531"/>
          </w:tcPr>
          <w:p>
            <w:pPr>
              <w:pStyle w:val="Compact"/>
              <w:spacing w:line="276" w:lineRule="auto" w:before="40" w:after="40"/>
            </w:pPr>
            <w:r>
              <w:rPr>
                <w:rFonts w:ascii="Liberation Sans Narrow" w:hAnsi="Liberation Sans Narrow"/>
                <w:sz w:val="17"/>
              </w:rPr>
              <w:t xml:space="preserve">STJ, AgInt no EREsp 2.041.210, Corte Especial, relator Min. Og Fernandes, DJe de 14/06/2024</w:t>
            </w:r>
          </w:p>
        </w:tc>
        <w:tc>
          <w:tcPr>
            <w:tcW w:type="dxa" w:w="2154"/>
          </w:tcPr>
          <w:p>
            <w:pPr>
              <w:pStyle w:val="Compact"/>
              <w:spacing w:line="276" w:lineRule="auto" w:before="40" w:after="40"/>
            </w:pPr>
            <w:r>
              <w:rPr>
                <w:rFonts w:ascii="Liberation Sans Narrow" w:hAnsi="Liberation Sans Narrow"/>
                <w:sz w:val="17"/>
              </w:rPr>
              <w:t xml:space="preserve">O indeferimento da petição inicial por não preenchimento dos requisitos dos arts. 319 e 320, ou por defeitos e irregularidades capazes de dificultar o julgamento de mérito, reclama a prévia concessão de oportunidade de emenda pelo autor, nos termos do art. 321.</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suficiência documental é matéria de mérito</w:t>
            </w:r>
          </w:p>
        </w:tc>
        <w:tc>
          <w:tcPr>
            <w:tcW w:type="dxa" w:w="1531"/>
          </w:tcPr>
          <w:p>
            <w:pPr>
              <w:pStyle w:val="Compact"/>
              <w:spacing w:line="276" w:lineRule="auto" w:before="40" w:after="40"/>
            </w:pPr>
            <w:r>
              <w:rPr>
                <w:rFonts w:ascii="Liberation Sans Narrow" w:hAnsi="Liberation Sans Narrow"/>
                <w:sz w:val="17"/>
              </w:rPr>
              <w:t xml:space="preserve">STJ, AREsp 3.018.178, Terceira Turma, relator Min. Moura Ribeiro, julgado em 18/05/2026</w:t>
            </w:r>
          </w:p>
        </w:tc>
        <w:tc>
          <w:tcPr>
            <w:tcW w:type="dxa" w:w="2154"/>
          </w:tcPr>
          <w:p>
            <w:pPr>
              <w:pStyle w:val="Compact"/>
              <w:spacing w:line="276" w:lineRule="auto" w:before="40" w:after="40"/>
            </w:pPr>
            <w:r>
              <w:rPr>
                <w:rFonts w:ascii="Liberation Sans Narrow" w:hAnsi="Liberation Sans Narrow"/>
                <w:sz w:val="17"/>
              </w:rPr>
              <w:t xml:space="preserve">A ausência do instrumento contratual não acarreta, por si só, o indeferimento da inicial em ação de cobrança quando outros elementos indiciam a relação jurídica entre as partes: a suficiência dos documentos é matéria de mérito, a ser apreciada após a instrução, nos termos dos arts. 319 e 320.</w:t>
            </w:r>
          </w:p>
        </w:tc>
      </w:tr>
    </w:tbl>
    <w:p>
      <w:pPr>
        <w:pStyle w:val="BodyText"/>
        <w:spacing w:after="60"/>
        <w:jc w:val="both"/>
      </w:pPr>
      <w:r>
        <w:t xml:space="preserve">I - o juízo a que é dirigida;</w:t>
      </w:r>
    </w:p>
    <w:p>
      <w:pPr>
        <w:pStyle w:val="BodyText"/>
        <w:spacing w:after="60"/>
        <w:jc w:val="both"/>
      </w:pPr>
      <w:r>
        <w:t xml:space="preserve">II - os nomes, os prenomes, o estado civil, a existência de união estável, a profissão, o número de inscrição no Cadastro de Pessoas Físicas ou no Cadastro Nacional da Pessoa Jurídica, o endereço eletrônico, o domicílio e a residência do autor e do réu;</w:t>
      </w:r>
    </w:p>
    <w:p>
      <w:pPr>
        <w:pStyle w:val="BodyText"/>
        <w:spacing w:after="60"/>
        <w:jc w:val="both"/>
      </w:pPr>
      <w:r>
        <w:t xml:space="preserve">III - o fato e os fundamentos jurídicos do pedido;</w:t>
      </w:r>
    </w:p>
    <w:p>
      <w:pPr>
        <w:pStyle w:val="BodyText"/>
        <w:spacing w:after="60"/>
        <w:jc w:val="both"/>
      </w:pPr>
      <w:r>
        <w:t xml:space="preserve">IV - o pedido com as suas especificações;</w:t>
      </w:r>
    </w:p>
    <w:p>
      <w:pPr>
        <w:pStyle w:val="BodyText"/>
        <w:spacing w:after="60"/>
        <w:jc w:val="both"/>
      </w:pPr>
      <w:r>
        <w:t xml:space="preserve">V - o valor da causa;</w:t>
      </w:r>
    </w:p>
    <w:p>
      <w:pPr>
        <w:pStyle w:val="BodyText"/>
        <w:spacing w:after="60"/>
        <w:jc w:val="both"/>
      </w:pPr>
      <w:r>
        <w:t xml:space="preserve">VI - as provas com que o autor pretende demonstrar a verdade dos fatos alegados;</w:t>
      </w:r>
    </w:p>
    <w:p>
      <w:pPr>
        <w:pStyle w:val="BodyText"/>
        <w:spacing w:after="60"/>
        <w:jc w:val="both"/>
      </w:pPr>
      <w:r>
        <w:t xml:space="preserve">VII - a opção do autor pela realização ou não de audiência de conciliação ou de mediação.</w:t>
      </w:r>
    </w:p>
    <w:p>
      <w:pPr>
        <w:pStyle w:val="BodyText"/>
        <w:spacing w:after="60"/>
        <w:jc w:val="both"/>
      </w:pPr>
      <w:r>
        <w:t xml:space="preserve">§ 1º Caso não disponha das informações previstas no inciso II, poderá o autor, na petição inicial, requerer ao juiz diligências necessárias a sua obtenção.</w:t>
      </w:r>
    </w:p>
    <w:p>
      <w:pPr>
        <w:pStyle w:val="BodyText"/>
        <w:spacing w:after="60"/>
        <w:jc w:val="both"/>
      </w:pPr>
      <w:r>
        <w:t xml:space="preserve">§ 2º A petição inicial não será indeferida se, a despeito da falta de informações a que se refere o inciso II, for possível a citação do réu.</w:t>
      </w:r>
    </w:p>
    <w:p>
      <w:pPr>
        <w:pStyle w:val="BodyText"/>
        <w:spacing w:after="60"/>
        <w:jc w:val="both"/>
      </w:pPr>
      <w:r>
        <w:t xml:space="preserve">§ 3º A petição inicial não será indeferida pelo não atendimento ao disposto no inciso II deste artigo se a obtenção de tais informações tornar impossível ou excessivamente oneroso o acesso à justiça.</w:t>
      </w:r>
    </w:p>
    <w:bookmarkEnd w:id="17"/>
    <w:bookmarkStart w:id="18" w:name="art.-320"/>
    <w:p>
      <w:pPr>
        <w:pStyle w:val="Heading6"/>
        <w:pBdr>
          <w:left w:val="single" w:sz="36" w:space="4" w:color="2E75B6"/>
        </w:pBdr>
        <w:shd w:val="clear" w:color="auto" w:fill="E3EEF9"/>
        <w:spacing w:before="120" w:after="60"/>
        <w:ind w:left="85"/>
      </w:pPr>
      <w:r>
        <w:rPr>
          <w:i w:val="0"/>
          <w:color w:val="1F3A5F"/>
          <w:sz w:val="22"/>
        </w:rPr>
        <w:t xml:space="preserve">Art. 320</w:t>
      </w:r>
    </w:p>
    <w:p>
      <w:pPr>
        <w:pStyle w:val="FirstParagraph"/>
        <w:keepNext/>
        <w:spacing w:after="60"/>
        <w:jc w:val="both"/>
      </w:pPr>
      <w:r>
        <w:rPr>
          <w:b/>
          <w:bCs/>
        </w:rPr>
        <w:t xml:space="preserve">Art. 320.</w:t>
      </w:r>
      <w:r>
        <w:t xml:space="preserve"> </w:t>
      </w:r>
      <w:r>
        <w:t xml:space="preserve">A petição inicial será instruída com os documentos indispensáveis à propositura da ação.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655"/>
        <w:gridCol w:w="1905"/>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Documentos indispensáveis à propositura da ação: exigência de documentos que demonstrem a autenticidade da pretensão em caso de litigância abusiva</w:t>
            </w:r>
          </w:p>
        </w:tc>
        <w:tc>
          <w:tcPr>
            <w:tcW w:type="dxa" w:w="1655"/>
          </w:tcPr>
          <w:p>
            <w:pPr>
              <w:pStyle w:val="Compact"/>
              <w:spacing w:line="276" w:lineRule="auto" w:before="40" w:after="40"/>
            </w:pPr>
            <w:r>
              <w:rPr>
                <w:rFonts w:ascii="Liberation Sans Narrow" w:hAnsi="Liberation Sans Narrow"/>
                <w:sz w:val="17"/>
              </w:rPr>
              <w:t xml:space="preserve">STJ, Tema Repetitivo 1198, REsp 2.021.665, Corte Especial, relator Min. Moura Ribeiro, julgado em 13/03/2025, DJEN de 11/06/2026</w:t>
            </w:r>
          </w:p>
        </w:tc>
        <w:tc>
          <w:tcPr>
            <w:tcW w:type="dxa" w:w="1905"/>
          </w:tcPr>
          <w:p>
            <w:pPr>
              <w:pStyle w:val="Compact"/>
              <w:spacing w:line="276" w:lineRule="auto" w:before="40" w:after="40"/>
            </w:pPr>
            <w:r>
              <w:rPr>
                <w:rFonts w:ascii="Liberation Sans Narrow" w:hAnsi="Liberation Sans Narrow"/>
                <w:sz w:val="17"/>
              </w:rPr>
              <w:t xml:space="preserve">Constatados indícios de litigância abusiva, o juiz pode exigir, de modo fundamentado e com observância à razoabilidade do caso concreto, a emenda da petição inicial a fim de demonstrar o interesse de agir e a autenticidade da postulação, respeitadas as regras de distribuição do ônus da prova.</w:t>
            </w:r>
          </w:p>
        </w:tc>
      </w:tr>
    </w:tbl>
    <w:bookmarkEnd w:id="18"/>
    <w:bookmarkStart w:id="19" w:name="art.-321"/>
    <w:p>
      <w:pPr>
        <w:pStyle w:val="Heading6"/>
        <w:pBdr>
          <w:left w:val="single" w:sz="36" w:space="4" w:color="2E75B6"/>
        </w:pBdr>
        <w:shd w:val="clear" w:color="auto" w:fill="E3EEF9"/>
        <w:spacing w:before="120" w:after="60"/>
        <w:ind w:left="85"/>
      </w:pPr>
      <w:r>
        <w:rPr>
          <w:i w:val="0"/>
          <w:color w:val="1F3A5F"/>
          <w:sz w:val="22"/>
        </w:rPr>
        <w:t xml:space="preserve">Art. 321</w:t>
      </w:r>
    </w:p>
    <w:p>
      <w:pPr>
        <w:pStyle w:val="FirstParagraph"/>
        <w:keepNext/>
        <w:spacing w:after="60"/>
        <w:jc w:val="both"/>
      </w:pPr>
      <w:r>
        <w:rPr>
          <w:b/>
          <w:bCs/>
        </w:rPr>
        <w:t xml:space="preserve">Art. 321.</w:t>
      </w:r>
      <w:r>
        <w:t xml:space="preserve"> </w:t>
      </w:r>
      <w:r>
        <w:t xml:space="preserve">O juiz, ao verificar que a petição inicial não preenche os requisitos dos arts. 319 e 320 ou que apresenta defeitos e irregularidades capazes de dificultar o julgamento de mérito, determinará que o autor, no prazo de 15 (quinze) dias, a emende ou a complete, indicando com precisão o que deve ser corrigido ou completado.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780"/>
        <w:gridCol w:w="2029"/>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Litigância abusiva: emenda da petição inicial para demonstrar interesse de agir e autenticidade da postulação</w:t>
            </w:r>
          </w:p>
        </w:tc>
        <w:tc>
          <w:tcPr>
            <w:tcW w:type="dxa" w:w="1780"/>
          </w:tcPr>
          <w:p>
            <w:pPr>
              <w:pStyle w:val="Compact"/>
              <w:spacing w:line="276" w:lineRule="auto" w:before="40" w:after="40"/>
            </w:pPr>
            <w:r>
              <w:rPr>
                <w:rFonts w:ascii="Liberation Sans Narrow" w:hAnsi="Liberation Sans Narrow"/>
                <w:sz w:val="17"/>
              </w:rPr>
              <w:t xml:space="preserve">STJ, Tema Repetitivo 1198, REsp 2.021.665, Corte Especial, relator Min. Moura Ribeiro, julgado em 13/03/2025, DJEN de 11/06/2026</w:t>
            </w:r>
          </w:p>
        </w:tc>
        <w:tc>
          <w:tcPr>
            <w:tcW w:type="dxa" w:w="2030"/>
          </w:tcPr>
          <w:p>
            <w:pPr>
              <w:pStyle w:val="Compact"/>
              <w:spacing w:line="276" w:lineRule="auto" w:before="40" w:after="40"/>
            </w:pPr>
            <w:r>
              <w:rPr>
                <w:rFonts w:ascii="Liberation Sans Narrow" w:hAnsi="Liberation Sans Narrow"/>
                <w:sz w:val="17"/>
              </w:rPr>
              <w:t xml:space="preserve">Constatados indícios de litigância abusiva, o juiz pode exigir, de modo fundamentado e com observância à razoabilidade do caso concreto, a emenda da petição inicial a fim de demonstrar o interesse de agir e a autenticidade da postulação, respeitadas as regras de distribuição do ônus da prova.</w:t>
            </w:r>
          </w:p>
        </w:tc>
      </w:tr>
      <w:tr>
        <w:trPr>
          <w:cantSplit/>
        </w:trPr>
        <w:tc>
          <w:tcPr>
            <w:tcW w:type="dxa" w:w="2030"/>
          </w:tcPr>
          <w:p>
            <w:pPr>
              <w:pStyle w:val="Compact"/>
              <w:spacing w:line="276" w:lineRule="auto" w:before="40" w:after="40"/>
            </w:pPr>
            <w:r>
              <w:rPr>
                <w:rFonts w:ascii="Liberation Sans Narrow" w:hAnsi="Liberation Sans Narrow"/>
                <w:sz w:val="17"/>
              </w:rPr>
              <w:t xml:space="preserve">Emenda da petição inicial: descumprimento e indeferimento (arts. 320 e 321)</w:t>
            </w:r>
          </w:p>
        </w:tc>
        <w:tc>
          <w:tcPr>
            <w:tcW w:type="dxa" w:w="1780"/>
          </w:tcPr>
          <w:p>
            <w:pPr>
              <w:pStyle w:val="Compact"/>
              <w:spacing w:line="276" w:lineRule="auto" w:before="40" w:after="40"/>
            </w:pPr>
            <w:r>
              <w:rPr>
                <w:rFonts w:ascii="Liberation Sans Narrow" w:hAnsi="Liberation Sans Narrow"/>
                <w:sz w:val="17"/>
              </w:rPr>
              <w:t xml:space="preserve">STF, Rcl 75.525, Segunda Turma, relator Min. André Mendonça, julgado em 02/12/2025</w:t>
            </w:r>
            <w:r>
              <w:rPr>
                <w:rFonts w:ascii="Liberation Sans Narrow" w:hAnsi="Liberation Sans Narrow"/>
                <w:sz w:val="17"/>
              </w:rPr>
              <w:t xml:space="preserve"> </w:t>
            </w:r>
            <w:r>
              <w:rPr>
                <w:rFonts w:ascii="Liberation Sans Narrow" w:hAnsi="Liberation Sans Narrow"/>
                <w:b/>
                <w:bCs/>
                <w:sz w:val="17"/>
              </w:rPr>
              <w:t xml:space="preserve">[Repositório externo]</w:t>
            </w:r>
          </w:p>
        </w:tc>
        <w:tc>
          <w:tcPr>
            <w:tcW w:type="dxa" w:w="2030"/>
          </w:tcPr>
          <w:p>
            <w:pPr>
              <w:pStyle w:val="Compact"/>
              <w:spacing w:line="276" w:lineRule="auto" w:before="40" w:after="40"/>
            </w:pPr>
            <w:r>
              <w:rPr>
                <w:rFonts w:ascii="Liberation Sans Narrow" w:hAnsi="Liberation Sans Narrow"/>
                <w:sz w:val="17"/>
              </w:rPr>
              <w:t xml:space="preserve">O descumprimento da determinação de emendar a petição inicial implica o seu indeferimento (arts. 320 e 321). A exigência de juntar o ato reclamado e os documentos que permitam compreender a controvérsia não é mero formalismo: o autor tem o dever de instruir a inicial com prova documental.</w:t>
            </w:r>
          </w:p>
        </w:tc>
      </w:tr>
    </w:tbl>
    <w:p>
      <w:pPr>
        <w:pStyle w:val="BodyText"/>
        <w:keepNext/>
        <w:spacing w:after="60"/>
        <w:jc w:val="both"/>
      </w:pPr>
      <w:r>
        <w:t xml:space="preserve">Parágrafo único. Se o autor não cumprir a diligência, o juiz indeferirá a petição inicial.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780"/>
        <w:gridCol w:w="1780"/>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Parágrafo único: descumprimento da emenda e indeferimento da inicial</w:t>
            </w:r>
          </w:p>
        </w:tc>
        <w:tc>
          <w:tcPr>
            <w:tcW w:type="dxa" w:w="1780"/>
          </w:tcPr>
          <w:p>
            <w:pPr>
              <w:pStyle w:val="Compact"/>
              <w:spacing w:line="276" w:lineRule="auto" w:before="40" w:after="40"/>
            </w:pPr>
            <w:r>
              <w:rPr>
                <w:rFonts w:ascii="Liberation Sans Narrow" w:hAnsi="Liberation Sans Narrow"/>
                <w:sz w:val="17"/>
              </w:rPr>
              <w:t xml:space="preserve">STF, Rcl 74.610, Primeira Turma, relator Min. Luiz Fux, julgado em 05/03/2025</w:t>
            </w:r>
            <w:r>
              <w:rPr>
                <w:rFonts w:ascii="Liberation Sans Narrow" w:hAnsi="Liberation Sans Narrow"/>
                <w:sz w:val="17"/>
              </w:rPr>
              <w:t xml:space="preserve"> </w:t>
            </w:r>
            <w:r>
              <w:rPr>
                <w:rFonts w:ascii="Liberation Sans Narrow" w:hAnsi="Liberation Sans Narrow"/>
                <w:b/>
                <w:bCs/>
                <w:sz w:val="17"/>
              </w:rPr>
              <w:t xml:space="preserve">[Repositório externo]</w:t>
            </w:r>
          </w:p>
        </w:tc>
        <w:tc>
          <w:tcPr>
            <w:tcW w:type="dxa" w:w="1780"/>
          </w:tcPr>
          <w:p>
            <w:pPr>
              <w:pStyle w:val="Compact"/>
              <w:spacing w:line="276" w:lineRule="auto" w:before="40" w:after="40"/>
            </w:pPr>
            <w:r>
              <w:rPr>
                <w:rFonts w:ascii="Liberation Sans Narrow" w:hAnsi="Liberation Sans Narrow"/>
                <w:sz w:val="17"/>
              </w:rPr>
              <w:t xml:space="preserve">Não cumprida a determinação de emenda, a petição inicial é indeferida, nos termos do art. 321, parágrafo único.</w:t>
            </w:r>
          </w:p>
        </w:tc>
      </w:tr>
    </w:tbl>
    <w:bookmarkEnd w:id="19"/>
    <w:bookmarkEnd w:id="20"/>
    <w:bookmarkStart w:id="29" w:name="seção-ii-do-pedido-arts.-322-a-329"/>
    <w:p>
      <w:pPr>
        <w:pStyle w:val="Heading5"/>
        <w:spacing w:before="60" w:after="20"/>
      </w:pPr>
      <w:r>
        <w:rPr>
          <w:i/>
          <w:color w:val="595959"/>
        </w:rPr>
        <w:t xml:space="preserve">Seção II: do pedido (arts. 322 a 329)</w:t>
      </w:r>
    </w:p>
    <w:bookmarkStart w:id="21" w:name="art.-322"/>
    <w:p>
      <w:pPr>
        <w:pStyle w:val="Heading6"/>
        <w:pBdr>
          <w:left w:val="single" w:sz="36" w:space="4" w:color="2E75B6"/>
        </w:pBdr>
        <w:shd w:val="clear" w:color="auto" w:fill="E3EEF9"/>
        <w:spacing w:before="120" w:after="60"/>
        <w:ind w:left="85"/>
      </w:pPr>
      <w:r>
        <w:rPr>
          <w:i w:val="0"/>
          <w:color w:val="1F3A5F"/>
          <w:sz w:val="22"/>
        </w:rPr>
        <w:t xml:space="preserve">Art. 322</w:t>
      </w:r>
    </w:p>
    <w:p>
      <w:pPr>
        <w:pStyle w:val="FirstParagraph"/>
        <w:keepNext/>
        <w:spacing w:after="60"/>
        <w:jc w:val="both"/>
      </w:pPr>
      <w:r>
        <w:rPr>
          <w:b/>
          <w:bCs/>
        </w:rPr>
        <w:t xml:space="preserve">Art. 322.</w:t>
      </w:r>
      <w:r>
        <w:t xml:space="preserve"> </w:t>
      </w:r>
      <w:r>
        <w:t xml:space="preserve">O pedido deve ser certo.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528"/>
        <w:gridCol w:w="1655"/>
        <w:gridCol w:w="2653"/>
      </w:tblGrid>
      <w:tr>
        <w:trPr>
          <w:tblHeader w:val="on"/>
          <w:cantSplit/>
          <w:tblHeader/>
        </w:trPr>
        <w:tc>
          <w:tcPr>
            <w:tcW w:type="dxa" w:w="2529"/>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653"/>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529"/>
          </w:tcPr>
          <w:p>
            <w:pPr>
              <w:pStyle w:val="Compact"/>
              <w:spacing w:line="276" w:lineRule="auto" w:before="40" w:after="40"/>
            </w:pPr>
            <w:r>
              <w:rPr>
                <w:rFonts w:ascii="Liberation Sans Narrow" w:hAnsi="Liberation Sans Narrow"/>
                <w:sz w:val="17"/>
              </w:rPr>
              <w:t xml:space="preserve">Interpretação do pedido (§ 2º): inépcia da inicial e interpretação lógico-sistemática</w:t>
            </w:r>
          </w:p>
        </w:tc>
        <w:tc>
          <w:tcPr>
            <w:tcW w:type="dxa" w:w="1655"/>
          </w:tcPr>
          <w:p>
            <w:pPr>
              <w:pStyle w:val="Compact"/>
              <w:spacing w:line="276" w:lineRule="auto" w:before="40" w:after="40"/>
            </w:pPr>
            <w:r>
              <w:rPr>
                <w:rFonts w:ascii="Liberation Sans Narrow" w:hAnsi="Liberation Sans Narrow"/>
                <w:sz w:val="17"/>
              </w:rPr>
              <w:t xml:space="preserve">STJ, AREsp 3.068.085, Quarta Turma, relator Min. Raul Araújo, julgado em 09/03/2026, DJEN de 16/03/2026</w:t>
            </w:r>
          </w:p>
        </w:tc>
        <w:tc>
          <w:tcPr>
            <w:tcW w:type="dxa" w:w="2653"/>
          </w:tcPr>
          <w:p>
            <w:pPr>
              <w:pStyle w:val="Compact"/>
              <w:spacing w:line="276" w:lineRule="auto" w:before="40" w:after="40"/>
            </w:pPr>
            <w:r>
              <w:rPr>
                <w:rFonts w:ascii="Liberation Sans Narrow" w:hAnsi="Liberation Sans Narrow"/>
                <w:sz w:val="17"/>
              </w:rPr>
              <w:t xml:space="preserve">A petição inicial não é inepta quando, a despeito de má técnica ou imprecisão terminológica, é possível compreender a causa de pedir e o pedido; admite-se a interpretação lógico-sistemática, que alcança o que decorre logicamente da causa de pedir, nos termos do § 2º.</w:t>
            </w:r>
          </w:p>
        </w:tc>
      </w:tr>
    </w:tbl>
    <w:p>
      <w:pPr>
        <w:pStyle w:val="BodyText"/>
        <w:spacing w:after="60"/>
        <w:jc w:val="both"/>
      </w:pPr>
      <w:r>
        <w:t xml:space="preserve">§ 1º Compreendem-se no principal os juros legais, a correção monetária e as verbas de sucumbência, inclusive os honorários advocatícios.</w:t>
      </w:r>
    </w:p>
    <w:p>
      <w:pPr>
        <w:pStyle w:val="BodyText"/>
        <w:spacing w:after="60"/>
        <w:jc w:val="both"/>
      </w:pPr>
      <w:r>
        <w:t xml:space="preserve">§ 2º A interpretação do pedido considerará o conjunto da postulação e observará o princípio da boa-fé.</w:t>
      </w:r>
    </w:p>
    <w:bookmarkEnd w:id="21"/>
    <w:bookmarkStart w:id="22" w:name="art.-323"/>
    <w:p>
      <w:pPr>
        <w:pStyle w:val="Heading6"/>
        <w:pBdr>
          <w:left w:val="single" w:sz="36" w:space="4" w:color="2E75B6"/>
        </w:pBdr>
        <w:shd w:val="clear" w:color="auto" w:fill="E3EEF9"/>
        <w:spacing w:before="120" w:after="60"/>
        <w:ind w:left="85"/>
      </w:pPr>
      <w:r>
        <w:rPr>
          <w:i w:val="0"/>
          <w:color w:val="1F3A5F"/>
          <w:sz w:val="22"/>
        </w:rPr>
        <w:t xml:space="preserve">Art. 323</w:t>
      </w:r>
    </w:p>
    <w:p>
      <w:pPr>
        <w:pStyle w:val="FirstParagraph"/>
        <w:keepNext/>
        <w:spacing w:after="60"/>
        <w:jc w:val="both"/>
      </w:pPr>
      <w:r>
        <w:rPr>
          <w:b/>
          <w:bCs/>
        </w:rPr>
        <w:t xml:space="preserve">Art. 323.</w:t>
      </w:r>
      <w:r>
        <w:t xml:space="preserve"> </w:t>
      </w:r>
      <w:r>
        <w:t xml:space="preserve">Na ação que tiver por objeto cumprimento de obrigação em prestações sucessivas, essas serão consideradas incluídas no pedido, independentemente de declaração expressa do autor, e serão incluídas na condenação, enquanto durar a obrigação, se o devedor, no curso do processo, deixar de pagá-las ou de consigná-las.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528"/>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52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Art. 323: limite temporal fixado no título</w:t>
            </w:r>
          </w:p>
        </w:tc>
        <w:tc>
          <w:tcPr>
            <w:tcW w:type="dxa" w:w="1655"/>
          </w:tcPr>
          <w:p>
            <w:pPr>
              <w:pStyle w:val="Compact"/>
              <w:spacing w:line="276" w:lineRule="auto" w:before="40" w:after="40"/>
            </w:pPr>
            <w:r>
              <w:rPr>
                <w:rFonts w:ascii="Liberation Sans Narrow" w:hAnsi="Liberation Sans Narrow"/>
                <w:sz w:val="17"/>
              </w:rPr>
              <w:t xml:space="preserve">STJ, AgInt no AREsp 2.996.755, Quarta Turma, relatora Min. Maria Isabel Gallotti, julgado em 22/06/2026, DJEN de 26/06/2026</w:t>
            </w:r>
          </w:p>
        </w:tc>
        <w:tc>
          <w:tcPr>
            <w:tcW w:type="dxa" w:w="2529"/>
          </w:tcPr>
          <w:p>
            <w:pPr>
              <w:pStyle w:val="Compact"/>
              <w:spacing w:line="276" w:lineRule="auto" w:before="40" w:after="40"/>
            </w:pPr>
            <w:r>
              <w:rPr>
                <w:rFonts w:ascii="Liberation Sans Narrow" w:hAnsi="Liberation Sans Narrow"/>
                <w:sz w:val="17"/>
              </w:rPr>
              <w:t xml:space="preserve">A inclusão de parcelas vincendas é vedada na liquidação ou na execução quando o título fixa período certo (2018–2021), sob pena de ofensa à coisa julgada; sentença ilíquida não autoriza ampliar o marco temporal delimitado, e inclusões posteriores violam o art. 503.</w:t>
            </w:r>
          </w:p>
        </w:tc>
      </w:tr>
      <w:tr>
        <w:trPr>
          <w:cantSplit/>
        </w:trPr>
        <w:tc>
          <w:tcPr>
            <w:tcW w:type="dxa" w:w="1531"/>
          </w:tcPr>
          <w:p>
            <w:pPr>
              <w:pStyle w:val="Compact"/>
              <w:spacing w:line="276" w:lineRule="auto" w:before="40" w:after="40"/>
            </w:pPr>
            <w:r>
              <w:rPr>
                <w:rFonts w:ascii="Liberation Sans Narrow" w:hAnsi="Liberation Sans Narrow"/>
                <w:sz w:val="17"/>
              </w:rPr>
              <w:t xml:space="preserve">Art. 323: relação de trato sucessivo (locação)</w:t>
            </w:r>
          </w:p>
        </w:tc>
        <w:tc>
          <w:tcPr>
            <w:tcW w:type="dxa" w:w="1655"/>
          </w:tcPr>
          <w:p>
            <w:pPr>
              <w:pStyle w:val="Compact"/>
              <w:spacing w:line="276" w:lineRule="auto" w:before="40" w:after="40"/>
            </w:pPr>
            <w:r>
              <w:rPr>
                <w:rFonts w:ascii="Liberation Sans Narrow" w:hAnsi="Liberation Sans Narrow"/>
                <w:sz w:val="17"/>
              </w:rPr>
              <w:t xml:space="preserve">STJ, REsp 2.235.749, Quarta Turma, relator Min. João Otávio de Noronha, julgado em 22/04/2026, DJEN de 27/04/2026</w:t>
            </w:r>
          </w:p>
        </w:tc>
        <w:tc>
          <w:tcPr>
            <w:tcW w:type="dxa" w:w="2529"/>
          </w:tcPr>
          <w:p>
            <w:pPr>
              <w:pStyle w:val="Compact"/>
              <w:spacing w:line="276" w:lineRule="auto" w:before="40" w:after="40"/>
            </w:pPr>
            <w:r>
              <w:rPr>
                <w:rFonts w:ascii="Liberation Sans Narrow" w:hAnsi="Liberation Sans Narrow"/>
                <w:sz w:val="17"/>
              </w:rPr>
              <w:t xml:space="preserve">As relações locatícias são de trato sucessivo e autorizam a inclusão, na condenação, das verbas vencidas e das vincendas até a desocupação, mediante interpretação lógico-sistemática dos pedidos da inicial. O tribunal de origem havia excluído água, luz e reparos como julgamento ultra petita; o STJ reconheceu a ofensa ao art. 323 e proveu em parte o recurso.</w:t>
            </w:r>
          </w:p>
        </w:tc>
      </w:tr>
      <w:tr>
        <w:trPr>
          <w:cantSplit/>
        </w:trPr>
        <w:tc>
          <w:tcPr>
            <w:tcW w:type="dxa" w:w="1531"/>
          </w:tcPr>
          <w:p>
            <w:pPr>
              <w:pStyle w:val="Compact"/>
              <w:spacing w:line="276" w:lineRule="auto" w:before="40" w:after="40"/>
            </w:pPr>
            <w:r>
              <w:rPr>
                <w:rFonts w:ascii="Liberation Sans Narrow" w:hAnsi="Liberation Sans Narrow"/>
                <w:sz w:val="17"/>
              </w:rPr>
              <w:t xml:space="preserve">Art. 323: execução de parcelas vencidas e vincendas</w:t>
            </w:r>
          </w:p>
        </w:tc>
        <w:tc>
          <w:tcPr>
            <w:tcW w:type="dxa" w:w="1655"/>
          </w:tcPr>
          <w:p>
            <w:pPr>
              <w:pStyle w:val="Compact"/>
              <w:spacing w:line="276" w:lineRule="auto" w:before="40" w:after="40"/>
            </w:pPr>
            <w:r>
              <w:rPr>
                <w:rFonts w:ascii="Liberation Sans Narrow" w:hAnsi="Liberation Sans Narrow"/>
                <w:sz w:val="17"/>
              </w:rPr>
              <w:t xml:space="preserve">STJ, REsp 2.187.534, Terceira Turma, relator Min. Moura Ribeiro, julgado em 09/02/2026, DJEN de 13/02/2026</w:t>
            </w:r>
          </w:p>
        </w:tc>
        <w:tc>
          <w:tcPr>
            <w:tcW w:type="dxa" w:w="2529"/>
          </w:tcPr>
          <w:p>
            <w:pPr>
              <w:pStyle w:val="Compact"/>
              <w:spacing w:line="276" w:lineRule="auto" w:before="40" w:after="40"/>
            </w:pPr>
            <w:r>
              <w:rPr>
                <w:rFonts w:ascii="Liberation Sans Narrow" w:hAnsi="Liberation Sans Narrow"/>
                <w:sz w:val="17"/>
              </w:rPr>
              <w:t xml:space="preserve">O art. 323 admite a condenação e a execução de prestações sucessivas vencidas no curso do processo e das vincendas até o efetivo pagamento, quando contínuas, homogêneas e derivadas da mesma fonte. Se o acordo homologado, título executivo judicial, prevê o adimplemento das cotas vincendas, é possível incluí-las no cumprimento de sentença, bem como as vencidas no curso do processo e não pagas, sem violar a coisa julgada.</w:t>
            </w:r>
          </w:p>
        </w:tc>
      </w:tr>
    </w:tbl>
    <w:bookmarkEnd w:id="22"/>
    <w:bookmarkStart w:id="23" w:name="art.-324"/>
    <w:p>
      <w:pPr>
        <w:pStyle w:val="Heading6"/>
        <w:pBdr>
          <w:left w:val="single" w:sz="36" w:space="4" w:color="2E75B6"/>
        </w:pBdr>
        <w:shd w:val="clear" w:color="auto" w:fill="E3EEF9"/>
        <w:spacing w:before="120" w:after="60"/>
        <w:ind w:left="85"/>
      </w:pPr>
      <w:r>
        <w:rPr>
          <w:i w:val="0"/>
          <w:color w:val="1F3A5F"/>
          <w:sz w:val="22"/>
        </w:rPr>
        <w:t xml:space="preserve">Art. 324</w:t>
      </w:r>
    </w:p>
    <w:p>
      <w:pPr>
        <w:pStyle w:val="FirstParagraph"/>
        <w:spacing w:after="60"/>
        <w:jc w:val="both"/>
      </w:pPr>
      <w:r>
        <w:rPr>
          <w:b/>
          <w:bCs/>
        </w:rPr>
        <w:t xml:space="preserve">Art. 324.</w:t>
      </w:r>
      <w:r>
        <w:t xml:space="preserve"> </w:t>
      </w:r>
      <w:r>
        <w:t xml:space="preserve">O pedido deve ser determinado.</w:t>
      </w:r>
    </w:p>
    <w:p>
      <w:pPr>
        <w:pStyle w:val="BodyText"/>
        <w:spacing w:after="60"/>
        <w:jc w:val="both"/>
      </w:pPr>
      <w:r>
        <w:t xml:space="preserve">§ 1º É lícito, porém, formular pedido genérico:</w:t>
      </w:r>
    </w:p>
    <w:p>
      <w:pPr>
        <w:pStyle w:val="BodyText"/>
        <w:spacing w:after="60"/>
        <w:jc w:val="both"/>
      </w:pPr>
      <w:r>
        <w:t xml:space="preserve">I - nas ações universais, se o autor não puder individuar os bens demandados;</w:t>
      </w:r>
    </w:p>
    <w:p>
      <w:pPr>
        <w:pStyle w:val="BodyText"/>
        <w:keepNext/>
        <w:spacing w:after="60"/>
        <w:jc w:val="both"/>
      </w:pPr>
      <w:r>
        <w:t xml:space="preserve">II - quando não for possível determinar, desde logo, as consequências do ato ou do fato;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2029"/>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Art. 324, § 1º, II: pedido genérico em indenização</w:t>
            </w:r>
          </w:p>
        </w:tc>
        <w:tc>
          <w:tcPr>
            <w:tcW w:type="dxa" w:w="1531"/>
          </w:tcPr>
          <w:p>
            <w:pPr>
              <w:pStyle w:val="Compact"/>
              <w:spacing w:line="276" w:lineRule="auto" w:before="40" w:after="40"/>
            </w:pPr>
            <w:r>
              <w:rPr>
                <w:rFonts w:ascii="Liberation Sans Narrow" w:hAnsi="Liberation Sans Narrow"/>
                <w:sz w:val="17"/>
              </w:rPr>
              <w:t xml:space="preserve">STJ, AgInt no AREsp 2.760.574, Terceira Turma, relatora Min. Nancy Andrighi, DJe de 27/03/2025</w:t>
            </w:r>
          </w:p>
        </w:tc>
        <w:tc>
          <w:tcPr>
            <w:tcW w:type="dxa" w:w="2030"/>
          </w:tcPr>
          <w:p>
            <w:pPr>
              <w:pStyle w:val="Compact"/>
              <w:spacing w:line="276" w:lineRule="auto" w:before="40" w:after="40"/>
            </w:pPr>
            <w:r>
              <w:rPr>
                <w:rFonts w:ascii="Liberation Sans Narrow" w:hAnsi="Liberation Sans Narrow"/>
                <w:sz w:val="17"/>
              </w:rPr>
              <w:t xml:space="preserve">Mesma orientação: ainda que a lei exija pedido certo e determinado, admite-se o genérico quando não se pode definir, initio litis, o quantum debeatur, como no pedido de indenização por danos materiais e morais. O acórdão de origem foi mantido por estar em consonância com a jurisprudência do STJ (Súmula 83/STJ), sem tese nova sobre o alcance do inciso.</w:t>
            </w:r>
          </w:p>
        </w:tc>
      </w:tr>
    </w:tbl>
    <w:p>
      <w:pPr>
        <w:pStyle w:val="BodyText"/>
        <w:keepNext/>
        <w:spacing w:after="60"/>
        <w:jc w:val="both"/>
      </w:pPr>
      <w:r>
        <w:t xml:space="preserve">III - quando a determinação do objeto ou do valor da condenação depender de ato que deva ser praticado pelo réu.</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Art. 324, § 1º, III: pedido genérico em ação revisional de contrato bancário</w:t>
            </w:r>
          </w:p>
        </w:tc>
        <w:tc>
          <w:tcPr>
            <w:tcW w:type="dxa" w:w="1531"/>
          </w:tcPr>
          <w:p>
            <w:pPr>
              <w:pStyle w:val="Compact"/>
              <w:spacing w:line="276" w:lineRule="auto" w:before="40" w:after="40"/>
            </w:pPr>
            <w:r>
              <w:rPr>
                <w:rFonts w:ascii="Liberation Sans Narrow" w:hAnsi="Liberation Sans Narrow"/>
                <w:sz w:val="17"/>
              </w:rPr>
              <w:t xml:space="preserve">STJ, AREsp 2.852.331, Quinta Turma, relatora Min. Daniela Teixeira, DJe de 02/10/2025</w:t>
            </w:r>
          </w:p>
        </w:tc>
        <w:tc>
          <w:tcPr>
            <w:tcW w:type="dxa" w:w="2030"/>
          </w:tcPr>
          <w:p>
            <w:pPr>
              <w:pStyle w:val="Compact"/>
              <w:spacing w:line="276" w:lineRule="auto" w:before="40" w:after="40"/>
            </w:pPr>
            <w:r>
              <w:rPr>
                <w:rFonts w:ascii="Liberation Sans Narrow" w:hAnsi="Liberation Sans Narrow"/>
                <w:sz w:val="17"/>
              </w:rPr>
              <w:t xml:space="preserve">A jurisprudência do STJ não admite pedido genérico em ação revisional de contrato bancário, exigindo pedido certo e determinado; como o acórdão recorrido decidira nesse sentido, incidiu a Súmula 83/STJ e o agravo não foi conhecido. A tese vem afirmada na fundamentação, não em dispositivo de mérito.</w:t>
            </w:r>
          </w:p>
        </w:tc>
      </w:tr>
    </w:tbl>
    <w:p>
      <w:pPr>
        <w:pStyle w:val="BodyText"/>
        <w:spacing w:after="60"/>
        <w:jc w:val="both"/>
      </w:pPr>
      <w:r>
        <w:t xml:space="preserve">§ 2º O disposto neste artigo aplica-se à reconvenção.</w:t>
      </w:r>
    </w:p>
    <w:bookmarkEnd w:id="23"/>
    <w:bookmarkStart w:id="24" w:name="art.-325"/>
    <w:p>
      <w:pPr>
        <w:pStyle w:val="Heading6"/>
        <w:pBdr>
          <w:left w:val="single" w:sz="36" w:space="4" w:color="2E75B6"/>
        </w:pBdr>
        <w:shd w:val="clear" w:color="auto" w:fill="E3EEF9"/>
        <w:spacing w:before="120" w:after="60"/>
        <w:ind w:left="85"/>
      </w:pPr>
      <w:r>
        <w:rPr>
          <w:i w:val="0"/>
          <w:color w:val="1F3A5F"/>
          <w:sz w:val="22"/>
        </w:rPr>
        <w:t xml:space="preserve">Art. 325</w:t>
      </w:r>
    </w:p>
    <w:p>
      <w:pPr>
        <w:pStyle w:val="FirstParagraph"/>
        <w:keepNext/>
        <w:spacing w:after="60"/>
        <w:jc w:val="both"/>
      </w:pPr>
      <w:r>
        <w:rPr>
          <w:b/>
          <w:bCs/>
        </w:rPr>
        <w:t xml:space="preserve">Art. 325.</w:t>
      </w:r>
      <w:r>
        <w:t xml:space="preserve"> </w:t>
      </w:r>
      <w:r>
        <w:t xml:space="preserve">O pedido será alternativo quando, pela natureza da obrigação, o devedor puder cumprir a prestação de mais de um modo.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653"/>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653"/>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531"/>
          </w:tcPr>
          <w:p>
            <w:pPr>
              <w:pStyle w:val="Compact"/>
              <w:spacing w:line="276" w:lineRule="auto" w:before="40" w:after="40"/>
            </w:pPr>
            <w:r>
              <w:rPr>
                <w:rFonts w:ascii="Liberation Sans Narrow" w:hAnsi="Liberation Sans Narrow"/>
                <w:sz w:val="17"/>
              </w:rPr>
              <w:t xml:space="preserve">Caput — aplicação (aplicação narrada)</w:t>
            </w:r>
          </w:p>
        </w:tc>
        <w:tc>
          <w:tcPr>
            <w:tcW w:type="dxa" w:w="1531"/>
          </w:tcPr>
          <w:p>
            <w:pPr>
              <w:pStyle w:val="Compact"/>
              <w:spacing w:line="276" w:lineRule="auto" w:before="40" w:after="40"/>
            </w:pPr>
            <w:r>
              <w:rPr>
                <w:rFonts w:ascii="Liberation Sans Narrow" w:hAnsi="Liberation Sans Narrow"/>
                <w:sz w:val="17"/>
              </w:rPr>
              <w:t xml:space="preserve">STJ, AREsp 3.124.278, Terceira Turma, relator Min. Moura Ribeiro, julgado em 01/06/2026</w:t>
            </w:r>
          </w:p>
        </w:tc>
        <w:tc>
          <w:tcPr>
            <w:tcW w:type="dxa" w:w="2653"/>
          </w:tcPr>
          <w:p>
            <w:pPr>
              <w:pStyle w:val="Compact"/>
              <w:spacing w:line="276" w:lineRule="auto" w:before="40" w:after="40"/>
            </w:pPr>
            <w:r>
              <w:rPr>
                <w:rFonts w:ascii="Liberation Sans Narrow" w:hAnsi="Liberation Sans Narrow"/>
                <w:sz w:val="17"/>
              </w:rPr>
              <w:t xml:space="preserve">No caso, não houve julgamento extra petita porque a condenação em danos materiais decorreu de pedido alternativo expressamente formulado na inicial (reparação ou indenização pelo descumprimento): o pedido alternativo foi interpretado de forma lógico-sistemática, à luz do conjunto da petição inicial, e não isoladamente, de modo que a escolha de um dos ramos pelo julgador permaneceu dentro do objeto litigioso. Trecho: “Não se caracteriza julgamento extra petita quando a condenação em danos materiais decorre de pedido alternativo expressamente formulado, sendo o pedido interpretado de forma lógico-sistemática à luz da petição inicial.”</w:t>
            </w:r>
          </w:p>
        </w:tc>
      </w:tr>
    </w:tbl>
    <w:p>
      <w:pPr>
        <w:pStyle w:val="BodyText"/>
        <w:spacing w:after="60"/>
        <w:jc w:val="both"/>
      </w:pPr>
      <w:r>
        <w:t xml:space="preserve">Parágrafo único. Quando, pela lei ou pelo contrato, a escolha couber ao devedor, o juiz lhe assegurará o direito de cumprir a prestação de um ou de outro modo, ainda que o autor não tenha formulado pedido alternativo.</w:t>
      </w:r>
    </w:p>
    <w:bookmarkEnd w:id="24"/>
    <w:bookmarkStart w:id="25" w:name="art.-326"/>
    <w:p>
      <w:pPr>
        <w:pStyle w:val="Heading6"/>
        <w:pBdr>
          <w:left w:val="single" w:sz="36" w:space="4" w:color="2E75B6"/>
        </w:pBdr>
        <w:shd w:val="clear" w:color="auto" w:fill="E3EEF9"/>
        <w:spacing w:before="120" w:after="60"/>
        <w:ind w:left="85"/>
      </w:pPr>
      <w:r>
        <w:rPr>
          <w:i w:val="0"/>
          <w:color w:val="1F3A5F"/>
          <w:sz w:val="22"/>
        </w:rPr>
        <w:t xml:space="preserve">Art. 326</w:t>
      </w:r>
    </w:p>
    <w:p>
      <w:pPr>
        <w:pStyle w:val="FirstParagraph"/>
        <w:keepNext/>
        <w:spacing w:after="60"/>
        <w:jc w:val="both"/>
      </w:pPr>
      <w:r>
        <w:rPr>
          <w:b/>
          <w:bCs/>
        </w:rPr>
        <w:t xml:space="preserve">Art. 326.</w:t>
      </w:r>
      <w:r>
        <w:t xml:space="preserve"> </w:t>
      </w:r>
      <w:r>
        <w:t xml:space="preserve">É lícito formular mais de um pedido em ordem subsidiária, a fim de que o juiz conheça do posterior, quando não acolher o anterior.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2404"/>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Art. 326, caput: ordem de exame na cumulação sucessiva</w:t>
            </w:r>
          </w:p>
        </w:tc>
        <w:tc>
          <w:tcPr>
            <w:tcW w:type="dxa" w:w="1655"/>
          </w:tcPr>
          <w:p>
            <w:pPr>
              <w:pStyle w:val="Compact"/>
              <w:spacing w:line="276" w:lineRule="auto" w:before="40" w:after="40"/>
            </w:pPr>
            <w:r>
              <w:rPr>
                <w:rFonts w:ascii="Liberation Sans Narrow" w:hAnsi="Liberation Sans Narrow"/>
                <w:sz w:val="17"/>
              </w:rPr>
              <w:t xml:space="preserve">STJ, AREsp 3.096.424, Terceira Turma, relator Min. Ricardo Villas Bôas Cueva, julgado em 18/05/2026, DJEN de 21/05/2026</w:t>
            </w:r>
          </w:p>
        </w:tc>
        <w:tc>
          <w:tcPr>
            <w:tcW w:type="dxa" w:w="2404"/>
          </w:tcPr>
          <w:p>
            <w:pPr>
              <w:pStyle w:val="Compact"/>
              <w:spacing w:line="276" w:lineRule="auto" w:before="40" w:after="40"/>
            </w:pPr>
            <w:r>
              <w:rPr>
                <w:rFonts w:ascii="Liberation Sans Narrow" w:hAnsi="Liberation Sans Narrow"/>
                <w:sz w:val="17"/>
              </w:rPr>
              <w:t xml:space="preserve">Na cumulação sucessiva de pedidos, em que o acolhimento de um depende do acolhimento de outro, o tribunal deve examinar e decidir expressamente o pedido principal antes de se pronunciar sobre o sucessivo. Examinar o pedido condenatório, formulado</w:t>
            </w:r>
            <w:r>
              <w:rPr>
                <w:rFonts w:ascii="Liberation Sans Narrow" w:hAnsi="Liberation Sans Narrow"/>
                <w:sz w:val="17"/>
              </w:rPr>
              <w:t xml:space="preserve"> </w:t>
            </w:r>
            <w:r>
              <w:rPr>
                <w:rFonts w:ascii="Liberation Sans Narrow" w:hAnsi="Liberation Sans Narrow"/>
                <w:sz w:val="17"/>
              </w:rPr>
              <w:t xml:space="preserve">“como consequência do pedido anterior”</w:t>
            </w:r>
            <w:r>
              <w:rPr>
                <w:rFonts w:ascii="Liberation Sans Narrow" w:hAnsi="Liberation Sans Narrow"/>
                <w:sz w:val="17"/>
              </w:rPr>
              <w:t xml:space="preserve">, sem o juízo expresso de procedência do principal configura julgamento extra petita (arts. 141 e 492 do CPC).</w:t>
            </w:r>
          </w:p>
        </w:tc>
      </w:tr>
      <w:tr>
        <w:trPr>
          <w:cantSplit/>
        </w:trPr>
        <w:tc>
          <w:tcPr>
            <w:tcW w:type="dxa" w:w="1655"/>
          </w:tcPr>
          <w:p>
            <w:pPr>
              <w:pStyle w:val="Compact"/>
              <w:spacing w:line="276" w:lineRule="auto" w:before="40" w:after="40"/>
            </w:pPr>
            <w:r>
              <w:rPr>
                <w:rFonts w:ascii="Liberation Sans Narrow" w:hAnsi="Liberation Sans Narrow"/>
                <w:sz w:val="17"/>
              </w:rPr>
              <w:t xml:space="preserve">Art. 326, caput: dever de examinar o pedido subsidiário rejeitado na sentença</w:t>
            </w:r>
          </w:p>
        </w:tc>
        <w:tc>
          <w:tcPr>
            <w:tcW w:type="dxa" w:w="1655"/>
          </w:tcPr>
          <w:p>
            <w:pPr>
              <w:pStyle w:val="Compact"/>
              <w:spacing w:line="276" w:lineRule="auto" w:before="40" w:after="40"/>
            </w:pPr>
            <w:r>
              <w:rPr>
                <w:rFonts w:ascii="Liberation Sans Narrow" w:hAnsi="Liberation Sans Narrow"/>
                <w:sz w:val="17"/>
              </w:rPr>
              <w:t xml:space="preserve">STJ, REsp 2.193.434, Quarta Turma, relator Min. Raul Araújo, julgado em 02/03/2026, DJEN de 11/03/2026</w:t>
            </w:r>
          </w:p>
        </w:tc>
        <w:tc>
          <w:tcPr>
            <w:tcW w:type="dxa" w:w="2404"/>
          </w:tcPr>
          <w:p>
            <w:pPr>
              <w:pStyle w:val="Compact"/>
              <w:spacing w:line="276" w:lineRule="auto" w:before="40" w:after="40"/>
            </w:pPr>
            <w:r>
              <w:rPr>
                <w:rFonts w:ascii="Liberation Sans Narrow" w:hAnsi="Liberation Sans Narrow"/>
                <w:sz w:val="17"/>
              </w:rPr>
              <w:t xml:space="preserve">O pedido subsidiário formulado na inicial e rejeitado na sentença deve ser analisado pelo tribunal de origem, conforme o art. 326. Não há inovação recursal na apelação que o reitera, nem violação ao princípio da não surpresa, pois o pedido constava da inicial e foi objeto de deliberação na sentença; provido o recurso para anular o acórdão e determinar o retorno dos autos.</w:t>
            </w:r>
          </w:p>
        </w:tc>
      </w:tr>
      <w:tr>
        <w:trPr>
          <w:cantSplit/>
        </w:trPr>
        <w:tc>
          <w:tcPr>
            <w:tcW w:type="dxa" w:w="1655"/>
          </w:tcPr>
          <w:p>
            <w:pPr>
              <w:pStyle w:val="Compact"/>
              <w:spacing w:line="276" w:lineRule="auto" w:before="40" w:after="40"/>
            </w:pPr>
            <w:r>
              <w:rPr>
                <w:rFonts w:ascii="Liberation Sans Narrow" w:hAnsi="Liberation Sans Narrow"/>
                <w:sz w:val="17"/>
              </w:rPr>
              <w:t xml:space="preserve">Art. 326, caput: cumulação subsidiária na ação de improbidade</w:t>
            </w:r>
          </w:p>
        </w:tc>
        <w:tc>
          <w:tcPr>
            <w:tcW w:type="dxa" w:w="1655"/>
          </w:tcPr>
          <w:p>
            <w:pPr>
              <w:pStyle w:val="Compact"/>
              <w:spacing w:line="276" w:lineRule="auto" w:before="40" w:after="40"/>
            </w:pPr>
            <w:r>
              <w:rPr>
                <w:rFonts w:ascii="Liberation Sans Narrow" w:hAnsi="Liberation Sans Narrow"/>
                <w:sz w:val="17"/>
              </w:rPr>
              <w:t xml:space="preserve">STJ, AgInt no AREsp 2.840.462, Segunda Turma, relator Min. Francisco Falcão, DJe de 26/11/2025</w:t>
            </w:r>
          </w:p>
        </w:tc>
        <w:tc>
          <w:tcPr>
            <w:tcW w:type="dxa" w:w="2404"/>
          </w:tcPr>
          <w:p>
            <w:pPr>
              <w:pStyle w:val="Compact"/>
              <w:spacing w:line="276" w:lineRule="auto" w:before="40" w:after="40"/>
            </w:pPr>
            <w:r>
              <w:rPr>
                <w:rFonts w:ascii="Liberation Sans Narrow" w:hAnsi="Liberation Sans Narrow"/>
                <w:sz w:val="17"/>
              </w:rPr>
              <w:t xml:space="preserve">O art. 326 autoriza o Ministério Público a formular pedidos cumulativos na ação de improbidade, inclusive em ordem subsidiária — por exemplo, sanção por enriquecimento ilícito (art. 9º) e, subsidiariamente, por ato que atenta contra os princípios da administração pública (art. 11). Depois da Lei n. 14.230/2021, vedou-se apenas a condenação por ato de improbidade não especificado na inicial, não a cumulação.</w:t>
            </w:r>
          </w:p>
        </w:tc>
      </w:tr>
    </w:tbl>
    <w:p>
      <w:pPr>
        <w:pStyle w:val="BodyText"/>
        <w:keepNext/>
        <w:spacing w:after="60"/>
        <w:jc w:val="both"/>
      </w:pPr>
      <w:r>
        <w:t xml:space="preserve">Parágrafo único. É lícito formular mais de um pedido, alternativamente, para que o juiz acolha um deles.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530"/>
        <w:gridCol w:w="1655"/>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Parágrafo único — acolhimento de um dos pedidos alternativos como satisfação integral da pretensão</w:t>
            </w:r>
          </w:p>
        </w:tc>
        <w:tc>
          <w:tcPr>
            <w:tcW w:type="dxa" w:w="1531"/>
          </w:tcPr>
          <w:p>
            <w:pPr>
              <w:pStyle w:val="Compact"/>
              <w:spacing w:line="276" w:lineRule="auto" w:before="40" w:after="40"/>
            </w:pPr>
            <w:r>
              <w:rPr>
                <w:rFonts w:ascii="Liberation Sans Narrow" w:hAnsi="Liberation Sans Narrow"/>
                <w:sz w:val="17"/>
              </w:rPr>
              <w:t xml:space="preserve">STJ, REsp 2.240.917, Terceira Turma, relator Min. Ricardo Villas Bôas Cueva, julgado em 18/08/2026</w:t>
            </w:r>
          </w:p>
        </w:tc>
        <w:tc>
          <w:tcPr>
            <w:tcW w:type="dxa" w:w="1655"/>
          </w:tcPr>
          <w:p>
            <w:pPr>
              <w:pStyle w:val="Compact"/>
              <w:spacing w:line="276" w:lineRule="auto" w:before="40" w:after="40"/>
            </w:pPr>
            <w:r>
              <w:rPr>
                <w:rFonts w:ascii="Liberation Sans Narrow" w:hAnsi="Liberation Sans Narrow"/>
                <w:sz w:val="17"/>
              </w:rPr>
              <w:t xml:space="preserve">O acolhimento do pedido alternativo formulado pela parte autora não caracteriza sucumbência recíproca, pois representa, na hipótese, a integral satisfação da pretensão deduzida em juízo.</w:t>
            </w:r>
          </w:p>
        </w:tc>
      </w:tr>
    </w:tbl>
    <w:bookmarkEnd w:id="25"/>
    <w:bookmarkStart w:id="26" w:name="art.-327"/>
    <w:p>
      <w:pPr>
        <w:pStyle w:val="Heading6"/>
        <w:pBdr>
          <w:left w:val="single" w:sz="36" w:space="4" w:color="2E75B6"/>
        </w:pBdr>
        <w:shd w:val="clear" w:color="auto" w:fill="E3EEF9"/>
        <w:spacing w:before="120" w:after="60"/>
        <w:ind w:left="85"/>
      </w:pPr>
      <w:r>
        <w:rPr>
          <w:i w:val="0"/>
          <w:color w:val="1F3A5F"/>
          <w:sz w:val="22"/>
        </w:rPr>
        <w:t xml:space="preserve">Art. 327</w:t>
      </w:r>
    </w:p>
    <w:p>
      <w:pPr>
        <w:pStyle w:val="FirstParagraph"/>
        <w:keepNext/>
        <w:spacing w:after="60"/>
        <w:jc w:val="both"/>
      </w:pPr>
      <w:r>
        <w:rPr>
          <w:b/>
          <w:bCs/>
        </w:rPr>
        <w:t xml:space="preserve">Art. 327.</w:t>
      </w:r>
      <w:r>
        <w:t xml:space="preserve"> </w:t>
      </w:r>
      <w:r>
        <w:t xml:space="preserve">É lícita a cumulação, em um único processo, contra o mesmo réu, de vários pedidos, ainda que entre eles não haja conexão.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Cumulação sucessiva de pedidos: ordem de julgamento</w:t>
            </w:r>
          </w:p>
        </w:tc>
        <w:tc>
          <w:tcPr>
            <w:tcW w:type="dxa" w:w="1655"/>
          </w:tcPr>
          <w:p>
            <w:pPr>
              <w:pStyle w:val="Compact"/>
              <w:spacing w:line="276" w:lineRule="auto" w:before="40" w:after="40"/>
            </w:pPr>
            <w:r>
              <w:rPr>
                <w:rFonts w:ascii="Liberation Sans Narrow" w:hAnsi="Liberation Sans Narrow"/>
                <w:sz w:val="17"/>
              </w:rPr>
              <w:t xml:space="preserve">STJ, AREsp 3.096.424, Terceira Turma, relator Min. Ricardo Villas Bôas Cueva, julgado em 18/05/2026, DJEN de 21/05/2026</w:t>
            </w:r>
          </w:p>
        </w:tc>
        <w:tc>
          <w:tcPr>
            <w:tcW w:type="dxa" w:w="1905"/>
          </w:tcPr>
          <w:p>
            <w:pPr>
              <w:pStyle w:val="Compact"/>
              <w:spacing w:line="276" w:lineRule="auto" w:before="40" w:after="40"/>
            </w:pPr>
            <w:r>
              <w:rPr>
                <w:rFonts w:ascii="Liberation Sans Narrow" w:hAnsi="Liberation Sans Narrow"/>
                <w:sz w:val="17"/>
              </w:rPr>
              <w:t xml:space="preserve">Na cumulação sucessiva (art. 327), em que o acolhimento de um pedido depende do acolhimento de outro, o tribunal deve decidir expressamente o pedido principal antes de se pronunciar sobre o sucessivo, sob pena de julgamento extra petita (arts. 141 e 492).</w:t>
            </w:r>
          </w:p>
        </w:tc>
      </w:tr>
    </w:tbl>
    <w:p>
      <w:pPr>
        <w:pStyle w:val="BodyText"/>
        <w:spacing w:after="60"/>
        <w:jc w:val="both"/>
      </w:pPr>
      <w:r>
        <w:t xml:space="preserve">§ 1º São requisitos de admissibilidade da cumulação que:</w:t>
      </w:r>
    </w:p>
    <w:p>
      <w:pPr>
        <w:pStyle w:val="BodyText"/>
        <w:spacing w:after="60"/>
        <w:jc w:val="both"/>
      </w:pPr>
      <w:r>
        <w:t xml:space="preserve">I - os pedidos sejam compatíveis entre si;</w:t>
      </w:r>
    </w:p>
    <w:p>
      <w:pPr>
        <w:pStyle w:val="BodyText"/>
        <w:spacing w:after="60"/>
        <w:jc w:val="both"/>
      </w:pPr>
      <w:r>
        <w:t xml:space="preserve">II - seja competente para conhecer deles o mesmo juízo;</w:t>
      </w:r>
    </w:p>
    <w:p>
      <w:pPr>
        <w:pStyle w:val="BodyText"/>
        <w:spacing w:after="60"/>
        <w:jc w:val="both"/>
      </w:pPr>
      <w:r>
        <w:t xml:space="preserve">III - seja adequado para todos os pedidos o tipo de procedimento.</w:t>
      </w:r>
    </w:p>
    <w:p>
      <w:pPr>
        <w:pStyle w:val="BodyText"/>
        <w:spacing w:after="60"/>
        <w:jc w:val="both"/>
      </w:pPr>
      <w:r>
        <w:t xml:space="preserve">§ 2º Quando, para cada pedido, corresponder tipo diverso de procedimento, será admitida a cumulação se o autor empregar o procedimento comum, sem prejuízo do emprego das técnicas processuais diferenciadas previstas nos procedimentos especiais a que se sujeitam um ou mais pedidos cumulados, que não forem incompatíveis com as disposições sobre o procedimento comum.</w:t>
      </w:r>
    </w:p>
    <w:p>
      <w:pPr>
        <w:pStyle w:val="BodyText"/>
        <w:spacing w:after="60"/>
        <w:jc w:val="both"/>
      </w:pPr>
      <w:r>
        <w:t xml:space="preserve">§ 3º O inciso I do § 1º não se aplica às cumulações de pedidos de que trata o art. 326.</w:t>
      </w:r>
    </w:p>
    <w:bookmarkEnd w:id="26"/>
    <w:bookmarkStart w:id="27" w:name="art.-328"/>
    <w:p>
      <w:pPr>
        <w:pStyle w:val="Heading6"/>
        <w:pBdr>
          <w:left w:val="single" w:sz="36" w:space="4" w:color="2E75B6"/>
        </w:pBdr>
        <w:shd w:val="clear" w:color="auto" w:fill="E3EEF9"/>
        <w:spacing w:before="120" w:after="60"/>
        <w:ind w:left="85"/>
      </w:pPr>
      <w:r>
        <w:rPr>
          <w:i w:val="0"/>
          <w:color w:val="1F3A5F"/>
          <w:sz w:val="22"/>
        </w:rPr>
        <w:t xml:space="preserve">Art. 328</w:t>
      </w:r>
    </w:p>
    <w:p>
      <w:pPr>
        <w:pStyle w:val="FirstParagraph"/>
        <w:spacing w:after="60"/>
        <w:jc w:val="both"/>
      </w:pPr>
      <w:r>
        <w:rPr>
          <w:b/>
          <w:bCs/>
        </w:rPr>
        <w:t xml:space="preserve">Art. 328.</w:t>
      </w:r>
      <w:r>
        <w:t xml:space="preserve"> </w:t>
      </w:r>
      <w:r>
        <w:t xml:space="preserve">Na obrigação indivisível com pluralidade de credores, aquele que não participou do processo receberá sua parte, deduzidas as despesas na proporção de seu crédito.</w:t>
      </w:r>
    </w:p>
    <w:bookmarkEnd w:id="27"/>
    <w:bookmarkStart w:id="28" w:name="art.-329"/>
    <w:p>
      <w:pPr>
        <w:pStyle w:val="Heading6"/>
        <w:pBdr>
          <w:left w:val="single" w:sz="36" w:space="4" w:color="2E75B6"/>
        </w:pBdr>
        <w:shd w:val="clear" w:color="auto" w:fill="E3EEF9"/>
        <w:spacing w:before="120" w:after="60"/>
        <w:ind w:left="85"/>
      </w:pPr>
      <w:r>
        <w:rPr>
          <w:i w:val="0"/>
          <w:color w:val="1F3A5F"/>
          <w:sz w:val="22"/>
        </w:rPr>
        <w:t xml:space="preserve">Art. 329</w:t>
      </w:r>
    </w:p>
    <w:p>
      <w:pPr>
        <w:pStyle w:val="FirstParagraph"/>
        <w:keepNext/>
        <w:spacing w:after="60"/>
        <w:jc w:val="both"/>
      </w:pPr>
      <w:r>
        <w:rPr>
          <w:b/>
          <w:bCs/>
        </w:rPr>
        <w:t xml:space="preserve">Art. 329.</w:t>
      </w:r>
      <w:r>
        <w:t xml:space="preserve"> </w:t>
      </w:r>
      <w:r>
        <w:t xml:space="preserve">O autor poderá:</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Alteração do pedido ou da causa de pedir após a citação (inciso I)</w:t>
            </w:r>
          </w:p>
        </w:tc>
        <w:tc>
          <w:tcPr>
            <w:tcW w:type="dxa" w:w="1655"/>
          </w:tcPr>
          <w:p>
            <w:pPr>
              <w:pStyle w:val="Compact"/>
              <w:spacing w:line="276" w:lineRule="auto" w:before="40" w:after="40"/>
            </w:pPr>
            <w:r>
              <w:rPr>
                <w:rFonts w:ascii="Liberation Sans Narrow" w:hAnsi="Liberation Sans Narrow"/>
                <w:sz w:val="17"/>
              </w:rPr>
              <w:t xml:space="preserve">STJ, AREsp 3.027.064, Terceira Turma, relator Min. Ricardo Villas Bôas Cueva, julgado em 15/12/2025, DJEN de 18/12/2025</w:t>
            </w:r>
          </w:p>
        </w:tc>
        <w:tc>
          <w:tcPr>
            <w:tcW w:type="dxa" w:w="1905"/>
          </w:tcPr>
          <w:p>
            <w:pPr>
              <w:pStyle w:val="Compact"/>
              <w:spacing w:line="276" w:lineRule="auto" w:before="40" w:after="40"/>
            </w:pPr>
            <w:r>
              <w:rPr>
                <w:rFonts w:ascii="Liberation Sans Narrow" w:hAnsi="Liberation Sans Narrow"/>
                <w:sz w:val="17"/>
              </w:rPr>
              <w:t xml:space="preserve">Depois da citação, o autor não pode modificar o pedido ou a causa de pedir sem o consentimento do réu.</w:t>
            </w:r>
          </w:p>
        </w:tc>
      </w:tr>
    </w:tbl>
    <w:p>
      <w:pPr>
        <w:pStyle w:val="BodyText"/>
        <w:spacing w:after="60"/>
        <w:jc w:val="both"/>
      </w:pPr>
      <w:r>
        <w:t xml:space="preserve">I - até a citação, aditar ou alterar o pedido ou a causa de pedir, independentemente de consentimento do réu;</w:t>
      </w:r>
    </w:p>
    <w:p>
      <w:pPr>
        <w:pStyle w:val="BodyText"/>
        <w:spacing w:after="60"/>
        <w:jc w:val="both"/>
      </w:pPr>
      <w:r>
        <w:t xml:space="preserve">II - até o saneamento do processo, aditar ou alterar o pedido e a causa de pedir, com consentimento do réu, assegurado o contraditório mediante a possibilidade de manifestação deste no prazo mínimo de 15 (quinze) dias, facultado o requerimento de prova suplementar.</w:t>
      </w:r>
    </w:p>
    <w:p>
      <w:pPr>
        <w:pStyle w:val="BodyText"/>
        <w:spacing w:after="60"/>
        <w:jc w:val="both"/>
      </w:pPr>
      <w:r>
        <w:t xml:space="preserve">Parágrafo único. Aplica-se o disposto neste artigo à reconvenção e à respectiva causa de pedir.</w:t>
      </w:r>
    </w:p>
    <w:bookmarkEnd w:id="28"/>
    <w:bookmarkEnd w:id="29"/>
    <w:bookmarkStart w:id="32" w:name="Xa359cda4cc0a02d33dfa526f4a19112a6f91c99"/>
    <w:p>
      <w:pPr>
        <w:pStyle w:val="Heading5"/>
        <w:spacing w:before="60" w:after="20"/>
      </w:pPr>
      <w:r>
        <w:rPr>
          <w:i/>
          <w:color w:val="595959"/>
        </w:rPr>
        <w:t xml:space="preserve">Seção III: do indeferimento da petição inicial (arts. 330 a 331)</w:t>
      </w:r>
    </w:p>
    <w:bookmarkStart w:id="30" w:name="art.-330"/>
    <w:p>
      <w:pPr>
        <w:pStyle w:val="Heading6"/>
        <w:pBdr>
          <w:left w:val="single" w:sz="36" w:space="4" w:color="2E75B6"/>
        </w:pBdr>
        <w:shd w:val="clear" w:color="auto" w:fill="E3EEF9"/>
        <w:spacing w:before="120" w:after="60"/>
        <w:ind w:left="85"/>
      </w:pPr>
      <w:r>
        <w:rPr>
          <w:i w:val="0"/>
          <w:color w:val="1F3A5F"/>
          <w:sz w:val="22"/>
        </w:rPr>
        <w:t xml:space="preserve">Art. 330</w:t>
      </w:r>
    </w:p>
    <w:p>
      <w:pPr>
        <w:pStyle w:val="FirstParagraph"/>
        <w:keepNext/>
        <w:spacing w:after="60"/>
        <w:jc w:val="both"/>
      </w:pPr>
      <w:r>
        <w:rPr>
          <w:b/>
          <w:bCs/>
        </w:rPr>
        <w:t xml:space="preserve">Art. 330.</w:t>
      </w:r>
      <w:r>
        <w:t xml:space="preserve"> </w:t>
      </w:r>
      <w:r>
        <w:t xml:space="preserve">A petição inicial será indeferida quando: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530"/>
        <w:gridCol w:w="1905"/>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Indeferimento por falta de documentos essenciais e litigância predatória</w:t>
            </w:r>
          </w:p>
        </w:tc>
        <w:tc>
          <w:tcPr>
            <w:tcW w:type="dxa" w:w="1531"/>
          </w:tcPr>
          <w:p>
            <w:pPr>
              <w:pStyle w:val="Compact"/>
              <w:spacing w:line="276" w:lineRule="auto" w:before="40" w:after="40"/>
            </w:pPr>
            <w:r>
              <w:rPr>
                <w:rFonts w:ascii="Liberation Sans Narrow" w:hAnsi="Liberation Sans Narrow"/>
                <w:sz w:val="17"/>
              </w:rPr>
              <w:t xml:space="preserve">STJ, REsp 2.229.072, Quarta Turma, relator Min. João Otávio de Noronha, DJe de 05/03/2026</w:t>
            </w:r>
          </w:p>
        </w:tc>
        <w:tc>
          <w:tcPr>
            <w:tcW w:type="dxa" w:w="1905"/>
          </w:tcPr>
          <w:p>
            <w:pPr>
              <w:pStyle w:val="Compact"/>
              <w:spacing w:line="276" w:lineRule="auto" w:before="40" w:after="40"/>
            </w:pPr>
            <w:r>
              <w:rPr>
                <w:rFonts w:ascii="Liberation Sans Narrow" w:hAnsi="Liberation Sans Narrow"/>
                <w:sz w:val="17"/>
              </w:rPr>
              <w:t xml:space="preserve">Manteve-se a extinção por indeferimento da inicial (arts. 330, IV, e 485, I) após emenda para juntar extratos bancários e outros documentos reputados essenciais, em contexto de indícios de litigância predatória; a Corte de origem assentou a legitimidade da exigência de documentos conforme Comunicados da Corregedoria e a ausência de justa causa para o não atendimento. Recurso especial não conhecido.</w:t>
            </w:r>
          </w:p>
        </w:tc>
      </w:tr>
    </w:tbl>
    <w:p>
      <w:pPr>
        <w:pStyle w:val="BodyText"/>
        <w:spacing w:after="60"/>
        <w:jc w:val="both"/>
      </w:pPr>
      <w:r>
        <w:t xml:space="preserve">I - for inepta;</w:t>
      </w:r>
    </w:p>
    <w:p>
      <w:pPr>
        <w:pStyle w:val="BodyText"/>
        <w:spacing w:after="60"/>
        <w:jc w:val="both"/>
      </w:pPr>
      <w:r>
        <w:t xml:space="preserve">II - a parte for manifestamente ilegítima;</w:t>
      </w:r>
    </w:p>
    <w:p>
      <w:pPr>
        <w:pStyle w:val="BodyText"/>
        <w:spacing w:after="60"/>
        <w:jc w:val="both"/>
      </w:pPr>
      <w:r>
        <w:t xml:space="preserve">III - o autor carecer de interesse processual;</w:t>
      </w:r>
    </w:p>
    <w:p>
      <w:pPr>
        <w:pStyle w:val="BodyText"/>
        <w:keepNext/>
        <w:spacing w:after="60"/>
        <w:jc w:val="both"/>
      </w:pPr>
      <w:r>
        <w:t xml:space="preserve">IV - não atendidas as prescrições dos arts. 106 e 321.</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655"/>
        <w:gridCol w:w="2029"/>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Arts. 321 e 330, IV: descumprimento da emenda</w:t>
            </w:r>
          </w:p>
        </w:tc>
        <w:tc>
          <w:tcPr>
            <w:tcW w:type="dxa" w:w="1655"/>
          </w:tcPr>
          <w:p>
            <w:pPr>
              <w:pStyle w:val="Compact"/>
              <w:spacing w:line="276" w:lineRule="auto" w:before="40" w:after="40"/>
            </w:pPr>
            <w:r>
              <w:rPr>
                <w:rFonts w:ascii="Liberation Sans Narrow" w:hAnsi="Liberation Sans Narrow"/>
                <w:sz w:val="17"/>
              </w:rPr>
              <w:t xml:space="preserve">STJ, AREsp 3.191.276, Terceira Turma, relator Min. Ricardo Villas Bôas Cueva, julgado em 18/05/2026, DJEN de 21/05/2026</w:t>
            </w:r>
          </w:p>
        </w:tc>
        <w:tc>
          <w:tcPr>
            <w:tcW w:type="dxa" w:w="2030"/>
          </w:tcPr>
          <w:p>
            <w:pPr>
              <w:pStyle w:val="Compact"/>
              <w:spacing w:line="276" w:lineRule="auto" w:before="40" w:after="40"/>
            </w:pPr>
            <w:r>
              <w:rPr>
                <w:rFonts w:ascii="Liberation Sans Narrow" w:hAnsi="Liberation Sans Narrow"/>
                <w:sz w:val="17"/>
              </w:rPr>
              <w:t xml:space="preserve">Cabe ao juiz da causa verificar os requisitos da inicial e determinar a emenda, inclusive com exigência de informações e documentos adicionais; o descumprimento autoriza o indeferimento e a extinção sem resolução do mérito (arts. 321, 330, IV, e 485, I). Aferir a suficiência da instrução exige reexame de provas (Súmula 7/STJ).</w:t>
            </w:r>
          </w:p>
        </w:tc>
      </w:tr>
    </w:tbl>
    <w:p>
      <w:pPr>
        <w:pStyle w:val="BodyText"/>
        <w:spacing w:after="60"/>
        <w:jc w:val="both"/>
      </w:pPr>
      <w:r>
        <w:t xml:space="preserve">§ 1º Considera-se inepta a petição inicial quando:</w:t>
      </w:r>
    </w:p>
    <w:p>
      <w:pPr>
        <w:pStyle w:val="BodyText"/>
        <w:spacing w:after="60"/>
        <w:jc w:val="both"/>
      </w:pPr>
      <w:r>
        <w:t xml:space="preserve">I - lhe faltar pedido ou causa de pedir;</w:t>
      </w:r>
    </w:p>
    <w:p>
      <w:pPr>
        <w:pStyle w:val="BodyText"/>
        <w:spacing w:after="60"/>
        <w:jc w:val="both"/>
      </w:pPr>
      <w:r>
        <w:t xml:space="preserve">II - o pedido for indeterminado, ressalvadas as hipóteses legais em que se permite o pedido genérico;</w:t>
      </w:r>
    </w:p>
    <w:p>
      <w:pPr>
        <w:pStyle w:val="BodyText"/>
        <w:spacing w:after="60"/>
        <w:jc w:val="both"/>
      </w:pPr>
      <w:r>
        <w:t xml:space="preserve">III - da narração dos fatos não decorrer logicamente a conclusão;</w:t>
      </w:r>
    </w:p>
    <w:p>
      <w:pPr>
        <w:pStyle w:val="BodyText"/>
        <w:spacing w:after="60"/>
        <w:jc w:val="both"/>
      </w:pPr>
      <w:r>
        <w:t xml:space="preserve">IV - contiver pedidos incompatíveis entre si.</w:t>
      </w:r>
    </w:p>
    <w:p>
      <w:pPr>
        <w:pStyle w:val="BodyText"/>
        <w:keepNext/>
        <w:spacing w:after="60"/>
        <w:jc w:val="both"/>
      </w:pPr>
      <w:r>
        <w:t xml:space="preserve">§ 2º Nas ações que tenham por objeto a revisão de obrigação decorrente de empréstimo, de financiamento ou de alienação de bens, o autor terá de, sob pena de inépcia, discriminar na petição inicial, dentre as obrigações contratuais, aquelas que pretende controverter, além de quantificar o valor incontroverso do débito.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154"/>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Art. 330, § 2º: ação revisional de contrato</w:t>
            </w:r>
          </w:p>
        </w:tc>
        <w:tc>
          <w:tcPr>
            <w:tcW w:type="dxa" w:w="1531"/>
          </w:tcPr>
          <w:p>
            <w:pPr>
              <w:pStyle w:val="Compact"/>
              <w:spacing w:line="276" w:lineRule="auto" w:before="40" w:after="40"/>
            </w:pPr>
            <w:r>
              <w:rPr>
                <w:rFonts w:ascii="Liberation Sans Narrow" w:hAnsi="Liberation Sans Narrow"/>
                <w:sz w:val="17"/>
              </w:rPr>
              <w:t xml:space="preserve">STJ, AREsp 3.016.018, Quarta Turma, relator Min. Raul Araújo, DJe de 29/10/2025</w:t>
            </w:r>
          </w:p>
        </w:tc>
        <w:tc>
          <w:tcPr>
            <w:tcW w:type="dxa" w:w="2154"/>
          </w:tcPr>
          <w:p>
            <w:pPr>
              <w:pStyle w:val="Compact"/>
              <w:spacing w:line="276" w:lineRule="auto" w:before="40" w:after="40"/>
            </w:pPr>
            <w:r>
              <w:rPr>
                <w:rFonts w:ascii="Liberation Sans Narrow" w:hAnsi="Liberation Sans Narrow"/>
                <w:sz w:val="17"/>
              </w:rPr>
              <w:t xml:space="preserve">Nas ações revisionais é ônus do autor discriminar na inicial as obrigações contratuais que pretende questionar e quantificar o valor incontroverso (cita o AgInt no AREsp 2.034.591/RJ, Quarta Turma, 2022). O tribunal que flexibilizou o § 2º destoou da jurisprudência; recurso especial provido para extinguir o feito sem resolução do mérito.</w:t>
            </w:r>
          </w:p>
        </w:tc>
      </w:tr>
    </w:tbl>
    <w:p>
      <w:pPr>
        <w:pStyle w:val="BodyText"/>
        <w:spacing w:after="60"/>
        <w:jc w:val="both"/>
      </w:pPr>
      <w:r>
        <w:t xml:space="preserve">§ 3º Na hipótese do § 2º, o valor incontroverso deverá continuar a ser pago no tempo e modo contratados.</w:t>
      </w:r>
    </w:p>
    <w:bookmarkEnd w:id="30"/>
    <w:bookmarkStart w:id="31" w:name="art.-331"/>
    <w:p>
      <w:pPr>
        <w:pStyle w:val="Heading6"/>
        <w:pBdr>
          <w:left w:val="single" w:sz="36" w:space="4" w:color="2E75B6"/>
        </w:pBdr>
        <w:shd w:val="clear" w:color="auto" w:fill="E3EEF9"/>
        <w:spacing w:before="120" w:after="60"/>
        <w:ind w:left="85"/>
      </w:pPr>
      <w:r>
        <w:rPr>
          <w:i w:val="0"/>
          <w:color w:val="1F3A5F"/>
          <w:sz w:val="22"/>
        </w:rPr>
        <w:t xml:space="preserve">Art. 331</w:t>
      </w:r>
    </w:p>
    <w:p>
      <w:pPr>
        <w:pStyle w:val="FirstParagraph"/>
        <w:keepNext/>
        <w:spacing w:after="60"/>
        <w:jc w:val="both"/>
      </w:pPr>
      <w:r>
        <w:rPr>
          <w:b/>
          <w:bCs/>
        </w:rPr>
        <w:t xml:space="preserve">Art. 331.</w:t>
      </w:r>
      <w:r>
        <w:t xml:space="preserve"> </w:t>
      </w:r>
      <w:r>
        <w:t xml:space="preserve">Indeferida a petição inicial, o autor poderá apelar, facultado ao juiz, no prazo de 5 (cinco) dias, retratar-se.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2029"/>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Indeferimento da petição inicial: apelação, citação do réu e honorários sucumbenciais</w:t>
            </w:r>
          </w:p>
        </w:tc>
        <w:tc>
          <w:tcPr>
            <w:tcW w:type="dxa" w:w="1655"/>
          </w:tcPr>
          <w:p>
            <w:pPr>
              <w:pStyle w:val="Compact"/>
              <w:spacing w:line="276" w:lineRule="auto" w:before="40" w:after="40"/>
            </w:pPr>
            <w:r>
              <w:rPr>
                <w:rFonts w:ascii="Liberation Sans Narrow" w:hAnsi="Liberation Sans Narrow"/>
                <w:sz w:val="17"/>
              </w:rPr>
              <w:t xml:space="preserve">STJ, REsp 1.801.586, Terceira Turma, relator Min. Ricardo Villas Bôas Cueva, julgado em 11/06/2019, DJe de 18/06/2019</w:t>
            </w:r>
          </w:p>
        </w:tc>
        <w:tc>
          <w:tcPr>
            <w:tcW w:type="dxa" w:w="2030"/>
          </w:tcPr>
          <w:p>
            <w:pPr>
              <w:pStyle w:val="Compact"/>
              <w:spacing w:line="276" w:lineRule="auto" w:before="40" w:after="40"/>
            </w:pPr>
            <w:r>
              <w:rPr>
                <w:rFonts w:ascii="Liberation Sans Narrow" w:hAnsi="Liberation Sans Narrow"/>
                <w:sz w:val="17"/>
              </w:rPr>
              <w:t xml:space="preserve">Indeferida a petição inicial sem citação ou comparecimento espontâneo do réu, não há condenação do autor em honorários sucumbenciais. Interposta apelação sem retratação, o réu deve ser citado para responder ao recurso e, apresentadas as contrarrazões, cabem honorários se a apelação não for provida.</w:t>
            </w:r>
          </w:p>
        </w:tc>
      </w:tr>
    </w:tbl>
    <w:p>
      <w:pPr>
        <w:pStyle w:val="BodyText"/>
        <w:spacing w:after="60"/>
        <w:jc w:val="both"/>
      </w:pPr>
      <w:r>
        <w:t xml:space="preserve">§ 1º Se não houver retratação, o juiz mandará citar o réu para responder ao recurso.</w:t>
      </w:r>
    </w:p>
    <w:p>
      <w:pPr>
        <w:pStyle w:val="BodyText"/>
        <w:spacing w:after="60"/>
        <w:jc w:val="both"/>
      </w:pPr>
      <w:r>
        <w:t xml:space="preserve">§ 2º Sendo a sentença reformada pelo tribunal, o prazo para a contestação começará a correr da intimação do retorno dos autos, observado o disposto no art. 334.</w:t>
      </w:r>
    </w:p>
    <w:p>
      <w:pPr>
        <w:pStyle w:val="BodyText"/>
        <w:spacing w:after="60"/>
        <w:jc w:val="both"/>
      </w:pPr>
      <w:r>
        <w:t xml:space="preserve">§ 3º Não interposta a apelação, o réu será intimado do trânsito em julgado da sentença.</w:t>
      </w:r>
    </w:p>
    <w:bookmarkEnd w:id="31"/>
    <w:bookmarkEnd w:id="32"/>
    <w:bookmarkEnd w:id="33"/>
    <w:bookmarkStart w:id="35" w:name="Xde024ff242411dbd5e3f520efcdc13959655181"/>
    <w:p>
      <w:pPr>
        <w:pStyle w:val="Heading4"/>
        <w:spacing w:before="80" w:after="40"/>
      </w:pPr>
      <w:r>
        <w:rPr>
          <w:smallCaps/>
          <w:color w:val="2E75B6"/>
        </w:rPr>
        <w:t xml:space="preserve">Capítulo III: da improcedência liminar do pedido (arts. 332)</w:t>
      </w:r>
    </w:p>
    <w:bookmarkStart w:id="34" w:name="art.-332"/>
    <w:p>
      <w:pPr>
        <w:pStyle w:val="Heading6"/>
        <w:pBdr>
          <w:left w:val="single" w:sz="36" w:space="4" w:color="2E75B6"/>
        </w:pBdr>
        <w:shd w:val="clear" w:color="auto" w:fill="E3EEF9"/>
        <w:spacing w:before="120" w:after="60"/>
        <w:ind w:left="85"/>
      </w:pPr>
      <w:r>
        <w:rPr>
          <w:i w:val="0"/>
          <w:color w:val="1F3A5F"/>
          <w:sz w:val="22"/>
        </w:rPr>
        <w:t xml:space="preserve">Art. 332</w:t>
      </w:r>
    </w:p>
    <w:p>
      <w:pPr>
        <w:pStyle w:val="FirstParagraph"/>
        <w:spacing w:after="60"/>
        <w:jc w:val="both"/>
      </w:pPr>
      <w:r>
        <w:rPr>
          <w:b/>
          <w:bCs/>
        </w:rPr>
        <w:t xml:space="preserve">Art. 332.</w:t>
      </w:r>
      <w:r>
        <w:t xml:space="preserve"> </w:t>
      </w:r>
      <w:r>
        <w:t xml:space="preserve">Nas causas que dispensem a fase instrutória, o juiz, independentemente da citação do réu, julgará liminarmente improcedente o pedido que contrariar:</w:t>
      </w:r>
    </w:p>
    <w:p>
      <w:pPr>
        <w:pStyle w:val="BodyText"/>
        <w:spacing w:after="60"/>
        <w:jc w:val="both"/>
      </w:pPr>
      <w:r>
        <w:t xml:space="preserve">I - enunciado de súmula do Supremo Tribunal Federal ou do Superior Tribunal de Justiça;</w:t>
      </w:r>
    </w:p>
    <w:p>
      <w:pPr>
        <w:pStyle w:val="BodyText"/>
        <w:keepNext/>
        <w:spacing w:after="60"/>
        <w:jc w:val="both"/>
      </w:pPr>
      <w:r>
        <w:t xml:space="preserve">II - acórdão proferido pelo Supremo Tribunal Federal ou pelo Superior Tribunal de Justiça em julgamento de recursos repetitivos;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530"/>
        <w:gridCol w:w="1905"/>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905"/>
          </w:tcPr>
          <w:p>
            <w:pPr>
              <w:pStyle w:val="Compact"/>
              <w:spacing w:line="276" w:lineRule="auto" w:before="40" w:after="40"/>
            </w:pPr>
            <w:r>
              <w:rPr>
                <w:rFonts w:ascii="Liberation Sans Narrow" w:hAnsi="Liberation Sans Narrow"/>
                <w:sz w:val="17"/>
              </w:rPr>
              <w:t xml:space="preserve">Art. 332, caput e II: cabimento da improcedência liminar na ação rescisória</w:t>
            </w:r>
          </w:p>
        </w:tc>
        <w:tc>
          <w:tcPr>
            <w:tcW w:type="dxa" w:w="1531"/>
          </w:tcPr>
          <w:p>
            <w:pPr>
              <w:pStyle w:val="Compact"/>
              <w:spacing w:line="276" w:lineRule="auto" w:before="40" w:after="40"/>
            </w:pPr>
            <w:r>
              <w:rPr>
                <w:rFonts w:ascii="Liberation Sans Narrow" w:hAnsi="Liberation Sans Narrow"/>
                <w:sz w:val="17"/>
              </w:rPr>
              <w:t xml:space="preserve">STJ, AgInt no AR 7.846, Segunda Seção, relatora Min. Daniela Teixeira, DJe de 18/08/2025</w:t>
            </w:r>
          </w:p>
        </w:tc>
        <w:tc>
          <w:tcPr>
            <w:tcW w:type="dxa" w:w="1905"/>
          </w:tcPr>
          <w:p>
            <w:pPr>
              <w:pStyle w:val="Compact"/>
              <w:spacing w:line="276" w:lineRule="auto" w:before="40" w:after="40"/>
            </w:pPr>
            <w:r>
              <w:rPr>
                <w:rFonts w:ascii="Liberation Sans Narrow" w:hAnsi="Liberation Sans Narrow"/>
                <w:sz w:val="17"/>
              </w:rPr>
              <w:t xml:space="preserve">“A improcedência liminar da ação rescisória é possível nas hipóteses do art. 332 do CPC, quando o pedido contrariar entendimento firmado em recursos repetitivos ou enunciado de súmula dos tribunais superiores”</w:t>
            </w:r>
            <w:r>
              <w:rPr>
                <w:rFonts w:ascii="Liberation Sans Narrow" w:hAnsi="Liberation Sans Narrow"/>
                <w:sz w:val="17"/>
              </w:rPr>
              <w:t xml:space="preserve">. No caso, a decisão rescindenda considerara a anuência do autor ao pagamento das taxas condominiais, o que afastou o erro de fato e atraiu a Súmula 7/STJ; a ação foi julgada liminarmente improcedente também por vícios formais da inicial (arts. 968, II, e 975).</w:t>
            </w:r>
          </w:p>
        </w:tc>
      </w:tr>
      <w:tr>
        <w:trPr>
          <w:cantSplit/>
        </w:trPr>
        <w:tc>
          <w:tcPr>
            <w:tcW w:type="dxa" w:w="1905"/>
          </w:tcPr>
          <w:p>
            <w:pPr>
              <w:pStyle w:val="Compact"/>
              <w:spacing w:line="276" w:lineRule="auto" w:before="40" w:after="40"/>
            </w:pPr>
            <w:r>
              <w:rPr>
                <w:rFonts w:ascii="Liberation Sans Narrow" w:hAnsi="Liberation Sans Narrow"/>
                <w:sz w:val="17"/>
              </w:rPr>
              <w:t xml:space="preserve">Art. 332, II: improcedência liminar fundada em repetitivo exige aderência do caso à tese</w:t>
            </w:r>
          </w:p>
        </w:tc>
        <w:tc>
          <w:tcPr>
            <w:tcW w:type="dxa" w:w="1531"/>
          </w:tcPr>
          <w:p>
            <w:pPr>
              <w:pStyle w:val="Compact"/>
              <w:spacing w:line="276" w:lineRule="auto" w:before="40" w:after="40"/>
            </w:pPr>
            <w:r>
              <w:rPr>
                <w:rFonts w:ascii="Liberation Sans Narrow" w:hAnsi="Liberation Sans Narrow"/>
                <w:sz w:val="17"/>
              </w:rPr>
              <w:t xml:space="preserve">STJ, REsp 2.051.570, Quarta Turma, relator Min. João Otávio de Noronha, DJe de 17/09/2026</w:t>
            </w:r>
          </w:p>
        </w:tc>
        <w:tc>
          <w:tcPr>
            <w:tcW w:type="dxa" w:w="1905"/>
          </w:tcPr>
          <w:p>
            <w:pPr>
              <w:pStyle w:val="Compact"/>
              <w:spacing w:line="276" w:lineRule="auto" w:before="40" w:after="40"/>
            </w:pPr>
            <w:r>
              <w:rPr>
                <w:rFonts w:ascii="Liberation Sans Narrow" w:hAnsi="Liberation Sans Narrow"/>
                <w:sz w:val="17"/>
              </w:rPr>
              <w:t xml:space="preserve">Tese expressa:</w:t>
            </w:r>
            <w:r>
              <w:rPr>
                <w:rFonts w:ascii="Liberation Sans Narrow" w:hAnsi="Liberation Sans Narrow"/>
                <w:sz w:val="17"/>
              </w:rPr>
              <w:t xml:space="preserve"> </w:t>
            </w:r>
            <w:r>
              <w:rPr>
                <w:rFonts w:ascii="Liberation Sans Narrow" w:hAnsi="Liberation Sans Narrow"/>
                <w:sz w:val="17"/>
              </w:rPr>
              <w:t xml:space="preserve">“o art. 332, II, do CPC não autoriza improcedência liminar quando a aplicação do Tema 882/STJ depende da verificação de vínculo associativo ou de anuência contratual alegada na inicial”</w:t>
            </w:r>
            <w:r>
              <w:rPr>
                <w:rFonts w:ascii="Liberation Sans Narrow" w:hAnsi="Liberation Sans Narrow"/>
                <w:sz w:val="17"/>
              </w:rPr>
              <w:t xml:space="preserve">. Não se admite aplicação automática do inciso: encerrado o processo sem citação e sem instrução compatível com a tese de vínculo associativo, incide o art. 373, I, e impõe-se cassar acórdão e sentença para retorno dos autos.</w:t>
            </w:r>
          </w:p>
        </w:tc>
      </w:tr>
    </w:tbl>
    <w:p>
      <w:pPr>
        <w:pStyle w:val="BodyText"/>
        <w:spacing w:after="60"/>
        <w:jc w:val="both"/>
      </w:pPr>
      <w:r>
        <w:t xml:space="preserve">III - entendimento firmado em incidente de resolução de demandas repetitivas ou de assunção de competência;</w:t>
      </w:r>
    </w:p>
    <w:p>
      <w:pPr>
        <w:pStyle w:val="BodyText"/>
        <w:spacing w:after="60"/>
        <w:jc w:val="both"/>
      </w:pPr>
      <w:r>
        <w:t xml:space="preserve">IV - enunciado de súmula de tribunal de justiça sobre direito local.</w:t>
      </w:r>
    </w:p>
    <w:p>
      <w:pPr>
        <w:pStyle w:val="BodyText"/>
        <w:spacing w:after="60"/>
        <w:jc w:val="both"/>
      </w:pPr>
      <w:r>
        <w:t xml:space="preserve">§ 1º O juiz também poderá julgar liminarmente improcedente o pedido se verificar, desde logo, a ocorrência de decadência ou de prescrição.</w:t>
      </w:r>
    </w:p>
    <w:p>
      <w:pPr>
        <w:pStyle w:val="BodyText"/>
        <w:spacing w:after="60"/>
        <w:jc w:val="both"/>
      </w:pPr>
      <w:r>
        <w:t xml:space="preserve">§ 2º Não interposta a apelação, o réu será intimado do trânsito em julgado da sentença, nos termos do art. 241.</w:t>
      </w:r>
    </w:p>
    <w:p>
      <w:pPr>
        <w:pStyle w:val="BodyText"/>
        <w:keepNext/>
        <w:spacing w:after="60"/>
        <w:jc w:val="both"/>
      </w:pPr>
      <w:r>
        <w:t xml:space="preserve">§ 3º Interposta a apelação, o juiz poderá retratar-se em 5 (cinco) dias.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530"/>
        <w:gridCol w:w="1905"/>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905"/>
          </w:tcPr>
          <w:p>
            <w:pPr>
              <w:pStyle w:val="Compact"/>
              <w:spacing w:line="276" w:lineRule="auto" w:before="40" w:after="40"/>
            </w:pPr>
            <w:r>
              <w:rPr>
                <w:rFonts w:ascii="Liberation Sans Narrow" w:hAnsi="Liberation Sans Narrow"/>
                <w:sz w:val="17"/>
              </w:rPr>
              <w:t xml:space="preserve">Art. 332, § 3º: retratação e contraditório</w:t>
            </w:r>
          </w:p>
        </w:tc>
        <w:tc>
          <w:tcPr>
            <w:tcW w:type="dxa" w:w="1531"/>
          </w:tcPr>
          <w:p>
            <w:pPr>
              <w:pStyle w:val="Compact"/>
              <w:spacing w:line="276" w:lineRule="auto" w:before="40" w:after="40"/>
            </w:pPr>
            <w:r>
              <w:rPr>
                <w:rFonts w:ascii="Liberation Sans Narrow" w:hAnsi="Liberation Sans Narrow"/>
                <w:sz w:val="17"/>
              </w:rPr>
              <w:t xml:space="preserve">STJ, AgInt no AREsp 2.857.765, Segunda Turma, relator Min. Marco Aurélio Bellizze, DJe de 02/03/2026</w:t>
            </w:r>
          </w:p>
        </w:tc>
        <w:tc>
          <w:tcPr>
            <w:tcW w:type="dxa" w:w="1905"/>
          </w:tcPr>
          <w:p>
            <w:pPr>
              <w:pStyle w:val="Compact"/>
              <w:spacing w:line="276" w:lineRule="auto" w:before="40" w:after="40"/>
            </w:pPr>
            <w:r>
              <w:rPr>
                <w:rFonts w:ascii="Liberation Sans Narrow" w:hAnsi="Liberation Sans Narrow"/>
                <w:sz w:val="17"/>
              </w:rPr>
              <w:t xml:space="preserve">A ementa reproduz, entre aspas, o entendimento de que a improcedência liminar</w:t>
            </w:r>
            <w:r>
              <w:rPr>
                <w:rFonts w:ascii="Liberation Sans Narrow" w:hAnsi="Liberation Sans Narrow"/>
                <w:sz w:val="17"/>
              </w:rPr>
              <w:t xml:space="preserve"> </w:t>
            </w:r>
            <w:r>
              <w:rPr>
                <w:rFonts w:ascii="Liberation Sans Narrow" w:hAnsi="Liberation Sans Narrow"/>
                <w:sz w:val="17"/>
              </w:rPr>
              <w:t xml:space="preserve">“não viola o devido processo legal, notadamente as garantias do contraditório e da ampla defesa, porquanto o art. 332, § 3º, do CPC/2015 prevê a possibilidade de o juiz retratar-se”</w:t>
            </w:r>
            <w:r>
              <w:rPr>
                <w:rFonts w:ascii="Liberation Sans Narrow" w:hAnsi="Liberation Sans Narrow"/>
                <w:sz w:val="17"/>
              </w:rPr>
              <w:t xml:space="preserve"> </w:t>
            </w:r>
            <w:r>
              <w:rPr>
                <w:rFonts w:ascii="Liberation Sans Narrow" w:hAnsi="Liberation Sans Narrow"/>
                <w:sz w:val="17"/>
              </w:rPr>
              <w:t xml:space="preserve">(REsp 1.996.197/SP, Terceira Turma, rel. Min. Nancy Andrighi, j. 9/8/2022, DJe 12/8/2022). No caso, a parte teve oportunidade de convencer o juízo na inicial, de obter retratação e de apelar, o que afastou a alegada decisão surpresa (arts. 9º e 10).</w:t>
            </w:r>
          </w:p>
        </w:tc>
      </w:tr>
    </w:tbl>
    <w:p>
      <w:pPr>
        <w:pStyle w:val="BodyText"/>
        <w:keepNext/>
        <w:spacing w:after="60"/>
        <w:jc w:val="both"/>
      </w:pPr>
      <w:r>
        <w:t xml:space="preserve">§ 4º Se houver retratação, o juiz determinará o prosseguimento do processo, com a citação do réu, e, se não houver retratação, determinará a citação do réu para apresentar contrarrazões, no prazo de 15 (quinze) dias.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2029"/>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Art. 332, § 4º: citação do réu para contrarrazões e honorários</w:t>
            </w:r>
          </w:p>
        </w:tc>
        <w:tc>
          <w:tcPr>
            <w:tcW w:type="dxa" w:w="1655"/>
          </w:tcPr>
          <w:p>
            <w:pPr>
              <w:pStyle w:val="Compact"/>
              <w:spacing w:line="276" w:lineRule="auto" w:before="40" w:after="40"/>
            </w:pPr>
            <w:r>
              <w:rPr>
                <w:rFonts w:ascii="Liberation Sans Narrow" w:hAnsi="Liberation Sans Narrow"/>
                <w:sz w:val="17"/>
              </w:rPr>
              <w:t xml:space="preserve">STJ, REsp 2.120.563, Quarta Turma, relator Min. Raul Araújo, julgado em 09/03/2026, DJEN de 16/03/2026</w:t>
            </w:r>
          </w:p>
        </w:tc>
        <w:tc>
          <w:tcPr>
            <w:tcW w:type="dxa" w:w="2030"/>
          </w:tcPr>
          <w:p>
            <w:pPr>
              <w:pStyle w:val="Compact"/>
              <w:spacing w:line="276" w:lineRule="auto" w:before="40" w:after="40"/>
            </w:pPr>
            <w:r>
              <w:rPr>
                <w:rFonts w:ascii="Liberation Sans Narrow" w:hAnsi="Liberation Sans Narrow"/>
                <w:sz w:val="17"/>
              </w:rPr>
              <w:t xml:space="preserve">Não havendo retratação após a apelação contra sentença de improcedência liminar, o juiz deve citar o réu para responder ao recurso (art. 332, § 4º). A angularização da relação processual pode ocorrer na instância revisora, mediante citação para contrarrazões; apresentadas estas e mantida a improcedência liminar, cabem honorários sucumbenciais pelo trabalho advocatício na fase recursal (art. 85, caput e § 1º).</w:t>
            </w:r>
          </w:p>
        </w:tc>
      </w:tr>
    </w:tbl>
    <w:bookmarkEnd w:id="34"/>
    <w:bookmarkEnd w:id="35"/>
    <w:bookmarkStart w:id="37" w:name="Xcb73fef4b59365374afd4edd3f62018b5938396"/>
    <w:p>
      <w:pPr>
        <w:pStyle w:val="Heading4"/>
        <w:spacing w:before="80" w:after="40"/>
      </w:pPr>
      <w:r>
        <w:rPr>
          <w:smallCaps/>
          <w:color w:val="2E75B6"/>
        </w:rPr>
        <w:t xml:space="preserve">Capítulo IV: da conversão da ação individual em ação coletiva (arts. 333)</w:t>
      </w:r>
    </w:p>
    <w:bookmarkStart w:id="36" w:name="art.-333"/>
    <w:p>
      <w:pPr>
        <w:pStyle w:val="Heading6"/>
        <w:pBdr>
          <w:left w:val="single" w:sz="36" w:space="4" w:color="2E75B6"/>
        </w:pBdr>
        <w:shd w:val="clear" w:color="auto" w:fill="E3EEF9"/>
        <w:spacing w:before="120" w:after="60"/>
        <w:ind w:left="85"/>
      </w:pPr>
      <w:r>
        <w:rPr>
          <w:i w:val="0"/>
          <w:color w:val="1F3A5F"/>
          <w:sz w:val="22"/>
        </w:rPr>
        <w:t xml:space="preserve">Art. 333</w:t>
      </w:r>
    </w:p>
    <w:p>
      <w:pPr>
        <w:pStyle w:val="FirstParagraph"/>
        <w:spacing w:after="60"/>
        <w:jc w:val="both"/>
      </w:pPr>
      <w:r>
        <w:rPr>
          <w:b/>
          <w:bCs/>
        </w:rPr>
        <w:t xml:space="preserve">Art. 333.</w:t>
      </w:r>
      <w:r>
        <w:t xml:space="preserve"> </w:t>
      </w:r>
      <w:r>
        <w:t xml:space="preserve">(VETADO).</w:t>
      </w:r>
    </w:p>
    <w:bookmarkEnd w:id="36"/>
    <w:bookmarkEnd w:id="37"/>
    <w:bookmarkStart w:id="39" w:name="X422fa7eb1da88e85d48268270330d206080e5a0"/>
    <w:p>
      <w:pPr>
        <w:pStyle w:val="Heading4"/>
        <w:spacing w:before="80" w:after="40"/>
      </w:pPr>
      <w:r>
        <w:rPr>
          <w:smallCaps/>
          <w:color w:val="2E75B6"/>
        </w:rPr>
        <w:t xml:space="preserve">Capítulo V: da audiência de conciliação ou de mediação (arts. 334)</w:t>
      </w:r>
    </w:p>
    <w:bookmarkStart w:id="38" w:name="art.-334"/>
    <w:p>
      <w:pPr>
        <w:pStyle w:val="Heading6"/>
        <w:pBdr>
          <w:left w:val="single" w:sz="36" w:space="4" w:color="2E75B6"/>
        </w:pBdr>
        <w:shd w:val="clear" w:color="auto" w:fill="E3EEF9"/>
        <w:spacing w:before="120" w:after="60"/>
        <w:ind w:left="85"/>
      </w:pPr>
      <w:r>
        <w:rPr>
          <w:i w:val="0"/>
          <w:color w:val="1F3A5F"/>
          <w:sz w:val="22"/>
        </w:rPr>
        <w:t xml:space="preserve">Art. 334</w:t>
      </w:r>
    </w:p>
    <w:p>
      <w:pPr>
        <w:pStyle w:val="FirstParagraph"/>
        <w:keepNext/>
        <w:spacing w:after="60"/>
        <w:jc w:val="both"/>
      </w:pPr>
      <w:r>
        <w:rPr>
          <w:b/>
          <w:bCs/>
        </w:rPr>
        <w:t xml:space="preserve">Art. 334.</w:t>
      </w:r>
      <w:r>
        <w:t xml:space="preserve"> </w:t>
      </w:r>
      <w:r>
        <w:t xml:space="preserve">Se a petição inicial preencher os requisitos essenciais e não for o caso de improcedência liminar do pedido, o juiz designará audiência de conciliação ou de mediação com antecedência mínima de 30 (trinta) dias, devendo ser citado o réu com pelo menos 20 (vinte) dias de antecedência.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Art. 334, caput: designação da audiência e efeito da não realização</w:t>
            </w:r>
          </w:p>
        </w:tc>
        <w:tc>
          <w:tcPr>
            <w:tcW w:type="dxa" w:w="1655"/>
          </w:tcPr>
          <w:p>
            <w:pPr>
              <w:pStyle w:val="Compact"/>
              <w:spacing w:line="276" w:lineRule="auto" w:before="40" w:after="40"/>
            </w:pPr>
            <w:r>
              <w:rPr>
                <w:rFonts w:ascii="Liberation Sans Narrow" w:hAnsi="Liberation Sans Narrow"/>
                <w:sz w:val="17"/>
              </w:rPr>
              <w:t xml:space="preserve">STJ, AREsp 3.075.807, Quarta Turma, relator Min. Raul Araújo, julgado em 01/06/2026, DJEN de 09/06/2026</w:t>
            </w:r>
          </w:p>
        </w:tc>
        <w:tc>
          <w:tcPr>
            <w:tcW w:type="dxa" w:w="1905"/>
          </w:tcPr>
          <w:p>
            <w:pPr>
              <w:pStyle w:val="Compact"/>
              <w:spacing w:line="276" w:lineRule="auto" w:before="40" w:after="40"/>
            </w:pPr>
            <w:r>
              <w:rPr>
                <w:rFonts w:ascii="Liberation Sans Narrow" w:hAnsi="Liberation Sans Narrow"/>
                <w:sz w:val="17"/>
              </w:rPr>
              <w:t xml:space="preserve">A ausência de realização de audiência de conciliação não é causa de nulidade do processo quando a parte não demonstra prejuízo pela não realização do ato; a origem a reputou prescindível, e o STJ manteve o acórdão, invocando a Súmula 83/STJ.</w:t>
            </w:r>
          </w:p>
        </w:tc>
      </w:tr>
    </w:tbl>
    <w:p>
      <w:pPr>
        <w:pStyle w:val="BodyText"/>
        <w:spacing w:after="60"/>
        <w:jc w:val="both"/>
      </w:pPr>
      <w:r>
        <w:t xml:space="preserve">§ 1º O conciliador ou mediador, onde houver, atuará necessariamente na audiência de conciliação ou de mediação, observando o disposto neste Código, bem como as disposições da lei de organização judiciária.</w:t>
      </w:r>
    </w:p>
    <w:p>
      <w:pPr>
        <w:pStyle w:val="BodyText"/>
        <w:spacing w:after="60"/>
        <w:jc w:val="both"/>
      </w:pPr>
      <w:r>
        <w:t xml:space="preserve">§ 2º Poderá haver mais de uma sessão destinada à conciliação e à mediação, não podendo exceder a 2 (dois) meses da data de realização da primeira sessão, desde que necessárias à composição das partes.</w:t>
      </w:r>
    </w:p>
    <w:p>
      <w:pPr>
        <w:pStyle w:val="BodyText"/>
        <w:spacing w:after="60"/>
        <w:jc w:val="both"/>
      </w:pPr>
      <w:r>
        <w:t xml:space="preserve">§ 3º A intimação do autor para a audiência será feita na pessoa de seu advogado.</w:t>
      </w:r>
    </w:p>
    <w:p>
      <w:pPr>
        <w:pStyle w:val="BodyText"/>
        <w:spacing w:after="60"/>
        <w:jc w:val="both"/>
      </w:pPr>
      <w:r>
        <w:t xml:space="preserve">§ 4º A audiência não será realizada:</w:t>
      </w:r>
    </w:p>
    <w:p>
      <w:pPr>
        <w:pStyle w:val="BodyText"/>
        <w:spacing w:after="60"/>
        <w:jc w:val="both"/>
      </w:pPr>
      <w:r>
        <w:t xml:space="preserve">I - se ambas as partes manifestarem, expressamente, desinteresse na composição consensual;</w:t>
      </w:r>
    </w:p>
    <w:p>
      <w:pPr>
        <w:pStyle w:val="BodyText"/>
        <w:spacing w:after="60"/>
        <w:jc w:val="both"/>
      </w:pPr>
      <w:r>
        <w:t xml:space="preserve">II - quando não se admitir a autocomposição.</w:t>
      </w:r>
    </w:p>
    <w:p>
      <w:pPr>
        <w:pStyle w:val="BodyText"/>
        <w:spacing w:after="60"/>
        <w:jc w:val="both"/>
      </w:pPr>
      <w:r>
        <w:t xml:space="preserve">§ 5º O autor deverá indicar, na petição inicial, seu desinteresse na autocomposição, e o réu deverá fazê-lo, por petição, apresentada com 10 (dez) dias de antecedência, contados da data da audiência.</w:t>
      </w:r>
    </w:p>
    <w:p>
      <w:pPr>
        <w:pStyle w:val="BodyText"/>
        <w:spacing w:after="60"/>
        <w:jc w:val="both"/>
      </w:pPr>
      <w:r>
        <w:t xml:space="preserve">§ 6º Havendo litisconsórcio, o desinteresse na realização da audiência deve ser manifestado por todos os litisconsortes.</w:t>
      </w:r>
    </w:p>
    <w:p>
      <w:pPr>
        <w:pStyle w:val="BodyText"/>
        <w:spacing w:after="60"/>
        <w:jc w:val="both"/>
      </w:pPr>
      <w:r>
        <w:t xml:space="preserve">§ 7º A audiência de conciliação ou de mediação pode realizar-se por meio eletrônico, nos termos da lei.</w:t>
      </w:r>
    </w:p>
    <w:p>
      <w:pPr>
        <w:pStyle w:val="BodyText"/>
        <w:keepNext/>
        <w:spacing w:after="60"/>
        <w:jc w:val="both"/>
      </w:pPr>
      <w:r>
        <w:t xml:space="preserve">§ 8º O não comparecimento injustificado do autor ou do réu à audiência de conciliação é considerado ato atentatório à dignidade da justiça e será sancionado com multa de até dois por cento da vantagem econômica pretendida ou do valor da causa, revertida em favor da União ou do Estado.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655"/>
        <w:gridCol w:w="2404"/>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2030"/>
          </w:tcPr>
          <w:p>
            <w:pPr>
              <w:pStyle w:val="Compact"/>
              <w:spacing w:line="276" w:lineRule="auto" w:before="40" w:after="40"/>
            </w:pPr>
            <w:r>
              <w:rPr>
                <w:rFonts w:ascii="Liberation Sans Narrow" w:hAnsi="Liberation Sans Narrow"/>
                <w:sz w:val="17"/>
              </w:rPr>
              <w:t xml:space="preserve">Art. 334, § 8º: multa e equívoco interno do escritório</w:t>
            </w:r>
          </w:p>
        </w:tc>
        <w:tc>
          <w:tcPr>
            <w:tcW w:type="dxa" w:w="1655"/>
          </w:tcPr>
          <w:p>
            <w:pPr>
              <w:pStyle w:val="Compact"/>
              <w:spacing w:line="276" w:lineRule="auto" w:before="40" w:after="40"/>
            </w:pPr>
            <w:r>
              <w:rPr>
                <w:rFonts w:ascii="Liberation Sans Narrow" w:hAnsi="Liberation Sans Narrow"/>
                <w:sz w:val="17"/>
              </w:rPr>
              <w:t xml:space="preserve">STJ, AgInt no AREsp 2.750.701, Quarta Turma, relator Min. Antonio Carlos Ferreira, julgado em 01/06/2026, DJEN de 09/06/2026</w:t>
            </w:r>
          </w:p>
        </w:tc>
        <w:tc>
          <w:tcPr>
            <w:tcW w:type="dxa" w:w="2404"/>
          </w:tcPr>
          <w:p>
            <w:pPr>
              <w:pStyle w:val="Compact"/>
              <w:spacing w:line="276" w:lineRule="auto" w:before="40" w:after="40"/>
            </w:pPr>
            <w:r>
              <w:rPr>
                <w:rFonts w:ascii="Liberation Sans Narrow" w:hAnsi="Liberation Sans Narrow"/>
                <w:sz w:val="17"/>
              </w:rPr>
              <w:t xml:space="preserve">A multa do art. 334, § 8º, é legítima quando constatado o não comparecimento injustificado à audiência de conciliação, com intimações regulares e habilitação da patrona nos autos; a justificativa de equívoco interno na organização do escritório não afasta a penalidade, por se inserir na esfera de responsabilidade profissional. O recurso não foi conhecido por falta de prequestionamento (Súmulas 282 e 356/STF), mas a ementa afirma a legitimidade da multa nas razões de decidir.</w:t>
            </w:r>
          </w:p>
        </w:tc>
      </w:tr>
      <w:tr>
        <w:trPr>
          <w:cantSplit/>
        </w:trPr>
        <w:tc>
          <w:tcPr>
            <w:tcW w:type="dxa" w:w="2030"/>
          </w:tcPr>
          <w:p>
            <w:pPr>
              <w:pStyle w:val="Compact"/>
              <w:spacing w:line="276" w:lineRule="auto" w:before="40" w:after="40"/>
            </w:pPr>
            <w:r>
              <w:rPr>
                <w:rFonts w:ascii="Liberation Sans Narrow" w:hAnsi="Liberation Sans Narrow"/>
                <w:sz w:val="17"/>
              </w:rPr>
              <w:t xml:space="preserve">Art. 334, § 8º: multa, intimações válidas e ausência de manifestação de desinteresse</w:t>
            </w:r>
          </w:p>
        </w:tc>
        <w:tc>
          <w:tcPr>
            <w:tcW w:type="dxa" w:w="1655"/>
          </w:tcPr>
          <w:p>
            <w:pPr>
              <w:pStyle w:val="Compact"/>
              <w:spacing w:line="276" w:lineRule="auto" w:before="40" w:after="40"/>
            </w:pPr>
            <w:r>
              <w:rPr>
                <w:rFonts w:ascii="Liberation Sans Narrow" w:hAnsi="Liberation Sans Narrow"/>
                <w:sz w:val="17"/>
              </w:rPr>
              <w:t xml:space="preserve">STJ, AREsp 2.471.590, Quarta Turma, relator Min. Raul Araújo, julgado em 16/03/2026, DJEN de 23/03/2026</w:t>
            </w:r>
          </w:p>
        </w:tc>
        <w:tc>
          <w:tcPr>
            <w:tcW w:type="dxa" w:w="2404"/>
          </w:tcPr>
          <w:p>
            <w:pPr>
              <w:pStyle w:val="Compact"/>
              <w:spacing w:line="276" w:lineRule="auto" w:before="40" w:after="40"/>
            </w:pPr>
            <w:r>
              <w:rPr>
                <w:rFonts w:ascii="Liberation Sans Narrow" w:hAnsi="Liberation Sans Narrow"/>
                <w:sz w:val="17"/>
              </w:rPr>
              <w:t xml:space="preserve">O não comparecimento injustificado à audiência de conciliação é sancionado com a multa do art. 334, § 8º; na hipótese, as instâncias locais assentaram a validade das intimações e a ausência de manifestação expressa de desinteresse na autocomposição, e o agravo foi desprovido.</w:t>
            </w:r>
          </w:p>
        </w:tc>
      </w:tr>
      <w:tr>
        <w:trPr>
          <w:cantSplit/>
        </w:trPr>
        <w:tc>
          <w:tcPr>
            <w:tcW w:type="dxa" w:w="2030"/>
          </w:tcPr>
          <w:p>
            <w:pPr>
              <w:pStyle w:val="Compact"/>
              <w:spacing w:line="276" w:lineRule="auto" w:before="40" w:after="40"/>
            </w:pPr>
            <w:r>
              <w:rPr>
                <w:rFonts w:ascii="Liberation Sans Narrow" w:hAnsi="Liberation Sans Narrow"/>
                <w:sz w:val="17"/>
              </w:rPr>
              <w:t xml:space="preserve">Art. 334, § 8º: multa por não comparecimento pessoal e representação por advogado</w:t>
            </w:r>
          </w:p>
        </w:tc>
        <w:tc>
          <w:tcPr>
            <w:tcW w:type="dxa" w:w="1655"/>
          </w:tcPr>
          <w:p>
            <w:pPr>
              <w:pStyle w:val="Compact"/>
              <w:spacing w:line="276" w:lineRule="auto" w:before="40" w:after="40"/>
            </w:pPr>
            <w:r>
              <w:rPr>
                <w:rFonts w:ascii="Liberation Sans Narrow" w:hAnsi="Liberation Sans Narrow"/>
                <w:sz w:val="17"/>
              </w:rPr>
              <w:t xml:space="preserve">STJ, AgInt no RMS 56.422, Quarta Turma, relator Min. Raul Araújo, julgado em 08/06/2021, DJe de 16/06/2021</w:t>
            </w:r>
          </w:p>
        </w:tc>
        <w:tc>
          <w:tcPr>
            <w:tcW w:type="dxa" w:w="2404"/>
          </w:tcPr>
          <w:p>
            <w:pPr>
              <w:pStyle w:val="Compact"/>
              <w:spacing w:line="276" w:lineRule="auto" w:before="40" w:after="40"/>
            </w:pPr>
            <w:r>
              <w:rPr>
                <w:rFonts w:ascii="Liberation Sans Narrow" w:hAnsi="Liberation Sans Narrow"/>
                <w:sz w:val="17"/>
              </w:rPr>
              <w:t xml:space="preserve">É manifestamente ilegal e irrecorrível a decisão que impõe à parte a multa do § 8º por não comparecimento pessoal à audiência de conciliação quando ela estava representada por advogado com poderes específicos para transigir, como autoriza o § 10 do mesmo artigo; segurança concedida.</w:t>
            </w:r>
          </w:p>
        </w:tc>
      </w:tr>
    </w:tbl>
    <w:p>
      <w:pPr>
        <w:pStyle w:val="BodyText"/>
        <w:spacing w:after="60"/>
        <w:jc w:val="both"/>
      </w:pPr>
      <w:r>
        <w:t xml:space="preserve">§ 9º As partes devem estar acompanhadas por seus advogados ou defensores públicos.</w:t>
      </w:r>
    </w:p>
    <w:p>
      <w:pPr>
        <w:pStyle w:val="BodyText"/>
        <w:spacing w:after="60"/>
        <w:jc w:val="both"/>
      </w:pPr>
      <w:r>
        <w:t xml:space="preserve">§ 10. A parte poderá constituir representante, por meio de procuração específica, com poderes para negociar e transigir.</w:t>
      </w:r>
    </w:p>
    <w:p>
      <w:pPr>
        <w:pStyle w:val="BodyText"/>
        <w:spacing w:after="60"/>
        <w:jc w:val="both"/>
      </w:pPr>
      <w:r>
        <w:t xml:space="preserve">§ 11. A autocomposição obtida será reduzida a termo e homologada por sentença.</w:t>
      </w:r>
    </w:p>
    <w:p>
      <w:pPr>
        <w:pStyle w:val="BodyText"/>
        <w:spacing w:after="60"/>
        <w:jc w:val="both"/>
      </w:pPr>
      <w:r>
        <w:t xml:space="preserve">§ 12. A pauta das audiências de conciliação ou de mediação será organizada de modo a respeitar o intervalo mínimo de 20 (vinte) minutos entre o início de uma e o início da seguinte.</w:t>
      </w:r>
    </w:p>
    <w:bookmarkEnd w:id="38"/>
    <w:bookmarkEnd w:id="39"/>
    <w:bookmarkStart w:id="48" w:name="X20c3b6257f06b2bcca31185fc7fc39e64939eb8"/>
    <w:p>
      <w:pPr>
        <w:pStyle w:val="Heading4"/>
        <w:spacing w:before="80" w:after="40"/>
      </w:pPr>
      <w:r>
        <w:rPr>
          <w:smallCaps/>
          <w:color w:val="2E75B6"/>
        </w:rPr>
        <w:t xml:space="preserve">Capítulo VI: da contestação (arts. 335 a 342)</w:t>
      </w:r>
    </w:p>
    <w:bookmarkStart w:id="40" w:name="art.-335"/>
    <w:p>
      <w:pPr>
        <w:pStyle w:val="Heading6"/>
        <w:pBdr>
          <w:left w:val="single" w:sz="36" w:space="4" w:color="2E75B6"/>
        </w:pBdr>
        <w:shd w:val="clear" w:color="auto" w:fill="E3EEF9"/>
        <w:spacing w:before="120" w:after="60"/>
        <w:ind w:left="85"/>
      </w:pPr>
      <w:r>
        <w:rPr>
          <w:i w:val="0"/>
          <w:color w:val="1F3A5F"/>
          <w:sz w:val="22"/>
        </w:rPr>
        <w:t xml:space="preserve">Art. 335</w:t>
      </w:r>
    </w:p>
    <w:p>
      <w:pPr>
        <w:pStyle w:val="FirstParagraph"/>
        <w:keepNext/>
        <w:spacing w:after="60"/>
        <w:jc w:val="both"/>
      </w:pPr>
      <w:r>
        <w:rPr>
          <w:b/>
          <w:bCs/>
        </w:rPr>
        <w:t xml:space="preserve">Art. 335.</w:t>
      </w:r>
      <w:r>
        <w:t xml:space="preserve"> </w:t>
      </w:r>
      <w:r>
        <w:t xml:space="preserve">O réu poderá oferecer contestação, por petição, no prazo de 15 (quinze) dias, cujo termo inicial será a data: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279"/>
        <w:gridCol w:w="1655"/>
        <w:gridCol w:w="2279"/>
      </w:tblGrid>
      <w:tr>
        <w:trPr>
          <w:tblHeader w:val="on"/>
          <w:cantSplit/>
          <w:tblHeader/>
        </w:trPr>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279"/>
          </w:tcPr>
          <w:p>
            <w:pPr>
              <w:pStyle w:val="Compact"/>
              <w:spacing w:line="276" w:lineRule="auto" w:before="40" w:after="40"/>
            </w:pPr>
            <w:r>
              <w:rPr>
                <w:rFonts w:ascii="Liberation Sans Narrow" w:hAnsi="Liberation Sans Narrow"/>
                <w:sz w:val="17"/>
              </w:rPr>
              <w:t xml:space="preserve">Art. 239, § 1º: comparecimento espontâneo</w:t>
            </w:r>
          </w:p>
        </w:tc>
        <w:tc>
          <w:tcPr>
            <w:tcW w:type="dxa" w:w="1655"/>
          </w:tcPr>
          <w:p>
            <w:pPr>
              <w:pStyle w:val="Compact"/>
              <w:spacing w:line="276" w:lineRule="auto" w:before="40" w:after="40"/>
            </w:pPr>
            <w:r>
              <w:rPr>
                <w:rFonts w:ascii="Liberation Sans Narrow" w:hAnsi="Liberation Sans Narrow"/>
                <w:sz w:val="17"/>
              </w:rPr>
              <w:t xml:space="preserve">STJ, AgInt no EREsp 1.930.225, Segunda Seção, relator Min. Luis Felipe Salomão, DJe de 06/06/2022</w:t>
            </w:r>
          </w:p>
        </w:tc>
        <w:tc>
          <w:tcPr>
            <w:tcW w:type="dxa" w:w="2279"/>
          </w:tcPr>
          <w:p>
            <w:pPr>
              <w:pStyle w:val="Compact"/>
              <w:spacing w:line="276" w:lineRule="auto" w:before="40" w:after="40"/>
            </w:pPr>
            <w:r>
              <w:rPr>
                <w:rFonts w:ascii="Liberation Sans Narrow" w:hAnsi="Liberation Sans Narrow"/>
                <w:sz w:val="17"/>
              </w:rPr>
              <w:t xml:space="preserve">O art. 239, § 1º, do CPC/2015 vale para quem toma conhecimento do processo na fase de conhecimento; na fase de cumprimento de sentença, o comparecimento espontâneo reabre o prazo. Embargos de divergência não admitidos por ausência de similitude fática.</w:t>
            </w:r>
          </w:p>
        </w:tc>
      </w:tr>
      <w:tr>
        <w:trPr>
          <w:cantSplit/>
        </w:trPr>
        <w:tc>
          <w:tcPr>
            <w:tcW w:type="dxa" w:w="2279"/>
          </w:tcPr>
          <w:p>
            <w:pPr>
              <w:pStyle w:val="Compact"/>
              <w:spacing w:line="276" w:lineRule="auto" w:before="40" w:after="40"/>
            </w:pPr>
            <w:r>
              <w:rPr>
                <w:rFonts w:ascii="Liberation Sans Narrow" w:hAnsi="Liberation Sans Narrow"/>
                <w:sz w:val="17"/>
              </w:rPr>
              <w:t xml:space="preserve">Art. 335 c/c art. 231, § 1º: pluralidade de réus</w:t>
            </w:r>
          </w:p>
        </w:tc>
        <w:tc>
          <w:tcPr>
            <w:tcW w:type="dxa" w:w="1655"/>
          </w:tcPr>
          <w:p>
            <w:pPr>
              <w:pStyle w:val="Compact"/>
              <w:spacing w:line="276" w:lineRule="auto" w:before="40" w:after="40"/>
            </w:pPr>
            <w:r>
              <w:rPr>
                <w:rFonts w:ascii="Liberation Sans Narrow" w:hAnsi="Liberation Sans Narrow"/>
                <w:sz w:val="17"/>
              </w:rPr>
              <w:t xml:space="preserve">STJ, REsp 2.139.058, Quarta Turma, relator Min. João Otávio de Noronha, julgado em 11/05/2026, DJEN de 14/05/2026</w:t>
            </w:r>
          </w:p>
        </w:tc>
        <w:tc>
          <w:tcPr>
            <w:tcW w:type="dxa" w:w="2279"/>
          </w:tcPr>
          <w:p>
            <w:pPr>
              <w:pStyle w:val="Compact"/>
              <w:spacing w:line="276" w:lineRule="auto" w:before="40" w:after="40"/>
            </w:pPr>
            <w:r>
              <w:rPr>
                <w:rFonts w:ascii="Liberation Sans Narrow" w:hAnsi="Liberation Sans Narrow"/>
                <w:sz w:val="17"/>
              </w:rPr>
              <w:t xml:space="preserve">Havendo litisconsórcio passivo, o prazo para contestar tem como termo inicial a última citação válida (art. 231, § 1º), com reflexos na revelia, e é inaplicável a multa do art. 1.026, § 2º. Recurso especial conhecido e parcialmente provido.</w:t>
            </w:r>
          </w:p>
        </w:tc>
      </w:tr>
      <w:tr>
        <w:trPr>
          <w:cantSplit/>
        </w:trPr>
        <w:tc>
          <w:tcPr>
            <w:tcW w:type="dxa" w:w="2279"/>
          </w:tcPr>
          <w:p>
            <w:pPr>
              <w:pStyle w:val="Compact"/>
              <w:spacing w:line="276" w:lineRule="auto" w:before="40" w:after="40"/>
            </w:pPr>
            <w:r>
              <w:rPr>
                <w:rFonts w:ascii="Liberation Sans Narrow" w:hAnsi="Liberation Sans Narrow"/>
                <w:sz w:val="17"/>
              </w:rPr>
              <w:t xml:space="preserve">Citação postal: início da contagem</w:t>
            </w:r>
          </w:p>
        </w:tc>
        <w:tc>
          <w:tcPr>
            <w:tcW w:type="dxa" w:w="1655"/>
          </w:tcPr>
          <w:p>
            <w:pPr>
              <w:pStyle w:val="Compact"/>
              <w:spacing w:line="276" w:lineRule="auto" w:before="40" w:after="40"/>
            </w:pPr>
            <w:r>
              <w:rPr>
                <w:rFonts w:ascii="Liberation Sans Narrow" w:hAnsi="Liberation Sans Narrow"/>
                <w:sz w:val="17"/>
              </w:rPr>
              <w:t xml:space="preserve">STJ, AREsp 2.626.022, Quarta Turma, relator Min. João Otávio de Noronha, julgado em 04/05/2026, DJEN de 07/05/2026</w:t>
            </w:r>
          </w:p>
        </w:tc>
        <w:tc>
          <w:tcPr>
            <w:tcW w:type="dxa" w:w="2279"/>
          </w:tcPr>
          <w:p>
            <w:pPr>
              <w:pStyle w:val="Compact"/>
              <w:spacing w:line="276" w:lineRule="auto" w:before="40" w:after="40"/>
            </w:pPr>
            <w:r>
              <w:rPr>
                <w:rFonts w:ascii="Liberation Sans Narrow" w:hAnsi="Liberation Sans Narrow"/>
                <w:sz w:val="17"/>
              </w:rPr>
              <w:t xml:space="preserve">Na citação postal, a contagem do prazo para contestar exclui o dia do começo e se inicia no primeiro dia útil subsequente à juntada do último aviso de recebimento; mantida a tempestividade das contestações, o agravo em recurso especial foi desprovido.</w:t>
            </w:r>
          </w:p>
        </w:tc>
      </w:tr>
      <w:tr>
        <w:trPr>
          <w:cantSplit/>
        </w:trPr>
        <w:tc>
          <w:tcPr>
            <w:tcW w:type="dxa" w:w="2279"/>
          </w:tcPr>
          <w:p>
            <w:pPr>
              <w:pStyle w:val="Compact"/>
              <w:spacing w:line="276" w:lineRule="auto" w:before="40" w:after="40"/>
            </w:pPr>
            <w:r>
              <w:rPr>
                <w:rFonts w:ascii="Liberation Sans Narrow" w:hAnsi="Liberation Sans Narrow"/>
                <w:sz w:val="17"/>
              </w:rPr>
              <w:t xml:space="preserve">Revelia por intempestividade (reexame)</w:t>
            </w:r>
          </w:p>
        </w:tc>
        <w:tc>
          <w:tcPr>
            <w:tcW w:type="dxa" w:w="1655"/>
          </w:tcPr>
          <w:p>
            <w:pPr>
              <w:pStyle w:val="Compact"/>
              <w:spacing w:line="276" w:lineRule="auto" w:before="40" w:after="40"/>
            </w:pPr>
            <w:r>
              <w:rPr>
                <w:rFonts w:ascii="Liberation Sans Narrow" w:hAnsi="Liberation Sans Narrow"/>
                <w:sz w:val="17"/>
              </w:rPr>
              <w:t xml:space="preserve">STJ, REsp 2.200.972, Quarta Turma, relatora Min. Maria Isabel Gallotti, julgado em 13/04/2026, DJEN de 16/04/2026</w:t>
            </w:r>
          </w:p>
        </w:tc>
        <w:tc>
          <w:tcPr>
            <w:tcW w:type="dxa" w:w="2279"/>
          </w:tcPr>
          <w:p>
            <w:pPr>
              <w:pStyle w:val="Compact"/>
              <w:spacing w:line="276" w:lineRule="auto" w:before="40" w:after="40"/>
            </w:pPr>
            <w:r>
              <w:rPr>
                <w:rFonts w:ascii="Liberation Sans Narrow" w:hAnsi="Liberation Sans Narrow"/>
                <w:sz w:val="17"/>
              </w:rPr>
              <w:t xml:space="preserve">A intempestividade da contestação e a consequente revelia, a apreciação das provas e a adequação do quantum indenizatório não se revêm em recurso especial (Súmula 7/STJ); não viola o art. 1.022, II, o acórdão que enfrenta expressamente as questões suscitadas, ainda que em sentido contrário ao interesse da parte.</w:t>
            </w:r>
          </w:p>
        </w:tc>
      </w:tr>
      <w:tr>
        <w:trPr>
          <w:cantSplit/>
        </w:trPr>
        <w:tc>
          <w:tcPr>
            <w:tcW w:type="dxa" w:w="2279"/>
          </w:tcPr>
          <w:p>
            <w:pPr>
              <w:pStyle w:val="Compact"/>
              <w:spacing w:line="276" w:lineRule="auto" w:before="40" w:after="40"/>
            </w:pPr>
            <w:r>
              <w:rPr>
                <w:rFonts w:ascii="Liberation Sans Narrow" w:hAnsi="Liberation Sans Narrow"/>
                <w:sz w:val="17"/>
              </w:rPr>
              <w:t xml:space="preserve">Termo inicial a partir da audiência de conciliação</w:t>
            </w:r>
          </w:p>
        </w:tc>
        <w:tc>
          <w:tcPr>
            <w:tcW w:type="dxa" w:w="1655"/>
          </w:tcPr>
          <w:p>
            <w:pPr>
              <w:pStyle w:val="Compact"/>
              <w:spacing w:line="276" w:lineRule="auto" w:before="40" w:after="40"/>
            </w:pPr>
            <w:r>
              <w:rPr>
                <w:rFonts w:ascii="Liberation Sans Narrow" w:hAnsi="Liberation Sans Narrow"/>
                <w:sz w:val="17"/>
              </w:rPr>
              <w:t xml:space="preserve">STJ, AREsp 3.055.345, Terceira Turma, relator Min. Moura Ribeiro, julgado em 23/03/2026, DJEN de 30/03/2026</w:t>
            </w:r>
          </w:p>
        </w:tc>
        <w:tc>
          <w:tcPr>
            <w:tcW w:type="dxa" w:w="2279"/>
          </w:tcPr>
          <w:p>
            <w:pPr>
              <w:pStyle w:val="Compact"/>
              <w:spacing w:line="276" w:lineRule="auto" w:before="40" w:after="40"/>
            </w:pPr>
            <w:r>
              <w:rPr>
                <w:rFonts w:ascii="Liberation Sans Narrow" w:hAnsi="Liberation Sans Narrow"/>
                <w:sz w:val="17"/>
              </w:rPr>
              <w:t xml:space="preserve">O prazo para contestar, iniciado por decisão judicial na audiência de conciliação, encerra-se na data útil correspondente; a defesa protocolada depois é intempestiva.</w:t>
            </w:r>
          </w:p>
        </w:tc>
      </w:tr>
      <w:tr>
        <w:trPr>
          <w:cantSplit/>
        </w:trPr>
        <w:tc>
          <w:tcPr>
            <w:tcW w:type="dxa" w:w="2279"/>
          </w:tcPr>
          <w:p>
            <w:pPr>
              <w:pStyle w:val="Compact"/>
              <w:spacing w:line="276" w:lineRule="auto" w:before="40" w:after="40"/>
            </w:pPr>
            <w:r>
              <w:rPr>
                <w:rFonts w:ascii="Liberation Sans Narrow" w:hAnsi="Liberation Sans Narrow"/>
                <w:sz w:val="17"/>
              </w:rPr>
              <w:t xml:space="preserve">Citação por mandado e Defensoria Pública</w:t>
            </w:r>
          </w:p>
        </w:tc>
        <w:tc>
          <w:tcPr>
            <w:tcW w:type="dxa" w:w="1655"/>
          </w:tcPr>
          <w:p>
            <w:pPr>
              <w:pStyle w:val="Compact"/>
              <w:spacing w:line="276" w:lineRule="auto" w:before="40" w:after="40"/>
            </w:pPr>
            <w:r>
              <w:rPr>
                <w:rFonts w:ascii="Liberation Sans Narrow" w:hAnsi="Liberation Sans Narrow"/>
                <w:sz w:val="17"/>
              </w:rPr>
              <w:t xml:space="preserve">STJ, AgInt no AREsp 2.018.658, Quarta Turma, relatora Min. Maria Isabel Gallotti, DJe de 23/03/2023</w:t>
            </w:r>
          </w:p>
        </w:tc>
        <w:tc>
          <w:tcPr>
            <w:tcW w:type="dxa" w:w="2279"/>
          </w:tcPr>
          <w:p>
            <w:pPr>
              <w:pStyle w:val="Compact"/>
              <w:spacing w:line="276" w:lineRule="auto" w:before="40" w:after="40"/>
            </w:pPr>
            <w:r>
              <w:rPr>
                <w:rFonts w:ascii="Liberation Sans Narrow" w:hAnsi="Liberation Sans Narrow"/>
                <w:sz w:val="17"/>
              </w:rPr>
              <w:t xml:space="preserve">O ato citatório é personalíssimo: o prazo para contestar ou embargar conta-se da juntada do mandado de citação, e não da intimação pessoal do Defensor Público.</w:t>
            </w:r>
          </w:p>
        </w:tc>
      </w:tr>
    </w:tbl>
    <w:p>
      <w:pPr>
        <w:pStyle w:val="BodyText"/>
        <w:spacing w:after="60"/>
        <w:jc w:val="both"/>
      </w:pPr>
      <w:r>
        <w:t xml:space="preserve">I - da audiência de conciliação ou de mediação, ou da última sessão de conciliação, quando qualquer parte não comparecer ou, comparecendo, não houver autocomposição;</w:t>
      </w:r>
    </w:p>
    <w:p>
      <w:pPr>
        <w:pStyle w:val="BodyText"/>
        <w:spacing w:after="60"/>
        <w:jc w:val="both"/>
      </w:pPr>
      <w:r>
        <w:t xml:space="preserve">II - do protocolo do pedido de cancelamento da audiência de conciliação ou de mediação apresentado pelo réu, quando ocorrer a hipótese do art. 334, § 4º, inciso I;</w:t>
      </w:r>
    </w:p>
    <w:p>
      <w:pPr>
        <w:pStyle w:val="BodyText"/>
        <w:spacing w:after="60"/>
        <w:jc w:val="both"/>
      </w:pPr>
      <w:r>
        <w:t xml:space="preserve">III - prevista no art. 231, de acordo com o modo como foi feita a citação, nos demais casos.</w:t>
      </w:r>
    </w:p>
    <w:p>
      <w:pPr>
        <w:pStyle w:val="BodyText"/>
        <w:spacing w:after="60"/>
        <w:jc w:val="both"/>
      </w:pPr>
      <w:r>
        <w:t xml:space="preserve">§ 1º No caso de litisconsórcio passivo, ocorrendo a hipótese do art. 334, § 6º, o termo inicial previsto no inciso II será, para cada um dos réus, a data de apresentação de seu respectivo pedido de cancelamento da audiência.</w:t>
      </w:r>
    </w:p>
    <w:p>
      <w:pPr>
        <w:pStyle w:val="BodyText"/>
        <w:spacing w:after="60"/>
        <w:jc w:val="both"/>
      </w:pPr>
      <w:r>
        <w:t xml:space="preserve">§ 2º Quando ocorrer a hipótese do art. 334, § 4º, inciso II, havendo litisconsórcio passivo e o autor desistir da ação em relação a réu ainda não citado, o prazo para resposta correrá da data de intimação da decisão que homologar a desistência.</w:t>
      </w:r>
    </w:p>
    <w:bookmarkEnd w:id="40"/>
    <w:bookmarkStart w:id="41" w:name="art.-336"/>
    <w:p>
      <w:pPr>
        <w:pStyle w:val="Heading6"/>
        <w:pBdr>
          <w:left w:val="single" w:sz="36" w:space="4" w:color="2E75B6"/>
        </w:pBdr>
        <w:shd w:val="clear" w:color="auto" w:fill="E3EEF9"/>
        <w:spacing w:before="120" w:after="60"/>
        <w:ind w:left="85"/>
      </w:pPr>
      <w:r>
        <w:rPr>
          <w:i w:val="0"/>
          <w:color w:val="1F3A5F"/>
          <w:sz w:val="22"/>
        </w:rPr>
        <w:t xml:space="preserve">Art. 336</w:t>
      </w:r>
    </w:p>
    <w:p>
      <w:pPr>
        <w:pStyle w:val="FirstParagraph"/>
        <w:keepNext/>
        <w:spacing w:after="60"/>
        <w:jc w:val="both"/>
      </w:pPr>
      <w:r>
        <w:rPr>
          <w:b/>
          <w:bCs/>
        </w:rPr>
        <w:t xml:space="preserve">Art. 336.</w:t>
      </w:r>
      <w:r>
        <w:t xml:space="preserve"> </w:t>
      </w:r>
      <w:r>
        <w:t xml:space="preserve">Incumbe ao réu alegar, na contestação, toda a matéria de defesa, expondo as razões de fato e de direito com que impugna o pedido do autor e especificando as provas que pretende produzir.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2029"/>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Art. 336: documentos essenciais e momento da contestação</w:t>
            </w:r>
          </w:p>
        </w:tc>
        <w:tc>
          <w:tcPr>
            <w:tcW w:type="dxa" w:w="1655"/>
          </w:tcPr>
          <w:p>
            <w:pPr>
              <w:pStyle w:val="Compact"/>
              <w:spacing w:line="276" w:lineRule="auto" w:before="40" w:after="40"/>
            </w:pPr>
            <w:r>
              <w:rPr>
                <w:rFonts w:ascii="Liberation Sans Narrow" w:hAnsi="Liberation Sans Narrow"/>
                <w:sz w:val="17"/>
              </w:rPr>
              <w:t xml:space="preserve">STJ, AREsp 2.580.345, Quarta Turma, relator Min. João Otávio de Noronha, julgado em 30/06/2026, DJEN de 06/07/2026</w:t>
            </w:r>
          </w:p>
        </w:tc>
        <w:tc>
          <w:tcPr>
            <w:tcW w:type="dxa" w:w="2030"/>
          </w:tcPr>
          <w:p>
            <w:pPr>
              <w:pStyle w:val="Compact"/>
              <w:spacing w:line="276" w:lineRule="auto" w:before="40" w:after="40"/>
            </w:pPr>
            <w:r>
              <w:rPr>
                <w:rFonts w:ascii="Liberation Sans Narrow" w:hAnsi="Liberation Sans Narrow"/>
                <w:sz w:val="17"/>
              </w:rPr>
              <w:t xml:space="preserve">Documento essencial à defesa, disponível desde a contestação, deve ser juntado no momento oportuno; a juntada extemporânea em apelação, sem justificativa, não se qualifica como</w:t>
            </w:r>
            <w:r>
              <w:rPr>
                <w:rFonts w:ascii="Liberation Sans Narrow" w:hAnsi="Liberation Sans Narrow"/>
                <w:sz w:val="17"/>
              </w:rPr>
              <w:t xml:space="preserve"> </w:t>
            </w:r>
            <w:r>
              <w:rPr>
                <w:rFonts w:ascii="Liberation Sans Narrow" w:hAnsi="Liberation Sans Narrow"/>
                <w:sz w:val="17"/>
              </w:rPr>
              <w:t xml:space="preserve">“documento novo”</w:t>
            </w:r>
            <w:r>
              <w:rPr>
                <w:rFonts w:ascii="Liberation Sans Narrow" w:hAnsi="Liberation Sans Narrow"/>
                <w:sz w:val="17"/>
              </w:rPr>
              <w:t xml:space="preserve"> </w:t>
            </w:r>
            <w:r>
              <w:rPr>
                <w:rFonts w:ascii="Liberation Sans Narrow" w:hAnsi="Liberation Sans Narrow"/>
                <w:sz w:val="17"/>
              </w:rPr>
              <w:t xml:space="preserve">(arts. 434 e 435, parágrafo único) e viola o contraditório e a ampla defesa, com ofensa aos arts. 336, 373 e 435, parágrafo único, do CPC.</w:t>
            </w:r>
          </w:p>
        </w:tc>
      </w:tr>
      <w:tr>
        <w:trPr>
          <w:cantSplit/>
        </w:trPr>
        <w:tc>
          <w:tcPr>
            <w:tcW w:type="dxa" w:w="1655"/>
          </w:tcPr>
          <w:p>
            <w:pPr>
              <w:pStyle w:val="Compact"/>
              <w:spacing w:line="276" w:lineRule="auto" w:before="40" w:after="40"/>
            </w:pPr>
            <w:r>
              <w:rPr>
                <w:rFonts w:ascii="Liberation Sans Narrow" w:hAnsi="Liberation Sans Narrow"/>
                <w:sz w:val="17"/>
              </w:rPr>
              <w:t xml:space="preserve">Art. 336: vedação à inovação de questão de fato em apelação</w:t>
            </w:r>
          </w:p>
        </w:tc>
        <w:tc>
          <w:tcPr>
            <w:tcW w:type="dxa" w:w="1655"/>
          </w:tcPr>
          <w:p>
            <w:pPr>
              <w:pStyle w:val="Compact"/>
              <w:spacing w:line="276" w:lineRule="auto" w:before="40" w:after="40"/>
            </w:pPr>
            <w:r>
              <w:rPr>
                <w:rFonts w:ascii="Liberation Sans Narrow" w:hAnsi="Liberation Sans Narrow"/>
                <w:sz w:val="17"/>
              </w:rPr>
              <w:t xml:space="preserve">STJ, REsp 2.010.021, Quarta Turma, relator Min. João Otávio de Noronha, julgado em 01/06/2026, DJEN de 08/06/2026</w:t>
            </w:r>
          </w:p>
        </w:tc>
        <w:tc>
          <w:tcPr>
            <w:tcW w:type="dxa" w:w="2030"/>
          </w:tcPr>
          <w:p>
            <w:pPr>
              <w:pStyle w:val="Compact"/>
              <w:spacing w:line="276" w:lineRule="auto" w:before="40" w:after="40"/>
            </w:pPr>
            <w:r>
              <w:rPr>
                <w:rFonts w:ascii="Liberation Sans Narrow" w:hAnsi="Liberation Sans Narrow"/>
                <w:sz w:val="17"/>
              </w:rPr>
              <w:t xml:space="preserve">A alegação de terceirização do evento é questão de fato, dependente de prova, que não pode ser inovada em apelação sem demonstração concreta de força maior; a orientação de vedação à inovação recursal é aplicada em consonância com os arts. 336 e 342 do CPC, e o recurso especial não foi conhecido.</w:t>
            </w:r>
          </w:p>
        </w:tc>
      </w:tr>
      <w:tr>
        <w:trPr/>
        <w:tc>
          <w:tcPr>
            <w:tcW w:type="dxa" w:w="1655"/>
          </w:tcPr>
          <w:p>
            <w:pPr>
              <w:pStyle w:val="Compact"/>
              <w:spacing w:line="276" w:lineRule="auto" w:before="40" w:after="40"/>
            </w:pPr>
            <w:r>
              <w:rPr>
                <w:rFonts w:ascii="Liberation Sans Narrow" w:hAnsi="Liberation Sans Narrow"/>
                <w:sz w:val="17"/>
              </w:rPr>
              <w:t xml:space="preserve">Art. 336: dever de deduzir toda a matéria de defesa e preclusão</w:t>
            </w:r>
          </w:p>
        </w:tc>
        <w:tc>
          <w:tcPr>
            <w:tcW w:type="dxa" w:w="1655"/>
          </w:tcPr>
          <w:p>
            <w:pPr>
              <w:pStyle w:val="Compact"/>
              <w:spacing w:line="276" w:lineRule="auto" w:before="40" w:after="40"/>
            </w:pPr>
            <w:r>
              <w:rPr>
                <w:rFonts w:ascii="Liberation Sans Narrow" w:hAnsi="Liberation Sans Narrow"/>
                <w:sz w:val="17"/>
              </w:rPr>
              <w:t xml:space="preserve">STJ, REsp 1.921.548, Terceira Turma, relator Min. Moura Ribeiro, julgado em 02/03/2026, DJEN de 06/03/2026</w:t>
            </w:r>
          </w:p>
        </w:tc>
        <w:tc>
          <w:tcPr>
            <w:tcW w:type="dxa" w:w="2030"/>
          </w:tcPr>
          <w:p>
            <w:pPr>
              <w:pStyle w:val="Compact"/>
              <w:spacing w:line="276" w:lineRule="auto" w:before="40" w:after="40"/>
            </w:pPr>
            <w:r>
              <w:rPr>
                <w:rFonts w:ascii="Liberation Sans Narrow" w:hAnsi="Liberation Sans Narrow"/>
                <w:sz w:val="17"/>
              </w:rPr>
              <w:t xml:space="preserve">A negativa geral da curadoria especial apenas afasta a presunção de veracidade dos fatos não impugnados, sem dispensar o réu do dever de deduzir, na contestação, toda a matéria de defesa e de especificar as provas, sob pena de preclusão (arts. 336 e 341, parágrafo único). A abusividade de cláusula penal é fato impeditivo, que exige alegação oportuna e prova específica (art. 373); sua veiculação apenas em apelação configura inovação recursal e supressão de instância.</w:t>
            </w:r>
          </w:p>
        </w:tc>
      </w:tr>
    </w:tbl>
    <w:bookmarkEnd w:id="41"/>
    <w:bookmarkStart w:id="42" w:name="art.-337"/>
    <w:p>
      <w:pPr>
        <w:pStyle w:val="Heading6"/>
        <w:pBdr>
          <w:left w:val="single" w:sz="36" w:space="4" w:color="2E75B6"/>
        </w:pBdr>
        <w:shd w:val="clear" w:color="auto" w:fill="E3EEF9"/>
        <w:spacing w:before="120" w:after="60"/>
        <w:ind w:left="85"/>
      </w:pPr>
      <w:r>
        <w:rPr>
          <w:i w:val="0"/>
          <w:color w:val="1F3A5F"/>
          <w:sz w:val="22"/>
        </w:rPr>
        <w:t xml:space="preserve">Art. 337</w:t>
      </w:r>
    </w:p>
    <w:p>
      <w:pPr>
        <w:pStyle w:val="FirstParagraph"/>
        <w:spacing w:after="60"/>
        <w:jc w:val="both"/>
      </w:pPr>
      <w:r>
        <w:rPr>
          <w:b/>
          <w:bCs/>
        </w:rPr>
        <w:t xml:space="preserve">Art. 337.</w:t>
      </w:r>
      <w:r>
        <w:t xml:space="preserve"> </w:t>
      </w:r>
      <w:r>
        <w:t xml:space="preserve">Incumbe ao réu, antes de discutir o mérito, alegar:</w:t>
      </w:r>
    </w:p>
    <w:p>
      <w:pPr>
        <w:pStyle w:val="BodyText"/>
        <w:spacing w:after="60"/>
        <w:jc w:val="both"/>
      </w:pPr>
      <w:r>
        <w:t xml:space="preserve">I - inexistência ou nulidade da citação;</w:t>
      </w:r>
    </w:p>
    <w:p>
      <w:pPr>
        <w:pStyle w:val="BodyText"/>
        <w:keepNext/>
        <w:spacing w:after="60"/>
        <w:jc w:val="both"/>
      </w:pPr>
      <w:r>
        <w:t xml:space="preserve">II - incompetência absoluta e relativa;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530"/>
        <w:gridCol w:w="2029"/>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Art. 337, II: incompetência por cláusula compromissória não arguida em contestação</w:t>
            </w:r>
          </w:p>
        </w:tc>
        <w:tc>
          <w:tcPr>
            <w:tcW w:type="dxa" w:w="1531"/>
          </w:tcPr>
          <w:p>
            <w:pPr>
              <w:pStyle w:val="Compact"/>
              <w:spacing w:line="276" w:lineRule="auto" w:before="40" w:after="40"/>
            </w:pPr>
            <w:r>
              <w:rPr>
                <w:rFonts w:ascii="Liberation Sans Narrow" w:hAnsi="Liberation Sans Narrow"/>
                <w:sz w:val="17"/>
              </w:rPr>
              <w:t xml:space="preserve">STJ, AgInt no AREsp 1.823.350, Quarta Turma, relator Min. Luis Felipe Salomão, DJe de 15/12/2021</w:t>
            </w:r>
          </w:p>
        </w:tc>
        <w:tc>
          <w:tcPr>
            <w:tcW w:type="dxa" w:w="2030"/>
          </w:tcPr>
          <w:p>
            <w:pPr>
              <w:pStyle w:val="Compact"/>
              <w:spacing w:line="276" w:lineRule="auto" w:before="40" w:after="40"/>
            </w:pPr>
            <w:r>
              <w:rPr>
                <w:rFonts w:ascii="Liberation Sans Narrow" w:hAnsi="Liberation Sans Narrow"/>
                <w:sz w:val="17"/>
              </w:rPr>
              <w:t xml:space="preserve">Contrato de franquia: a incompetência absoluta decorrente de cláusula compromissória não foi arguida em contestação, a citação foi regular e a revelia, regularmente pronunciada; o agravo interno foi desprovido pelas Súmulas 7 e 211/STJ.</w:t>
            </w:r>
          </w:p>
        </w:tc>
      </w:tr>
    </w:tbl>
    <w:p>
      <w:pPr>
        <w:pStyle w:val="BodyText"/>
        <w:spacing w:after="60"/>
        <w:jc w:val="both"/>
      </w:pPr>
      <w:r>
        <w:t xml:space="preserve">III - incorreção do valor da causa;</w:t>
      </w:r>
    </w:p>
    <w:p>
      <w:pPr>
        <w:pStyle w:val="BodyText"/>
        <w:spacing w:after="60"/>
        <w:jc w:val="both"/>
      </w:pPr>
      <w:r>
        <w:t xml:space="preserve">IV - inépcia da petição inicial;</w:t>
      </w:r>
    </w:p>
    <w:p>
      <w:pPr>
        <w:pStyle w:val="BodyText"/>
        <w:spacing w:after="60"/>
        <w:jc w:val="both"/>
      </w:pPr>
      <w:r>
        <w:t xml:space="preserve">V - perempção;</w:t>
      </w:r>
    </w:p>
    <w:p>
      <w:pPr>
        <w:pStyle w:val="BodyText"/>
        <w:spacing w:after="60"/>
        <w:jc w:val="both"/>
      </w:pPr>
      <w:r>
        <w:t xml:space="preserve">VI - litispendência;</w:t>
      </w:r>
    </w:p>
    <w:p>
      <w:pPr>
        <w:pStyle w:val="BodyText"/>
        <w:spacing w:after="60"/>
        <w:jc w:val="both"/>
      </w:pPr>
      <w:r>
        <w:t xml:space="preserve">VII - coisa julgada;</w:t>
      </w:r>
    </w:p>
    <w:p>
      <w:pPr>
        <w:pStyle w:val="BodyText"/>
        <w:spacing w:after="60"/>
        <w:jc w:val="both"/>
      </w:pPr>
      <w:r>
        <w:t xml:space="preserve">VIII - conexão;</w:t>
      </w:r>
    </w:p>
    <w:p>
      <w:pPr>
        <w:pStyle w:val="BodyText"/>
        <w:spacing w:after="60"/>
        <w:jc w:val="both"/>
      </w:pPr>
      <w:r>
        <w:t xml:space="preserve">IX - incapacidade da parte, defeito de representação ou falta de autorização;</w:t>
      </w:r>
    </w:p>
    <w:p>
      <w:pPr>
        <w:pStyle w:val="BodyText"/>
        <w:spacing w:after="60"/>
        <w:jc w:val="both"/>
      </w:pPr>
      <w:r>
        <w:t xml:space="preserve">X - convenção de arbitragem;</w:t>
      </w:r>
    </w:p>
    <w:p>
      <w:pPr>
        <w:pStyle w:val="BodyText"/>
        <w:spacing w:after="60"/>
        <w:jc w:val="both"/>
      </w:pPr>
      <w:r>
        <w:t xml:space="preserve">XI - ausência de legitimidade ou de interesse processual;</w:t>
      </w:r>
    </w:p>
    <w:p>
      <w:pPr>
        <w:pStyle w:val="BodyText"/>
        <w:spacing w:after="60"/>
        <w:jc w:val="both"/>
      </w:pPr>
      <w:r>
        <w:t xml:space="preserve">XII - falta de caução ou de outra prestação que a lei exige como preliminar;</w:t>
      </w:r>
    </w:p>
    <w:p>
      <w:pPr>
        <w:pStyle w:val="BodyText"/>
        <w:spacing w:after="60"/>
        <w:jc w:val="both"/>
      </w:pPr>
      <w:r>
        <w:t xml:space="preserve">XIII - indevida concessão do benefício de gratuidade de justiça.</w:t>
      </w:r>
    </w:p>
    <w:p>
      <w:pPr>
        <w:pStyle w:val="BodyText"/>
        <w:spacing w:after="60"/>
        <w:jc w:val="both"/>
      </w:pPr>
      <w:r>
        <w:t xml:space="preserve">§ 1º Verifica-se a litispendência ou a coisa julgada quando se reproduz ação anteriormente ajuizada.</w:t>
      </w:r>
    </w:p>
    <w:p>
      <w:pPr>
        <w:pStyle w:val="BodyText"/>
        <w:spacing w:after="60"/>
        <w:jc w:val="both"/>
      </w:pPr>
      <w:r>
        <w:t xml:space="preserve">§ 2º Uma ação é idêntica a outra quando possui as mesmas partes, a mesma causa de pedir e o mesmo pedido.</w:t>
      </w:r>
    </w:p>
    <w:p>
      <w:pPr>
        <w:pStyle w:val="BodyText"/>
        <w:spacing w:after="60"/>
        <w:jc w:val="both"/>
      </w:pPr>
      <w:r>
        <w:t xml:space="preserve">§ 3º Há litispendência quando se repete ação que está em curso.</w:t>
      </w:r>
    </w:p>
    <w:p>
      <w:pPr>
        <w:pStyle w:val="BodyText"/>
        <w:spacing w:after="60"/>
        <w:jc w:val="both"/>
      </w:pPr>
      <w:r>
        <w:t xml:space="preserve">§ 4º Há coisa julgada quando se repete ação que já foi decidida por decisão transitada em julgado.</w:t>
      </w:r>
    </w:p>
    <w:p>
      <w:pPr>
        <w:pStyle w:val="BodyText"/>
        <w:keepNext/>
        <w:spacing w:after="60"/>
        <w:jc w:val="both"/>
      </w:pPr>
      <w:r>
        <w:t xml:space="preserve">§ 5º Excetuadas a convenção de arbitragem e a incompetência relativa, o juiz conhecerá de ofício das matérias enumeradas neste artigo.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2029"/>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Art. 337, X, §§ 5º e 6º: convenção de arbitragem arguida fora da contestação</w:t>
            </w:r>
          </w:p>
        </w:tc>
        <w:tc>
          <w:tcPr>
            <w:tcW w:type="dxa" w:w="1655"/>
          </w:tcPr>
          <w:p>
            <w:pPr>
              <w:pStyle w:val="Compact"/>
              <w:spacing w:line="276" w:lineRule="auto" w:before="40" w:after="40"/>
            </w:pPr>
            <w:r>
              <w:rPr>
                <w:rFonts w:ascii="Liberation Sans Narrow" w:hAnsi="Liberation Sans Narrow"/>
                <w:sz w:val="17"/>
              </w:rPr>
              <w:t xml:space="preserve">STJ, AREsp 2.786.129, Quarta Turma, relator Min. João Otávio de Noronha, julgado em 09/02/2026, DJEN de 13/02/2026</w:t>
            </w:r>
          </w:p>
        </w:tc>
        <w:tc>
          <w:tcPr>
            <w:tcW w:type="dxa" w:w="2030"/>
          </w:tcPr>
          <w:p>
            <w:pPr>
              <w:pStyle w:val="Compact"/>
              <w:spacing w:line="276" w:lineRule="auto" w:before="40" w:after="40"/>
            </w:pPr>
            <w:r>
              <w:rPr>
                <w:rFonts w:ascii="Liberation Sans Narrow" w:hAnsi="Liberation Sans Narrow"/>
                <w:sz w:val="17"/>
              </w:rPr>
              <w:t xml:space="preserve">A cláusula compromissória não é matéria de ordem pública; sua não invocação tempestiva, em preliminar de contestação, implica renúncia ao juízo arbitral e preclusão (Súmula 83/STJ). Agravo em recurso especial desprovido.</w:t>
            </w:r>
          </w:p>
        </w:tc>
      </w:tr>
    </w:tbl>
    <w:p>
      <w:pPr>
        <w:pStyle w:val="BodyText"/>
        <w:spacing w:after="60"/>
        <w:jc w:val="both"/>
      </w:pPr>
      <w:r>
        <w:t xml:space="preserve">§ 6º A ausência de alegação da existência de convenção de arbitragem, na forma prevista neste Capítulo, implica aceitação da jurisdição estatal e renúncia ao juízo arbitral.</w:t>
      </w:r>
    </w:p>
    <w:bookmarkEnd w:id="42"/>
    <w:bookmarkStart w:id="43" w:name="art.-338"/>
    <w:p>
      <w:pPr>
        <w:pStyle w:val="Heading6"/>
        <w:pBdr>
          <w:left w:val="single" w:sz="36" w:space="4" w:color="2E75B6"/>
        </w:pBdr>
        <w:shd w:val="clear" w:color="auto" w:fill="E3EEF9"/>
        <w:spacing w:before="120" w:after="60"/>
        <w:ind w:left="85"/>
      </w:pPr>
      <w:r>
        <w:rPr>
          <w:i w:val="0"/>
          <w:color w:val="1F3A5F"/>
          <w:sz w:val="22"/>
        </w:rPr>
        <w:t xml:space="preserve">Art. 338</w:t>
      </w:r>
    </w:p>
    <w:p>
      <w:pPr>
        <w:pStyle w:val="FirstParagraph"/>
        <w:keepNext/>
        <w:spacing w:after="60"/>
        <w:jc w:val="both"/>
      </w:pPr>
      <w:r>
        <w:rPr>
          <w:b/>
          <w:bCs/>
        </w:rPr>
        <w:t xml:space="preserve">Art. 338.</w:t>
      </w:r>
      <w:r>
        <w:t xml:space="preserve"> </w:t>
      </w:r>
      <w:r>
        <w:t xml:space="preserve">Alegando o réu, na contestação, ser parte ilegítima ou não ser o responsável pelo prejuízo invocado, o juiz facultará ao autor, em 15 (quinze) dias, a alteração da petição inicial para substituição do réu.</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279"/>
        <w:gridCol w:w="1655"/>
        <w:gridCol w:w="2154"/>
      </w:tblGrid>
      <w:tr>
        <w:trPr>
          <w:tblHeader w:val="on"/>
          <w:cantSplit/>
          <w:tblHeader/>
        </w:trPr>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279"/>
          </w:tcPr>
          <w:p>
            <w:pPr>
              <w:pStyle w:val="Compact"/>
              <w:spacing w:line="276" w:lineRule="auto" w:before="40" w:after="40"/>
            </w:pPr>
            <w:r>
              <w:rPr>
                <w:rFonts w:ascii="Liberation Sans Narrow" w:hAnsi="Liberation Sans Narrow"/>
                <w:sz w:val="17"/>
              </w:rPr>
              <w:t xml:space="preserve">Art. 338: exclusão de litisconsortes por ilegitimidade e honorários</w:t>
            </w:r>
          </w:p>
        </w:tc>
        <w:tc>
          <w:tcPr>
            <w:tcW w:type="dxa" w:w="1655"/>
          </w:tcPr>
          <w:p>
            <w:pPr>
              <w:pStyle w:val="Compact"/>
              <w:spacing w:line="276" w:lineRule="auto" w:before="40" w:after="40"/>
            </w:pPr>
            <w:r>
              <w:rPr>
                <w:rFonts w:ascii="Liberation Sans Narrow" w:hAnsi="Liberation Sans Narrow"/>
                <w:sz w:val="17"/>
              </w:rPr>
              <w:t xml:space="preserve">STJ, AREsp 2.541.215, Terceira Turma, relator Min. Ricardo Villas Bôas Cueva, julgado em 23/03/2026, DJEN de 26/03/2026</w:t>
            </w:r>
          </w:p>
        </w:tc>
        <w:tc>
          <w:tcPr>
            <w:tcW w:type="dxa" w:w="2154"/>
          </w:tcPr>
          <w:p>
            <w:pPr>
              <w:pStyle w:val="Compact"/>
              <w:spacing w:line="276" w:lineRule="auto" w:before="40" w:after="40"/>
            </w:pPr>
            <w:r>
              <w:rPr>
                <w:rFonts w:ascii="Liberation Sans Narrow" w:hAnsi="Liberation Sans Narrow"/>
                <w:sz w:val="17"/>
              </w:rPr>
              <w:t xml:space="preserve">Em se tratando de reconhecimento de ilegitimidade de alguns dos litisconsortes e de sua exclusão da lide, aplica-se a regra prevista no art. 338 do CPC; os honorários do art. 85, § 2º, devem atender à sucumbência global da demanda e, no julgamento parcial da lide, ser arbitrados de forma proporcional à parcela do pedido efetivamente apreciada.</w:t>
            </w:r>
          </w:p>
        </w:tc>
      </w:tr>
      <w:tr>
        <w:trPr>
          <w:cantSplit/>
        </w:trPr>
        <w:tc>
          <w:tcPr>
            <w:tcW w:type="dxa" w:w="2279"/>
          </w:tcPr>
          <w:p>
            <w:pPr>
              <w:pStyle w:val="Compact"/>
              <w:spacing w:line="276" w:lineRule="auto" w:before="40" w:after="40"/>
            </w:pPr>
            <w:r>
              <w:rPr>
                <w:rFonts w:ascii="Liberation Sans Narrow" w:hAnsi="Liberation Sans Narrow"/>
                <w:sz w:val="17"/>
              </w:rPr>
              <w:t xml:space="preserve">Art. 338: inaplicabilidade em jurisdição voluntária (aplicação narrada)</w:t>
            </w:r>
          </w:p>
        </w:tc>
        <w:tc>
          <w:tcPr>
            <w:tcW w:type="dxa" w:w="1655"/>
          </w:tcPr>
          <w:p>
            <w:pPr>
              <w:pStyle w:val="Compact"/>
              <w:spacing w:line="276" w:lineRule="auto" w:before="40" w:after="40"/>
            </w:pPr>
            <w:r>
              <w:rPr>
                <w:rFonts w:ascii="Liberation Sans Narrow" w:hAnsi="Liberation Sans Narrow"/>
                <w:sz w:val="17"/>
              </w:rPr>
              <w:t xml:space="preserve">STJ, AgInt no AREsp 2.419.237, Quarta Turma, relatora Min. Maria Isabel Gallotti, DJe de 25/11/2025</w:t>
            </w:r>
          </w:p>
        </w:tc>
        <w:tc>
          <w:tcPr>
            <w:tcW w:type="dxa" w:w="2154"/>
          </w:tcPr>
          <w:p>
            <w:pPr>
              <w:pStyle w:val="Compact"/>
              <w:spacing w:line="276" w:lineRule="auto" w:before="40" w:after="40"/>
            </w:pPr>
            <w:r>
              <w:rPr>
                <w:rFonts w:ascii="Liberation Sans Narrow" w:hAnsi="Liberation Sans Narrow"/>
                <w:sz w:val="17"/>
              </w:rPr>
              <w:t xml:space="preserve">A habilitação por morte possui natureza de jurisdição voluntária e, ausente contenciosidade efetiva, não enseja condenação em honorários advocatícios; o art. 338 do CPC não se aplica a esse procedimento. Trecho: “A habilitação por morte possui natureza de jurisdição voluntária e, ausente contenciosidade efetiva, não enseja condenação em honorários advocatícios.”</w:t>
            </w:r>
          </w:p>
        </w:tc>
      </w:tr>
    </w:tbl>
    <w:p>
      <w:pPr>
        <w:pStyle w:val="BodyText"/>
        <w:keepNext/>
        <w:spacing w:after="60"/>
        <w:jc w:val="both"/>
      </w:pPr>
      <w:r>
        <w:t xml:space="preserve">Parágrafo único. Realizada a substituição, o autor reembolsará as despesas e pagará os honorários ao procurador do réu excluído, que serão fixados entre três e cinco por cento do valor da causa ou, sendo este irrisório, nos termos do art. 85, § 8º.</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780"/>
        <w:gridCol w:w="2154"/>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Art. 338, parágrafo único: honorários ao procurador do réu excluído</w:t>
            </w:r>
          </w:p>
        </w:tc>
        <w:tc>
          <w:tcPr>
            <w:tcW w:type="dxa" w:w="1780"/>
          </w:tcPr>
          <w:p>
            <w:pPr>
              <w:pStyle w:val="Compact"/>
              <w:spacing w:line="276" w:lineRule="auto" w:before="40" w:after="40"/>
            </w:pPr>
            <w:r>
              <w:rPr>
                <w:rFonts w:ascii="Liberation Sans Narrow" w:hAnsi="Liberation Sans Narrow"/>
                <w:sz w:val="17"/>
              </w:rPr>
              <w:t xml:space="preserve">STJ, AREsp 2.707.668, Terceira Turma, relator Min. Ricardo Villas Bôas Cueva, julgado em 23/03/2026, DJEN de 26/03/2026</w:t>
            </w:r>
          </w:p>
        </w:tc>
        <w:tc>
          <w:tcPr>
            <w:tcW w:type="dxa" w:w="2154"/>
          </w:tcPr>
          <w:p>
            <w:pPr>
              <w:pStyle w:val="Compact"/>
              <w:spacing w:line="276" w:lineRule="auto" w:before="40" w:after="40"/>
            </w:pPr>
            <w:r>
              <w:rPr>
                <w:rFonts w:ascii="Liberation Sans Narrow" w:hAnsi="Liberation Sans Narrow"/>
                <w:sz w:val="17"/>
              </w:rPr>
              <w:t xml:space="preserve">Nos termos do art. 338, parágrafo único, o reconhecimento, pelo autor, da ilegitimidade passiva de um dos réus não afasta a condenação ao pagamento de honorários advocatícios de sucumbência quando a atuação do autor ensejou a citação do réu e o reconhecimento da preliminar não foi espontâneo, mas provocado pela defesa técnica.</w:t>
            </w:r>
          </w:p>
        </w:tc>
      </w:tr>
      <w:tr>
        <w:trPr/>
        <w:tc>
          <w:tcPr>
            <w:tcW w:type="dxa" w:w="1531"/>
          </w:tcPr>
          <w:p>
            <w:pPr>
              <w:pStyle w:val="Compact"/>
              <w:spacing w:line="276" w:lineRule="auto" w:before="40" w:after="40"/>
            </w:pPr>
            <w:r>
              <w:rPr>
                <w:rFonts w:ascii="Liberation Sans Narrow" w:hAnsi="Liberation Sans Narrow"/>
                <w:sz w:val="17"/>
              </w:rPr>
              <w:t xml:space="preserve">Art. 338, parágrafo único: aplicação analógica e honorários de 3% a 5% (aplicação narrada)</w:t>
            </w:r>
          </w:p>
        </w:tc>
        <w:tc>
          <w:tcPr>
            <w:tcW w:type="dxa" w:w="1780"/>
          </w:tcPr>
          <w:p>
            <w:pPr>
              <w:pStyle w:val="Compact"/>
              <w:spacing w:line="276" w:lineRule="auto" w:before="40" w:after="40"/>
            </w:pPr>
            <w:r>
              <w:rPr>
                <w:rFonts w:ascii="Liberation Sans Narrow" w:hAnsi="Liberation Sans Narrow"/>
                <w:sz w:val="17"/>
              </w:rPr>
              <w:t xml:space="preserve">STJ, REsp 1.935.852, Terceira Turma, relator Min. Paulo de Tarso Sanseverino, julgado em 04/10/2022, DJe de 10/11/2022</w:t>
            </w:r>
          </w:p>
        </w:tc>
        <w:tc>
          <w:tcPr>
            <w:tcW w:type="dxa" w:w="2154"/>
          </w:tcPr>
          <w:p>
            <w:pPr>
              <w:pStyle w:val="Compact"/>
              <w:spacing w:line="276" w:lineRule="auto" w:before="40" w:after="40"/>
            </w:pPr>
            <w:r>
              <w:rPr>
                <w:rFonts w:ascii="Liberation Sans Narrow" w:hAnsi="Liberation Sans Narrow"/>
                <w:sz w:val="17"/>
              </w:rPr>
              <w:t xml:space="preserve">Acolhida a ilegitimidade passiva suscitada na contestação e aceita pelo autor, com a extinção do processo em relação a uma das demandadas, admite-se a aplicação analógica da regra do art. 338, parágrafo único, para fixar os honorários do réu excluído entre 3% e 5% do valor da causa; a Turma arbitrou a verba em 3% sobre o valor atualizado da causa, consideradas a parca complexidade da demanda e o trabalho desempenhado até a exclusão. Trecho: “Controvérsia em torno do arbitramento de honorários advocatícios em casoque, suscitada preliminar deilegitimidade passiva</w:t>
            </w:r>
            <w:r>
              <w:rPr>
                <w:rFonts w:ascii="Liberation Sans Narrow" w:hAnsi="Liberation Sans Narrow"/>
                <w:sz w:val="17"/>
              </w:rPr>
              <w:t xml:space="preserve"> </w:t>
            </w:r>
            <w:r>
              <w:rPr>
                <w:rFonts w:ascii="Liberation Sans Narrow" w:hAnsi="Liberation Sans Narrow"/>
                <w:sz w:val="17"/>
              </w:rPr>
              <w:t xml:space="preserve">“ad causam”</w:t>
            </w:r>
            <w:r>
              <w:rPr>
                <w:rFonts w:ascii="Liberation Sans Narrow" w:hAnsi="Liberation Sans Narrow"/>
                <w:sz w:val="17"/>
              </w:rPr>
              <w:t xml:space="preserve"> </w:t>
            </w:r>
            <w:r>
              <w:rPr>
                <w:rFonts w:ascii="Liberation Sans Narrow" w:hAnsi="Liberation Sans Narrow"/>
                <w:sz w:val="17"/>
              </w:rPr>
              <w:t xml:space="preserve">na contestação e acolhida pelo autor da demanda, extinguiu-se o processo em relação a uma das demandadas (ora recorrente).”</w:t>
            </w:r>
          </w:p>
        </w:tc>
      </w:tr>
    </w:tbl>
    <w:bookmarkEnd w:id="43"/>
    <w:bookmarkStart w:id="44" w:name="art.-339"/>
    <w:p>
      <w:pPr>
        <w:pStyle w:val="Heading6"/>
        <w:pBdr>
          <w:left w:val="single" w:sz="36" w:space="4" w:color="2E75B6"/>
        </w:pBdr>
        <w:shd w:val="clear" w:color="auto" w:fill="E3EEF9"/>
        <w:spacing w:before="120" w:after="60"/>
        <w:ind w:left="85"/>
      </w:pPr>
      <w:r>
        <w:rPr>
          <w:i w:val="0"/>
          <w:color w:val="1F3A5F"/>
          <w:sz w:val="22"/>
        </w:rPr>
        <w:t xml:space="preserve">Art. 339</w:t>
      </w:r>
    </w:p>
    <w:p>
      <w:pPr>
        <w:pStyle w:val="FirstParagraph"/>
        <w:keepNext/>
        <w:spacing w:after="60"/>
        <w:jc w:val="both"/>
      </w:pPr>
      <w:r>
        <w:rPr>
          <w:b/>
          <w:bCs/>
        </w:rPr>
        <w:t xml:space="preserve">Art. 339.</w:t>
      </w:r>
      <w:r>
        <w:t xml:space="preserve"> </w:t>
      </w:r>
      <w:r>
        <w:t xml:space="preserve">Quando alegar sua ilegitimidade, incumbe ao réu indicar o sujeito passivo da relação jurídica discutida sempre que tiver conhecimento, sob pena de arcar com as despesas processuais e de indenizar o autor pelos prejuízos decorrentes da falta de indicação.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2154"/>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Art. 339: indicação do sujeito passivo e legitimidade passiva</w:t>
            </w:r>
          </w:p>
        </w:tc>
        <w:tc>
          <w:tcPr>
            <w:tcW w:type="dxa" w:w="1655"/>
          </w:tcPr>
          <w:p>
            <w:pPr>
              <w:pStyle w:val="Compact"/>
              <w:spacing w:line="276" w:lineRule="auto" w:before="40" w:after="40"/>
            </w:pPr>
            <w:r>
              <w:rPr>
                <w:rFonts w:ascii="Liberation Sans Narrow" w:hAnsi="Liberation Sans Narrow"/>
                <w:sz w:val="17"/>
              </w:rPr>
              <w:t xml:space="preserve">STJ, AREsp 3.134.716, Terceira Turma, relator Min. Moura Ribeiro, julgado em 22/06/2026, DJEN de 29/06/2026</w:t>
            </w:r>
          </w:p>
        </w:tc>
        <w:tc>
          <w:tcPr>
            <w:tcW w:type="dxa" w:w="2154"/>
          </w:tcPr>
          <w:p>
            <w:pPr>
              <w:pStyle w:val="Compact"/>
              <w:spacing w:line="276" w:lineRule="auto" w:before="40" w:after="40"/>
            </w:pPr>
            <w:r>
              <w:rPr>
                <w:rFonts w:ascii="Liberation Sans Narrow" w:hAnsi="Liberation Sans Narrow"/>
                <w:sz w:val="17"/>
              </w:rPr>
              <w:t xml:space="preserve">O art. 339 do CPC não impõe acolhimento automático da ilegitimidade passiva: a indicação de outro sujeito não desloca automaticamente a legitimidade quando a ocupação se mantém injusta e sem título atual. Na hipótese, o ocupante que invocou o art. 339 permaneceu parte legítima na ação de imissão na posse, por se tratar de detenção precária, sem animus domini.</w:t>
            </w:r>
          </w:p>
        </w:tc>
      </w:tr>
    </w:tbl>
    <w:p>
      <w:pPr>
        <w:pStyle w:val="BodyText"/>
        <w:spacing w:after="60"/>
        <w:jc w:val="both"/>
      </w:pPr>
      <w:r>
        <w:t xml:space="preserve">§ 1º O autor, ao aceitar a indicação, procederá, no prazo de 15 (quinze) dias, à alteração da petição inicial para a substituição do réu, observando-se, ainda, o parágrafo único do art. 338.</w:t>
      </w:r>
    </w:p>
    <w:p>
      <w:pPr>
        <w:pStyle w:val="BodyText"/>
        <w:spacing w:after="60"/>
        <w:jc w:val="both"/>
      </w:pPr>
      <w:r>
        <w:t xml:space="preserve">§ 2º No prazo de 15 (quinze) dias, o autor pode optar por alterar a petição inicial para incluir, como litisconsorte passivo, o sujeito indicado pelo réu.</w:t>
      </w:r>
    </w:p>
    <w:bookmarkEnd w:id="44"/>
    <w:bookmarkStart w:id="45" w:name="art.-340"/>
    <w:p>
      <w:pPr>
        <w:pStyle w:val="Heading6"/>
        <w:pBdr>
          <w:left w:val="single" w:sz="36" w:space="4" w:color="2E75B6"/>
        </w:pBdr>
        <w:shd w:val="clear" w:color="auto" w:fill="E3EEF9"/>
        <w:spacing w:before="120" w:after="60"/>
        <w:ind w:left="85"/>
      </w:pPr>
      <w:r>
        <w:rPr>
          <w:i w:val="0"/>
          <w:color w:val="1F3A5F"/>
          <w:sz w:val="22"/>
        </w:rPr>
        <w:t xml:space="preserve">Art. 340</w:t>
      </w:r>
    </w:p>
    <w:p>
      <w:pPr>
        <w:pStyle w:val="FirstParagraph"/>
        <w:spacing w:after="60"/>
        <w:jc w:val="both"/>
      </w:pPr>
      <w:r>
        <w:rPr>
          <w:b/>
          <w:bCs/>
        </w:rPr>
        <w:t xml:space="preserve">Art. 340.</w:t>
      </w:r>
      <w:r>
        <w:t xml:space="preserve"> </w:t>
      </w:r>
      <w:r>
        <w:t xml:space="preserve">Havendo alegação de incompetência relativa ou absoluta, a contestação poderá ser protocolada no foro de domicílio do réu, fato que será imediatamente comunicado ao juiz da causa, preferencialmente por meio eletrônico.</w:t>
      </w:r>
    </w:p>
    <w:p>
      <w:pPr>
        <w:pStyle w:val="BodyText"/>
        <w:spacing w:after="60"/>
        <w:jc w:val="both"/>
      </w:pPr>
      <w:r>
        <w:t xml:space="preserve">§ 1º A contestação será submetida a livre distribuição ou, se o réu houver sido citado por meio de carta precatória, juntada aos autos dessa carta, seguindo-se a sua imediata remessa para o juízo da causa.</w:t>
      </w:r>
    </w:p>
    <w:p>
      <w:pPr>
        <w:pStyle w:val="BodyText"/>
        <w:spacing w:after="60"/>
        <w:jc w:val="both"/>
      </w:pPr>
      <w:r>
        <w:t xml:space="preserve">§ 2º Reconhecida a competência do foro indicado pelo réu, o juízo para o qual for distribuída a contestação ou a carta precatória será considerado prevento.</w:t>
      </w:r>
    </w:p>
    <w:p>
      <w:pPr>
        <w:pStyle w:val="BodyText"/>
        <w:spacing w:after="60"/>
        <w:jc w:val="both"/>
      </w:pPr>
      <w:r>
        <w:t xml:space="preserve">§ 3º Alegada a incompetência nos termos do caput , será suspensa a realização da audiência de conciliação ou de mediação, se tiver sido designada.</w:t>
      </w:r>
    </w:p>
    <w:p>
      <w:pPr>
        <w:pStyle w:val="BodyText"/>
        <w:spacing w:after="60"/>
        <w:jc w:val="both"/>
      </w:pPr>
      <w:r>
        <w:t xml:space="preserve">§ 4º Definida a competência, o juízo competente designará nova data para a audiência de conciliação ou de mediação.</w:t>
      </w:r>
    </w:p>
    <w:bookmarkEnd w:id="45"/>
    <w:bookmarkStart w:id="46" w:name="art.-341"/>
    <w:p>
      <w:pPr>
        <w:pStyle w:val="Heading6"/>
        <w:pBdr>
          <w:left w:val="single" w:sz="36" w:space="4" w:color="2E75B6"/>
        </w:pBdr>
        <w:shd w:val="clear" w:color="auto" w:fill="E3EEF9"/>
        <w:spacing w:before="120" w:after="60"/>
        <w:ind w:left="85"/>
      </w:pPr>
      <w:r>
        <w:rPr>
          <w:i w:val="0"/>
          <w:color w:val="1F3A5F"/>
          <w:sz w:val="22"/>
        </w:rPr>
        <w:t xml:space="preserve">Art. 341</w:t>
      </w:r>
    </w:p>
    <w:p>
      <w:pPr>
        <w:pStyle w:val="FirstParagraph"/>
        <w:keepNext/>
        <w:spacing w:after="60"/>
        <w:jc w:val="both"/>
      </w:pPr>
      <w:r>
        <w:rPr>
          <w:b/>
          <w:bCs/>
        </w:rPr>
        <w:t xml:space="preserve">Art. 341.</w:t>
      </w:r>
      <w:r>
        <w:t xml:space="preserve"> </w:t>
      </w:r>
      <w:r>
        <w:t xml:space="preserve">Incumbe também ao réu manifestar-se precisamente sobre as alegações de fato constantes da petição inicial, presumindo-se verdadeiras as não impugnadas, salvo se: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2154"/>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Curador especial e ônus sucumbenciais após negativa geral</w:t>
            </w:r>
          </w:p>
        </w:tc>
        <w:tc>
          <w:tcPr>
            <w:tcW w:type="dxa" w:w="1655"/>
          </w:tcPr>
          <w:p>
            <w:pPr>
              <w:pStyle w:val="Compact"/>
              <w:spacing w:line="276" w:lineRule="auto" w:before="40" w:after="40"/>
            </w:pPr>
            <w:r>
              <w:rPr>
                <w:rFonts w:ascii="Liberation Sans Narrow" w:hAnsi="Liberation Sans Narrow"/>
                <w:sz w:val="17"/>
              </w:rPr>
              <w:t xml:space="preserve">STJ, REsp 2.027.283, Quarta Turma, relatora Min. Maria Isabel Gallotti, julgado em 12/08/2026, DJEN de 17/08/2026</w:t>
            </w:r>
          </w:p>
        </w:tc>
        <w:tc>
          <w:tcPr>
            <w:tcW w:type="dxa" w:w="2154"/>
          </w:tcPr>
          <w:p>
            <w:pPr>
              <w:pStyle w:val="Compact"/>
              <w:spacing w:line="276" w:lineRule="auto" w:before="40" w:after="40"/>
            </w:pPr>
            <w:r>
              <w:rPr>
                <w:rFonts w:ascii="Liberation Sans Narrow" w:hAnsi="Liberation Sans Narrow"/>
                <w:sz w:val="17"/>
              </w:rPr>
              <w:t xml:space="preserve">A contestação por negativa geral do curador especial (art. 72, II) preserva formalmente o contraditório e a ampla defesa da parte revel citada por edital, mas não configura, por si só, resistência material ao pedido, nem autoriza impor automaticamente à parte curatelada custas e honorários advocatícios. Recurso especial provido.</w:t>
            </w:r>
          </w:p>
        </w:tc>
      </w:tr>
      <w:tr>
        <w:trPr>
          <w:cantSplit/>
        </w:trPr>
        <w:tc>
          <w:tcPr>
            <w:tcW w:type="dxa" w:w="1905"/>
          </w:tcPr>
          <w:p>
            <w:pPr>
              <w:pStyle w:val="Compact"/>
              <w:spacing w:line="276" w:lineRule="auto" w:before="40" w:after="40"/>
            </w:pPr>
            <w:r>
              <w:rPr>
                <w:rFonts w:ascii="Liberation Sans Narrow" w:hAnsi="Liberation Sans Narrow"/>
                <w:sz w:val="17"/>
              </w:rPr>
              <w:t xml:space="preserve">Contestação genérica não leva à procedência automática</w:t>
            </w:r>
          </w:p>
        </w:tc>
        <w:tc>
          <w:tcPr>
            <w:tcW w:type="dxa" w:w="1655"/>
          </w:tcPr>
          <w:p>
            <w:pPr>
              <w:pStyle w:val="Compact"/>
              <w:spacing w:line="276" w:lineRule="auto" w:before="40" w:after="40"/>
            </w:pPr>
            <w:r>
              <w:rPr>
                <w:rFonts w:ascii="Liberation Sans Narrow" w:hAnsi="Liberation Sans Narrow"/>
                <w:sz w:val="17"/>
              </w:rPr>
              <w:t xml:space="preserve">STJ, REsp 2.174.611, Terceira Turma, relator Min. Moura Ribeiro, julgado em 09/02/2026, DJEN de 13/02/2026</w:t>
            </w:r>
          </w:p>
        </w:tc>
        <w:tc>
          <w:tcPr>
            <w:tcW w:type="dxa" w:w="2154"/>
          </w:tcPr>
          <w:p>
            <w:pPr>
              <w:pStyle w:val="Compact"/>
              <w:spacing w:line="276" w:lineRule="auto" w:before="40" w:after="40"/>
            </w:pPr>
            <w:r>
              <w:rPr>
                <w:rFonts w:ascii="Liberation Sans Narrow" w:hAnsi="Liberation Sans Narrow"/>
                <w:sz w:val="17"/>
              </w:rPr>
              <w:t xml:space="preserve">Os efeitos da revelia são relativos e não implicam imediata procedência do pedido, cabendo ao magistrado analisar as alegações do autor e as provas dos autos; a contestação genérica não dispensa esse exame.</w:t>
            </w:r>
          </w:p>
        </w:tc>
      </w:tr>
    </w:tbl>
    <w:p>
      <w:pPr>
        <w:pStyle w:val="BodyText"/>
        <w:spacing w:after="60"/>
        <w:jc w:val="both"/>
      </w:pPr>
      <w:r>
        <w:t xml:space="preserve">I - não for admissível, a seu respeito, a confissão;</w:t>
      </w:r>
    </w:p>
    <w:p>
      <w:pPr>
        <w:pStyle w:val="BodyText"/>
        <w:spacing w:after="60"/>
        <w:jc w:val="both"/>
      </w:pPr>
      <w:r>
        <w:t xml:space="preserve">II - a petição inicial não estiver acompanhada de instrumento que a lei considerar da substância do ato;</w:t>
      </w:r>
    </w:p>
    <w:p>
      <w:pPr>
        <w:pStyle w:val="BodyText"/>
        <w:spacing w:after="60"/>
        <w:jc w:val="both"/>
      </w:pPr>
      <w:r>
        <w:t xml:space="preserve">III - estiverem em contradição com a defesa, considerada em seu conjunto.</w:t>
      </w:r>
    </w:p>
    <w:p>
      <w:pPr>
        <w:pStyle w:val="BodyText"/>
        <w:keepNext/>
        <w:spacing w:after="60"/>
        <w:jc w:val="both"/>
      </w:pPr>
      <w:r>
        <w:t xml:space="preserve">Parágrafo único. O ônus da impugnação especificada dos fatos não se aplica ao defensor público, ao advogado dativo e ao curador especial.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Art. 341, parágrafo único: negativa geral do curador especial</w:t>
            </w:r>
          </w:p>
        </w:tc>
        <w:tc>
          <w:tcPr>
            <w:tcW w:type="dxa" w:w="1655"/>
          </w:tcPr>
          <w:p>
            <w:pPr>
              <w:pStyle w:val="Compact"/>
              <w:spacing w:line="276" w:lineRule="auto" w:before="40" w:after="40"/>
            </w:pPr>
            <w:r>
              <w:rPr>
                <w:rFonts w:ascii="Liberation Sans Narrow" w:hAnsi="Liberation Sans Narrow"/>
                <w:sz w:val="17"/>
              </w:rPr>
              <w:t xml:space="preserve">STJ, REsp 1.921.548, Terceira Turma, relator Min. Moura Ribeiro, julgado em 02/03/2026, DJEN de 06/03/2026</w:t>
            </w:r>
          </w:p>
        </w:tc>
        <w:tc>
          <w:tcPr>
            <w:tcW w:type="dxa" w:w="1905"/>
          </w:tcPr>
          <w:p>
            <w:pPr>
              <w:pStyle w:val="Compact"/>
              <w:spacing w:line="276" w:lineRule="auto" w:before="40" w:after="40"/>
            </w:pPr>
            <w:r>
              <w:rPr>
                <w:rFonts w:ascii="Liberation Sans Narrow" w:hAnsi="Liberation Sans Narrow"/>
                <w:sz w:val="17"/>
              </w:rPr>
              <w:t xml:space="preserve">A negativa geral apresentada pela curadoria especial apenas afasta a presunção de veracidade dos fatos não impugnados; não dispensa o réu de deduzir na contestação toda a matéria de defesa e de especificar as provas, sob pena de preclusão (arts. 336 e 341, parágrafo único). A abusividade da cláusula penal, fato impeditivo ou modificativo, suscitada só na apelação, configura inovação recursal.</w:t>
            </w:r>
          </w:p>
        </w:tc>
      </w:tr>
    </w:tbl>
    <w:bookmarkEnd w:id="46"/>
    <w:bookmarkStart w:id="47" w:name="art.-342"/>
    <w:p>
      <w:pPr>
        <w:pStyle w:val="Heading6"/>
        <w:pBdr>
          <w:left w:val="single" w:sz="36" w:space="4" w:color="2E75B6"/>
        </w:pBdr>
        <w:shd w:val="clear" w:color="auto" w:fill="E3EEF9"/>
        <w:spacing w:before="120" w:after="60"/>
        <w:ind w:left="85"/>
      </w:pPr>
      <w:r>
        <w:rPr>
          <w:i w:val="0"/>
          <w:color w:val="1F3A5F"/>
          <w:sz w:val="22"/>
        </w:rPr>
        <w:t xml:space="preserve">Art. 342</w:t>
      </w:r>
    </w:p>
    <w:p>
      <w:pPr>
        <w:pStyle w:val="FirstParagraph"/>
        <w:keepNext/>
        <w:spacing w:after="60"/>
        <w:jc w:val="both"/>
      </w:pPr>
      <w:r>
        <w:rPr>
          <w:b/>
          <w:bCs/>
        </w:rPr>
        <w:t xml:space="preserve">Art. 342.</w:t>
      </w:r>
      <w:r>
        <w:t xml:space="preserve"> </w:t>
      </w:r>
      <w:r>
        <w:t xml:space="preserve">Depois da contestação, só é lícito ao réu deduzir novas alegações quando: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1905"/>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Art. 342: alegação posterior à contestação e inovação em apelação</w:t>
            </w:r>
          </w:p>
        </w:tc>
        <w:tc>
          <w:tcPr>
            <w:tcW w:type="dxa" w:w="1655"/>
          </w:tcPr>
          <w:p>
            <w:pPr>
              <w:pStyle w:val="Compact"/>
              <w:spacing w:line="276" w:lineRule="auto" w:before="40" w:after="40"/>
            </w:pPr>
            <w:r>
              <w:rPr>
                <w:rFonts w:ascii="Liberation Sans Narrow" w:hAnsi="Liberation Sans Narrow"/>
                <w:sz w:val="17"/>
              </w:rPr>
              <w:t xml:space="preserve">STJ, REsp 2.010.021, Quarta Turma, relator Min. João Otávio de Noronha, julgado em 01/06/2026, DJEN de 08/06/2026</w:t>
            </w:r>
          </w:p>
        </w:tc>
        <w:tc>
          <w:tcPr>
            <w:tcW w:type="dxa" w:w="1905"/>
          </w:tcPr>
          <w:p>
            <w:pPr>
              <w:pStyle w:val="Compact"/>
              <w:spacing w:line="276" w:lineRule="auto" w:before="40" w:after="40"/>
            </w:pPr>
            <w:r>
              <w:rPr>
                <w:rFonts w:ascii="Liberation Sans Narrow" w:hAnsi="Liberation Sans Narrow"/>
                <w:sz w:val="17"/>
              </w:rPr>
              <w:t xml:space="preserve">A alegação de terceirização do evento é questão de fato, dependente de prova, que não pode ser inovada em apelação sem demonstração concreta de força maior; a vedação à inovação recursal é aplicada em consonância com os arts. 336 e 342 do CPC, e o recurso especial não foi conhecido.</w:t>
            </w:r>
          </w:p>
        </w:tc>
      </w:tr>
    </w:tbl>
    <w:p>
      <w:pPr>
        <w:pStyle w:val="BodyText"/>
        <w:keepNext/>
        <w:spacing w:after="60"/>
        <w:jc w:val="both"/>
      </w:pPr>
      <w:r>
        <w:t xml:space="preserve">I - relativas a direito ou a fato superveniente;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530"/>
        <w:gridCol w:w="1905"/>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Art. 342, I: fato superveniente</w:t>
            </w:r>
          </w:p>
        </w:tc>
        <w:tc>
          <w:tcPr>
            <w:tcW w:type="dxa" w:w="1531"/>
          </w:tcPr>
          <w:p>
            <w:pPr>
              <w:pStyle w:val="Compact"/>
              <w:spacing w:line="276" w:lineRule="auto" w:before="40" w:after="40"/>
            </w:pPr>
            <w:r>
              <w:rPr>
                <w:rFonts w:ascii="Liberation Sans Narrow" w:hAnsi="Liberation Sans Narrow"/>
                <w:sz w:val="17"/>
              </w:rPr>
              <w:t xml:space="preserve">STJ, AgInt no HDE 7.132, Corte Especial, relator Min. Mauro Campbell Marques, DJe de 26/05/2025</w:t>
            </w:r>
          </w:p>
        </w:tc>
        <w:tc>
          <w:tcPr>
            <w:tcW w:type="dxa" w:w="1905"/>
          </w:tcPr>
          <w:p>
            <w:pPr>
              <w:pStyle w:val="Compact"/>
              <w:spacing w:line="276" w:lineRule="auto" w:before="40" w:after="40"/>
            </w:pPr>
            <w:r>
              <w:rPr>
                <w:rFonts w:ascii="Liberation Sans Narrow" w:hAnsi="Liberation Sans Narrow"/>
                <w:sz w:val="17"/>
              </w:rPr>
              <w:t xml:space="preserve">A alegação de vício de representação processual não constitui fato novo quando poderia ter sido constatada desde o início da demanda, não se enquadrando nas hipóteses do art. 342, I, e do art. 493 do CPC/2015. A questão de representação é de ordem pública e não se sujeita a preclusão temporal (art. 337, IX, e § 5º).</w:t>
            </w:r>
          </w:p>
        </w:tc>
      </w:tr>
    </w:tbl>
    <w:p>
      <w:pPr>
        <w:pStyle w:val="BodyText"/>
        <w:spacing w:after="60"/>
        <w:jc w:val="both"/>
      </w:pPr>
      <w:r>
        <w:t xml:space="preserve">II - competir ao juiz conhecer delas de ofício;</w:t>
      </w:r>
    </w:p>
    <w:p>
      <w:pPr>
        <w:pStyle w:val="BodyText"/>
        <w:spacing w:after="60"/>
        <w:jc w:val="both"/>
      </w:pPr>
      <w:r>
        <w:t xml:space="preserve">III - por expressa autorização legal, puderem ser formuladas em qualquer tempo e grau de jurisdição.</w:t>
      </w:r>
    </w:p>
    <w:bookmarkEnd w:id="47"/>
    <w:bookmarkEnd w:id="48"/>
    <w:bookmarkStart w:id="50" w:name="capítulo-vii-da-reconvenção-arts.-343"/>
    <w:p>
      <w:pPr>
        <w:pStyle w:val="Heading4"/>
        <w:spacing w:before="80" w:after="40"/>
      </w:pPr>
      <w:r>
        <w:rPr>
          <w:smallCaps/>
          <w:color w:val="2E75B6"/>
        </w:rPr>
        <w:t xml:space="preserve">Capítulo VII: da reconvenção (arts. 343)</w:t>
      </w:r>
    </w:p>
    <w:bookmarkStart w:id="49" w:name="art.-343"/>
    <w:p>
      <w:pPr>
        <w:pStyle w:val="Heading6"/>
        <w:pBdr>
          <w:left w:val="single" w:sz="36" w:space="4" w:color="2E75B6"/>
        </w:pBdr>
        <w:shd w:val="clear" w:color="auto" w:fill="E3EEF9"/>
        <w:spacing w:before="120" w:after="60"/>
        <w:ind w:left="85"/>
      </w:pPr>
      <w:r>
        <w:rPr>
          <w:i w:val="0"/>
          <w:color w:val="1F3A5F"/>
          <w:sz w:val="22"/>
        </w:rPr>
        <w:t xml:space="preserve">Art. 343</w:t>
      </w:r>
    </w:p>
    <w:p>
      <w:pPr>
        <w:pStyle w:val="FirstParagraph"/>
        <w:keepNext/>
        <w:spacing w:after="60"/>
        <w:jc w:val="both"/>
      </w:pPr>
      <w:r>
        <w:rPr>
          <w:b/>
          <w:bCs/>
        </w:rPr>
        <w:t xml:space="preserve">Art. 343.</w:t>
      </w:r>
      <w:r>
        <w:t xml:space="preserve"> </w:t>
      </w:r>
      <w:r>
        <w:t xml:space="preserve">Na contestação, é lícito ao réu propor reconvenção para manifestar pretensão própria, conexa com a ação principal ou com o fundamento da defesa.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2029"/>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Reconvenção: conexão com a ação principal ou com o fundamento da defesa; autonomia (§ 2º)</w:t>
            </w:r>
          </w:p>
        </w:tc>
        <w:tc>
          <w:tcPr>
            <w:tcW w:type="dxa" w:w="1655"/>
          </w:tcPr>
          <w:p>
            <w:pPr>
              <w:pStyle w:val="Compact"/>
              <w:spacing w:line="276" w:lineRule="auto" w:before="40" w:after="40"/>
            </w:pPr>
            <w:r>
              <w:rPr>
                <w:rFonts w:ascii="Liberation Sans Narrow" w:hAnsi="Liberation Sans Narrow"/>
                <w:sz w:val="17"/>
              </w:rPr>
              <w:t xml:space="preserve">STJ, REsp 2.076.127, Terceira Turma, relatora Min. Nancy Andrighi, julgado em 12/09/2023, DJe de 15/09/2023</w:t>
            </w:r>
          </w:p>
        </w:tc>
        <w:tc>
          <w:tcPr>
            <w:tcW w:type="dxa" w:w="2030"/>
          </w:tcPr>
          <w:p>
            <w:pPr>
              <w:pStyle w:val="Compact"/>
              <w:spacing w:line="276" w:lineRule="auto" w:before="40" w:after="40"/>
            </w:pPr>
            <w:r>
              <w:rPr>
                <w:rFonts w:ascii="Liberation Sans Narrow" w:hAnsi="Liberation Sans Narrow"/>
                <w:sz w:val="17"/>
              </w:rPr>
              <w:t xml:space="preserve">A conexão exigida para a reconvenção é mais ampla que a do art. 55: basta que a ação principal ou o fundamento da defesa e a reconvenção estejam fundados nos mesmos fatos ou na mesma relação jurídica, ou haja risco de decisões conflitantes ou entrelaçamento de questões. A reconvenção é ação autônoma: a extinção da ação principal, com ou sem resolução de mérito, não impede o seu prosseguimento (§ 2º).</w:t>
            </w:r>
          </w:p>
        </w:tc>
      </w:tr>
    </w:tbl>
    <w:p>
      <w:pPr>
        <w:pStyle w:val="BodyText"/>
        <w:spacing w:after="60"/>
        <w:jc w:val="both"/>
      </w:pPr>
      <w:r>
        <w:t xml:space="preserve">§ 1º Proposta a reconvenção, o autor será intimado, na pessoa de seu advogado, para apresentar resposta no prazo de 15 (quinze) dias.</w:t>
      </w:r>
    </w:p>
    <w:p>
      <w:pPr>
        <w:pStyle w:val="BodyText"/>
        <w:spacing w:after="60"/>
        <w:jc w:val="both"/>
      </w:pPr>
      <w:r>
        <w:t xml:space="preserve">§ 2º A desistência da ação ou a ocorrência de causa extintiva que impeça o exame de seu mérito não obsta ao prosseguimento do processo quanto à reconvenção.</w:t>
      </w:r>
    </w:p>
    <w:p>
      <w:pPr>
        <w:pStyle w:val="BodyText"/>
        <w:spacing w:after="60"/>
        <w:jc w:val="both"/>
      </w:pPr>
      <w:r>
        <w:t xml:space="preserve">§ 3º A reconvenção pode ser proposta contra o autor e terceiro.</w:t>
      </w:r>
    </w:p>
    <w:p>
      <w:pPr>
        <w:pStyle w:val="BodyText"/>
        <w:spacing w:after="60"/>
        <w:jc w:val="both"/>
      </w:pPr>
      <w:r>
        <w:t xml:space="preserve">§ 4º A reconvenção pode ser proposta pelo réu em litisconsórcio com terceiro.</w:t>
      </w:r>
    </w:p>
    <w:p>
      <w:pPr>
        <w:pStyle w:val="BodyText"/>
        <w:spacing w:after="60"/>
        <w:jc w:val="both"/>
      </w:pPr>
      <w:r>
        <w:t xml:space="preserve">§ 5º Se o autor for substituto processual, o reconvinte deverá afirmar ser titular de direito em face do substituído, e a reconvenção deverá ser proposta em face do autor, também na qualidade de substituto processual.</w:t>
      </w:r>
    </w:p>
    <w:p>
      <w:pPr>
        <w:pStyle w:val="BodyText"/>
        <w:spacing w:after="60"/>
        <w:jc w:val="both"/>
      </w:pPr>
      <w:r>
        <w:t xml:space="preserve">§ 6º O réu pode propor reconvenção independentemente de oferecer contestação.</w:t>
      </w:r>
    </w:p>
    <w:bookmarkEnd w:id="49"/>
    <w:bookmarkEnd w:id="50"/>
    <w:bookmarkStart w:id="54" w:name="capítulo-viii-da-revelia-arts.-344-a-346"/>
    <w:p>
      <w:pPr>
        <w:pStyle w:val="Heading4"/>
        <w:spacing w:before="80" w:after="40"/>
      </w:pPr>
      <w:r>
        <w:rPr>
          <w:smallCaps/>
          <w:color w:val="2E75B6"/>
        </w:rPr>
        <w:t xml:space="preserve">Capítulo VIII: da revelia (arts. 344 a 346)</w:t>
      </w:r>
    </w:p>
    <w:bookmarkStart w:id="51" w:name="art.-344"/>
    <w:p>
      <w:pPr>
        <w:pStyle w:val="Heading6"/>
        <w:pBdr>
          <w:left w:val="single" w:sz="36" w:space="4" w:color="2E75B6"/>
        </w:pBdr>
        <w:shd w:val="clear" w:color="auto" w:fill="E3EEF9"/>
        <w:spacing w:before="120" w:after="60"/>
        <w:ind w:left="85"/>
      </w:pPr>
      <w:r>
        <w:rPr>
          <w:i w:val="0"/>
          <w:color w:val="1F3A5F"/>
          <w:sz w:val="22"/>
        </w:rPr>
        <w:t xml:space="preserve">Art. 344</w:t>
      </w:r>
    </w:p>
    <w:p>
      <w:pPr>
        <w:pStyle w:val="FirstParagraph"/>
        <w:keepNext/>
        <w:spacing w:after="60"/>
        <w:jc w:val="both"/>
      </w:pPr>
      <w:r>
        <w:rPr>
          <w:b/>
          <w:bCs/>
        </w:rPr>
        <w:t xml:space="preserve">Art. 344.</w:t>
      </w:r>
      <w:r>
        <w:t xml:space="preserve"> </w:t>
      </w:r>
      <w:r>
        <w:t xml:space="preserve">Se o réu não contestar a ação, será considerado revel e presumir-se-ão verdadeiras as alegações de fato formuladas pelo autor.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154"/>
        <w:gridCol w:w="1655"/>
        <w:gridCol w:w="2835"/>
      </w:tblGrid>
      <w:tr>
        <w:trPr>
          <w:tblHeader w:val="on"/>
          <w:cantSplit/>
          <w:tblHeader/>
        </w:trPr>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83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154"/>
          </w:tcPr>
          <w:p>
            <w:pPr>
              <w:pStyle w:val="Compact"/>
              <w:spacing w:line="276" w:lineRule="auto" w:before="40" w:after="40"/>
            </w:pPr>
            <w:r>
              <w:rPr>
                <w:rFonts w:ascii="Liberation Sans Narrow" w:hAnsi="Liberation Sans Narrow"/>
                <w:sz w:val="17"/>
              </w:rPr>
              <w:t xml:space="preserve">Revelia afastada: comparecimento espontâneo sem poderes para receber citação</w:t>
            </w:r>
          </w:p>
        </w:tc>
        <w:tc>
          <w:tcPr>
            <w:tcW w:type="dxa" w:w="1655"/>
          </w:tcPr>
          <w:p>
            <w:pPr>
              <w:pStyle w:val="Compact"/>
              <w:spacing w:line="276" w:lineRule="auto" w:before="40" w:after="40"/>
            </w:pPr>
            <w:r>
              <w:rPr>
                <w:rFonts w:ascii="Liberation Sans Narrow" w:hAnsi="Liberation Sans Narrow"/>
                <w:sz w:val="17"/>
              </w:rPr>
              <w:t xml:space="preserve">STJ, AgInt no AREsp 2.029.503, Corte Especial, relator Min. Raul Araújo, DJe de 17/10/2023</w:t>
            </w:r>
          </w:p>
        </w:tc>
        <w:tc>
          <w:tcPr>
            <w:tcW w:type="dxa" w:w="2835"/>
          </w:tcPr>
          <w:p>
            <w:pPr>
              <w:pStyle w:val="Compact"/>
              <w:spacing w:line="276" w:lineRule="auto" w:before="40" w:after="40"/>
            </w:pPr>
            <w:r>
              <w:rPr>
                <w:rFonts w:ascii="Liberation Sans Narrow" w:hAnsi="Liberation Sans Narrow"/>
                <w:sz w:val="17"/>
              </w:rPr>
              <w:t xml:space="preserve">Peticionar para juntar procuração e substabelecimento sem poderes especiais para receber citação não é comparecimento espontâneo; o prazo da contestação conta da juntada do mandado de citação, e a contestação é tempestiva, afastada a revelia. Cita o EREsp 1.709.915/CE (Corte Especial).</w:t>
            </w:r>
          </w:p>
        </w:tc>
      </w:tr>
      <w:tr>
        <w:trPr>
          <w:cantSplit/>
        </w:trPr>
        <w:tc>
          <w:tcPr>
            <w:tcW w:type="dxa" w:w="2154"/>
          </w:tcPr>
          <w:p>
            <w:pPr>
              <w:pStyle w:val="Compact"/>
              <w:spacing w:line="276" w:lineRule="auto" w:before="40" w:after="40"/>
            </w:pPr>
            <w:r>
              <w:rPr>
                <w:rFonts w:ascii="Liberation Sans Narrow" w:hAnsi="Liberation Sans Narrow"/>
                <w:sz w:val="17"/>
              </w:rPr>
              <w:t xml:space="preserve">Art. 344: a presunção de veracidade é relativa e exige prova mínima do fato constitutivo (art. 373, I)</w:t>
            </w:r>
          </w:p>
        </w:tc>
        <w:tc>
          <w:tcPr>
            <w:tcW w:type="dxa" w:w="1655"/>
          </w:tcPr>
          <w:p>
            <w:pPr>
              <w:pStyle w:val="Compact"/>
              <w:spacing w:line="276" w:lineRule="auto" w:before="40" w:after="40"/>
            </w:pPr>
            <w:r>
              <w:rPr>
                <w:rFonts w:ascii="Liberation Sans Narrow" w:hAnsi="Liberation Sans Narrow"/>
                <w:sz w:val="17"/>
              </w:rPr>
              <w:t xml:space="preserve">STJ, AREsp 3.198.909, Segunda Turma, relator Min. Teodoro Silva Santos, julgado em 12/08/2026, DJEN de 18/08/2026</w:t>
            </w:r>
          </w:p>
        </w:tc>
        <w:tc>
          <w:tcPr>
            <w:tcW w:type="dxa" w:w="2835"/>
          </w:tcPr>
          <w:p>
            <w:pPr>
              <w:pStyle w:val="Compact"/>
              <w:spacing w:line="276" w:lineRule="auto" w:before="40" w:after="40"/>
            </w:pPr>
            <w:r>
              <w:rPr>
                <w:rFonts w:ascii="Liberation Sans Narrow" w:hAnsi="Liberation Sans Narrow"/>
                <w:sz w:val="17"/>
              </w:rPr>
              <w:t xml:space="preserve">A revelia autoriza presumir a veracidade dos fatos, mas a presunção é relativa e impõe ao autor prova mínima do fato constitutivo; sem documento hábil, mantém-se a improcedência. A inversão do ônus do art. 6º, VIII, do CDC não dispensa o consumidor de trazer elementos mínimos.</w:t>
            </w:r>
          </w:p>
        </w:tc>
      </w:tr>
      <w:tr>
        <w:trPr>
          <w:cantSplit/>
        </w:trPr>
        <w:tc>
          <w:tcPr>
            <w:tcW w:type="dxa" w:w="2154"/>
          </w:tcPr>
          <w:p>
            <w:pPr>
              <w:pStyle w:val="Compact"/>
              <w:spacing w:line="276" w:lineRule="auto" w:before="40" w:after="40"/>
            </w:pPr>
            <w:r>
              <w:rPr>
                <w:rFonts w:ascii="Liberation Sans Narrow" w:hAnsi="Liberation Sans Narrow"/>
                <w:sz w:val="17"/>
              </w:rPr>
              <w:t xml:space="preserve">Arts. 344 e 345, IV: a revelia não leva à procedência automática, nem dos embargos à execução</w:t>
            </w:r>
          </w:p>
        </w:tc>
        <w:tc>
          <w:tcPr>
            <w:tcW w:type="dxa" w:w="1655"/>
          </w:tcPr>
          <w:p>
            <w:pPr>
              <w:pStyle w:val="Compact"/>
              <w:spacing w:line="276" w:lineRule="auto" w:before="40" w:after="40"/>
            </w:pPr>
            <w:r>
              <w:rPr>
                <w:rFonts w:ascii="Liberation Sans Narrow" w:hAnsi="Liberation Sans Narrow"/>
                <w:sz w:val="17"/>
              </w:rPr>
              <w:t xml:space="preserve">STJ, AREsp 2.968.286, Terceira Turma, relator Min. Moura Ribeiro, julgado em 16/03/2026, DJEN de 20/03/2026</w:t>
            </w:r>
          </w:p>
        </w:tc>
        <w:tc>
          <w:tcPr>
            <w:tcW w:type="dxa" w:w="2835"/>
          </w:tcPr>
          <w:p>
            <w:pPr>
              <w:pStyle w:val="Compact"/>
              <w:spacing w:line="276" w:lineRule="auto" w:before="40" w:after="40"/>
            </w:pPr>
            <w:r>
              <w:rPr>
                <w:rFonts w:ascii="Liberation Sans Narrow" w:hAnsi="Liberation Sans Narrow"/>
                <w:sz w:val="17"/>
              </w:rPr>
              <w:t xml:space="preserve">A revelia gera presunção relativa, compatível com o exame do conjunto probatório; não implica procedência automática dos embargos. A alteração das premissas fáticas esbarra na Súmula 7/STJ.</w:t>
            </w:r>
          </w:p>
        </w:tc>
      </w:tr>
      <w:tr>
        <w:trPr>
          <w:cantSplit/>
        </w:trPr>
        <w:tc>
          <w:tcPr>
            <w:tcW w:type="dxa" w:w="2154"/>
          </w:tcPr>
          <w:p>
            <w:pPr>
              <w:pStyle w:val="Compact"/>
              <w:spacing w:line="276" w:lineRule="auto" w:before="40" w:after="40"/>
            </w:pPr>
            <w:r>
              <w:rPr>
                <w:rFonts w:ascii="Liberation Sans Narrow" w:hAnsi="Liberation Sans Narrow"/>
                <w:sz w:val="17"/>
              </w:rPr>
              <w:t xml:space="preserve">Arts. 344, 345 e 373, I: mínimo lastro probatório</w:t>
            </w:r>
          </w:p>
        </w:tc>
        <w:tc>
          <w:tcPr>
            <w:tcW w:type="dxa" w:w="1655"/>
          </w:tcPr>
          <w:p>
            <w:pPr>
              <w:pStyle w:val="Compact"/>
              <w:spacing w:line="276" w:lineRule="auto" w:before="40" w:after="40"/>
            </w:pPr>
            <w:r>
              <w:rPr>
                <w:rFonts w:ascii="Liberation Sans Narrow" w:hAnsi="Liberation Sans Narrow"/>
                <w:sz w:val="17"/>
              </w:rPr>
              <w:t xml:space="preserve">STJ, AREsp 2.679.825, Quarta Turma, relator Min. João Otávio de Noronha, julgado em 09/02/2026, DJEN de 13/02/2026</w:t>
            </w:r>
          </w:p>
        </w:tc>
        <w:tc>
          <w:tcPr>
            <w:tcW w:type="dxa" w:w="2835"/>
          </w:tcPr>
          <w:p>
            <w:pPr>
              <w:pStyle w:val="Compact"/>
              <w:spacing w:line="276" w:lineRule="auto" w:before="40" w:after="40"/>
            </w:pPr>
            <w:r>
              <w:rPr>
                <w:rFonts w:ascii="Liberation Sans Narrow" w:hAnsi="Liberation Sans Narrow"/>
                <w:sz w:val="17"/>
              </w:rPr>
              <w:t xml:space="preserve">A revelia produz presunção relativa, e o juiz pode julgar improcedente o pedido à luz das provas; é necessário mínimo lastro probatório. Tese de julgamento no mesmo sentido.</w:t>
            </w:r>
          </w:p>
        </w:tc>
      </w:tr>
      <w:tr>
        <w:trPr>
          <w:cantSplit/>
        </w:trPr>
        <w:tc>
          <w:tcPr>
            <w:tcW w:type="dxa" w:w="2154"/>
          </w:tcPr>
          <w:p>
            <w:pPr>
              <w:pStyle w:val="Compact"/>
              <w:spacing w:line="276" w:lineRule="auto" w:before="40" w:after="40"/>
            </w:pPr>
            <w:r>
              <w:rPr>
                <w:rFonts w:ascii="Liberation Sans Narrow" w:hAnsi="Liberation Sans Narrow"/>
                <w:sz w:val="17"/>
              </w:rPr>
              <w:t xml:space="preserve">Recorribilidade da decisão que reconhece a revelia</w:t>
            </w:r>
          </w:p>
        </w:tc>
        <w:tc>
          <w:tcPr>
            <w:tcW w:type="dxa" w:w="1655"/>
          </w:tcPr>
          <w:p>
            <w:pPr>
              <w:pStyle w:val="Compact"/>
              <w:spacing w:line="276" w:lineRule="auto" w:before="40" w:after="40"/>
            </w:pPr>
            <w:r>
              <w:rPr>
                <w:rFonts w:ascii="Liberation Sans Narrow" w:hAnsi="Liberation Sans Narrow"/>
                <w:sz w:val="17"/>
              </w:rPr>
              <w:t xml:space="preserve">STJ, AgInt no REsp 1.839.804, Quarta Turma, relatora Min. Maria Isabel Gallotti, DJe de 19/12/2025</w:t>
            </w:r>
          </w:p>
        </w:tc>
        <w:tc>
          <w:tcPr>
            <w:tcW w:type="dxa" w:w="2835"/>
          </w:tcPr>
          <w:p>
            <w:pPr>
              <w:pStyle w:val="Compact"/>
              <w:spacing w:line="276" w:lineRule="auto" w:before="40" w:after="40"/>
            </w:pPr>
            <w:r>
              <w:rPr>
                <w:rFonts w:ascii="Liberation Sans Narrow" w:hAnsi="Liberation Sans Narrow"/>
                <w:sz w:val="17"/>
              </w:rPr>
              <w:t xml:space="preserve">Não cabe agravo de instrumento contra a decisão que reconhece a revelia (rol do art. 1.015); a questão não preclui e pode ser suscitada em preliminar de apelação ou nas contrarrazões (art. 1.009, § 1º).</w:t>
            </w:r>
          </w:p>
        </w:tc>
      </w:tr>
      <w:tr>
        <w:trPr>
          <w:cantSplit/>
        </w:trPr>
        <w:tc>
          <w:tcPr>
            <w:tcW w:type="dxa" w:w="2154"/>
          </w:tcPr>
          <w:p>
            <w:pPr>
              <w:pStyle w:val="Compact"/>
              <w:spacing w:line="276" w:lineRule="auto" w:before="40" w:after="40"/>
            </w:pPr>
            <w:r>
              <w:rPr>
                <w:rFonts w:ascii="Liberation Sans Narrow" w:hAnsi="Liberation Sans Narrow"/>
                <w:sz w:val="17"/>
              </w:rPr>
              <w:t xml:space="preserve">Presunção relativa; análise conjunta das alegações e das provas</w:t>
            </w:r>
          </w:p>
        </w:tc>
        <w:tc>
          <w:tcPr>
            <w:tcW w:type="dxa" w:w="1655"/>
          </w:tcPr>
          <w:p>
            <w:pPr>
              <w:pStyle w:val="Compact"/>
              <w:spacing w:line="276" w:lineRule="auto" w:before="40" w:after="40"/>
            </w:pPr>
            <w:r>
              <w:rPr>
                <w:rFonts w:ascii="Liberation Sans Narrow" w:hAnsi="Liberation Sans Narrow"/>
                <w:sz w:val="17"/>
              </w:rPr>
              <w:t xml:space="preserve">STJ, AgInt no AREsp 2.581.366, Quarta Turma, relator Min. Raul Araújo, DJe de 10/04/2025</w:t>
            </w:r>
          </w:p>
        </w:tc>
        <w:tc>
          <w:tcPr>
            <w:tcW w:type="dxa" w:w="2835"/>
          </w:tcPr>
          <w:p>
            <w:pPr>
              <w:pStyle w:val="Compact"/>
              <w:spacing w:line="276" w:lineRule="auto" w:before="40" w:after="40"/>
            </w:pPr>
            <w:r>
              <w:rPr>
                <w:rFonts w:ascii="Liberation Sans Narrow" w:hAnsi="Liberation Sans Narrow"/>
                <w:sz w:val="17"/>
              </w:rPr>
              <w:t xml:space="preserve">A revelia não importa procedência automática; a presunção de veracidade dos fatos alegados pelo autor é relativa, cabendo ao juiz a análise conjunta das alegações e das provas.</w:t>
            </w:r>
          </w:p>
        </w:tc>
      </w:tr>
      <w:tr>
        <w:trPr>
          <w:cantSplit/>
        </w:trPr>
        <w:tc>
          <w:tcPr>
            <w:tcW w:type="dxa" w:w="2154"/>
          </w:tcPr>
          <w:p>
            <w:pPr>
              <w:pStyle w:val="Compact"/>
              <w:spacing w:line="276" w:lineRule="auto" w:before="40" w:after="40"/>
            </w:pPr>
            <w:r>
              <w:rPr>
                <w:rFonts w:ascii="Liberation Sans Narrow" w:hAnsi="Liberation Sans Narrow"/>
                <w:sz w:val="17"/>
              </w:rPr>
              <w:t xml:space="preserve">Revelia: presunção relativa de veracidade e limites do pedido</w:t>
            </w:r>
          </w:p>
        </w:tc>
        <w:tc>
          <w:tcPr>
            <w:tcW w:type="dxa" w:w="1655"/>
          </w:tcPr>
          <w:p>
            <w:pPr>
              <w:pStyle w:val="Compact"/>
              <w:spacing w:line="276" w:lineRule="auto" w:before="40" w:after="40"/>
            </w:pPr>
            <w:r>
              <w:rPr>
                <w:rFonts w:ascii="Liberation Sans Narrow" w:hAnsi="Liberation Sans Narrow"/>
                <w:sz w:val="17"/>
              </w:rPr>
              <w:t xml:space="preserve">STJ, REsp 1.971.966, Terceira Turma, relator Min. Marco Aurélio Bellizze, julgado em 05/03/2024, DJe de 12/03/2024</w:t>
            </w:r>
          </w:p>
        </w:tc>
        <w:tc>
          <w:tcPr>
            <w:tcW w:type="dxa" w:w="2835"/>
          </w:tcPr>
          <w:p>
            <w:pPr>
              <w:pStyle w:val="Compact"/>
              <w:spacing w:line="276" w:lineRule="auto" w:before="40" w:after="40"/>
            </w:pPr>
            <w:r>
              <w:rPr>
                <w:rFonts w:ascii="Liberation Sans Narrow" w:hAnsi="Liberation Sans Narrow"/>
                <w:sz w:val="17"/>
              </w:rPr>
              <w:t xml:space="preserve">Os efeitos da revelia implicam presunção relativa de veracidade dos fatos alegados pelo autor, que o juiz confronta com as provas dos autos. Na ação de alimentos, o juiz pode fixar a verba abaixo do valor postulado na inicial, segundo o binômio necessidade-capacidade, ainda que haja revelia do réu citado pessoalmente.</w:t>
            </w:r>
          </w:p>
        </w:tc>
      </w:tr>
    </w:tbl>
    <w:bookmarkEnd w:id="51"/>
    <w:bookmarkStart w:id="52" w:name="art.-345"/>
    <w:p>
      <w:pPr>
        <w:pStyle w:val="Heading6"/>
        <w:pBdr>
          <w:left w:val="single" w:sz="36" w:space="4" w:color="2E75B6"/>
        </w:pBdr>
        <w:shd w:val="clear" w:color="auto" w:fill="E3EEF9"/>
        <w:spacing w:before="120" w:after="60"/>
        <w:ind w:left="85"/>
      </w:pPr>
      <w:r>
        <w:rPr>
          <w:i w:val="0"/>
          <w:color w:val="1F3A5F"/>
          <w:sz w:val="22"/>
        </w:rPr>
        <w:t xml:space="preserve">Art. 345</w:t>
      </w:r>
    </w:p>
    <w:p>
      <w:pPr>
        <w:pStyle w:val="FirstParagraph"/>
        <w:keepNext/>
        <w:spacing w:after="60"/>
        <w:jc w:val="both"/>
      </w:pPr>
      <w:r>
        <w:rPr>
          <w:b/>
          <w:bCs/>
        </w:rPr>
        <w:t xml:space="preserve">Art. 345.</w:t>
      </w:r>
      <w:r>
        <w:t xml:space="preserve"> </w:t>
      </w:r>
      <w:r>
        <w:t xml:space="preserve">A revelia não produz o efeito mencionado no art. 344 se: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1905"/>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Art. 345 (caput): livre apreciação da prova e improcedência apesar da revelia</w:t>
            </w:r>
          </w:p>
        </w:tc>
        <w:tc>
          <w:tcPr>
            <w:tcW w:type="dxa" w:w="1655"/>
          </w:tcPr>
          <w:p>
            <w:pPr>
              <w:pStyle w:val="Compact"/>
              <w:spacing w:line="276" w:lineRule="auto" w:before="40" w:after="40"/>
            </w:pPr>
            <w:r>
              <w:rPr>
                <w:rFonts w:ascii="Liberation Sans Narrow" w:hAnsi="Liberation Sans Narrow"/>
                <w:sz w:val="17"/>
              </w:rPr>
              <w:t xml:space="preserve">STJ, AREsp 2.459.998, Quarta Turma, relator Min. Raul Araújo, julgado em 02/03/2026, DJEN de 11/03/2026</w:t>
            </w:r>
          </w:p>
        </w:tc>
        <w:tc>
          <w:tcPr>
            <w:tcW w:type="dxa" w:w="1905"/>
          </w:tcPr>
          <w:p>
            <w:pPr>
              <w:pStyle w:val="Compact"/>
              <w:spacing w:line="276" w:lineRule="auto" w:before="40" w:after="40"/>
            </w:pPr>
            <w:r>
              <w:rPr>
                <w:rFonts w:ascii="Liberation Sans Narrow" w:hAnsi="Liberation Sans Narrow"/>
                <w:sz w:val="17"/>
              </w:rPr>
              <w:t xml:space="preserve">A presunção de veracidade decorrente da revelia é relativa,</w:t>
            </w:r>
            <w:r>
              <w:rPr>
                <w:rFonts w:ascii="Liberation Sans Narrow" w:hAnsi="Liberation Sans Narrow"/>
                <w:sz w:val="17"/>
              </w:rPr>
              <w:t xml:space="preserve"> </w:t>
            </w:r>
            <w:r>
              <w:rPr>
                <w:rFonts w:ascii="Liberation Sans Narrow" w:hAnsi="Liberation Sans Narrow"/>
                <w:sz w:val="17"/>
              </w:rPr>
              <w:t xml:space="preserve">“conforme o artigo 345 do Código de Processo Civil”</w:t>
            </w:r>
            <w:r>
              <w:rPr>
                <w:rFonts w:ascii="Liberation Sans Narrow" w:hAnsi="Liberation Sans Narrow"/>
                <w:sz w:val="17"/>
              </w:rPr>
              <w:t xml:space="preserve">, e não impede que o juiz analise as provas dos autos e decida de forma contrária às alegações do autor, caso constate a improcedência do pedido com base nos elementos disponíveis. Ainda assim, os honorários são devidos quando a parte contrária não contestou, pois remuneram o trabalho do advogado em todo o processo.</w:t>
            </w:r>
          </w:p>
        </w:tc>
      </w:tr>
    </w:tbl>
    <w:p>
      <w:pPr>
        <w:pStyle w:val="BodyText"/>
        <w:spacing w:after="60"/>
        <w:jc w:val="both"/>
      </w:pPr>
      <w:r>
        <w:t xml:space="preserve">I - havendo pluralidade de réus, algum deles contestar a ação;</w:t>
      </w:r>
    </w:p>
    <w:p>
      <w:pPr>
        <w:pStyle w:val="BodyText"/>
        <w:spacing w:after="60"/>
        <w:jc w:val="both"/>
      </w:pPr>
      <w:r>
        <w:t xml:space="preserve">II - o litígio versar sobre direitos indisponíveis;</w:t>
      </w:r>
    </w:p>
    <w:p>
      <w:pPr>
        <w:pStyle w:val="BodyText"/>
        <w:spacing w:after="60"/>
        <w:jc w:val="both"/>
      </w:pPr>
      <w:r>
        <w:t xml:space="preserve">III - a petição inicial não estiver acompanhada de instrumento que a lei considere indispensável à prova do ato;</w:t>
      </w:r>
    </w:p>
    <w:p>
      <w:pPr>
        <w:pStyle w:val="BodyText"/>
        <w:keepNext/>
        <w:spacing w:after="60"/>
        <w:jc w:val="both"/>
      </w:pPr>
      <w:r>
        <w:t xml:space="preserve">IV - as alegações de fato formuladas pelo autor forem inverossímeis ou estiverem em contradição com prova constante dos autos.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154"/>
        <w:gridCol w:w="1655"/>
        <w:gridCol w:w="2154"/>
      </w:tblGrid>
      <w:tr>
        <w:trPr>
          <w:tblHeader w:val="on"/>
          <w:cantSplit/>
          <w:tblHeader/>
        </w:trPr>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154"/>
          </w:tcPr>
          <w:p>
            <w:pPr>
              <w:pStyle w:val="Compact"/>
              <w:spacing w:line="276" w:lineRule="auto" w:before="40" w:after="40"/>
            </w:pPr>
            <w:r>
              <w:rPr>
                <w:rFonts w:ascii="Liberation Sans Narrow" w:hAnsi="Liberation Sans Narrow"/>
                <w:sz w:val="17"/>
              </w:rPr>
              <w:t xml:space="preserve">Art. 345, IV: exame da verossimilhança e da prova dos autos</w:t>
            </w:r>
          </w:p>
        </w:tc>
        <w:tc>
          <w:tcPr>
            <w:tcW w:type="dxa" w:w="1655"/>
          </w:tcPr>
          <w:p>
            <w:pPr>
              <w:pStyle w:val="Compact"/>
              <w:spacing w:line="276" w:lineRule="auto" w:before="40" w:after="40"/>
            </w:pPr>
            <w:r>
              <w:rPr>
                <w:rFonts w:ascii="Liberation Sans Narrow" w:hAnsi="Liberation Sans Narrow"/>
                <w:sz w:val="17"/>
              </w:rPr>
              <w:t xml:space="preserve">STJ, EDcl no AREsp 2.691.914, Quarta Turma, relator Min. João Otávio de Noronha, julgado em 22/06/2026, DJEN de 26/06/2026</w:t>
            </w:r>
          </w:p>
        </w:tc>
        <w:tc>
          <w:tcPr>
            <w:tcW w:type="dxa" w:w="2154"/>
          </w:tcPr>
          <w:p>
            <w:pPr>
              <w:pStyle w:val="Compact"/>
              <w:spacing w:line="276" w:lineRule="auto" w:before="40" w:after="40"/>
            </w:pPr>
            <w:r>
              <w:rPr>
                <w:rFonts w:ascii="Liberation Sans Narrow" w:hAnsi="Liberation Sans Narrow"/>
                <w:sz w:val="17"/>
              </w:rPr>
              <w:t xml:space="preserve">Não há omissão a sanar quando o acórdão embargado enfrenta a tese de aplicação do art. 345, IV: a incidência do dispositivo</w:t>
            </w:r>
            <w:r>
              <w:rPr>
                <w:rFonts w:ascii="Liberation Sans Narrow" w:hAnsi="Liberation Sans Narrow"/>
                <w:sz w:val="17"/>
              </w:rPr>
              <w:t xml:space="preserve"> </w:t>
            </w:r>
            <w:r>
              <w:rPr>
                <w:rFonts w:ascii="Liberation Sans Narrow" w:hAnsi="Liberation Sans Narrow"/>
                <w:sz w:val="17"/>
              </w:rPr>
              <w:t xml:space="preserve">“demanda exame da verossimilhança e compatibilidade com a prova dos autos”</w:t>
            </w:r>
            <w:r>
              <w:rPr>
                <w:rFonts w:ascii="Liberation Sans Narrow" w:hAnsi="Liberation Sans Narrow"/>
                <w:sz w:val="17"/>
              </w:rPr>
              <w:t xml:space="preserve">, o que atrai a Súmula 7/STJ e, no que couber, a Súmula 5/STJ. A relatividade da revelia foi assentada com base na suficiência da prova documental, insuscetível de reexame na via especial.</w:t>
            </w:r>
          </w:p>
        </w:tc>
      </w:tr>
      <w:tr>
        <w:trPr>
          <w:cantSplit/>
        </w:trPr>
        <w:tc>
          <w:tcPr>
            <w:tcW w:type="dxa" w:w="2154"/>
          </w:tcPr>
          <w:p>
            <w:pPr>
              <w:pStyle w:val="Compact"/>
              <w:spacing w:line="276" w:lineRule="auto" w:before="40" w:after="40"/>
            </w:pPr>
            <w:r>
              <w:rPr>
                <w:rFonts w:ascii="Liberation Sans Narrow" w:hAnsi="Liberation Sans Narrow"/>
                <w:sz w:val="17"/>
              </w:rPr>
              <w:t xml:space="preserve">Art. 345, IV: alegações inverossímeis ou em contradição com a prova dos autos</w:t>
            </w:r>
          </w:p>
        </w:tc>
        <w:tc>
          <w:tcPr>
            <w:tcW w:type="dxa" w:w="1655"/>
          </w:tcPr>
          <w:p>
            <w:pPr>
              <w:pStyle w:val="Compact"/>
              <w:spacing w:line="276" w:lineRule="auto" w:before="40" w:after="40"/>
            </w:pPr>
            <w:r>
              <w:rPr>
                <w:rFonts w:ascii="Liberation Sans Narrow" w:hAnsi="Liberation Sans Narrow"/>
                <w:sz w:val="17"/>
              </w:rPr>
              <w:t xml:space="preserve">STJ, AREsp 3.121.151, Terceira Turma, relator Min. Moura Ribeiro, julgado em 18/05/2026, DJEN de 26/05/2026</w:t>
            </w:r>
          </w:p>
        </w:tc>
        <w:tc>
          <w:tcPr>
            <w:tcW w:type="dxa" w:w="2154"/>
          </w:tcPr>
          <w:p>
            <w:pPr>
              <w:pStyle w:val="Compact"/>
              <w:spacing w:line="276" w:lineRule="auto" w:before="40" w:after="40"/>
            </w:pPr>
            <w:r>
              <w:rPr>
                <w:rFonts w:ascii="Liberation Sans Narrow" w:hAnsi="Liberation Sans Narrow"/>
                <w:sz w:val="17"/>
              </w:rPr>
              <w:t xml:space="preserve">“A presunção de veracidade dos fatos alegados pelo autor, decorrente da revelia, tem caráter relativo e cede quando as alegações forem inverossímeis ou contraditadas pelas provas existentes nos autos, consoante o art. 345, IV, do CPC.”</w:t>
            </w:r>
            <w:r>
              <w:rPr>
                <w:rFonts w:ascii="Liberation Sans Narrow" w:hAnsi="Liberation Sans Narrow"/>
                <w:sz w:val="17"/>
              </w:rPr>
              <w:t xml:space="preserve"> </w:t>
            </w:r>
            <w:r>
              <w:rPr>
                <w:rFonts w:ascii="Liberation Sans Narrow" w:hAnsi="Liberation Sans Narrow"/>
                <w:sz w:val="17"/>
              </w:rPr>
              <w:t xml:space="preserve">No caso, a instituição financeira cobrou encargos em conformidade com a regulamentação aplicável, o que afastou o ato ilícito e o dano moral.</w:t>
            </w:r>
          </w:p>
        </w:tc>
      </w:tr>
    </w:tbl>
    <w:bookmarkEnd w:id="52"/>
    <w:bookmarkStart w:id="53" w:name="art.-346"/>
    <w:p>
      <w:pPr>
        <w:pStyle w:val="Heading6"/>
        <w:pBdr>
          <w:left w:val="single" w:sz="36" w:space="4" w:color="2E75B6"/>
        </w:pBdr>
        <w:shd w:val="clear" w:color="auto" w:fill="E3EEF9"/>
        <w:spacing w:before="120" w:after="60"/>
        <w:ind w:left="85"/>
      </w:pPr>
      <w:r>
        <w:rPr>
          <w:i w:val="0"/>
          <w:color w:val="1F3A5F"/>
          <w:sz w:val="22"/>
        </w:rPr>
        <w:t xml:space="preserve">Art. 346</w:t>
      </w:r>
    </w:p>
    <w:p>
      <w:pPr>
        <w:pStyle w:val="FirstParagraph"/>
        <w:keepNext/>
        <w:spacing w:after="60"/>
        <w:jc w:val="both"/>
      </w:pPr>
      <w:r>
        <w:rPr>
          <w:b/>
          <w:bCs/>
        </w:rPr>
        <w:t xml:space="preserve">Art. 346.</w:t>
      </w:r>
      <w:r>
        <w:t xml:space="preserve"> </w:t>
      </w:r>
      <w:r>
        <w:t xml:space="preserve">Os prazos contra o revel que não tenha patrono nos autos fluirão da data de publicação do ato decisório no órgão oficial.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154"/>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Art. 346: limite ante a regra específica do art. 513, § 2º, II</w:t>
            </w:r>
          </w:p>
        </w:tc>
        <w:tc>
          <w:tcPr>
            <w:tcW w:type="dxa" w:w="1655"/>
          </w:tcPr>
          <w:p>
            <w:pPr>
              <w:pStyle w:val="Compact"/>
              <w:spacing w:line="276" w:lineRule="auto" w:before="40" w:after="40"/>
            </w:pPr>
            <w:r>
              <w:rPr>
                <w:rFonts w:ascii="Liberation Sans Narrow" w:hAnsi="Liberation Sans Narrow"/>
                <w:sz w:val="17"/>
              </w:rPr>
              <w:t xml:space="preserve">STJ, REsp 2.251.088, Terceira Turma, relator Min. Humberto Martins, julgado em 08/06/2026, DJEN de 11/06/2026</w:t>
            </w:r>
          </w:p>
        </w:tc>
        <w:tc>
          <w:tcPr>
            <w:tcW w:type="dxa" w:w="2154"/>
          </w:tcPr>
          <w:p>
            <w:pPr>
              <w:pStyle w:val="Compact"/>
              <w:spacing w:line="276" w:lineRule="auto" w:before="40" w:after="40"/>
            </w:pPr>
            <w:r>
              <w:rPr>
                <w:rFonts w:ascii="Liberation Sans Narrow" w:hAnsi="Liberation Sans Narrow"/>
                <w:sz w:val="17"/>
              </w:rPr>
              <w:t xml:space="preserve">O art. 513, § 2º, II, é norma específica que disciplina a intimação do devedor para o cumprimento de sentença e</w:t>
            </w:r>
            <w:r>
              <w:rPr>
                <w:rFonts w:ascii="Liberation Sans Narrow" w:hAnsi="Liberation Sans Narrow"/>
                <w:sz w:val="17"/>
              </w:rPr>
              <w:t xml:space="preserve"> </w:t>
            </w:r>
            <w:r>
              <w:rPr>
                <w:rFonts w:ascii="Liberation Sans Narrow" w:hAnsi="Liberation Sans Narrow"/>
                <w:sz w:val="17"/>
              </w:rPr>
              <w:t xml:space="preserve">“prevalece sobre a regra geral do art. 346”</w:t>
            </w:r>
            <w:r>
              <w:rPr>
                <w:rFonts w:ascii="Liberation Sans Narrow" w:hAnsi="Liberation Sans Narrow"/>
                <w:sz w:val="17"/>
              </w:rPr>
              <w:t xml:space="preserve">: o réu revel citado pessoalmente que não constituiu procurador deve ser intimado por carta com aviso de recebimento, requisito de validade dos atos executivos subsequentes, inclusive do bloqueio de valores.</w:t>
            </w:r>
          </w:p>
        </w:tc>
      </w:tr>
      <w:tr>
        <w:trPr>
          <w:cantSplit/>
        </w:trPr>
        <w:tc>
          <w:tcPr>
            <w:tcW w:type="dxa" w:w="1531"/>
          </w:tcPr>
          <w:p>
            <w:pPr>
              <w:pStyle w:val="Compact"/>
              <w:spacing w:line="276" w:lineRule="auto" w:before="40" w:after="40"/>
            </w:pPr>
            <w:r>
              <w:rPr>
                <w:rFonts w:ascii="Liberation Sans Narrow" w:hAnsi="Liberation Sans Narrow"/>
                <w:sz w:val="17"/>
              </w:rPr>
              <w:t xml:space="preserve">Art. 346 (caput): dispensa de intimação pessoal do revel sem patrono</w:t>
            </w:r>
          </w:p>
        </w:tc>
        <w:tc>
          <w:tcPr>
            <w:tcW w:type="dxa" w:w="1655"/>
          </w:tcPr>
          <w:p>
            <w:pPr>
              <w:pStyle w:val="Compact"/>
              <w:spacing w:line="276" w:lineRule="auto" w:before="40" w:after="40"/>
            </w:pPr>
            <w:r>
              <w:rPr>
                <w:rFonts w:ascii="Liberation Sans Narrow" w:hAnsi="Liberation Sans Narrow"/>
                <w:sz w:val="17"/>
              </w:rPr>
              <w:t xml:space="preserve">STJ, REsp 2.251.250, Quarta Turma, relator Min. João Otávio de Noronha, julgado em 30/03/2026, DJEN de 08/04/2026</w:t>
            </w:r>
          </w:p>
        </w:tc>
        <w:tc>
          <w:tcPr>
            <w:tcW w:type="dxa" w:w="2154"/>
          </w:tcPr>
          <w:p>
            <w:pPr>
              <w:pStyle w:val="Compact"/>
              <w:spacing w:line="276" w:lineRule="auto" w:before="40" w:after="40"/>
            </w:pPr>
            <w:r>
              <w:rPr>
                <w:rFonts w:ascii="Liberation Sans Narrow" w:hAnsi="Liberation Sans Narrow"/>
                <w:sz w:val="17"/>
              </w:rPr>
              <w:t xml:space="preserve">O art. 346 dispensa a intimação pessoal do réu revel sem advogado, inclusive na fase de cumprimento de sentença:</w:t>
            </w:r>
            <w:r>
              <w:rPr>
                <w:rFonts w:ascii="Liberation Sans Narrow" w:hAnsi="Liberation Sans Narrow"/>
                <w:sz w:val="17"/>
              </w:rPr>
              <w:t xml:space="preserve"> </w:t>
            </w:r>
            <w:r>
              <w:rPr>
                <w:rFonts w:ascii="Liberation Sans Narrow" w:hAnsi="Liberation Sans Narrow"/>
                <w:sz w:val="17"/>
              </w:rPr>
              <w:t xml:space="preserve">“persistindo a revelia sem patrono, é suficiente a intimação pelo DJe”</w:t>
            </w:r>
            <w:r>
              <w:rPr>
                <w:rFonts w:ascii="Liberation Sans Narrow" w:hAnsi="Liberation Sans Narrow"/>
                <w:sz w:val="17"/>
              </w:rPr>
              <w:t xml:space="preserve">. A citação válida no incidente de desconsideração da personalidade jurídica integra os novos executados à lide, sem necessidade de intimação pessoal posterior da decisão que o acolhe (art. 135).</w:t>
            </w:r>
          </w:p>
        </w:tc>
      </w:tr>
      <w:tr>
        <w:trPr>
          <w:cantSplit/>
        </w:trPr>
        <w:tc>
          <w:tcPr>
            <w:tcW w:type="dxa" w:w="1531"/>
          </w:tcPr>
          <w:p>
            <w:pPr>
              <w:pStyle w:val="Compact"/>
              <w:spacing w:line="276" w:lineRule="auto" w:before="40" w:after="40"/>
            </w:pPr>
            <w:r>
              <w:rPr>
                <w:rFonts w:ascii="Liberation Sans Narrow" w:hAnsi="Liberation Sans Narrow"/>
                <w:sz w:val="17"/>
              </w:rPr>
              <w:t xml:space="preserve">Revel sem advogado: início do prazo pela publicação no órgão oficial</w:t>
            </w:r>
          </w:p>
        </w:tc>
        <w:tc>
          <w:tcPr>
            <w:tcW w:type="dxa" w:w="1655"/>
          </w:tcPr>
          <w:p>
            <w:pPr>
              <w:pStyle w:val="Compact"/>
              <w:spacing w:line="276" w:lineRule="auto" w:before="40" w:after="40"/>
            </w:pPr>
            <w:r>
              <w:rPr>
                <w:rFonts w:ascii="Liberation Sans Narrow" w:hAnsi="Liberation Sans Narrow"/>
                <w:sz w:val="17"/>
              </w:rPr>
              <w:t xml:space="preserve">STJ, REsp 2.106.717, Primeira Turma, relator Min. Gurgel de Faria, julgado em 17/09/2024, DJe de 25/09/2024</w:t>
            </w:r>
          </w:p>
        </w:tc>
        <w:tc>
          <w:tcPr>
            <w:tcW w:type="dxa" w:w="2154"/>
          </w:tcPr>
          <w:p>
            <w:pPr>
              <w:pStyle w:val="Compact"/>
              <w:spacing w:line="276" w:lineRule="auto" w:before="40" w:after="40"/>
            </w:pPr>
            <w:r>
              <w:rPr>
                <w:rFonts w:ascii="Liberation Sans Narrow" w:hAnsi="Liberation Sans Narrow"/>
                <w:sz w:val="17"/>
              </w:rPr>
              <w:t xml:space="preserve">O prazo contra o revel sem patrono nos autos flui da data da publicação do ato decisório no órgão oficial (art. 346, caput); não basta a inserção da sentença no sistema eletrônico nem a publicação em cartório.</w:t>
            </w:r>
          </w:p>
        </w:tc>
      </w:tr>
      <w:tr>
        <w:trPr/>
        <w:tc>
          <w:tcPr>
            <w:tcW w:type="dxa" w:w="1531"/>
          </w:tcPr>
          <w:p>
            <w:pPr>
              <w:pStyle w:val="Compact"/>
              <w:spacing w:line="276" w:lineRule="auto" w:before="40" w:after="40"/>
            </w:pPr>
            <w:r>
              <w:rPr>
                <w:rFonts w:ascii="Liberation Sans Narrow" w:hAnsi="Liberation Sans Narrow"/>
                <w:sz w:val="17"/>
              </w:rPr>
              <w:t xml:space="preserve">Art. 346 (caput): publicação no órgão oficial para o revel sem patrono</w:t>
            </w:r>
          </w:p>
        </w:tc>
        <w:tc>
          <w:tcPr>
            <w:tcW w:type="dxa" w:w="1655"/>
          </w:tcPr>
          <w:p>
            <w:pPr>
              <w:pStyle w:val="Compact"/>
              <w:spacing w:line="276" w:lineRule="auto" w:before="40" w:after="40"/>
            </w:pPr>
            <w:r>
              <w:rPr>
                <w:rFonts w:ascii="Liberation Sans Narrow" w:hAnsi="Liberation Sans Narrow"/>
                <w:sz w:val="17"/>
              </w:rPr>
              <w:t xml:space="preserve">STJ, REsp 1.951.656, Terceira Turma, relator Min. Marco Aurélio Bellizze, julgado em 07/02/2023, DJe de 10/02/2023</w:t>
            </w:r>
          </w:p>
        </w:tc>
        <w:tc>
          <w:tcPr>
            <w:tcW w:type="dxa" w:w="2154"/>
          </w:tcPr>
          <w:p>
            <w:pPr>
              <w:pStyle w:val="Compact"/>
              <w:spacing w:line="276" w:lineRule="auto" w:before="40" w:after="40"/>
            </w:pPr>
            <w:r>
              <w:rPr>
                <w:rFonts w:ascii="Liberation Sans Narrow" w:hAnsi="Liberation Sans Narrow"/>
                <w:sz w:val="17"/>
              </w:rPr>
              <w:t xml:space="preserve">Nos termos do art. 346,</w:t>
            </w:r>
            <w:r>
              <w:rPr>
                <w:rFonts w:ascii="Liberation Sans Narrow" w:hAnsi="Liberation Sans Narrow"/>
                <w:sz w:val="17"/>
              </w:rPr>
              <w:t xml:space="preserve"> </w:t>
            </w:r>
            <w:r>
              <w:rPr>
                <w:rFonts w:ascii="Liberation Sans Narrow" w:hAnsi="Liberation Sans Narrow"/>
                <w:sz w:val="17"/>
              </w:rPr>
              <w:t xml:space="preserve">“os prazos contra o revel que não tenha patrono nos autos fluirão da data de publicação do ato decisório no órgão oficial”</w:t>
            </w:r>
            <w:r>
              <w:rPr>
                <w:rFonts w:ascii="Liberation Sans Narrow" w:hAnsi="Liberation Sans Narrow"/>
                <w:sz w:val="17"/>
              </w:rPr>
              <w:t xml:space="preserve">: exige-se a publicação na imprensa oficial para o início do prazo, não bastando a publicação em cartório, como no diploma anterior. Ainda em processo eletrônico, a dispensa da publicação oficial só ocorre quando a parte está representada por advogado cadastrado no sistema (art. 5º, caput e § 1º, da Lei 11.419/2006), pois só então é possível a consulta eletrônica.</w:t>
            </w:r>
          </w:p>
        </w:tc>
      </w:tr>
    </w:tbl>
    <w:p>
      <w:pPr>
        <w:pStyle w:val="BodyText"/>
        <w:keepNext/>
        <w:spacing w:after="60"/>
        <w:jc w:val="both"/>
      </w:pPr>
      <w:r>
        <w:t xml:space="preserve">Parágrafo único. O revel poderá intervir no processo em qualquer fase, recebendo-o no estado em que se encontrar.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1655"/>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Art. 346, parágrafo único: intervenção do revel em qualquer fase</w:t>
            </w:r>
          </w:p>
        </w:tc>
        <w:tc>
          <w:tcPr>
            <w:tcW w:type="dxa" w:w="1655"/>
          </w:tcPr>
          <w:p>
            <w:pPr>
              <w:pStyle w:val="Compact"/>
              <w:spacing w:line="276" w:lineRule="auto" w:before="40" w:after="40"/>
            </w:pPr>
            <w:r>
              <w:rPr>
                <w:rFonts w:ascii="Liberation Sans Narrow" w:hAnsi="Liberation Sans Narrow"/>
                <w:sz w:val="17"/>
              </w:rPr>
              <w:t xml:space="preserve">STJ, REsp 2.174.214, Terceira Turma, relator Min. Humberto Martins, julgado em 08/06/2026, DJEN de 11/06/2026</w:t>
            </w:r>
          </w:p>
        </w:tc>
        <w:tc>
          <w:tcPr>
            <w:tcW w:type="dxa" w:w="1655"/>
          </w:tcPr>
          <w:p>
            <w:pPr>
              <w:pStyle w:val="Compact"/>
              <w:spacing w:line="276" w:lineRule="auto" w:before="40" w:after="40"/>
            </w:pPr>
            <w:r>
              <w:rPr>
                <w:rFonts w:ascii="Liberation Sans Narrow" w:hAnsi="Liberation Sans Narrow"/>
                <w:sz w:val="17"/>
              </w:rPr>
              <w:t xml:space="preserve">“A revelia não acarreta a exclusão do réu do processo, tampouco o impede de intervir nos autos”</w:t>
            </w:r>
            <w:r>
              <w:rPr>
                <w:rFonts w:ascii="Liberation Sans Narrow" w:hAnsi="Liberation Sans Narrow"/>
                <w:sz w:val="17"/>
              </w:rPr>
              <w:t xml:space="preserve">: pelo parágrafo único, o revel pode intervir em qualquer fase, recebendo o processo no estado em que se encontrar, pois continua sendo parte e titular do devido processo legal. No caso, afastou-se a preclusão para examinar o alcance do acordo juntado pelo revel; os efeitos da revelia são relativos e não geram procedência automática do pedido.</w:t>
            </w:r>
          </w:p>
        </w:tc>
      </w:tr>
    </w:tbl>
    <w:bookmarkEnd w:id="53"/>
    <w:bookmarkEnd w:id="54"/>
    <w:bookmarkStart w:id="65" w:name="X76e231d6b79148ee437645752cf6c89a542d1a7"/>
    <w:p>
      <w:pPr>
        <w:pStyle w:val="Heading4"/>
        <w:spacing w:before="80" w:after="40"/>
      </w:pPr>
      <w:r>
        <w:rPr>
          <w:smallCaps/>
          <w:color w:val="2E75B6"/>
        </w:rPr>
        <w:t xml:space="preserve">Capítulo IX: das providências preliminares e do saneamento (arts. 347 a 353)</w:t>
      </w:r>
    </w:p>
    <w:bookmarkStart w:id="55" w:name="art.-347"/>
    <w:p>
      <w:pPr>
        <w:pStyle w:val="Heading6"/>
        <w:pBdr>
          <w:left w:val="single" w:sz="36" w:space="4" w:color="2E75B6"/>
        </w:pBdr>
        <w:shd w:val="clear" w:color="auto" w:fill="E3EEF9"/>
        <w:spacing w:before="120" w:after="60"/>
        <w:ind w:left="85"/>
      </w:pPr>
      <w:r>
        <w:rPr>
          <w:i w:val="0"/>
          <w:color w:val="1F3A5F"/>
          <w:sz w:val="22"/>
        </w:rPr>
        <w:t xml:space="preserve">Art. 347</w:t>
      </w:r>
    </w:p>
    <w:p>
      <w:pPr>
        <w:pStyle w:val="FirstParagraph"/>
        <w:spacing w:after="60"/>
        <w:jc w:val="both"/>
      </w:pPr>
      <w:r>
        <w:rPr>
          <w:b/>
          <w:bCs/>
        </w:rPr>
        <w:t xml:space="preserve">Art. 347.</w:t>
      </w:r>
      <w:r>
        <w:t xml:space="preserve"> </w:t>
      </w:r>
      <w:r>
        <w:t xml:space="preserve">Findo o prazo para a contestação, o juiz tomará, conforme o caso, as providências preliminares constantes das seções deste Capítulo.</w:t>
      </w:r>
    </w:p>
    <w:bookmarkEnd w:id="55"/>
    <w:bookmarkStart w:id="58" w:name="Xb4b6453eb20012509392e7f9bd77cf0c49f74a1"/>
    <w:p>
      <w:pPr>
        <w:pStyle w:val="Heading5"/>
        <w:spacing w:before="60" w:after="20"/>
      </w:pPr>
      <w:r>
        <w:rPr>
          <w:i/>
          <w:color w:val="595959"/>
        </w:rPr>
        <w:t xml:space="preserve">Seção I: da não incidência dos efeitos da revelia (arts. 348 a 349)</w:t>
      </w:r>
    </w:p>
    <w:bookmarkStart w:id="56" w:name="art.-348"/>
    <w:p>
      <w:pPr>
        <w:pStyle w:val="Heading6"/>
        <w:pBdr>
          <w:left w:val="single" w:sz="36" w:space="4" w:color="2E75B6"/>
        </w:pBdr>
        <w:shd w:val="clear" w:color="auto" w:fill="E3EEF9"/>
        <w:spacing w:before="120" w:after="60"/>
        <w:ind w:left="85"/>
      </w:pPr>
      <w:r>
        <w:rPr>
          <w:i w:val="0"/>
          <w:color w:val="1F3A5F"/>
          <w:sz w:val="22"/>
        </w:rPr>
        <w:t xml:space="preserve">Art. 348</w:t>
      </w:r>
    </w:p>
    <w:p>
      <w:pPr>
        <w:pStyle w:val="FirstParagraph"/>
        <w:spacing w:after="60"/>
        <w:jc w:val="both"/>
      </w:pPr>
      <w:r>
        <w:rPr>
          <w:b/>
          <w:bCs/>
        </w:rPr>
        <w:t xml:space="preserve">Art. 348.</w:t>
      </w:r>
      <w:r>
        <w:t xml:space="preserve"> </w:t>
      </w:r>
      <w:r>
        <w:t xml:space="preserve">Se o réu não contestar a ação, o juiz, verificando a inocorrência do efeito da revelia previsto no art. 344, ordenará que o autor especifique as provas que pretenda produzir, se ainda não as tiver indicado.</w:t>
      </w:r>
    </w:p>
    <w:bookmarkEnd w:id="56"/>
    <w:bookmarkStart w:id="57" w:name="art.-349"/>
    <w:p>
      <w:pPr>
        <w:pStyle w:val="Heading6"/>
        <w:pBdr>
          <w:left w:val="single" w:sz="36" w:space="4" w:color="2E75B6"/>
        </w:pBdr>
        <w:shd w:val="clear" w:color="auto" w:fill="E3EEF9"/>
        <w:spacing w:before="120" w:after="60"/>
        <w:ind w:left="85"/>
      </w:pPr>
      <w:r>
        <w:rPr>
          <w:i w:val="0"/>
          <w:color w:val="1F3A5F"/>
          <w:sz w:val="22"/>
        </w:rPr>
        <w:t xml:space="preserve">Art. 349</w:t>
      </w:r>
    </w:p>
    <w:p>
      <w:pPr>
        <w:pStyle w:val="FirstParagraph"/>
        <w:keepNext/>
        <w:spacing w:after="60"/>
        <w:jc w:val="both"/>
      </w:pPr>
      <w:r>
        <w:rPr>
          <w:b/>
          <w:bCs/>
        </w:rPr>
        <w:t xml:space="preserve">Art. 349.</w:t>
      </w:r>
      <w:r>
        <w:t xml:space="preserve"> </w:t>
      </w:r>
      <w:r>
        <w:t xml:space="preserve">Ao réu revel será lícita a produção de provas, contrapostas às alegações do autor, desde que se faça representar nos autos a tempo de praticar os atos processuais indispensáveis a essa produção.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154"/>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531"/>
          </w:tcPr>
          <w:p>
            <w:pPr>
              <w:pStyle w:val="Compact"/>
              <w:spacing w:line="276" w:lineRule="auto" w:before="40" w:after="40"/>
            </w:pPr>
            <w:r>
              <w:rPr>
                <w:rFonts w:ascii="Liberation Sans Narrow" w:hAnsi="Liberation Sans Narrow"/>
                <w:sz w:val="17"/>
              </w:rPr>
              <w:t xml:space="preserve">Art. 349: produção de provas pelo revel e julgamento antecipado</w:t>
            </w:r>
          </w:p>
        </w:tc>
        <w:tc>
          <w:tcPr>
            <w:tcW w:type="dxa" w:w="1655"/>
          </w:tcPr>
          <w:p>
            <w:pPr>
              <w:pStyle w:val="Compact"/>
              <w:spacing w:line="276" w:lineRule="auto" w:before="40" w:after="40"/>
            </w:pPr>
            <w:r>
              <w:rPr>
                <w:rFonts w:ascii="Liberation Sans Narrow" w:hAnsi="Liberation Sans Narrow"/>
                <w:sz w:val="17"/>
              </w:rPr>
              <w:t xml:space="preserve">STJ, AREsp 2.489.481, Quarta Turma, relator Min. João Otávio de Noronha, julgado em 16/03/2026, DJEN de 19/03/2026</w:t>
            </w:r>
          </w:p>
        </w:tc>
        <w:tc>
          <w:tcPr>
            <w:tcW w:type="dxa" w:w="2154"/>
          </w:tcPr>
          <w:p>
            <w:pPr>
              <w:pStyle w:val="Compact"/>
              <w:spacing w:line="276" w:lineRule="auto" w:before="40" w:after="40"/>
            </w:pPr>
            <w:r>
              <w:rPr>
                <w:rFonts w:ascii="Liberation Sans Narrow" w:hAnsi="Liberation Sans Narrow"/>
                <w:sz w:val="17"/>
              </w:rPr>
              <w:t xml:space="preserve">Tese expressa:</w:t>
            </w:r>
            <w:r>
              <w:rPr>
                <w:rFonts w:ascii="Liberation Sans Narrow" w:hAnsi="Liberation Sans Narrow"/>
                <w:sz w:val="17"/>
              </w:rPr>
              <w:t xml:space="preserve"> </w:t>
            </w:r>
            <w:r>
              <w:rPr>
                <w:rFonts w:ascii="Liberation Sans Narrow" w:hAnsi="Liberation Sans Narrow"/>
                <w:sz w:val="17"/>
              </w:rPr>
              <w:t xml:space="preserve">“Não há violação aos arts. 349 e 355, II do CPC quando o magistrado, por livre convencimento motivado, julga antecipadamente diante da suficiência das provas.”</w:t>
            </w:r>
            <w:r>
              <w:rPr>
                <w:rFonts w:ascii="Liberation Sans Narrow" w:hAnsi="Liberation Sans Narrow"/>
                <w:sz w:val="17"/>
              </w:rPr>
              <w:t xml:space="preserve"> </w:t>
            </w:r>
            <w:r>
              <w:rPr>
                <w:rFonts w:ascii="Liberation Sans Narrow" w:hAnsi="Liberation Sans Narrow"/>
                <w:sz w:val="17"/>
              </w:rPr>
              <w:t xml:space="preserve">A participação do revel na instrução só se justifica quando imprescindível, e o julgamento antecipado com base em conjunto documental suficiente não configura cerceamento de defesa (arts. 370 e 371). No caso, a revelia dispensou outras provas quanto ao fato constitutivo, não incidindo as hipóteses do art. 345.</w:t>
            </w:r>
          </w:p>
        </w:tc>
      </w:tr>
    </w:tbl>
    <w:bookmarkEnd w:id="57"/>
    <w:bookmarkEnd w:id="58"/>
    <w:bookmarkStart w:id="60" w:name="X542d212752730e36e20709c742ddccd1d060067"/>
    <w:p>
      <w:pPr>
        <w:pStyle w:val="Heading5"/>
        <w:spacing w:before="60" w:after="20"/>
      </w:pPr>
      <w:r>
        <w:rPr>
          <w:i/>
          <w:color w:val="595959"/>
        </w:rPr>
        <w:t xml:space="preserve">Seção II: do fato impeditivo, modificativo ou extintivo do direito do autor (arts. 350)</w:t>
      </w:r>
    </w:p>
    <w:bookmarkStart w:id="59" w:name="art.-350"/>
    <w:p>
      <w:pPr>
        <w:pStyle w:val="Heading6"/>
        <w:pBdr>
          <w:left w:val="single" w:sz="36" w:space="4" w:color="2E75B6"/>
        </w:pBdr>
        <w:shd w:val="clear" w:color="auto" w:fill="E3EEF9"/>
        <w:spacing w:before="120" w:after="60"/>
        <w:ind w:left="85"/>
      </w:pPr>
      <w:r>
        <w:rPr>
          <w:i w:val="0"/>
          <w:color w:val="1F3A5F"/>
          <w:sz w:val="22"/>
        </w:rPr>
        <w:t xml:space="preserve">Art. 350</w:t>
      </w:r>
    </w:p>
    <w:p>
      <w:pPr>
        <w:pStyle w:val="FirstParagraph"/>
        <w:keepNext/>
        <w:spacing w:after="60"/>
        <w:jc w:val="both"/>
      </w:pPr>
      <w:r>
        <w:rPr>
          <w:b/>
          <w:bCs/>
        </w:rPr>
        <w:t xml:space="preserve">Art. 350.</w:t>
      </w:r>
      <w:r>
        <w:t xml:space="preserve"> </w:t>
      </w:r>
      <w:r>
        <w:t xml:space="preserve">Se o réu alegar fato impeditivo, modificativo ou extintivo do direito do autor, este será ouvido no prazo de 15 (quinze) dias, permitindo-lhe o juiz a produção de prova.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530"/>
        <w:gridCol w:w="1905"/>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Art. 350: réplica do autor diante de fato impeditivo, modificativo ou extintivo</w:t>
            </w:r>
          </w:p>
        </w:tc>
        <w:tc>
          <w:tcPr>
            <w:tcW w:type="dxa" w:w="1531"/>
          </w:tcPr>
          <w:p>
            <w:pPr>
              <w:pStyle w:val="Compact"/>
              <w:spacing w:line="276" w:lineRule="auto" w:before="40" w:after="40"/>
            </w:pPr>
            <w:r>
              <w:rPr>
                <w:rFonts w:ascii="Liberation Sans Narrow" w:hAnsi="Liberation Sans Narrow"/>
                <w:sz w:val="17"/>
              </w:rPr>
              <w:t xml:space="preserve">STJ, AgInt no REsp 1.932.383, Quarta Turma, relator Min. Antonio Carlos Ferreira, DJe de 19/12/2025</w:t>
            </w:r>
          </w:p>
        </w:tc>
        <w:tc>
          <w:tcPr>
            <w:tcW w:type="dxa" w:w="1905"/>
          </w:tcPr>
          <w:p>
            <w:pPr>
              <w:pStyle w:val="Compact"/>
              <w:spacing w:line="276" w:lineRule="auto" w:before="40" w:after="40"/>
            </w:pPr>
            <w:r>
              <w:rPr>
                <w:rFonts w:ascii="Liberation Sans Narrow" w:hAnsi="Liberation Sans Narrow"/>
                <w:sz w:val="17"/>
              </w:rPr>
              <w:t xml:space="preserve">“É vedada a decisão surpresa (arts. 9º e 10 do CPC), sendo indispensável a intimação da parte autora para réplica sempre que a contestação introduzir fatos impeditivos, modificativos ou extintivos do direito alegado, nos termos do art. 350 do CPC. Precedentes.”</w:t>
            </w:r>
            <w:r>
              <w:rPr>
                <w:rFonts w:ascii="Liberation Sans Narrow" w:hAnsi="Liberation Sans Narrow"/>
                <w:sz w:val="17"/>
              </w:rPr>
              <w:t xml:space="preserve"> </w:t>
            </w:r>
            <w:r>
              <w:rPr>
                <w:rFonts w:ascii="Liberation Sans Narrow" w:hAnsi="Liberation Sans Narrow"/>
                <w:sz w:val="17"/>
              </w:rPr>
              <w:t xml:space="preserve">Sem o contraditório pleno, é inviável o julgamento imediato da causa (art. 1.013, § 3º, IV).</w:t>
            </w:r>
          </w:p>
        </w:tc>
      </w:tr>
    </w:tbl>
    <w:bookmarkEnd w:id="59"/>
    <w:bookmarkEnd w:id="60"/>
    <w:bookmarkStart w:id="64" w:name="X698bcd0f8f39db82fdf0a4551aad77a501a8272"/>
    <w:p>
      <w:pPr>
        <w:pStyle w:val="Heading5"/>
        <w:spacing w:before="60" w:after="20"/>
      </w:pPr>
      <w:r>
        <w:rPr>
          <w:i/>
          <w:color w:val="595959"/>
        </w:rPr>
        <w:t xml:space="preserve">Seção III: das alegações do réu (arts. 351 a 353)</w:t>
      </w:r>
    </w:p>
    <w:bookmarkStart w:id="61" w:name="art.-351"/>
    <w:p>
      <w:pPr>
        <w:pStyle w:val="Heading6"/>
        <w:pBdr>
          <w:left w:val="single" w:sz="36" w:space="4" w:color="2E75B6"/>
        </w:pBdr>
        <w:shd w:val="clear" w:color="auto" w:fill="E3EEF9"/>
        <w:spacing w:before="120" w:after="60"/>
        <w:ind w:left="85"/>
      </w:pPr>
      <w:r>
        <w:rPr>
          <w:i w:val="0"/>
          <w:color w:val="1F3A5F"/>
          <w:sz w:val="22"/>
        </w:rPr>
        <w:t xml:space="preserve">Art. 351</w:t>
      </w:r>
    </w:p>
    <w:p>
      <w:pPr>
        <w:pStyle w:val="FirstParagraph"/>
        <w:keepNext/>
        <w:spacing w:after="60"/>
        <w:jc w:val="both"/>
      </w:pPr>
      <w:r>
        <w:rPr>
          <w:b/>
          <w:bCs/>
        </w:rPr>
        <w:t xml:space="preserve">Art. 351.</w:t>
      </w:r>
      <w:r>
        <w:t xml:space="preserve"> </w:t>
      </w:r>
      <w:r>
        <w:t xml:space="preserve">Se o réu alegar qualquer das matérias enumeradas no art. 337, o juiz determinará a oitiva do autor no prazo de 15 (quinze) dias, permitindo-lhe a produção de prova.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530"/>
        <w:gridCol w:w="2154"/>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Art. 351: oitiva do autor e oportunidade de produção de prova</w:t>
            </w:r>
          </w:p>
        </w:tc>
        <w:tc>
          <w:tcPr>
            <w:tcW w:type="dxa" w:w="1531"/>
          </w:tcPr>
          <w:p>
            <w:pPr>
              <w:pStyle w:val="Compact"/>
              <w:spacing w:line="276" w:lineRule="auto" w:before="40" w:after="40"/>
            </w:pPr>
            <w:r>
              <w:rPr>
                <w:rFonts w:ascii="Liberation Sans Narrow" w:hAnsi="Liberation Sans Narrow"/>
                <w:sz w:val="17"/>
              </w:rPr>
              <w:t xml:space="preserve">STJ, agravo regimental (AgRg) no AREsp 2.694.666, Quinta Turma, relator Min. Messod Azulay Neto, DJe de 06/12/2024</w:t>
            </w:r>
          </w:p>
        </w:tc>
        <w:tc>
          <w:tcPr>
            <w:tcW w:type="dxa" w:w="2154"/>
          </w:tcPr>
          <w:p>
            <w:pPr>
              <w:pStyle w:val="Compact"/>
              <w:spacing w:line="276" w:lineRule="auto" w:before="40" w:after="40"/>
            </w:pPr>
            <w:r>
              <w:rPr>
                <w:rFonts w:ascii="Liberation Sans Narrow" w:hAnsi="Liberation Sans Narrow"/>
                <w:sz w:val="17"/>
              </w:rPr>
              <w:t xml:space="preserve">Configuradas as hipóteses dos arts. 350 e 351, os agravantes foram intimados a oferecer réplica e a produzir as provas pertinentes e permaneceram inertes. Tese expressa:</w:t>
            </w:r>
            <w:r>
              <w:rPr>
                <w:rFonts w:ascii="Liberation Sans Narrow" w:hAnsi="Liberation Sans Narrow"/>
                <w:sz w:val="17"/>
              </w:rPr>
              <w:t xml:space="preserve"> </w:t>
            </w:r>
            <w:r>
              <w:rPr>
                <w:rFonts w:ascii="Liberation Sans Narrow" w:hAnsi="Liberation Sans Narrow"/>
                <w:sz w:val="17"/>
              </w:rPr>
              <w:t xml:space="preserve">“A ausência de despacho saneador e de nova intimação para produção de provas não configura cerceamento de defesa quando as partes não se manifestam nos momentos processuais adequados.”</w:t>
            </w:r>
          </w:p>
        </w:tc>
      </w:tr>
      <w:tr>
        <w:trPr>
          <w:cantSplit/>
        </w:trPr>
        <w:tc>
          <w:tcPr>
            <w:tcW w:type="dxa" w:w="1780"/>
          </w:tcPr>
          <w:p>
            <w:pPr>
              <w:pStyle w:val="Compact"/>
              <w:spacing w:line="276" w:lineRule="auto" w:before="40" w:after="40"/>
            </w:pPr>
            <w:r>
              <w:rPr>
                <w:rFonts w:ascii="Liberation Sans Narrow" w:hAnsi="Liberation Sans Narrow"/>
                <w:sz w:val="17"/>
              </w:rPr>
              <w:t xml:space="preserve">Art. 351: nulidade por ausência de réplica e seus efeitos</w:t>
            </w:r>
          </w:p>
        </w:tc>
        <w:tc>
          <w:tcPr>
            <w:tcW w:type="dxa" w:w="1531"/>
          </w:tcPr>
          <w:p>
            <w:pPr>
              <w:pStyle w:val="Compact"/>
              <w:spacing w:line="276" w:lineRule="auto" w:before="40" w:after="40"/>
            </w:pPr>
            <w:r>
              <w:rPr>
                <w:rFonts w:ascii="Liberation Sans Narrow" w:hAnsi="Liberation Sans Narrow"/>
                <w:sz w:val="17"/>
              </w:rPr>
              <w:t xml:space="preserve">STJ, EDcl no AREsp 1.486.202, Terceira Turma, relator Min. Marco Aurélio Bellizze, DJe de 28/08/2024</w:t>
            </w:r>
          </w:p>
        </w:tc>
        <w:tc>
          <w:tcPr>
            <w:tcW w:type="dxa" w:w="2154"/>
          </w:tcPr>
          <w:p>
            <w:pPr>
              <w:pStyle w:val="Compact"/>
              <w:spacing w:line="276" w:lineRule="auto" w:before="40" w:after="40"/>
            </w:pPr>
            <w:r>
              <w:rPr>
                <w:rFonts w:ascii="Liberation Sans Narrow" w:hAnsi="Liberation Sans Narrow"/>
                <w:sz w:val="17"/>
              </w:rPr>
              <w:t xml:space="preserve">Reconhecida a nulidade por falta de intimação da autora para réplica,</w:t>
            </w:r>
            <w:r>
              <w:rPr>
                <w:rFonts w:ascii="Liberation Sans Narrow" w:hAnsi="Liberation Sans Narrow"/>
                <w:sz w:val="17"/>
              </w:rPr>
              <w:t xml:space="preserve"> </w:t>
            </w:r>
            <w:r>
              <w:rPr>
                <w:rFonts w:ascii="Liberation Sans Narrow" w:hAnsi="Liberation Sans Narrow"/>
                <w:sz w:val="17"/>
              </w:rPr>
              <w:t xml:space="preserve">“nos moldes previstos no art. 351 do CPC/2015”</w:t>
            </w:r>
            <w:r>
              <w:rPr>
                <w:rFonts w:ascii="Liberation Sans Narrow" w:hAnsi="Liberation Sans Narrow"/>
                <w:sz w:val="17"/>
              </w:rPr>
              <w:t xml:space="preserve">, ficam anulados a sentença e os atos anteriores, determinando-se o prosseguimento com a réplica, para que a parte possa rebater a impugnação à gratuidade de justiça formulada em contestação. É contraditório o acórdão que, ao mesmo tempo, anula os atos para assegurar a réplica e declara preclusa a matéria que nela seria discutida.</w:t>
            </w:r>
          </w:p>
        </w:tc>
      </w:tr>
    </w:tbl>
    <w:bookmarkEnd w:id="61"/>
    <w:bookmarkStart w:id="62" w:name="art.-352"/>
    <w:p>
      <w:pPr>
        <w:pStyle w:val="Heading6"/>
        <w:pBdr>
          <w:left w:val="single" w:sz="36" w:space="4" w:color="2E75B6"/>
        </w:pBdr>
        <w:shd w:val="clear" w:color="auto" w:fill="E3EEF9"/>
        <w:spacing w:before="120" w:after="60"/>
        <w:ind w:left="85"/>
      </w:pPr>
      <w:r>
        <w:rPr>
          <w:i w:val="0"/>
          <w:color w:val="1F3A5F"/>
          <w:sz w:val="22"/>
        </w:rPr>
        <w:t xml:space="preserve">Art. 352</w:t>
      </w:r>
    </w:p>
    <w:p>
      <w:pPr>
        <w:pStyle w:val="FirstParagraph"/>
        <w:spacing w:after="60"/>
        <w:jc w:val="both"/>
      </w:pPr>
      <w:r>
        <w:rPr>
          <w:b/>
          <w:bCs/>
        </w:rPr>
        <w:t xml:space="preserve">Art. 352.</w:t>
      </w:r>
      <w:r>
        <w:t xml:space="preserve"> </w:t>
      </w:r>
      <w:r>
        <w:t xml:space="preserve">Verificando a existência de irregularidades ou de vícios sanáveis, o juiz determinará sua correção em prazo nunca superior a 30 (trinta) dias.</w:t>
      </w:r>
    </w:p>
    <w:bookmarkEnd w:id="62"/>
    <w:bookmarkStart w:id="63" w:name="art.-353"/>
    <w:p>
      <w:pPr>
        <w:pStyle w:val="Heading6"/>
        <w:pBdr>
          <w:left w:val="single" w:sz="36" w:space="4" w:color="2E75B6"/>
        </w:pBdr>
        <w:shd w:val="clear" w:color="auto" w:fill="E3EEF9"/>
        <w:spacing w:before="120" w:after="60"/>
        <w:ind w:left="85"/>
      </w:pPr>
      <w:r>
        <w:rPr>
          <w:i w:val="0"/>
          <w:color w:val="1F3A5F"/>
          <w:sz w:val="22"/>
        </w:rPr>
        <w:t xml:space="preserve">Art. 353</w:t>
      </w:r>
    </w:p>
    <w:p>
      <w:pPr>
        <w:pStyle w:val="FirstParagraph"/>
        <w:spacing w:after="60"/>
        <w:jc w:val="both"/>
      </w:pPr>
      <w:r>
        <w:rPr>
          <w:b/>
          <w:bCs/>
        </w:rPr>
        <w:t xml:space="preserve">Art. 353.</w:t>
      </w:r>
      <w:r>
        <w:t xml:space="preserve"> </w:t>
      </w:r>
      <w:r>
        <w:t xml:space="preserve">Cumpridas as providências preliminares ou não havendo necessidade delas, o juiz proferirá julgamento conforme o estado do processo, observando o que dispõe o Capítulo X.</w:t>
      </w:r>
    </w:p>
    <w:bookmarkEnd w:id="63"/>
    <w:bookmarkEnd w:id="64"/>
    <w:bookmarkEnd w:id="65"/>
    <w:bookmarkStart w:id="74" w:name="X61e6d2af246b482b27ceebda63e62d22920e09b"/>
    <w:p>
      <w:pPr>
        <w:pStyle w:val="Heading4"/>
        <w:spacing w:before="80" w:after="40"/>
      </w:pPr>
      <w:r>
        <w:rPr>
          <w:smallCaps/>
          <w:color w:val="2E75B6"/>
        </w:rPr>
        <w:t xml:space="preserve">Capítulo X: do julgamento conforme o estado do processo (arts. 354 a 357)</w:t>
      </w:r>
    </w:p>
    <w:bookmarkStart w:id="67" w:name="Xa07659185106f04c9e8c516e60d0296494e3dc5"/>
    <w:p>
      <w:pPr>
        <w:pStyle w:val="Heading5"/>
        <w:spacing w:before="60" w:after="20"/>
      </w:pPr>
      <w:r>
        <w:rPr>
          <w:i/>
          <w:color w:val="595959"/>
        </w:rPr>
        <w:t xml:space="preserve">Seção I: da extinção do processo (arts. 354)</w:t>
      </w:r>
    </w:p>
    <w:bookmarkStart w:id="66" w:name="art.-354"/>
    <w:p>
      <w:pPr>
        <w:pStyle w:val="Heading6"/>
        <w:pBdr>
          <w:left w:val="single" w:sz="36" w:space="4" w:color="2E75B6"/>
        </w:pBdr>
        <w:shd w:val="clear" w:color="auto" w:fill="E3EEF9"/>
        <w:spacing w:before="120" w:after="60"/>
        <w:ind w:left="85"/>
      </w:pPr>
      <w:r>
        <w:rPr>
          <w:i w:val="0"/>
          <w:color w:val="1F3A5F"/>
          <w:sz w:val="22"/>
        </w:rPr>
        <w:t xml:space="preserve">Art. 354</w:t>
      </w:r>
    </w:p>
    <w:p>
      <w:pPr>
        <w:pStyle w:val="FirstParagraph"/>
        <w:spacing w:after="60"/>
        <w:jc w:val="both"/>
      </w:pPr>
      <w:r>
        <w:rPr>
          <w:b/>
          <w:bCs/>
        </w:rPr>
        <w:t xml:space="preserve">Art. 354.</w:t>
      </w:r>
      <w:r>
        <w:t xml:space="preserve"> </w:t>
      </w:r>
      <w:r>
        <w:t xml:space="preserve">Ocorrendo qualquer das hipóteses previstas nos arts. 485 e 487, incisos II e III, o juiz proferirá sentença.</w:t>
      </w:r>
    </w:p>
    <w:p>
      <w:pPr>
        <w:pStyle w:val="BodyText"/>
        <w:keepNext/>
        <w:spacing w:after="60"/>
        <w:jc w:val="both"/>
      </w:pPr>
      <w:r>
        <w:t xml:space="preserve">Parágrafo único. A decisão a que se refere o caput pode dizer respeito a apenas parcela do processo, caso em que será impugnável por agravo de instrumento.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279"/>
        <w:gridCol w:w="2029"/>
        <w:gridCol w:w="2029"/>
      </w:tblGrid>
      <w:tr>
        <w:trPr>
          <w:tblHeader w:val="on"/>
          <w:cantSplit/>
          <w:tblHeader/>
        </w:trPr>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279"/>
          </w:tcPr>
          <w:p>
            <w:pPr>
              <w:pStyle w:val="Compact"/>
              <w:spacing w:line="276" w:lineRule="auto" w:before="40" w:after="40"/>
            </w:pPr>
            <w:r>
              <w:rPr>
                <w:rFonts w:ascii="Liberation Sans Narrow" w:hAnsi="Liberation Sans Narrow"/>
                <w:sz w:val="17"/>
              </w:rPr>
              <w:t xml:space="preserve">Art. 354, parágrafo único: inaplicabilidade fora do julgamento parcial de mérito</w:t>
            </w:r>
          </w:p>
        </w:tc>
        <w:tc>
          <w:tcPr>
            <w:tcW w:type="dxa" w:w="2030"/>
          </w:tcPr>
          <w:p>
            <w:pPr>
              <w:pStyle w:val="Compact"/>
              <w:spacing w:line="276" w:lineRule="auto" w:before="40" w:after="40"/>
            </w:pPr>
            <w:r>
              <w:rPr>
                <w:rFonts w:ascii="Liberation Sans Narrow" w:hAnsi="Liberation Sans Narrow"/>
                <w:sz w:val="17"/>
              </w:rPr>
              <w:t xml:space="preserve">STJ, AREsp 3.108.712, Terceira Turma, relator Min. Moura Ribeiro, DJe de 25/09/2026</w:t>
            </w:r>
          </w:p>
        </w:tc>
        <w:tc>
          <w:tcPr>
            <w:tcW w:type="dxa" w:w="2030"/>
          </w:tcPr>
          <w:p>
            <w:pPr>
              <w:pStyle w:val="Compact"/>
              <w:spacing w:line="276" w:lineRule="auto" w:before="40" w:after="40"/>
            </w:pPr>
            <w:r>
              <w:rPr>
                <w:rFonts w:ascii="Liberation Sans Narrow" w:hAnsi="Liberation Sans Narrow"/>
                <w:sz w:val="17"/>
              </w:rPr>
              <w:t xml:space="preserve">“Inaplicável o art. 354, parágrafo único, do CPC, por não se tratar de julgamento parcial de mérito”</w:t>
            </w:r>
            <w:r>
              <w:rPr>
                <w:rFonts w:ascii="Liberation Sans Narrow" w:hAnsi="Liberation Sans Narrow"/>
                <w:sz w:val="17"/>
              </w:rPr>
              <w:t xml:space="preserve">: o indeferimento liminar da reconvenção não se enquadra nas hipóteses do art. 1.015 nem autoriza a mitigação do rol pela urgência (Tema 988/STJ).</w:t>
            </w:r>
          </w:p>
        </w:tc>
      </w:tr>
      <w:tr>
        <w:trPr>
          <w:cantSplit/>
        </w:trPr>
        <w:tc>
          <w:tcPr>
            <w:tcW w:type="dxa" w:w="2279"/>
          </w:tcPr>
          <w:p>
            <w:pPr>
              <w:pStyle w:val="Compact"/>
              <w:spacing w:line="276" w:lineRule="auto" w:before="40" w:after="40"/>
            </w:pPr>
            <w:r>
              <w:rPr>
                <w:rFonts w:ascii="Liberation Sans Narrow" w:hAnsi="Liberation Sans Narrow"/>
                <w:sz w:val="17"/>
              </w:rPr>
              <w:t xml:space="preserve">Art. 354, parágrafo único: natureza interlocutória da extinção parcial por ilegitimidade</w:t>
            </w:r>
          </w:p>
        </w:tc>
        <w:tc>
          <w:tcPr>
            <w:tcW w:type="dxa" w:w="2030"/>
          </w:tcPr>
          <w:p>
            <w:pPr>
              <w:pStyle w:val="Compact"/>
              <w:spacing w:line="276" w:lineRule="auto" w:before="40" w:after="40"/>
            </w:pPr>
            <w:r>
              <w:rPr>
                <w:rFonts w:ascii="Liberation Sans Narrow" w:hAnsi="Liberation Sans Narrow"/>
                <w:sz w:val="17"/>
              </w:rPr>
              <w:t xml:space="preserve">STJ, AgInt no AREsp 3.149.164, Quarta Turma, relator Min. Luís Carlos Gambogi (Desembargador Convocado do Tjmg), julgado em 08/06/2026, DJEN de 16/06/2026</w:t>
            </w:r>
          </w:p>
        </w:tc>
        <w:tc>
          <w:tcPr>
            <w:tcW w:type="dxa" w:w="2030"/>
          </w:tcPr>
          <w:p>
            <w:pPr>
              <w:pStyle w:val="Compact"/>
              <w:spacing w:line="276" w:lineRule="auto" w:before="40" w:after="40"/>
            </w:pPr>
            <w:r>
              <w:rPr>
                <w:rFonts w:ascii="Liberation Sans Narrow" w:hAnsi="Liberation Sans Narrow"/>
                <w:sz w:val="17"/>
              </w:rPr>
              <w:t xml:space="preserve">A decisão que reconhece a ilegitimidade passiva de uma das partes, extingue parcialmente o feito (art. 485, VI) e determina a emenda da inicial não põe fim ao processo: tem natureza interlocutória e é impugnável por agravo de instrumento (art. 354, parágrafo único, e art. 1.015, XIII). É inaplicável a fungibilidade recursal sem dúvida objetiva e caracterizado erro grosseiro.</w:t>
            </w:r>
          </w:p>
        </w:tc>
      </w:tr>
      <w:tr>
        <w:trPr>
          <w:cantSplit/>
        </w:trPr>
        <w:tc>
          <w:tcPr>
            <w:tcW w:type="dxa" w:w="2279"/>
          </w:tcPr>
          <w:p>
            <w:pPr>
              <w:pStyle w:val="Compact"/>
              <w:spacing w:line="276" w:lineRule="auto" w:before="40" w:after="40"/>
            </w:pPr>
            <w:r>
              <w:rPr>
                <w:rFonts w:ascii="Liberation Sans Narrow" w:hAnsi="Liberation Sans Narrow"/>
                <w:sz w:val="17"/>
              </w:rPr>
              <w:t xml:space="preserve">Art. 354, parágrafo único: extinção de um dos pedidos e agravo de instrumento</w:t>
            </w:r>
          </w:p>
        </w:tc>
        <w:tc>
          <w:tcPr>
            <w:tcW w:type="dxa" w:w="2030"/>
          </w:tcPr>
          <w:p>
            <w:pPr>
              <w:pStyle w:val="Compact"/>
              <w:spacing w:line="276" w:lineRule="auto" w:before="40" w:after="40"/>
            </w:pPr>
            <w:r>
              <w:rPr>
                <w:rFonts w:ascii="Liberation Sans Narrow" w:hAnsi="Liberation Sans Narrow"/>
                <w:sz w:val="17"/>
              </w:rPr>
              <w:t xml:space="preserve">STJ, AREsp 2.682.619, Terceira Turma, relator Min. Ricardo Villas Bôas Cueva, julgado em 02/03/2026, DJEN de 05/03/2026</w:t>
            </w:r>
          </w:p>
        </w:tc>
        <w:tc>
          <w:tcPr>
            <w:tcW w:type="dxa" w:w="2030"/>
          </w:tcPr>
          <w:p>
            <w:pPr>
              <w:pStyle w:val="Compact"/>
              <w:spacing w:line="276" w:lineRule="auto" w:before="40" w:after="40"/>
            </w:pPr>
            <w:r>
              <w:rPr>
                <w:rFonts w:ascii="Liberation Sans Narrow" w:hAnsi="Liberation Sans Narrow"/>
                <w:sz w:val="17"/>
              </w:rPr>
              <w:t xml:space="preserve">“A decisão que extingue um dos pedidos com fundamento no artigo 485, VI, do Código de Processo Civil é impugnável por agravo de instrumento, nos termos do artigo 354, parágrafo único, do Estatuto Processual.”</w:t>
            </w:r>
            <w:r>
              <w:rPr>
                <w:rFonts w:ascii="Liberation Sans Narrow" w:hAnsi="Liberation Sans Narrow"/>
                <w:sz w:val="17"/>
              </w:rPr>
              <w:t xml:space="preserve"> </w:t>
            </w:r>
            <w:r>
              <w:rPr>
                <w:rFonts w:ascii="Liberation Sans Narrow" w:hAnsi="Liberation Sans Narrow"/>
                <w:sz w:val="17"/>
              </w:rPr>
              <w:t xml:space="preserve">No caso, afastado o alegado equívoco no nome da ação, a inicial estava redigida como execução de título extrajudicial e, decorrido o prazo para emenda, não havia como prosseguir.</w:t>
            </w:r>
          </w:p>
        </w:tc>
      </w:tr>
      <w:tr>
        <w:trPr/>
        <w:tc>
          <w:tcPr>
            <w:tcW w:type="dxa" w:w="2279"/>
          </w:tcPr>
          <w:p>
            <w:pPr>
              <w:pStyle w:val="Compact"/>
              <w:spacing w:line="276" w:lineRule="auto" w:before="40" w:after="40"/>
            </w:pPr>
            <w:r>
              <w:rPr>
                <w:rFonts w:ascii="Liberation Sans Narrow" w:hAnsi="Liberation Sans Narrow"/>
                <w:sz w:val="17"/>
              </w:rPr>
              <w:t xml:space="preserve">Art. 354, parágrafo único: sentença parcial de mérito e reconvenção não julgada</w:t>
            </w:r>
          </w:p>
        </w:tc>
        <w:tc>
          <w:tcPr>
            <w:tcW w:type="dxa" w:w="2030"/>
          </w:tcPr>
          <w:p>
            <w:pPr>
              <w:pStyle w:val="Compact"/>
              <w:spacing w:line="276" w:lineRule="auto" w:before="40" w:after="40"/>
            </w:pPr>
            <w:r>
              <w:rPr>
                <w:rFonts w:ascii="Liberation Sans Narrow" w:hAnsi="Liberation Sans Narrow"/>
                <w:sz w:val="17"/>
              </w:rPr>
              <w:t xml:space="preserve">STJ, REsp 2.034.485, Terceira Turma, relator Min. Marco Aurélio Bellizze, julgado em 22/11/2022, DJe de 30/11/2022</w:t>
            </w:r>
          </w:p>
        </w:tc>
        <w:tc>
          <w:tcPr>
            <w:tcW w:type="dxa" w:w="2030"/>
          </w:tcPr>
          <w:p>
            <w:pPr>
              <w:pStyle w:val="Compact"/>
              <w:spacing w:line="276" w:lineRule="auto" w:before="40" w:after="40"/>
            </w:pPr>
            <w:r>
              <w:rPr>
                <w:rFonts w:ascii="Liberation Sans Narrow" w:hAnsi="Liberation Sans Narrow"/>
                <w:sz w:val="17"/>
              </w:rPr>
              <w:t xml:space="preserve">Extinto o feito sem resolução de mérito quanto à ação principal, o juiz deve manifestar-se expressamente sobre a reconvenção e fixar os ônus sucumbenciais (arts. 343, § 2º, e 85, § 1º). Não havendo julgamento expresso, o feito poderia prosseguir quanto à reconvenção, hipótese enquadrada na regra do art. 354, parágrafo único, que determina a impugnação da sentença parcial de mérito por agravo de instrumento; a fungibilidade recursal foi aplicada diante do equívoco do magistrado.</w:t>
            </w:r>
          </w:p>
        </w:tc>
      </w:tr>
    </w:tbl>
    <w:bookmarkEnd w:id="66"/>
    <w:bookmarkEnd w:id="67"/>
    <w:bookmarkStart w:id="69" w:name="X7174c708226fddcd6802a96d3e4bddd27be29be"/>
    <w:p>
      <w:pPr>
        <w:pStyle w:val="Heading5"/>
        <w:spacing w:before="60" w:after="20"/>
      </w:pPr>
      <w:r>
        <w:rPr>
          <w:i/>
          <w:color w:val="595959"/>
        </w:rPr>
        <w:t xml:space="preserve">Seção II: do julgamento antecipado do mérito (arts. 355)</w:t>
      </w:r>
    </w:p>
    <w:bookmarkStart w:id="68" w:name="art.-355"/>
    <w:p>
      <w:pPr>
        <w:pStyle w:val="Heading6"/>
        <w:pBdr>
          <w:left w:val="single" w:sz="36" w:space="4" w:color="2E75B6"/>
        </w:pBdr>
        <w:shd w:val="clear" w:color="auto" w:fill="E3EEF9"/>
        <w:spacing w:before="120" w:after="60"/>
        <w:ind w:left="85"/>
      </w:pPr>
      <w:r>
        <w:rPr>
          <w:i w:val="0"/>
          <w:color w:val="1F3A5F"/>
          <w:sz w:val="22"/>
        </w:rPr>
        <w:t xml:space="preserve">Art. 355</w:t>
      </w:r>
    </w:p>
    <w:p>
      <w:pPr>
        <w:pStyle w:val="FirstParagraph"/>
        <w:keepNext/>
        <w:spacing w:after="60"/>
        <w:jc w:val="both"/>
      </w:pPr>
      <w:r>
        <w:rPr>
          <w:b/>
          <w:bCs/>
        </w:rPr>
        <w:t xml:space="preserve">Art. 355.</w:t>
      </w:r>
      <w:r>
        <w:t xml:space="preserve"> </w:t>
      </w:r>
      <w:r>
        <w:t xml:space="preserve">O juiz julgará antecipadamente o pedido, proferindo sentença com resolução de mérito, quando: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780"/>
        <w:gridCol w:w="2029"/>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Julgamento antecipado do mérito e cerceamento de defesa</w:t>
            </w:r>
          </w:p>
        </w:tc>
        <w:tc>
          <w:tcPr>
            <w:tcW w:type="dxa" w:w="1780"/>
          </w:tcPr>
          <w:p>
            <w:pPr>
              <w:pStyle w:val="Compact"/>
              <w:spacing w:line="276" w:lineRule="auto" w:before="40" w:after="40"/>
            </w:pPr>
            <w:r>
              <w:rPr>
                <w:rFonts w:ascii="Liberation Sans Narrow" w:hAnsi="Liberation Sans Narrow"/>
                <w:sz w:val="17"/>
              </w:rPr>
              <w:t xml:space="preserve">STF, AO 2.511, Primeira Turma, relator Min. Alexandre de Moraes, julgado em 08/04/2021</w:t>
            </w:r>
            <w:r>
              <w:rPr>
                <w:rFonts w:ascii="Liberation Sans Narrow" w:hAnsi="Liberation Sans Narrow"/>
                <w:sz w:val="17"/>
              </w:rPr>
              <w:t xml:space="preserve"> </w:t>
            </w:r>
            <w:r>
              <w:rPr>
                <w:rFonts w:ascii="Liberation Sans Narrow" w:hAnsi="Liberation Sans Narrow"/>
                <w:b/>
                <w:bCs/>
                <w:sz w:val="17"/>
              </w:rPr>
              <w:t xml:space="preserve">[Repositório externo]</w:t>
            </w:r>
          </w:p>
        </w:tc>
        <w:tc>
          <w:tcPr>
            <w:tcW w:type="dxa" w:w="2030"/>
          </w:tcPr>
          <w:p>
            <w:pPr>
              <w:pStyle w:val="Compact"/>
              <w:spacing w:line="276" w:lineRule="auto" w:before="40" w:after="40"/>
            </w:pPr>
            <w:r>
              <w:rPr>
                <w:rFonts w:ascii="Liberation Sans Narrow" w:hAnsi="Liberation Sans Narrow"/>
                <w:sz w:val="17"/>
              </w:rPr>
              <w:t xml:space="preserve">O julgamento antecipado da lide não representa, por si só, cerceamento de defesa ou ofensa ao contraditório: a legislação processual permite julgar sem percorrer todas as etapas quando a questão de mérito é só de direito ou, sendo de fato e de direito, não há necessidade de novas provas (art. 355).</w:t>
            </w:r>
          </w:p>
        </w:tc>
      </w:tr>
    </w:tbl>
    <w:p>
      <w:pPr>
        <w:pStyle w:val="BodyText"/>
        <w:spacing w:after="60"/>
        <w:jc w:val="both"/>
      </w:pPr>
      <w:r>
        <w:t xml:space="preserve">I - não houver necessidade de produção de outras provas;</w:t>
      </w:r>
    </w:p>
    <w:p>
      <w:pPr>
        <w:pStyle w:val="BodyText"/>
        <w:spacing w:after="60"/>
        <w:jc w:val="both"/>
      </w:pPr>
      <w:r>
        <w:t xml:space="preserve">II - o réu for revel, ocorrer o efeito previsto no art. 344 e não houver requerimento de prova, na forma do art. 349.</w:t>
      </w:r>
    </w:p>
    <w:bookmarkEnd w:id="68"/>
    <w:bookmarkEnd w:id="69"/>
    <w:bookmarkStart w:id="71" w:name="X71c9e860c5551e117e4f6f5e1bf248dc0ea2afb"/>
    <w:p>
      <w:pPr>
        <w:pStyle w:val="Heading5"/>
        <w:spacing w:before="60" w:after="20"/>
      </w:pPr>
      <w:r>
        <w:rPr>
          <w:i/>
          <w:color w:val="595959"/>
        </w:rPr>
        <w:t xml:space="preserve">Seção III: do julgamento antecipado parcial do mérito (arts. 356)</w:t>
      </w:r>
    </w:p>
    <w:bookmarkStart w:id="70" w:name="art.-356"/>
    <w:p>
      <w:pPr>
        <w:pStyle w:val="Heading6"/>
        <w:pBdr>
          <w:left w:val="single" w:sz="36" w:space="4" w:color="2E75B6"/>
        </w:pBdr>
        <w:shd w:val="clear" w:color="auto" w:fill="E3EEF9"/>
        <w:spacing w:before="120" w:after="60"/>
        <w:ind w:left="85"/>
      </w:pPr>
      <w:r>
        <w:rPr>
          <w:i w:val="0"/>
          <w:color w:val="1F3A5F"/>
          <w:sz w:val="22"/>
        </w:rPr>
        <w:t xml:space="preserve">Art. 356</w:t>
      </w:r>
    </w:p>
    <w:p>
      <w:pPr>
        <w:pStyle w:val="FirstParagraph"/>
        <w:keepNext/>
        <w:spacing w:after="60"/>
        <w:jc w:val="both"/>
      </w:pPr>
      <w:r>
        <w:rPr>
          <w:b/>
          <w:bCs/>
        </w:rPr>
        <w:t xml:space="preserve">Art. 356.</w:t>
      </w:r>
      <w:r>
        <w:t xml:space="preserve"> </w:t>
      </w:r>
      <w:r>
        <w:t xml:space="preserve">O juiz decidirá parcialmente o mérito quando um ou mais dos pedidos formulados ou parcela deles: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655"/>
        <w:gridCol w:w="2029"/>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Julgamento antecipado parcial do mérito: o que é decisão interlocutória de mérito</w:t>
            </w:r>
          </w:p>
        </w:tc>
        <w:tc>
          <w:tcPr>
            <w:tcW w:type="dxa" w:w="1655"/>
          </w:tcPr>
          <w:p>
            <w:pPr>
              <w:pStyle w:val="Compact"/>
              <w:spacing w:line="276" w:lineRule="auto" w:before="40" w:after="40"/>
            </w:pPr>
            <w:r>
              <w:rPr>
                <w:rFonts w:ascii="Liberation Sans Narrow" w:hAnsi="Liberation Sans Narrow"/>
                <w:sz w:val="17"/>
              </w:rPr>
              <w:t xml:space="preserve">STJ, AgInt no AREsp 1.410.278, Terceira Turma, relator Min. Ricardo Villas Bôas Cueva, julgado em 13/05/2024, DJe de 15/05/2024</w:t>
            </w:r>
          </w:p>
        </w:tc>
        <w:tc>
          <w:tcPr>
            <w:tcW w:type="dxa" w:w="2030"/>
          </w:tcPr>
          <w:p>
            <w:pPr>
              <w:pStyle w:val="Compact"/>
              <w:spacing w:line="276" w:lineRule="auto" w:before="40" w:after="40"/>
            </w:pPr>
            <w:r>
              <w:rPr>
                <w:rFonts w:ascii="Liberation Sans Narrow" w:hAnsi="Liberation Sans Narrow"/>
                <w:sz w:val="17"/>
              </w:rPr>
              <w:t xml:space="preserve">Decisão interlocutória de mérito é o ato que decide o mérito de um ou mais pedidos, ou de parcela deles, quando incontroversos ou em condições de imediato julgamento; a simples decisão saneadora que reconhece a necessidade de dilação probatória não é julgamento parcial.</w:t>
            </w:r>
          </w:p>
        </w:tc>
      </w:tr>
    </w:tbl>
    <w:p>
      <w:pPr>
        <w:pStyle w:val="BodyText"/>
        <w:spacing w:after="60"/>
        <w:jc w:val="both"/>
      </w:pPr>
      <w:r>
        <w:t xml:space="preserve">I - mostrar-se incontroverso;</w:t>
      </w:r>
    </w:p>
    <w:p>
      <w:pPr>
        <w:pStyle w:val="BodyText"/>
        <w:keepNext/>
        <w:spacing w:after="60"/>
        <w:jc w:val="both"/>
      </w:pPr>
      <w:r>
        <w:t xml:space="preserve">II - estiver em condições de imediato julgamento, nos termos do art. 355.</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780"/>
        <w:gridCol w:w="1780"/>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Inciso II: julgamento antecipado parcial do mérito</w:t>
            </w:r>
          </w:p>
        </w:tc>
        <w:tc>
          <w:tcPr>
            <w:tcW w:type="dxa" w:w="1780"/>
          </w:tcPr>
          <w:p>
            <w:pPr>
              <w:pStyle w:val="Compact"/>
              <w:spacing w:line="276" w:lineRule="auto" w:before="40" w:after="40"/>
            </w:pPr>
            <w:r>
              <w:rPr>
                <w:rFonts w:ascii="Liberation Sans Narrow" w:hAnsi="Liberation Sans Narrow"/>
                <w:sz w:val="17"/>
              </w:rPr>
              <w:t xml:space="preserve">STF, ACO 3.568, Tribunal Pleno, relator Min. Ricardo Lewandowski, julgado em 17/03/2023</w:t>
            </w:r>
            <w:r>
              <w:rPr>
                <w:rFonts w:ascii="Liberation Sans Narrow" w:hAnsi="Liberation Sans Narrow"/>
                <w:sz w:val="17"/>
              </w:rPr>
              <w:t xml:space="preserve"> </w:t>
            </w:r>
            <w:r>
              <w:rPr>
                <w:rFonts w:ascii="Liberation Sans Narrow" w:hAnsi="Liberation Sans Narrow"/>
                <w:b/>
                <w:bCs/>
                <w:sz w:val="17"/>
              </w:rPr>
              <w:t xml:space="preserve">[Repositório externo]</w:t>
            </w:r>
          </w:p>
        </w:tc>
        <w:tc>
          <w:tcPr>
            <w:tcW w:type="dxa" w:w="1780"/>
          </w:tcPr>
          <w:p>
            <w:pPr>
              <w:pStyle w:val="Compact"/>
              <w:spacing w:line="276" w:lineRule="auto" w:before="40" w:after="40"/>
            </w:pPr>
            <w:r>
              <w:rPr>
                <w:rFonts w:ascii="Liberation Sans Narrow" w:hAnsi="Liberation Sans Narrow"/>
                <w:sz w:val="17"/>
              </w:rPr>
              <w:t xml:space="preserve">O inciso II do art. 356 autoriza o julgamento antecipado parcial do mérito, técnica processual que prestigia o devido processo legal e a duração razoável do processo; admite-se acordo parcial estruturante sobre aspectos da lide.</w:t>
            </w:r>
          </w:p>
        </w:tc>
      </w:tr>
    </w:tbl>
    <w:p>
      <w:pPr>
        <w:pStyle w:val="BodyText"/>
        <w:spacing w:after="60"/>
        <w:jc w:val="both"/>
      </w:pPr>
      <w:r>
        <w:t xml:space="preserve">§ 1º A decisão que julgar parcialmente o mérito poderá reconhecer a existência de obrigação líquida ou ilíquida.</w:t>
      </w:r>
    </w:p>
    <w:p>
      <w:pPr>
        <w:pStyle w:val="BodyText"/>
        <w:spacing w:after="60"/>
        <w:jc w:val="both"/>
      </w:pPr>
      <w:r>
        <w:t xml:space="preserve">§ 2º A parte poderá liquidar ou executar, desde logo, a obrigação reconhecida na decisão que julgar parcialmente o mérito, independentemente de caução, ainda que haja recurso contra essa interposto.</w:t>
      </w:r>
    </w:p>
    <w:p>
      <w:pPr>
        <w:pStyle w:val="BodyText"/>
        <w:spacing w:after="60"/>
        <w:jc w:val="both"/>
      </w:pPr>
      <w:r>
        <w:t xml:space="preserve">§ 3º Na hipótese do § 2º, se houver trânsito em julgado da decisão, a execução será definitiva.</w:t>
      </w:r>
    </w:p>
    <w:p>
      <w:pPr>
        <w:pStyle w:val="BodyText"/>
        <w:spacing w:after="60"/>
        <w:jc w:val="both"/>
      </w:pPr>
      <w:r>
        <w:t xml:space="preserve">§ 4º A liquidação e o cumprimento da decisão que julgar parcialmente o mérito poderão ser processados em autos suplementares, a requerimento da parte ou a critério do juiz.</w:t>
      </w:r>
    </w:p>
    <w:p>
      <w:pPr>
        <w:pStyle w:val="BodyText"/>
        <w:spacing w:after="60"/>
        <w:jc w:val="both"/>
      </w:pPr>
      <w:r>
        <w:t xml:space="preserve">§ 5º A decisão proferida com base neste artigo é impugnável por agravo de instrumento.</w:t>
      </w:r>
    </w:p>
    <w:bookmarkEnd w:id="70"/>
    <w:bookmarkEnd w:id="71"/>
    <w:bookmarkStart w:id="73" w:name="X27cad871c22cf8e6980a829747fc74f5c3e11b9"/>
    <w:p>
      <w:pPr>
        <w:pStyle w:val="Heading5"/>
        <w:spacing w:before="60" w:after="20"/>
      </w:pPr>
      <w:r>
        <w:rPr>
          <w:i/>
          <w:color w:val="595959"/>
        </w:rPr>
        <w:t xml:space="preserve">Seção IV: do saneamento e da organização do processo (arts. 357)</w:t>
      </w:r>
    </w:p>
    <w:bookmarkStart w:id="72" w:name="art.-357"/>
    <w:p>
      <w:pPr>
        <w:pStyle w:val="Heading6"/>
        <w:pBdr>
          <w:left w:val="single" w:sz="36" w:space="4" w:color="2E75B6"/>
        </w:pBdr>
        <w:shd w:val="clear" w:color="auto" w:fill="E3EEF9"/>
        <w:spacing w:before="120" w:after="60"/>
        <w:ind w:left="85"/>
      </w:pPr>
      <w:r>
        <w:rPr>
          <w:i w:val="0"/>
          <w:color w:val="1F3A5F"/>
          <w:sz w:val="22"/>
        </w:rPr>
        <w:t xml:space="preserve">Art. 357</w:t>
      </w:r>
    </w:p>
    <w:p>
      <w:pPr>
        <w:pStyle w:val="FirstParagraph"/>
        <w:keepNext/>
        <w:spacing w:after="60"/>
        <w:jc w:val="both"/>
      </w:pPr>
      <w:r>
        <w:rPr>
          <w:b/>
          <w:bCs/>
        </w:rPr>
        <w:t xml:space="preserve">Art. 357.</w:t>
      </w:r>
      <w:r>
        <w:t xml:space="preserve"> </w:t>
      </w:r>
      <w:r>
        <w:t xml:space="preserve">Não ocorrendo nenhuma das hipóteses deste Capítulo, deverá o juiz, em decisão de saneamento e de organização do processo: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746"/>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46"/>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Julgamento antecipado e saneamento</w:t>
            </w:r>
          </w:p>
        </w:tc>
        <w:tc>
          <w:tcPr>
            <w:tcW w:type="dxa" w:w="1655"/>
          </w:tcPr>
          <w:p>
            <w:pPr>
              <w:pStyle w:val="Compact"/>
              <w:spacing w:line="276" w:lineRule="auto" w:before="40" w:after="40"/>
            </w:pPr>
            <w:r>
              <w:rPr>
                <w:rFonts w:ascii="Liberation Sans Narrow" w:hAnsi="Liberation Sans Narrow"/>
                <w:sz w:val="17"/>
              </w:rPr>
              <w:t xml:space="preserve">STJ, AREsp 2.766.779, Quarta Turma, relator Min. João Otávio de Noronha, julgado em 16/03/2026, DJEN de 19/03/2026</w:t>
            </w:r>
          </w:p>
        </w:tc>
        <w:tc>
          <w:tcPr>
            <w:tcW w:type="dxa" w:w="1746"/>
          </w:tcPr>
          <w:p>
            <w:pPr>
              <w:pStyle w:val="Compact"/>
              <w:spacing w:line="276" w:lineRule="auto" w:before="40" w:after="40"/>
            </w:pPr>
            <w:r>
              <w:rPr>
                <w:rFonts w:ascii="Liberation Sans Narrow" w:hAnsi="Liberation Sans Narrow"/>
                <w:sz w:val="17"/>
              </w:rPr>
              <w:t xml:space="preserve">Afastado o cerceamento de defesa por julgamento antecipado sem saneamento e sem prova oral: a Corte de origem reputou suficiente a prova documental, e o reexame do acervo probatório é vedado pela Súmula 7/STJ. Recurso especial conhecido em parte e desprovido.</w:t>
            </w:r>
          </w:p>
        </w:tc>
      </w:tr>
    </w:tbl>
    <w:p>
      <w:pPr>
        <w:pStyle w:val="BodyText"/>
        <w:spacing w:after="60"/>
        <w:jc w:val="both"/>
      </w:pPr>
      <w:r>
        <w:t xml:space="preserve">I - resolver as questões processuais pendentes, se houver;</w:t>
      </w:r>
    </w:p>
    <w:p>
      <w:pPr>
        <w:pStyle w:val="BodyText"/>
        <w:spacing w:after="60"/>
        <w:jc w:val="both"/>
      </w:pPr>
      <w:r>
        <w:t xml:space="preserve">II - delimitar as questões de fato sobre as quais recairá a atividade probatória, especificando os meios de prova admitidos;</w:t>
      </w:r>
    </w:p>
    <w:p>
      <w:pPr>
        <w:pStyle w:val="BodyText"/>
        <w:spacing w:after="60"/>
        <w:jc w:val="both"/>
      </w:pPr>
      <w:r>
        <w:t xml:space="preserve">III - definir a distribuição do ônus da prova, observado o art. 373;</w:t>
      </w:r>
    </w:p>
    <w:p>
      <w:pPr>
        <w:pStyle w:val="BodyText"/>
        <w:spacing w:after="60"/>
        <w:jc w:val="both"/>
      </w:pPr>
      <w:r>
        <w:t xml:space="preserve">IV - delimitar as questões de direito relevantes para a decisão do mérito;</w:t>
      </w:r>
    </w:p>
    <w:p>
      <w:pPr>
        <w:pStyle w:val="BodyText"/>
        <w:spacing w:after="60"/>
        <w:jc w:val="both"/>
      </w:pPr>
      <w:r>
        <w:t xml:space="preserve">V - designar, se necessário, audiência de instrução e julgamento.</w:t>
      </w:r>
    </w:p>
    <w:p>
      <w:pPr>
        <w:pStyle w:val="BodyText"/>
        <w:keepNext/>
        <w:spacing w:after="60"/>
        <w:jc w:val="both"/>
      </w:pPr>
      <w:r>
        <w:t xml:space="preserve">§ 1º Realizado o saneamento, as partes têm o direito de pedir esclarecimentos ou solicitar ajustes, no prazo comum de 5 (cinco) dias, findo o qual a decisão se torna estável.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154"/>
        <w:gridCol w:w="1655"/>
        <w:gridCol w:w="2279"/>
      </w:tblGrid>
      <w:tr>
        <w:trPr>
          <w:tblHeader w:val="on"/>
          <w:cantSplit/>
          <w:tblHeader/>
        </w:trPr>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154"/>
          </w:tcPr>
          <w:p>
            <w:pPr>
              <w:pStyle w:val="Compact"/>
              <w:spacing w:line="276" w:lineRule="auto" w:before="40" w:after="40"/>
            </w:pPr>
            <w:r>
              <w:rPr>
                <w:rFonts w:ascii="Liberation Sans Narrow" w:hAnsi="Liberation Sans Narrow"/>
                <w:sz w:val="17"/>
              </w:rPr>
              <w:t xml:space="preserve">Art. 357, § 1º: estabilização após a deliberação do juiz</w:t>
            </w:r>
          </w:p>
        </w:tc>
        <w:tc>
          <w:tcPr>
            <w:tcW w:type="dxa" w:w="1655"/>
          </w:tcPr>
          <w:p>
            <w:pPr>
              <w:pStyle w:val="Compact"/>
              <w:spacing w:line="276" w:lineRule="auto" w:before="40" w:after="40"/>
            </w:pPr>
            <w:r>
              <w:rPr>
                <w:rFonts w:ascii="Liberation Sans Narrow" w:hAnsi="Liberation Sans Narrow"/>
                <w:sz w:val="17"/>
              </w:rPr>
              <w:t xml:space="preserve">STJ, AREsp 3.071.983, Terceira Turma, relator Min. Ricardo Villas Bôas Cueva, julgado em 15/06/2026, DJEN de 18/06/2026</w:t>
            </w:r>
          </w:p>
        </w:tc>
        <w:tc>
          <w:tcPr>
            <w:tcW w:type="dxa" w:w="2279"/>
          </w:tcPr>
          <w:p>
            <w:pPr>
              <w:pStyle w:val="Compact"/>
              <w:spacing w:line="276" w:lineRule="auto" w:before="40" w:after="40"/>
            </w:pPr>
            <w:r>
              <w:rPr>
                <w:rFonts w:ascii="Liberation Sans Narrow" w:hAnsi="Liberation Sans Narrow"/>
                <w:sz w:val="17"/>
              </w:rPr>
              <w:t xml:space="preserve">Mesma orientação: estabilizada a decisão após a deliberação do juiz sobre o requerimento ou o transcurso do prazo de 5 dias. Recurso especial provido; o tribunal deve prosseguir na apreciação do agravo de instrumento.</w:t>
            </w:r>
          </w:p>
        </w:tc>
      </w:tr>
      <w:tr>
        <w:trPr>
          <w:cantSplit/>
        </w:trPr>
        <w:tc>
          <w:tcPr>
            <w:tcW w:type="dxa" w:w="2154"/>
          </w:tcPr>
          <w:p>
            <w:pPr>
              <w:pStyle w:val="Compact"/>
              <w:spacing w:line="276" w:lineRule="auto" w:before="40" w:after="40"/>
            </w:pPr>
            <w:r>
              <w:rPr>
                <w:rFonts w:ascii="Liberation Sans Narrow" w:hAnsi="Liberation Sans Narrow"/>
                <w:sz w:val="17"/>
              </w:rPr>
              <w:t xml:space="preserve">Art. 357, § 1º: redação da tese e termo inicial do prazo</w:t>
            </w:r>
          </w:p>
        </w:tc>
        <w:tc>
          <w:tcPr>
            <w:tcW w:type="dxa" w:w="1655"/>
          </w:tcPr>
          <w:p>
            <w:pPr>
              <w:pStyle w:val="Compact"/>
              <w:spacing w:line="276" w:lineRule="auto" w:before="40" w:after="40"/>
            </w:pPr>
            <w:r>
              <w:rPr>
                <w:rFonts w:ascii="Liberation Sans Narrow" w:hAnsi="Liberation Sans Narrow"/>
                <w:sz w:val="17"/>
              </w:rPr>
              <w:t xml:space="preserve">STJ, AgInt no AREsp 2.957.383, Quarta Turma, relator Min. Antonio Carlos Ferreira, julgado em 30/03/2026, DJEN de 07/04/2026</w:t>
            </w:r>
          </w:p>
        </w:tc>
        <w:tc>
          <w:tcPr>
            <w:tcW w:type="dxa" w:w="2279"/>
          </w:tcPr>
          <w:p>
            <w:pPr>
              <w:pStyle w:val="Compact"/>
              <w:spacing w:line="276" w:lineRule="auto" w:before="40" w:after="40"/>
            </w:pPr>
            <w:r>
              <w:rPr>
                <w:rFonts w:ascii="Liberation Sans Narrow" w:hAnsi="Liberation Sans Narrow"/>
                <w:sz w:val="17"/>
              </w:rPr>
              <w:t xml:space="preserve">Transcreve o REsp 1.703.571/DF (Quarta Turma, 2022): o prazo só se inicia depois de publicada a deliberação do juiz sobre os esclarecimentos ou, sem requerimento, com o transcurso dos 5 dias. Agravo interno parcialmente provido.</w:t>
            </w:r>
          </w:p>
        </w:tc>
      </w:tr>
      <w:tr>
        <w:trPr>
          <w:cantSplit/>
        </w:trPr>
        <w:tc>
          <w:tcPr>
            <w:tcW w:type="dxa" w:w="2154"/>
          </w:tcPr>
          <w:p>
            <w:pPr>
              <w:pStyle w:val="Compact"/>
              <w:spacing w:line="276" w:lineRule="auto" w:before="40" w:after="40"/>
            </w:pPr>
            <w:r>
              <w:rPr>
                <w:rFonts w:ascii="Liberation Sans Narrow" w:hAnsi="Liberation Sans Narrow"/>
                <w:sz w:val="17"/>
              </w:rPr>
              <w:t xml:space="preserve">Art. 357, § 1º: termo inicial do agravo de instrumento após pedido de esclarecimentos</w:t>
            </w:r>
          </w:p>
        </w:tc>
        <w:tc>
          <w:tcPr>
            <w:tcW w:type="dxa" w:w="1655"/>
          </w:tcPr>
          <w:p>
            <w:pPr>
              <w:pStyle w:val="Compact"/>
              <w:spacing w:line="276" w:lineRule="auto" w:before="40" w:after="40"/>
            </w:pPr>
            <w:r>
              <w:rPr>
                <w:rFonts w:ascii="Liberation Sans Narrow" w:hAnsi="Liberation Sans Narrow"/>
                <w:sz w:val="17"/>
              </w:rPr>
              <w:t xml:space="preserve">STJ, REsp 2.111.849, Terceira Turma, relator Min. Ricardo Villas Bôas Cueva, julgado em 09/03/2026, DJEN de 12/03/2026</w:t>
            </w:r>
          </w:p>
        </w:tc>
        <w:tc>
          <w:tcPr>
            <w:tcW w:type="dxa" w:w="2279"/>
          </w:tcPr>
          <w:p>
            <w:pPr>
              <w:pStyle w:val="Compact"/>
              <w:spacing w:line="276" w:lineRule="auto" w:before="40" w:after="40"/>
            </w:pPr>
            <w:r>
              <w:rPr>
                <w:rFonts w:ascii="Liberation Sans Narrow" w:hAnsi="Liberation Sans Narrow"/>
                <w:sz w:val="17"/>
              </w:rPr>
              <w:t xml:space="preserve">O termo inicial para interpor agravo de instrumento, havendo o pedido do § 1º, só começa depois de estabilizada a decisão de saneamento, ou seja, depois de publicada a deliberação do juiz sobre os esclarecimentos. Recurso especial provido.</w:t>
            </w:r>
          </w:p>
        </w:tc>
      </w:tr>
      <w:tr>
        <w:trPr>
          <w:cantSplit/>
        </w:trPr>
        <w:tc>
          <w:tcPr>
            <w:tcW w:type="dxa" w:w="2154"/>
          </w:tcPr>
          <w:p>
            <w:pPr>
              <w:pStyle w:val="Compact"/>
              <w:spacing w:line="276" w:lineRule="auto" w:before="40" w:after="40"/>
            </w:pPr>
            <w:r>
              <w:rPr>
                <w:rFonts w:ascii="Liberation Sans Narrow" w:hAnsi="Liberation Sans Narrow"/>
                <w:sz w:val="17"/>
              </w:rPr>
              <w:t xml:space="preserve">Art. 357, § 1º: petição posterior ao saneador como pedido de reconsideração</w:t>
            </w:r>
          </w:p>
        </w:tc>
        <w:tc>
          <w:tcPr>
            <w:tcW w:type="dxa" w:w="1655"/>
          </w:tcPr>
          <w:p>
            <w:pPr>
              <w:pStyle w:val="Compact"/>
              <w:spacing w:line="276" w:lineRule="auto" w:before="40" w:after="40"/>
            </w:pPr>
            <w:r>
              <w:rPr>
                <w:rFonts w:ascii="Liberation Sans Narrow" w:hAnsi="Liberation Sans Narrow"/>
                <w:sz w:val="17"/>
              </w:rPr>
              <w:t xml:space="preserve">STJ, REsp 2.225.725, Terceira Turma, relator Min. Humberto Martins, julgado em 02/03/2026, DJEN de 05/03/2026</w:t>
            </w:r>
          </w:p>
        </w:tc>
        <w:tc>
          <w:tcPr>
            <w:tcW w:type="dxa" w:w="2279"/>
          </w:tcPr>
          <w:p>
            <w:pPr>
              <w:pStyle w:val="Compact"/>
              <w:spacing w:line="276" w:lineRule="auto" w:before="40" w:after="40"/>
            </w:pPr>
            <w:r>
              <w:rPr>
                <w:rFonts w:ascii="Liberation Sans Narrow" w:hAnsi="Liberation Sans Narrow"/>
                <w:sz w:val="17"/>
              </w:rPr>
              <w:t xml:space="preserve">A qualificação, pela instância ordinária, da petição apresentada após o saneador como pedido de reconsideração, e não como exercício do direito do § 1º, é juízo fático insuscetível de reexame em recurso especial (Súmula 7/STJ); o art. 357, § 1º, não autoriza aplicar por analogia o regime dos embargos de declaração (arts. 1.024, § 4º, e 1.026) à suspensão do prazo recursal.</w:t>
            </w:r>
          </w:p>
        </w:tc>
      </w:tr>
    </w:tbl>
    <w:p>
      <w:pPr>
        <w:pStyle w:val="BodyText"/>
        <w:spacing w:after="60"/>
        <w:jc w:val="both"/>
      </w:pPr>
      <w:r>
        <w:t xml:space="preserve">§ 2º As partes podem apresentar ao juiz, para homologação, delimitação consensual das questões de fato e de direito a que se referem os incisos II e IV, a qual, se homologada, vincula as partes e o juiz.</w:t>
      </w:r>
    </w:p>
    <w:p>
      <w:pPr>
        <w:pStyle w:val="BodyText"/>
        <w:spacing w:after="60"/>
        <w:jc w:val="both"/>
      </w:pPr>
      <w:r>
        <w:t xml:space="preserve">§ 3º Se a causa apresentar complexidade em matéria de fato ou de direito, deverá o juiz designar audiência para que o saneamento seja feito em cooperação com as partes, oportunidade em que o juiz, se for o caso, convidará as partes a integrar ou esclarecer suas alegações.</w:t>
      </w:r>
    </w:p>
    <w:p>
      <w:pPr>
        <w:pStyle w:val="BodyText"/>
        <w:spacing w:after="60"/>
        <w:jc w:val="both"/>
      </w:pPr>
      <w:r>
        <w:t xml:space="preserve">§ 4º Caso tenha sido determinada a produção de prova testemunhal, o juiz fixará prazo comum não superior a 15 (quinze) dias para que as partes apresentem rol de testemunhas.</w:t>
      </w:r>
    </w:p>
    <w:p>
      <w:pPr>
        <w:pStyle w:val="BodyText"/>
        <w:spacing w:after="60"/>
        <w:jc w:val="both"/>
      </w:pPr>
      <w:r>
        <w:t xml:space="preserve">§ 5º Na hipótese do § 3º, as partes devem levar, para a audiência prevista, o respectivo rol de testemunhas.</w:t>
      </w:r>
    </w:p>
    <w:p>
      <w:pPr>
        <w:pStyle w:val="BodyText"/>
        <w:spacing w:after="60"/>
        <w:jc w:val="both"/>
      </w:pPr>
      <w:r>
        <w:t xml:space="preserve">§ 6º O número de testemunhas arroladas não pode ser superior a 10 (dez), sendo 3 (três), no máximo, para a prova de cada fato.</w:t>
      </w:r>
    </w:p>
    <w:p>
      <w:pPr>
        <w:pStyle w:val="BodyText"/>
        <w:spacing w:after="60"/>
        <w:jc w:val="both"/>
      </w:pPr>
      <w:r>
        <w:t xml:space="preserve">§ 7º O juiz poderá limitar o número de testemunhas levando em conta a complexidade da causa e dos fatos individualmente considerados.</w:t>
      </w:r>
    </w:p>
    <w:p>
      <w:pPr>
        <w:pStyle w:val="BodyText"/>
        <w:spacing w:after="60"/>
        <w:jc w:val="both"/>
      </w:pPr>
      <w:r>
        <w:t xml:space="preserve">§ 8º Caso tenha sido determinada a produção de prova pericial, o juiz deve observar o disposto no art. 465 e, se possível, estabelecer, desde logo, calendário para sua realização.</w:t>
      </w:r>
    </w:p>
    <w:p>
      <w:pPr>
        <w:pStyle w:val="BodyText"/>
        <w:spacing w:after="60"/>
        <w:jc w:val="both"/>
      </w:pPr>
      <w:r>
        <w:t xml:space="preserve">§ 9º As pautas deverão ser preparadas com intervalo mínimo de 1 (uma) hora entre as audiências.</w:t>
      </w:r>
    </w:p>
    <w:bookmarkEnd w:id="72"/>
    <w:bookmarkEnd w:id="73"/>
    <w:bookmarkEnd w:id="74"/>
    <w:bookmarkStart w:id="86" w:name="X276c0df71e574d24880d99df24e8a46b41afa56"/>
    <w:p>
      <w:pPr>
        <w:pStyle w:val="Heading4"/>
        <w:spacing w:before="80" w:after="40"/>
      </w:pPr>
      <w:r>
        <w:rPr>
          <w:smallCaps/>
          <w:color w:val="2E75B6"/>
        </w:rPr>
        <w:t xml:space="preserve">Capítulo XI: da audiência de instrução e julgamento (arts. 358 a 368)</w:t>
      </w:r>
    </w:p>
    <w:bookmarkStart w:id="75" w:name="art.-358"/>
    <w:p>
      <w:pPr>
        <w:pStyle w:val="Heading6"/>
        <w:pBdr>
          <w:left w:val="single" w:sz="36" w:space="4" w:color="2E75B6"/>
        </w:pBdr>
        <w:shd w:val="clear" w:color="auto" w:fill="E3EEF9"/>
        <w:spacing w:before="120" w:after="60"/>
        <w:ind w:left="85"/>
      </w:pPr>
      <w:r>
        <w:rPr>
          <w:i w:val="0"/>
          <w:color w:val="1F3A5F"/>
          <w:sz w:val="22"/>
        </w:rPr>
        <w:t xml:space="preserve">Art. 358</w:t>
      </w:r>
    </w:p>
    <w:p>
      <w:pPr>
        <w:pStyle w:val="FirstParagraph"/>
        <w:spacing w:after="60"/>
        <w:jc w:val="both"/>
      </w:pPr>
      <w:r>
        <w:rPr>
          <w:b/>
          <w:bCs/>
        </w:rPr>
        <w:t xml:space="preserve">Art. 358.</w:t>
      </w:r>
      <w:r>
        <w:t xml:space="preserve"> </w:t>
      </w:r>
      <w:r>
        <w:t xml:space="preserve">No dia e na hora designados, o juiz declarará aberta a audiência de instrução e julgamento e mandará apregoar as partes e os respectivos advogados, bem como outras pessoas que dela devam participar.</w:t>
      </w:r>
    </w:p>
    <w:bookmarkEnd w:id="75"/>
    <w:bookmarkStart w:id="76" w:name="art.-359"/>
    <w:p>
      <w:pPr>
        <w:pStyle w:val="Heading6"/>
        <w:pBdr>
          <w:left w:val="single" w:sz="36" w:space="4" w:color="2E75B6"/>
        </w:pBdr>
        <w:shd w:val="clear" w:color="auto" w:fill="E3EEF9"/>
        <w:spacing w:before="120" w:after="60"/>
        <w:ind w:left="85"/>
      </w:pPr>
      <w:r>
        <w:rPr>
          <w:i w:val="0"/>
          <w:color w:val="1F3A5F"/>
          <w:sz w:val="22"/>
        </w:rPr>
        <w:t xml:space="preserve">Art. 359</w:t>
      </w:r>
    </w:p>
    <w:p>
      <w:pPr>
        <w:pStyle w:val="FirstParagraph"/>
        <w:spacing w:after="60"/>
        <w:jc w:val="both"/>
      </w:pPr>
      <w:r>
        <w:rPr>
          <w:b/>
          <w:bCs/>
        </w:rPr>
        <w:t xml:space="preserve">Art. 359.</w:t>
      </w:r>
      <w:r>
        <w:t xml:space="preserve"> </w:t>
      </w:r>
      <w:r>
        <w:t xml:space="preserve">Instalada a audiência, o juiz tentará conciliar as partes, independentemente do emprego anterior de outros métodos de solução consensual de conflitos, como a mediação e a arbitragem.</w:t>
      </w:r>
    </w:p>
    <w:bookmarkEnd w:id="76"/>
    <w:bookmarkStart w:id="77" w:name="art.-360"/>
    <w:p>
      <w:pPr>
        <w:pStyle w:val="Heading6"/>
        <w:pBdr>
          <w:left w:val="single" w:sz="36" w:space="4" w:color="2E75B6"/>
        </w:pBdr>
        <w:shd w:val="clear" w:color="auto" w:fill="E3EEF9"/>
        <w:spacing w:before="120" w:after="60"/>
        <w:ind w:left="85"/>
      </w:pPr>
      <w:r>
        <w:rPr>
          <w:i w:val="0"/>
          <w:color w:val="1F3A5F"/>
          <w:sz w:val="22"/>
        </w:rPr>
        <w:t xml:space="preserve">Art. 360</w:t>
      </w:r>
    </w:p>
    <w:p>
      <w:pPr>
        <w:pStyle w:val="FirstParagraph"/>
        <w:spacing w:after="60"/>
        <w:jc w:val="both"/>
      </w:pPr>
      <w:r>
        <w:rPr>
          <w:b/>
          <w:bCs/>
        </w:rPr>
        <w:t xml:space="preserve">Art. 360.</w:t>
      </w:r>
      <w:r>
        <w:t xml:space="preserve"> </w:t>
      </w:r>
      <w:r>
        <w:t xml:space="preserve">O juiz exerce o poder de polícia, incumbindo-lhe:</w:t>
      </w:r>
    </w:p>
    <w:p>
      <w:pPr>
        <w:pStyle w:val="BodyText"/>
        <w:spacing w:after="60"/>
        <w:jc w:val="both"/>
      </w:pPr>
      <w:r>
        <w:t xml:space="preserve">I - manter a ordem e o decoro na audiência;</w:t>
      </w:r>
    </w:p>
    <w:p>
      <w:pPr>
        <w:pStyle w:val="BodyText"/>
        <w:spacing w:after="60"/>
        <w:jc w:val="both"/>
      </w:pPr>
      <w:r>
        <w:t xml:space="preserve">II - ordenar que se retirem da sala de audiência os que se comportarem inconvenientemente;</w:t>
      </w:r>
    </w:p>
    <w:p>
      <w:pPr>
        <w:pStyle w:val="BodyText"/>
        <w:spacing w:after="60"/>
        <w:jc w:val="both"/>
      </w:pPr>
      <w:r>
        <w:t xml:space="preserve">III - requisitar, quando necessário, força policial;</w:t>
      </w:r>
    </w:p>
    <w:p>
      <w:pPr>
        <w:pStyle w:val="BodyText"/>
        <w:spacing w:after="60"/>
        <w:jc w:val="both"/>
      </w:pPr>
      <w:r>
        <w:t xml:space="preserve">IV - tratar com urbanidade as partes, os advogados, os membros do Ministério Público e da Defensoria Pública e qualquer pessoa que participe do processo;</w:t>
      </w:r>
    </w:p>
    <w:p>
      <w:pPr>
        <w:pStyle w:val="BodyText"/>
        <w:spacing w:after="60"/>
        <w:jc w:val="both"/>
      </w:pPr>
      <w:r>
        <w:t xml:space="preserve">V - registrar em ata, com exatidão, todos os requerimentos apresentados em audiência.</w:t>
      </w:r>
    </w:p>
    <w:bookmarkEnd w:id="77"/>
    <w:bookmarkStart w:id="78" w:name="art.-361"/>
    <w:p>
      <w:pPr>
        <w:pStyle w:val="Heading6"/>
        <w:pBdr>
          <w:left w:val="single" w:sz="36" w:space="4" w:color="2E75B6"/>
        </w:pBdr>
        <w:shd w:val="clear" w:color="auto" w:fill="E3EEF9"/>
        <w:spacing w:before="120" w:after="60"/>
        <w:ind w:left="85"/>
      </w:pPr>
      <w:r>
        <w:rPr>
          <w:i w:val="0"/>
          <w:color w:val="1F3A5F"/>
          <w:sz w:val="22"/>
        </w:rPr>
        <w:t xml:space="preserve">Art. 361</w:t>
      </w:r>
    </w:p>
    <w:p>
      <w:pPr>
        <w:pStyle w:val="FirstParagraph"/>
        <w:spacing w:after="60"/>
        <w:jc w:val="both"/>
      </w:pPr>
      <w:r>
        <w:rPr>
          <w:b/>
          <w:bCs/>
        </w:rPr>
        <w:t xml:space="preserve">Art. 361.</w:t>
      </w:r>
      <w:r>
        <w:t xml:space="preserve"> </w:t>
      </w:r>
      <w:r>
        <w:t xml:space="preserve">As provas orais serão produzidas em audiência, ouvindo-se nesta ordem, preferencialmente:</w:t>
      </w:r>
    </w:p>
    <w:p>
      <w:pPr>
        <w:pStyle w:val="BodyText"/>
        <w:keepNext/>
        <w:spacing w:after="60"/>
        <w:jc w:val="both"/>
      </w:pPr>
      <w:r>
        <w:t xml:space="preserve">I - o perito e os assistentes técnicos, que responderão aos quesitos de esclarecimentos requeridos no prazo e na forma do art. 477, caso não respondidos anteriormente por escrito;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154"/>
        <w:gridCol w:w="1530"/>
        <w:gridCol w:w="2528"/>
      </w:tblGrid>
      <w:tr>
        <w:trPr>
          <w:tblHeader w:val="on"/>
          <w:cantSplit/>
          <w:tblHeader/>
        </w:trPr>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52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154"/>
          </w:tcPr>
          <w:p>
            <w:pPr>
              <w:pStyle w:val="Compact"/>
              <w:spacing w:line="276" w:lineRule="auto" w:before="40" w:after="40"/>
            </w:pPr>
            <w:r>
              <w:rPr>
                <w:rFonts w:ascii="Liberation Sans Narrow" w:hAnsi="Liberation Sans Narrow"/>
                <w:sz w:val="17"/>
              </w:rPr>
              <w:t xml:space="preserve">I — oitiva do perito em audiência para esclarecimentos</w:t>
            </w:r>
          </w:p>
        </w:tc>
        <w:tc>
          <w:tcPr>
            <w:tcW w:type="dxa" w:w="1531"/>
          </w:tcPr>
          <w:p>
            <w:pPr>
              <w:pStyle w:val="Compact"/>
              <w:spacing w:line="276" w:lineRule="auto" w:before="40" w:after="40"/>
            </w:pPr>
            <w:r>
              <w:rPr>
                <w:rFonts w:ascii="Liberation Sans Narrow" w:hAnsi="Liberation Sans Narrow"/>
                <w:sz w:val="17"/>
              </w:rPr>
              <w:t xml:space="preserve">STJ, AgInt no REsp 1.796.125, Quarta Turma, relator Min. Raul Araújo</w:t>
            </w:r>
          </w:p>
        </w:tc>
        <w:tc>
          <w:tcPr>
            <w:tcW w:type="dxa" w:w="2529"/>
          </w:tcPr>
          <w:p>
            <w:pPr>
              <w:pStyle w:val="Compact"/>
              <w:spacing w:line="276" w:lineRule="auto" w:before="40" w:after="40"/>
            </w:pPr>
            <w:r>
              <w:rPr>
                <w:rFonts w:ascii="Liberation Sans Narrow" w:hAnsi="Liberation Sans Narrow"/>
                <w:sz w:val="17"/>
              </w:rPr>
              <w:t xml:space="preserve">Não configura cerceamento de defesa o indeferimento da oitiva do perito em audiência para esclarecimentos quando o Tribunal de origem, soberano na apreciação das provas, constata que as conclusões do laudo são claras e suficientes; rever esse entendimento exigiria reexame fático-probatório.</w:t>
            </w:r>
          </w:p>
        </w:tc>
      </w:tr>
    </w:tbl>
    <w:p>
      <w:pPr>
        <w:pStyle w:val="BodyText"/>
        <w:spacing w:after="60"/>
        <w:jc w:val="both"/>
      </w:pPr>
      <w:r>
        <w:t xml:space="preserve">II - o autor e, em seguida, o réu, que prestarão depoimentos pessoais;</w:t>
      </w:r>
    </w:p>
    <w:p>
      <w:pPr>
        <w:pStyle w:val="BodyText"/>
        <w:spacing w:after="60"/>
        <w:jc w:val="both"/>
      </w:pPr>
      <w:r>
        <w:t xml:space="preserve">III - as testemunhas arroladas pelo autor e pelo réu, que serão inquiridas.</w:t>
      </w:r>
    </w:p>
    <w:p>
      <w:pPr>
        <w:pStyle w:val="BodyText"/>
        <w:spacing w:after="60"/>
        <w:jc w:val="both"/>
      </w:pPr>
      <w:r>
        <w:t xml:space="preserve">Parágrafo único. Enquanto depuserem o perito, os assistentes técnicos, as partes e as testemunhas, não poderão os advogados e o Ministério Público intervir ou apartear, sem licença do juiz.</w:t>
      </w:r>
    </w:p>
    <w:bookmarkEnd w:id="78"/>
    <w:bookmarkStart w:id="79" w:name="art.-362"/>
    <w:p>
      <w:pPr>
        <w:pStyle w:val="Heading6"/>
        <w:pBdr>
          <w:left w:val="single" w:sz="36" w:space="4" w:color="2E75B6"/>
        </w:pBdr>
        <w:shd w:val="clear" w:color="auto" w:fill="E3EEF9"/>
        <w:spacing w:before="120" w:after="60"/>
        <w:ind w:left="85"/>
      </w:pPr>
      <w:r>
        <w:rPr>
          <w:i w:val="0"/>
          <w:color w:val="1F3A5F"/>
          <w:sz w:val="22"/>
        </w:rPr>
        <w:t xml:space="preserve">Art. 362</w:t>
      </w:r>
    </w:p>
    <w:p>
      <w:pPr>
        <w:pStyle w:val="FirstParagraph"/>
        <w:spacing w:after="60"/>
        <w:jc w:val="both"/>
      </w:pPr>
      <w:r>
        <w:rPr>
          <w:b/>
          <w:bCs/>
        </w:rPr>
        <w:t xml:space="preserve">Art. 362.</w:t>
      </w:r>
      <w:r>
        <w:t xml:space="preserve"> </w:t>
      </w:r>
      <w:r>
        <w:t xml:space="preserve">A audiência poderá ser adiada:</w:t>
      </w:r>
    </w:p>
    <w:p>
      <w:pPr>
        <w:pStyle w:val="BodyText"/>
        <w:spacing w:after="60"/>
        <w:jc w:val="both"/>
      </w:pPr>
      <w:r>
        <w:t xml:space="preserve">I - por convenção das partes;</w:t>
      </w:r>
    </w:p>
    <w:p>
      <w:pPr>
        <w:pStyle w:val="BodyText"/>
        <w:spacing w:after="60"/>
        <w:jc w:val="both"/>
      </w:pPr>
      <w:r>
        <w:t xml:space="preserve">II - se não puder comparecer, por motivo justificado, qualquer pessoa que dela deva necessariamente participar;</w:t>
      </w:r>
    </w:p>
    <w:p>
      <w:pPr>
        <w:pStyle w:val="BodyText"/>
        <w:spacing w:after="60"/>
        <w:jc w:val="both"/>
      </w:pPr>
      <w:r>
        <w:t xml:space="preserve">III - por atraso injustificado de seu início em tempo superior a 30 (trinta) minutos do horário marcado.</w:t>
      </w:r>
    </w:p>
    <w:p>
      <w:pPr>
        <w:pStyle w:val="BodyText"/>
        <w:keepNext/>
        <w:spacing w:after="60"/>
        <w:jc w:val="both"/>
      </w:pPr>
      <w:r>
        <w:t xml:space="preserve">§ 1º O impedimento deverá ser comprovado até a abertura da audiência, e, não o sendo, o juiz procederá à instrução.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2154"/>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Art. 362, § 1º: comprovação do impedimento até a abertura da audiência</w:t>
            </w:r>
          </w:p>
        </w:tc>
        <w:tc>
          <w:tcPr>
            <w:tcW w:type="dxa" w:w="1655"/>
          </w:tcPr>
          <w:p>
            <w:pPr>
              <w:pStyle w:val="Compact"/>
              <w:spacing w:line="276" w:lineRule="auto" w:before="40" w:after="40"/>
            </w:pPr>
            <w:r>
              <w:rPr>
                <w:rFonts w:ascii="Liberation Sans Narrow" w:hAnsi="Liberation Sans Narrow"/>
                <w:sz w:val="17"/>
              </w:rPr>
              <w:t xml:space="preserve">STJ, AREsp 3.134.445, Terceira Turma, relator Min. Moura Ribeiro, julgado em 30/06/2026, DJEN de 03/07/2026</w:t>
            </w:r>
          </w:p>
        </w:tc>
        <w:tc>
          <w:tcPr>
            <w:tcW w:type="dxa" w:w="2154"/>
          </w:tcPr>
          <w:p>
            <w:pPr>
              <w:pStyle w:val="Compact"/>
              <w:spacing w:line="276" w:lineRule="auto" w:before="40" w:after="40"/>
            </w:pPr>
            <w:r>
              <w:rPr>
                <w:rFonts w:ascii="Liberation Sans Narrow" w:hAnsi="Liberation Sans Narrow"/>
                <w:sz w:val="17"/>
              </w:rPr>
              <w:t xml:space="preserve">A justificativa de ausência deve ser comprovada até a abertura da audiência, nos termos do art. 362, § 1º; a apresentação posterior, quando o ato já se encerrou e sem impedimento do patrono, não configura cerceamento de defesa. Agravo conhecido; recurso especial conhecido em parte e, nessa extensão, desprovido.</w:t>
            </w:r>
          </w:p>
        </w:tc>
      </w:tr>
      <w:tr>
        <w:trPr>
          <w:cantSplit/>
        </w:trPr>
        <w:tc>
          <w:tcPr>
            <w:tcW w:type="dxa" w:w="1655"/>
          </w:tcPr>
          <w:p>
            <w:pPr>
              <w:pStyle w:val="Compact"/>
              <w:spacing w:line="276" w:lineRule="auto" w:before="40" w:after="40"/>
            </w:pPr>
            <w:r>
              <w:rPr>
                <w:rFonts w:ascii="Liberation Sans Narrow" w:hAnsi="Liberation Sans Narrow"/>
                <w:sz w:val="17"/>
              </w:rPr>
              <w:t xml:space="preserve">Art. 362, § 1º: adiamento por motivo justificado e preclusão do direito à prova</w:t>
            </w:r>
          </w:p>
        </w:tc>
        <w:tc>
          <w:tcPr>
            <w:tcW w:type="dxa" w:w="1655"/>
          </w:tcPr>
          <w:p>
            <w:pPr>
              <w:pStyle w:val="Compact"/>
              <w:spacing w:line="276" w:lineRule="auto" w:before="40" w:after="40"/>
            </w:pPr>
            <w:r>
              <w:rPr>
                <w:rFonts w:ascii="Liberation Sans Narrow" w:hAnsi="Liberation Sans Narrow"/>
                <w:sz w:val="17"/>
              </w:rPr>
              <w:t xml:space="preserve">STJ, REsp 2.240.858, Quarta Turma, relatora Min. Maria Isabel Gallotti, julgado em 16/03/2026, DJEN de 19/03/2026</w:t>
            </w:r>
          </w:p>
        </w:tc>
        <w:tc>
          <w:tcPr>
            <w:tcW w:type="dxa" w:w="2154"/>
          </w:tcPr>
          <w:p>
            <w:pPr>
              <w:pStyle w:val="Compact"/>
              <w:spacing w:line="276" w:lineRule="auto" w:before="40" w:after="40"/>
            </w:pPr>
            <w:r>
              <w:rPr>
                <w:rFonts w:ascii="Liberation Sans Narrow" w:hAnsi="Liberation Sans Narrow"/>
                <w:sz w:val="17"/>
              </w:rPr>
              <w:t xml:space="preserve">A audiência pode ser adiada se não puder comparecer, por motivo justificado, qualquer pessoa que dela deva necessariamente participar, devendo o impedimento ser comprovado até a abertura da audiência; não o sendo, o juiz procederá à instrução. O cerceamento de defesa não se configura e o direito à prova precluiu pela ausência de manifestação oportuna. Recurso especial provido.</w:t>
            </w:r>
          </w:p>
        </w:tc>
      </w:tr>
    </w:tbl>
    <w:p>
      <w:pPr>
        <w:pStyle w:val="BodyText"/>
        <w:keepNext/>
        <w:spacing w:after="60"/>
        <w:jc w:val="both"/>
      </w:pPr>
      <w:r>
        <w:t xml:space="preserve">§ 2º O juiz poderá dispensar a produção das provas requeridas pela parte cujo advogado ou defensor público não tenha comparecido à audiência, aplicando-se a mesma regra ao Ministério Público.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1905"/>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Art. 362, § 2º: dispensa da prova testemunhal quando o advogado não comparece</w:t>
            </w:r>
          </w:p>
        </w:tc>
        <w:tc>
          <w:tcPr>
            <w:tcW w:type="dxa" w:w="1531"/>
          </w:tcPr>
          <w:p>
            <w:pPr>
              <w:pStyle w:val="Compact"/>
              <w:spacing w:line="276" w:lineRule="auto" w:before="40" w:after="40"/>
            </w:pPr>
            <w:r>
              <w:rPr>
                <w:rFonts w:ascii="Liberation Sans Narrow" w:hAnsi="Liberation Sans Narrow"/>
                <w:sz w:val="17"/>
              </w:rPr>
              <w:t xml:space="preserve">STJ, EDcl no AREsp 2.403.361, Terceira Turma, relator Min. Humberto Martins, DJe de 12/12/2024</w:t>
            </w:r>
          </w:p>
        </w:tc>
        <w:tc>
          <w:tcPr>
            <w:tcW w:type="dxa" w:w="1905"/>
          </w:tcPr>
          <w:p>
            <w:pPr>
              <w:pStyle w:val="Compact"/>
              <w:spacing w:line="276" w:lineRule="auto" w:before="40" w:after="40"/>
            </w:pPr>
            <w:r>
              <w:rPr>
                <w:rFonts w:ascii="Liberation Sans Narrow" w:hAnsi="Liberation Sans Narrow"/>
                <w:sz w:val="17"/>
              </w:rPr>
              <w:t xml:space="preserve">O juiz pode dispensar a prova testemunhal requerida pela parte cujos advogados não compareceram à audiência designada e não apresentaram justificativa (art. 362, § 2º). Constatado pelo acórdão recorrido que houve prejuízo à parte, rever esse entendimento exigiria reexame de fatos e provas (Súmula 7/STJ). Embargos de declaração rejeitados.</w:t>
            </w:r>
          </w:p>
        </w:tc>
      </w:tr>
    </w:tbl>
    <w:p>
      <w:pPr>
        <w:pStyle w:val="BodyText"/>
        <w:spacing w:after="60"/>
        <w:jc w:val="both"/>
      </w:pPr>
      <w:r>
        <w:t xml:space="preserve">§ 3º Quem der causa ao adiamento responderá pelas despesas acrescidas.</w:t>
      </w:r>
    </w:p>
    <w:bookmarkEnd w:id="79"/>
    <w:bookmarkStart w:id="80" w:name="art.-363"/>
    <w:p>
      <w:pPr>
        <w:pStyle w:val="Heading6"/>
        <w:pBdr>
          <w:left w:val="single" w:sz="36" w:space="4" w:color="2E75B6"/>
        </w:pBdr>
        <w:shd w:val="clear" w:color="auto" w:fill="E3EEF9"/>
        <w:spacing w:before="120" w:after="60"/>
        <w:ind w:left="85"/>
      </w:pPr>
      <w:r>
        <w:rPr>
          <w:i w:val="0"/>
          <w:color w:val="1F3A5F"/>
          <w:sz w:val="22"/>
        </w:rPr>
        <w:t xml:space="preserve">Art. 363</w:t>
      </w:r>
    </w:p>
    <w:p>
      <w:pPr>
        <w:pStyle w:val="FirstParagraph"/>
        <w:spacing w:after="60"/>
        <w:jc w:val="both"/>
      </w:pPr>
      <w:r>
        <w:rPr>
          <w:b/>
          <w:bCs/>
        </w:rPr>
        <w:t xml:space="preserve">Art. 363.</w:t>
      </w:r>
      <w:r>
        <w:t xml:space="preserve"> </w:t>
      </w:r>
      <w:r>
        <w:t xml:space="preserve">Havendo antecipação ou adiamento da audiência, o juiz, de ofício ou a requerimento da parte, determinará a intimação dos advogados ou da sociedade de advogados para ciência da nova designação.</w:t>
      </w:r>
    </w:p>
    <w:bookmarkEnd w:id="80"/>
    <w:bookmarkStart w:id="81" w:name="art.-364"/>
    <w:p>
      <w:pPr>
        <w:pStyle w:val="Heading6"/>
        <w:pBdr>
          <w:left w:val="single" w:sz="36" w:space="4" w:color="2E75B6"/>
        </w:pBdr>
        <w:shd w:val="clear" w:color="auto" w:fill="E3EEF9"/>
        <w:spacing w:before="120" w:after="60"/>
        <w:ind w:left="85"/>
      </w:pPr>
      <w:r>
        <w:rPr>
          <w:i w:val="0"/>
          <w:color w:val="1F3A5F"/>
          <w:sz w:val="22"/>
        </w:rPr>
        <w:t xml:space="preserve">Art. 364</w:t>
      </w:r>
    </w:p>
    <w:p>
      <w:pPr>
        <w:pStyle w:val="FirstParagraph"/>
        <w:keepNext/>
        <w:spacing w:after="60"/>
        <w:jc w:val="both"/>
      </w:pPr>
      <w:r>
        <w:rPr>
          <w:b/>
          <w:bCs/>
        </w:rPr>
        <w:t xml:space="preserve">Art. 364.</w:t>
      </w:r>
      <w:r>
        <w:t xml:space="preserve"> </w:t>
      </w:r>
      <w:r>
        <w:t xml:space="preserve">Finda a instrução, o juiz dará a palavra ao advogado do autor e do réu, bem como ao membro do Ministério Público, se for o caso de sua intervenção, sucessivamente, pelo prazo de 20 (vinte) minutos para cada um, prorrogável por 10 (dez) minutos, a critério do juiz.</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Art. 364: alegações finais e intimação pessoal do defensor público</w:t>
            </w:r>
          </w:p>
        </w:tc>
        <w:tc>
          <w:tcPr>
            <w:tcW w:type="dxa" w:w="1531"/>
          </w:tcPr>
          <w:p>
            <w:pPr>
              <w:pStyle w:val="Compact"/>
              <w:spacing w:line="276" w:lineRule="auto" w:before="40" w:after="40"/>
            </w:pPr>
            <w:r>
              <w:rPr>
                <w:rFonts w:ascii="Liberation Sans Narrow" w:hAnsi="Liberation Sans Narrow"/>
                <w:sz w:val="17"/>
              </w:rPr>
              <w:t xml:space="preserve">STJ, AgInt no REsp 1.578.352, Quarta Turma, relatora Min. Maria Isabel Gallotti, DJe de 12/09/2025</w:t>
            </w:r>
          </w:p>
        </w:tc>
        <w:tc>
          <w:tcPr>
            <w:tcW w:type="dxa" w:w="1905"/>
          </w:tcPr>
          <w:p>
            <w:pPr>
              <w:pStyle w:val="Compact"/>
              <w:spacing w:line="276" w:lineRule="auto" w:before="40" w:after="40"/>
            </w:pPr>
            <w:r>
              <w:rPr>
                <w:rFonts w:ascii="Liberation Sans Narrow" w:hAnsi="Liberation Sans Narrow"/>
                <w:sz w:val="17"/>
              </w:rPr>
              <w:t xml:space="preserve">A ausência de intimação pessoal do defensor público, com vista dos autos, para a apresentação de alegações finais, especialmente quando há demonstração concreta de prejuízo à parte, causa nulidade dos atos decisórios posteriores. Agravo interno provido.</w:t>
            </w:r>
          </w:p>
        </w:tc>
      </w:tr>
    </w:tbl>
    <w:p>
      <w:pPr>
        <w:pStyle w:val="BodyText"/>
        <w:spacing w:after="60"/>
        <w:jc w:val="both"/>
      </w:pPr>
      <w:r>
        <w:t xml:space="preserve">§ 1º Havendo litisconsorte ou terceiro interveniente, o prazo, que formará com o da prorrogação um só todo, dividir-se-á entre os do mesmo grupo, se não convencionarem de modo diverso.</w:t>
      </w:r>
    </w:p>
    <w:p>
      <w:pPr>
        <w:pStyle w:val="BodyText"/>
        <w:keepNext/>
        <w:spacing w:after="60"/>
        <w:jc w:val="both"/>
      </w:pPr>
      <w:r>
        <w:t xml:space="preserve">§ 2º Quando a causa apresentar questões complexas de fato ou de direito, o debate oral poderá ser substituído por razões finais escritas, que serão apresentadas pelo autor e pelo réu, bem como pelo Ministério Público, se for o caso de sua intervenção, em prazos sucessivos de 15 (quinze) dias, assegurada vista dos autos.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Art. 364, § 2º: memoriais finais e julgamento antecipado</w:t>
            </w:r>
          </w:p>
        </w:tc>
        <w:tc>
          <w:tcPr>
            <w:tcW w:type="dxa" w:w="1655"/>
          </w:tcPr>
          <w:p>
            <w:pPr>
              <w:pStyle w:val="Compact"/>
              <w:spacing w:line="276" w:lineRule="auto" w:before="40" w:after="40"/>
            </w:pPr>
            <w:r>
              <w:rPr>
                <w:rFonts w:ascii="Liberation Sans Narrow" w:hAnsi="Liberation Sans Narrow"/>
                <w:sz w:val="17"/>
              </w:rPr>
              <w:t xml:space="preserve">STJ, AgInt no AREsp 3.086.128, Quarta Turma, relator Min. Raul Araújo, julgado em 08/06/2026, DJEN de 12/06/2026</w:t>
            </w:r>
          </w:p>
        </w:tc>
        <w:tc>
          <w:tcPr>
            <w:tcW w:type="dxa" w:w="1905"/>
          </w:tcPr>
          <w:p>
            <w:pPr>
              <w:pStyle w:val="Compact"/>
              <w:spacing w:line="276" w:lineRule="auto" w:before="40" w:after="40"/>
            </w:pPr>
            <w:r>
              <w:rPr>
                <w:rFonts w:ascii="Liberation Sans Narrow" w:hAnsi="Liberation Sans Narrow"/>
                <w:sz w:val="17"/>
              </w:rPr>
              <w:t xml:space="preserve">A fase de memoriais finais do art. 364, § 2º, pressupõe a realização de audiência; no julgamento antecipado do mérito (art. 355, I), é desnecessária a audiência e, por conseguinte, inexiste obrigação de abertura de prazo para memoriais, não havendo nulidade. Agravo interno desprovido.</w:t>
            </w:r>
          </w:p>
        </w:tc>
      </w:tr>
    </w:tbl>
    <w:bookmarkEnd w:id="81"/>
    <w:bookmarkStart w:id="82" w:name="art.-365"/>
    <w:p>
      <w:pPr>
        <w:pStyle w:val="Heading6"/>
        <w:pBdr>
          <w:left w:val="single" w:sz="36" w:space="4" w:color="2E75B6"/>
        </w:pBdr>
        <w:shd w:val="clear" w:color="auto" w:fill="E3EEF9"/>
        <w:spacing w:before="120" w:after="60"/>
        <w:ind w:left="85"/>
      </w:pPr>
      <w:r>
        <w:rPr>
          <w:i w:val="0"/>
          <w:color w:val="1F3A5F"/>
          <w:sz w:val="22"/>
        </w:rPr>
        <w:t xml:space="preserve">Art. 365</w:t>
      </w:r>
    </w:p>
    <w:p>
      <w:pPr>
        <w:pStyle w:val="FirstParagraph"/>
        <w:spacing w:after="60"/>
        <w:jc w:val="both"/>
      </w:pPr>
      <w:r>
        <w:rPr>
          <w:b/>
          <w:bCs/>
        </w:rPr>
        <w:t xml:space="preserve">Art. 365.</w:t>
      </w:r>
      <w:r>
        <w:t xml:space="preserve"> </w:t>
      </w:r>
      <w:r>
        <w:t xml:space="preserve">A audiência é una e contínua, podendo ser excepcional e justificadamente cindida na ausência de perito ou de testemunha, desde que haja concordância das partes.</w:t>
      </w:r>
    </w:p>
    <w:p>
      <w:pPr>
        <w:pStyle w:val="BodyText"/>
        <w:spacing w:after="60"/>
        <w:jc w:val="both"/>
      </w:pPr>
      <w:r>
        <w:t xml:space="preserve">Parágrafo único. Diante da impossibilidade de realização da instrução, do debate e do julgamento no mesmo dia, o juiz marcará seu prosseguimento para a data mais próxima possível, em pauta preferencial.</w:t>
      </w:r>
    </w:p>
    <w:bookmarkEnd w:id="82"/>
    <w:bookmarkStart w:id="83" w:name="art.-366"/>
    <w:p>
      <w:pPr>
        <w:pStyle w:val="Heading6"/>
        <w:pBdr>
          <w:left w:val="single" w:sz="36" w:space="4" w:color="2E75B6"/>
        </w:pBdr>
        <w:shd w:val="clear" w:color="auto" w:fill="E3EEF9"/>
        <w:spacing w:before="120" w:after="60"/>
        <w:ind w:left="85"/>
      </w:pPr>
      <w:r>
        <w:rPr>
          <w:i w:val="0"/>
          <w:color w:val="1F3A5F"/>
          <w:sz w:val="22"/>
        </w:rPr>
        <w:t xml:space="preserve">Art. 366</w:t>
      </w:r>
    </w:p>
    <w:p>
      <w:pPr>
        <w:pStyle w:val="FirstParagraph"/>
        <w:spacing w:after="60"/>
        <w:jc w:val="both"/>
      </w:pPr>
      <w:r>
        <w:rPr>
          <w:b/>
          <w:bCs/>
        </w:rPr>
        <w:t xml:space="preserve">Art. 366.</w:t>
      </w:r>
      <w:r>
        <w:t xml:space="preserve"> </w:t>
      </w:r>
      <w:r>
        <w:t xml:space="preserve">Encerrado o debate ou oferecidas as razões finais, o juiz proferirá sentença em audiência ou no prazo de 30 (trinta) dias.</w:t>
      </w:r>
    </w:p>
    <w:bookmarkEnd w:id="83"/>
    <w:bookmarkStart w:id="84" w:name="art.-367"/>
    <w:p>
      <w:pPr>
        <w:pStyle w:val="Heading6"/>
        <w:pBdr>
          <w:left w:val="single" w:sz="36" w:space="4" w:color="2E75B6"/>
        </w:pBdr>
        <w:shd w:val="clear" w:color="auto" w:fill="E3EEF9"/>
        <w:spacing w:before="120" w:after="60"/>
        <w:ind w:left="85"/>
      </w:pPr>
      <w:r>
        <w:rPr>
          <w:i w:val="0"/>
          <w:color w:val="1F3A5F"/>
          <w:sz w:val="22"/>
        </w:rPr>
        <w:t xml:space="preserve">Art. 367</w:t>
      </w:r>
    </w:p>
    <w:p>
      <w:pPr>
        <w:pStyle w:val="FirstParagraph"/>
        <w:spacing w:after="60"/>
        <w:jc w:val="both"/>
      </w:pPr>
      <w:r>
        <w:rPr>
          <w:b/>
          <w:bCs/>
        </w:rPr>
        <w:t xml:space="preserve">Art. 367.</w:t>
      </w:r>
      <w:r>
        <w:t xml:space="preserve"> </w:t>
      </w:r>
      <w:r>
        <w:t xml:space="preserve">O servidor lavrará, sob ditado do juiz, termo que conterá, em resumo, o ocorrido na audiência, bem como, por extenso, os despachos, as decisões e a sentença, se proferida no ato.</w:t>
      </w:r>
    </w:p>
    <w:p>
      <w:pPr>
        <w:pStyle w:val="BodyText"/>
        <w:spacing w:after="60"/>
        <w:jc w:val="both"/>
      </w:pPr>
      <w:r>
        <w:t xml:space="preserve">§ 1º Quando o termo não for registrado em meio eletrônico, o juiz rubricar-lhe-á as folhas, que serão encadernadas em volume próprio.</w:t>
      </w:r>
    </w:p>
    <w:p>
      <w:pPr>
        <w:pStyle w:val="BodyText"/>
        <w:spacing w:after="60"/>
        <w:jc w:val="both"/>
      </w:pPr>
      <w:r>
        <w:t xml:space="preserve">§ 2º Subscreverão o termo o juiz, os advogados, o membro do Ministério Público e o escrivão ou chefe de secretaria, dispensadas as partes, exceto quando houver ato de disposição para cuja prática os advogados não tenham poderes.</w:t>
      </w:r>
    </w:p>
    <w:p>
      <w:pPr>
        <w:pStyle w:val="BodyText"/>
        <w:spacing w:after="60"/>
        <w:jc w:val="both"/>
      </w:pPr>
      <w:r>
        <w:t xml:space="preserve">§ 3º O escrivão ou chefe de secretaria trasladará para os autos cópia autêntica do termo de audiência.</w:t>
      </w:r>
    </w:p>
    <w:p>
      <w:pPr>
        <w:pStyle w:val="BodyText"/>
        <w:spacing w:after="60"/>
        <w:jc w:val="both"/>
      </w:pPr>
      <w:r>
        <w:t xml:space="preserve">§ 4º Tratando-se de autos eletrônicos, observar-se-á o disposto neste Código, em legislação específica e nas normas internas dos tribunais.</w:t>
      </w:r>
    </w:p>
    <w:p>
      <w:pPr>
        <w:pStyle w:val="BodyText"/>
        <w:spacing w:after="60"/>
        <w:jc w:val="both"/>
      </w:pPr>
      <w:r>
        <w:t xml:space="preserve">§ 5º A audiência poderá ser integralmente gravada em imagem e em áudio, em meio digital ou analógico, desde que assegure o rápido acesso das partes e dos órgãos julgadores, observada a legislação específica.</w:t>
      </w:r>
    </w:p>
    <w:p>
      <w:pPr>
        <w:pStyle w:val="BodyText"/>
        <w:spacing w:after="60"/>
        <w:jc w:val="both"/>
      </w:pPr>
      <w:r>
        <w:t xml:space="preserve">§ 6º A gravação a que se refere o § 5º também pode ser realizada diretamente por qualquer das partes, independentemente de autorização judicial.</w:t>
      </w:r>
    </w:p>
    <w:bookmarkEnd w:id="84"/>
    <w:bookmarkStart w:id="85" w:name="art.-368"/>
    <w:p>
      <w:pPr>
        <w:pStyle w:val="Heading6"/>
        <w:pBdr>
          <w:left w:val="single" w:sz="36" w:space="4" w:color="2E75B6"/>
        </w:pBdr>
        <w:shd w:val="clear" w:color="auto" w:fill="E3EEF9"/>
        <w:spacing w:before="120" w:after="60"/>
        <w:ind w:left="85"/>
      </w:pPr>
      <w:r>
        <w:rPr>
          <w:i w:val="0"/>
          <w:color w:val="1F3A5F"/>
          <w:sz w:val="22"/>
        </w:rPr>
        <w:t xml:space="preserve">Art. 368</w:t>
      </w:r>
    </w:p>
    <w:p>
      <w:pPr>
        <w:pStyle w:val="FirstParagraph"/>
        <w:spacing w:after="60"/>
        <w:jc w:val="both"/>
      </w:pPr>
      <w:r>
        <w:rPr>
          <w:b/>
          <w:bCs/>
        </w:rPr>
        <w:t xml:space="preserve">Art. 368.</w:t>
      </w:r>
      <w:r>
        <w:t xml:space="preserve"> </w:t>
      </w:r>
      <w:r>
        <w:t xml:space="preserve">A audiência será pública, ressalvadas as exceções legais.</w:t>
      </w:r>
    </w:p>
    <w:bookmarkEnd w:id="85"/>
    <w:bookmarkEnd w:id="86"/>
    <w:bookmarkStart w:id="214" w:name="capítulo-xii-das-provas-arts.-369-a-484"/>
    <w:p>
      <w:pPr>
        <w:pStyle w:val="Heading4"/>
        <w:spacing w:before="80" w:after="40"/>
      </w:pPr>
      <w:r>
        <w:rPr>
          <w:smallCaps/>
          <w:color w:val="2E75B6"/>
        </w:rPr>
        <w:t xml:space="preserve">Capítulo XII: das provas (arts. 369 a 484)</w:t>
      </w:r>
    </w:p>
    <w:bookmarkStart w:id="99" w:name="X1b7b80c99663c228642b6d1a2f945392dcf23f9"/>
    <w:p>
      <w:pPr>
        <w:pStyle w:val="Heading5"/>
        <w:spacing w:before="60" w:after="20"/>
      </w:pPr>
      <w:r>
        <w:rPr>
          <w:i/>
          <w:color w:val="595959"/>
        </w:rPr>
        <w:t xml:space="preserve">Seção I: disposições gerais (arts. 369 a 380)</w:t>
      </w:r>
    </w:p>
    <w:bookmarkStart w:id="87" w:name="art.-369"/>
    <w:p>
      <w:pPr>
        <w:pStyle w:val="Heading6"/>
        <w:pBdr>
          <w:left w:val="single" w:sz="36" w:space="4" w:color="2E75B6"/>
        </w:pBdr>
        <w:shd w:val="clear" w:color="auto" w:fill="E3EEF9"/>
        <w:spacing w:before="120" w:after="60"/>
        <w:ind w:left="85"/>
      </w:pPr>
      <w:r>
        <w:rPr>
          <w:i w:val="0"/>
          <w:color w:val="1F3A5F"/>
          <w:sz w:val="22"/>
        </w:rPr>
        <w:t xml:space="preserve">Art. 369</w:t>
      </w:r>
    </w:p>
    <w:p>
      <w:pPr>
        <w:pStyle w:val="FirstParagraph"/>
        <w:keepNext/>
        <w:spacing w:after="60"/>
        <w:jc w:val="both"/>
      </w:pPr>
      <w:r>
        <w:rPr>
          <w:b/>
          <w:bCs/>
        </w:rPr>
        <w:t xml:space="preserve">Art. 369.</w:t>
      </w:r>
      <w:r>
        <w:t xml:space="preserve"> </w:t>
      </w:r>
      <w:r>
        <w:t xml:space="preserve">As partes têm o direito de empregar todos os meios legais, bem como os moralmente legítimos, ainda que não especificados neste Código, para provar a verdade dos fatos em que se funda o pedido ou a defesa e influir eficazmente na convicção do juiz.</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154"/>
        <w:gridCol w:w="1655"/>
        <w:gridCol w:w="2279"/>
      </w:tblGrid>
      <w:tr>
        <w:trPr>
          <w:tblHeader w:val="on"/>
          <w:cantSplit/>
          <w:tblHeader/>
        </w:trPr>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154"/>
          </w:tcPr>
          <w:p>
            <w:pPr>
              <w:pStyle w:val="Compact"/>
              <w:spacing w:line="276" w:lineRule="auto" w:before="40" w:after="40"/>
            </w:pPr>
            <w:r>
              <w:rPr>
                <w:rFonts w:ascii="Liberation Sans Narrow" w:hAnsi="Liberation Sans Narrow"/>
                <w:sz w:val="17"/>
              </w:rPr>
              <w:t xml:space="preserve">Art. 369: julgamento antecipado fundado na suficiência da prova documental</w:t>
            </w:r>
          </w:p>
        </w:tc>
        <w:tc>
          <w:tcPr>
            <w:tcW w:type="dxa" w:w="1655"/>
          </w:tcPr>
          <w:p>
            <w:pPr>
              <w:pStyle w:val="Compact"/>
              <w:spacing w:line="276" w:lineRule="auto" w:before="40" w:after="40"/>
            </w:pPr>
            <w:r>
              <w:rPr>
                <w:rFonts w:ascii="Liberation Sans Narrow" w:hAnsi="Liberation Sans Narrow"/>
                <w:sz w:val="17"/>
              </w:rPr>
              <w:t xml:space="preserve">STJ, AREsp 3.145.151, Quarta Turma, relator Min. João Otávio de Noronha, DJe de 02/10/2026</w:t>
            </w:r>
          </w:p>
        </w:tc>
        <w:tc>
          <w:tcPr>
            <w:tcW w:type="dxa" w:w="2279"/>
          </w:tcPr>
          <w:p>
            <w:pPr>
              <w:pStyle w:val="Compact"/>
              <w:spacing w:line="276" w:lineRule="auto" w:before="40" w:after="40"/>
            </w:pPr>
            <w:r>
              <w:rPr>
                <w:rFonts w:ascii="Liberation Sans Narrow" w:hAnsi="Liberation Sans Narrow"/>
                <w:sz w:val="17"/>
              </w:rPr>
              <w:t xml:space="preserve">Tese de julgamento transcrita na ementa: incide a Súmula 7/STJ para obstar o reexame da suficiência do conjunto probatório quanto à necessidade de produção de outras provas, e inexiste violação ao art. 369 quando o julgamento antecipado se funda na suficiência da prova documental e no convencimento motivado do magistrado. Agravo desprovido.</w:t>
            </w:r>
          </w:p>
        </w:tc>
      </w:tr>
      <w:tr>
        <w:trPr>
          <w:cantSplit/>
        </w:trPr>
        <w:tc>
          <w:tcPr>
            <w:tcW w:type="dxa" w:w="2154"/>
          </w:tcPr>
          <w:p>
            <w:pPr>
              <w:pStyle w:val="Compact"/>
              <w:spacing w:line="276" w:lineRule="auto" w:before="40" w:after="40"/>
            </w:pPr>
            <w:r>
              <w:rPr>
                <w:rFonts w:ascii="Liberation Sans Narrow" w:hAnsi="Liberation Sans Narrow"/>
                <w:sz w:val="17"/>
              </w:rPr>
              <w:t xml:space="preserve">Art. 369: livre admissibilidade da prova e indeferimento das inúteis ou protelatórias</w:t>
            </w:r>
          </w:p>
        </w:tc>
        <w:tc>
          <w:tcPr>
            <w:tcW w:type="dxa" w:w="1655"/>
          </w:tcPr>
          <w:p>
            <w:pPr>
              <w:pStyle w:val="Compact"/>
              <w:spacing w:line="276" w:lineRule="auto" w:before="40" w:after="40"/>
            </w:pPr>
            <w:r>
              <w:rPr>
                <w:rFonts w:ascii="Liberation Sans Narrow" w:hAnsi="Liberation Sans Narrow"/>
                <w:sz w:val="17"/>
              </w:rPr>
              <w:t xml:space="preserve">STJ, AgInt no AgInt no AREsp 3.094.331, Segunda Turma, relator Min. Marco Aurélio Bellizze, julgado em 19/08/2026, DJEN de 24/08/2026</w:t>
            </w:r>
          </w:p>
        </w:tc>
        <w:tc>
          <w:tcPr>
            <w:tcW w:type="dxa" w:w="2279"/>
          </w:tcPr>
          <w:p>
            <w:pPr>
              <w:pStyle w:val="Compact"/>
              <w:spacing w:line="276" w:lineRule="auto" w:before="40" w:after="40"/>
            </w:pPr>
            <w:r>
              <w:rPr>
                <w:rFonts w:ascii="Liberation Sans Narrow" w:hAnsi="Liberation Sans Narrow"/>
                <w:sz w:val="17"/>
              </w:rPr>
              <w:t xml:space="preserve">O indeferimento de nova perícia ou de novo complemento tem respaldo na jurisprudência: conforme os princípios da livre admissibilidade da prova e do livre convencimento, o juiz pode, nos termos do art. 369, determinar as provas que entende necessárias e indeferir as que considerar inúteis ou protelatórias (Súmula 83/STJ). Agravo interno desprovido.</w:t>
            </w:r>
          </w:p>
        </w:tc>
      </w:tr>
      <w:tr>
        <w:trPr>
          <w:cantSplit/>
        </w:trPr>
        <w:tc>
          <w:tcPr>
            <w:tcW w:type="dxa" w:w="2154"/>
          </w:tcPr>
          <w:p>
            <w:pPr>
              <w:pStyle w:val="Compact"/>
              <w:spacing w:line="276" w:lineRule="auto" w:before="40" w:after="40"/>
            </w:pPr>
            <w:r>
              <w:rPr>
                <w:rFonts w:ascii="Liberation Sans Narrow" w:hAnsi="Liberation Sans Narrow"/>
                <w:sz w:val="17"/>
              </w:rPr>
              <w:t xml:space="preserve">Art. 369: prova digital e eletrônica como meio legítimo</w:t>
            </w:r>
          </w:p>
        </w:tc>
        <w:tc>
          <w:tcPr>
            <w:tcW w:type="dxa" w:w="1655"/>
          </w:tcPr>
          <w:p>
            <w:pPr>
              <w:pStyle w:val="Compact"/>
              <w:spacing w:line="276" w:lineRule="auto" w:before="40" w:after="40"/>
            </w:pPr>
            <w:r>
              <w:rPr>
                <w:rFonts w:ascii="Liberation Sans Narrow" w:hAnsi="Liberation Sans Narrow"/>
                <w:sz w:val="17"/>
              </w:rPr>
              <w:t xml:space="preserve">STJ, REsp 2.179.441, Segunda Turma, relatora Min. Maria Thereza de Assis Moura, julgado em 10/03/2026, DJEN de 18/03/2026</w:t>
            </w:r>
          </w:p>
        </w:tc>
        <w:tc>
          <w:tcPr>
            <w:tcW w:type="dxa" w:w="2279"/>
          </w:tcPr>
          <w:p>
            <w:pPr>
              <w:pStyle w:val="Compact"/>
              <w:spacing w:line="276" w:lineRule="auto" w:before="40" w:after="40"/>
            </w:pPr>
            <w:r>
              <w:rPr>
                <w:rFonts w:ascii="Liberation Sans Narrow" w:hAnsi="Liberation Sans Narrow"/>
                <w:sz w:val="17"/>
              </w:rPr>
              <w:t xml:space="preserve">Os arts. 369 e 422 do CPC, em consonância com a Lei 11.419/2006, recepcionaram a admissibilidade da prova digital e eletrônica no processo judicial, sendo as telas sistêmicas de informações da Administração Pública meios legítimos de prova; elas gozam de presunção relativa de veracidade e a parte adversa deve impugná-las especificamente. Recurso especial conhecido e parcialmente provido.</w:t>
            </w:r>
          </w:p>
        </w:tc>
      </w:tr>
      <w:tr>
        <w:trPr>
          <w:cantSplit/>
        </w:trPr>
        <w:tc>
          <w:tcPr>
            <w:tcW w:type="dxa" w:w="2154"/>
          </w:tcPr>
          <w:p>
            <w:pPr>
              <w:pStyle w:val="Compact"/>
              <w:spacing w:line="276" w:lineRule="auto" w:before="40" w:after="40"/>
            </w:pPr>
            <w:r>
              <w:rPr>
                <w:rFonts w:ascii="Liberation Sans Narrow" w:hAnsi="Liberation Sans Narrow"/>
                <w:sz w:val="17"/>
              </w:rPr>
              <w:t xml:space="preserve">Art. 369: indeferimento de prova quando os autos já bastam</w:t>
            </w:r>
          </w:p>
        </w:tc>
        <w:tc>
          <w:tcPr>
            <w:tcW w:type="dxa" w:w="1655"/>
          </w:tcPr>
          <w:p>
            <w:pPr>
              <w:pStyle w:val="Compact"/>
              <w:spacing w:line="276" w:lineRule="auto" w:before="40" w:after="40"/>
            </w:pPr>
            <w:r>
              <w:rPr>
                <w:rFonts w:ascii="Liberation Sans Narrow" w:hAnsi="Liberation Sans Narrow"/>
                <w:sz w:val="17"/>
              </w:rPr>
              <w:t xml:space="preserve">STJ, AREsp 2.742.161, Quarta Turma, relator Min. Raul Araújo, DJe de 29/10/2025</w:t>
            </w:r>
          </w:p>
        </w:tc>
        <w:tc>
          <w:tcPr>
            <w:tcW w:type="dxa" w:w="2279"/>
          </w:tcPr>
          <w:p>
            <w:pPr>
              <w:pStyle w:val="Compact"/>
              <w:spacing w:line="276" w:lineRule="auto" w:before="40" w:after="40"/>
            </w:pPr>
            <w:r>
              <w:rPr>
                <w:rFonts w:ascii="Liberation Sans Narrow" w:hAnsi="Liberation Sans Narrow"/>
                <w:sz w:val="17"/>
              </w:rPr>
              <w:t xml:space="preserve">Não se configura cerceamento de defesa quando o magistrado, constatando provas suficientes nos autos, indefere a produção de outras, em atenção aos arts. 369 e 370; a documentação era suficiente e dispensava a perícia. Agravo conhecido para negar provimento ao recurso especial.</w:t>
            </w:r>
          </w:p>
        </w:tc>
      </w:tr>
    </w:tbl>
    <w:bookmarkEnd w:id="87"/>
    <w:bookmarkStart w:id="88" w:name="art.-370"/>
    <w:p>
      <w:pPr>
        <w:pStyle w:val="Heading6"/>
        <w:pBdr>
          <w:left w:val="single" w:sz="36" w:space="4" w:color="2E75B6"/>
        </w:pBdr>
        <w:shd w:val="clear" w:color="auto" w:fill="E3EEF9"/>
        <w:spacing w:before="120" w:after="60"/>
        <w:ind w:left="85"/>
      </w:pPr>
      <w:r>
        <w:rPr>
          <w:i w:val="0"/>
          <w:color w:val="1F3A5F"/>
          <w:sz w:val="22"/>
        </w:rPr>
        <w:t xml:space="preserve">Art. 370</w:t>
      </w:r>
    </w:p>
    <w:p>
      <w:pPr>
        <w:pStyle w:val="FirstParagraph"/>
        <w:keepNext/>
        <w:spacing w:after="60"/>
        <w:jc w:val="both"/>
      </w:pPr>
      <w:r>
        <w:rPr>
          <w:b/>
          <w:bCs/>
        </w:rPr>
        <w:t xml:space="preserve">Art. 370.</w:t>
      </w:r>
      <w:r>
        <w:t xml:space="preserve"> </w:t>
      </w:r>
      <w:r>
        <w:t xml:space="preserve">Caberá ao juiz, de ofício ou a requerimento da parte, determinar as provas necessárias ao julgamento do mérito.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1780"/>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Poderes instrutórios (arts. 370 e 371): reabertura da instrução</w:t>
            </w:r>
          </w:p>
        </w:tc>
        <w:tc>
          <w:tcPr>
            <w:tcW w:type="dxa" w:w="1655"/>
          </w:tcPr>
          <w:p>
            <w:pPr>
              <w:pStyle w:val="Compact"/>
              <w:spacing w:line="276" w:lineRule="auto" w:before="40" w:after="40"/>
            </w:pPr>
            <w:r>
              <w:rPr>
                <w:rFonts w:ascii="Liberation Sans Narrow" w:hAnsi="Liberation Sans Narrow"/>
                <w:sz w:val="17"/>
              </w:rPr>
              <w:t xml:space="preserve">STJ, REsp 2.120.904, Quarta Turma, relator Min. João Otávio de Noronha, julgado em 09/03/2026, DJEN de 12/03/2026</w:t>
            </w:r>
          </w:p>
        </w:tc>
        <w:tc>
          <w:tcPr>
            <w:tcW w:type="dxa" w:w="1780"/>
          </w:tcPr>
          <w:p>
            <w:pPr>
              <w:pStyle w:val="Compact"/>
              <w:spacing w:line="276" w:lineRule="auto" w:before="40" w:after="40"/>
            </w:pPr>
            <w:r>
              <w:rPr>
                <w:rFonts w:ascii="Liberation Sans Narrow" w:hAnsi="Liberation Sans Narrow"/>
                <w:sz w:val="17"/>
              </w:rPr>
              <w:t xml:space="preserve">O tribunal de origem anulou a sentença, de ofício, por cerceamento de defesa e determinou a reabertura da instrução em embargos de terceiro; o STJ, nos limites dos poderes instrutórios do juiz (arts. 370 e 371), afastou julgamento extra petita e afronta aos arts. 492 e 1.013. Recurso especial conhecido em parte e desprovido.</w:t>
            </w:r>
          </w:p>
        </w:tc>
      </w:tr>
    </w:tbl>
    <w:p>
      <w:pPr>
        <w:pStyle w:val="BodyText"/>
        <w:keepNext/>
        <w:spacing w:after="60"/>
        <w:jc w:val="both"/>
      </w:pPr>
      <w:r>
        <w:t xml:space="preserve">Parágrafo único. O juiz indeferirá, em decisão fundamentada, as diligências inúteis ou meramente protelatórias.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2029"/>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Art. 370, parágrafo único: juiz como destinatário da prova</w:t>
            </w:r>
          </w:p>
        </w:tc>
        <w:tc>
          <w:tcPr>
            <w:tcW w:type="dxa" w:w="1655"/>
          </w:tcPr>
          <w:p>
            <w:pPr>
              <w:pStyle w:val="Compact"/>
              <w:spacing w:line="276" w:lineRule="auto" w:before="40" w:after="40"/>
            </w:pPr>
            <w:r>
              <w:rPr>
                <w:rFonts w:ascii="Liberation Sans Narrow" w:hAnsi="Liberation Sans Narrow"/>
                <w:sz w:val="17"/>
              </w:rPr>
              <w:t xml:space="preserve">STJ, REsp 2.231.202, Quarta Turma, relatora Min. Maria Isabel Gallotti, julgado em 16/03/2026, DJEN de 19/03/2026</w:t>
            </w:r>
          </w:p>
        </w:tc>
        <w:tc>
          <w:tcPr>
            <w:tcW w:type="dxa" w:w="2030"/>
          </w:tcPr>
          <w:p>
            <w:pPr>
              <w:pStyle w:val="Compact"/>
              <w:spacing w:line="276" w:lineRule="auto" w:before="40" w:after="40"/>
            </w:pPr>
            <w:r>
              <w:rPr>
                <w:rFonts w:ascii="Liberation Sans Narrow" w:hAnsi="Liberation Sans Narrow"/>
                <w:sz w:val="17"/>
              </w:rPr>
              <w:t xml:space="preserve">O magistrado é o destinatário final da prova e lhe cabe avaliar a necessidade de produzi-la e indeferir diligências inúteis ou meramente protelatórias (art. 370); não há cerceamento de defesa quando os autos têm elementos suficientes para o convencimento. Rever a suficiência das provas e a necessidade de nova perícia esbarra na Súmula 7/STJ.</w:t>
            </w:r>
          </w:p>
        </w:tc>
      </w:tr>
      <w:tr>
        <w:trPr>
          <w:cantSplit/>
        </w:trPr>
        <w:tc>
          <w:tcPr>
            <w:tcW w:type="dxa" w:w="1780"/>
          </w:tcPr>
          <w:p>
            <w:pPr>
              <w:pStyle w:val="Compact"/>
              <w:spacing w:line="276" w:lineRule="auto" w:before="40" w:after="40"/>
            </w:pPr>
            <w:r>
              <w:rPr>
                <w:rFonts w:ascii="Liberation Sans Narrow" w:hAnsi="Liberation Sans Narrow"/>
                <w:sz w:val="17"/>
              </w:rPr>
              <w:t xml:space="preserve">Art. 370, parágrafo único: posição reiterada em agravos internos</w:t>
            </w:r>
          </w:p>
        </w:tc>
        <w:tc>
          <w:tcPr>
            <w:tcW w:type="dxa" w:w="1655"/>
          </w:tcPr>
          <w:p>
            <w:pPr>
              <w:pStyle w:val="Compact"/>
              <w:spacing w:line="276" w:lineRule="auto" w:before="40" w:after="40"/>
            </w:pPr>
            <w:r>
              <w:rPr>
                <w:rFonts w:ascii="Liberation Sans Narrow" w:hAnsi="Liberation Sans Narrow"/>
                <w:sz w:val="17"/>
              </w:rPr>
              <w:t xml:space="preserve">STJ, AgInt no AREsp 2.622.648, Terceira Turma, relator Min. Marco Aurélio Bellizze, DJe de 28/08/2024</w:t>
            </w:r>
          </w:p>
        </w:tc>
        <w:tc>
          <w:tcPr>
            <w:tcW w:type="dxa" w:w="2030"/>
          </w:tcPr>
          <w:p>
            <w:pPr>
              <w:pStyle w:val="Compact"/>
              <w:spacing w:line="276" w:lineRule="auto" w:before="40" w:after="40"/>
            </w:pPr>
            <w:r>
              <w:rPr>
                <w:rFonts w:ascii="Liberation Sans Narrow" w:hAnsi="Liberation Sans Narrow"/>
                <w:sz w:val="17"/>
              </w:rPr>
              <w:t xml:space="preserve">Cita o AgInt no REsp 1.931.678/SP (Terceira Turma, rel. Min. Nancy Andrighi, 21/11/2023): o destinatário final da prova é o juiz, e a parte final do art. 370 permite indeferir diligências inúteis ou protelatórias; não há cerceamento se o julgador já dispõe de elementos suficientes. Agravo interno desprovido (Súmula 7/STJ).</w:t>
            </w:r>
          </w:p>
        </w:tc>
      </w:tr>
    </w:tbl>
    <w:bookmarkEnd w:id="88"/>
    <w:bookmarkStart w:id="89" w:name="art.-371"/>
    <w:p>
      <w:pPr>
        <w:pStyle w:val="Heading6"/>
        <w:pBdr>
          <w:left w:val="single" w:sz="36" w:space="4" w:color="2E75B6"/>
        </w:pBdr>
        <w:shd w:val="clear" w:color="auto" w:fill="E3EEF9"/>
        <w:spacing w:before="120" w:after="60"/>
        <w:ind w:left="85"/>
      </w:pPr>
      <w:r>
        <w:rPr>
          <w:i w:val="0"/>
          <w:color w:val="1F3A5F"/>
          <w:sz w:val="22"/>
        </w:rPr>
        <w:t xml:space="preserve">Art. 371</w:t>
      </w:r>
    </w:p>
    <w:p>
      <w:pPr>
        <w:pStyle w:val="FirstParagraph"/>
        <w:keepNext/>
        <w:spacing w:after="60"/>
        <w:jc w:val="both"/>
      </w:pPr>
      <w:r>
        <w:rPr>
          <w:b/>
          <w:bCs/>
        </w:rPr>
        <w:t xml:space="preserve">Art. 371.</w:t>
      </w:r>
      <w:r>
        <w:t xml:space="preserve"> </w:t>
      </w:r>
      <w:r>
        <w:t xml:space="preserve">O juiz apreciará a prova constante dos autos, independentemente do sujeito que a tiver promovido, e indicará na decisão as razões da formação de seu convencimento.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154"/>
        <w:gridCol w:w="1655"/>
        <w:gridCol w:w="2279"/>
      </w:tblGrid>
      <w:tr>
        <w:trPr>
          <w:tblHeader w:val="on"/>
          <w:cantSplit/>
          <w:tblHeader/>
        </w:trPr>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154"/>
          </w:tcPr>
          <w:p>
            <w:pPr>
              <w:pStyle w:val="Compact"/>
              <w:spacing w:line="276" w:lineRule="auto" w:before="40" w:after="40"/>
            </w:pPr>
            <w:r>
              <w:rPr>
                <w:rFonts w:ascii="Liberation Sans Narrow" w:hAnsi="Liberation Sans Narrow"/>
                <w:sz w:val="17"/>
              </w:rPr>
              <w:t xml:space="preserve">Art. 371: avaliação de imóvel penhorado</w:t>
            </w:r>
          </w:p>
        </w:tc>
        <w:tc>
          <w:tcPr>
            <w:tcW w:type="dxa" w:w="1655"/>
          </w:tcPr>
          <w:p>
            <w:pPr>
              <w:pStyle w:val="Compact"/>
              <w:spacing w:line="276" w:lineRule="auto" w:before="40" w:after="40"/>
            </w:pPr>
            <w:r>
              <w:rPr>
                <w:rFonts w:ascii="Liberation Sans Narrow" w:hAnsi="Liberation Sans Narrow"/>
                <w:sz w:val="17"/>
              </w:rPr>
              <w:t xml:space="preserve">STJ, AgInt no AREsp 2.954.640, Quarta Turma, relator Min. Raul Araújo, julgado em 22/06/2026, DJEN de 29/06/2026</w:t>
            </w:r>
          </w:p>
        </w:tc>
        <w:tc>
          <w:tcPr>
            <w:tcW w:type="dxa" w:w="2279"/>
          </w:tcPr>
          <w:p>
            <w:pPr>
              <w:pStyle w:val="Compact"/>
              <w:spacing w:line="276" w:lineRule="auto" w:before="40" w:after="40"/>
            </w:pPr>
            <w:r>
              <w:rPr>
                <w:rFonts w:ascii="Liberation Sans Narrow" w:hAnsi="Liberation Sans Narrow"/>
                <w:sz w:val="17"/>
              </w:rPr>
              <w:t xml:space="preserve">O juiz não é compelido a acolher o parecer do assistente técnico em lugar do laudo judicial, se motivou o convencimento nos autos. A</w:t>
            </w:r>
            <w:r>
              <w:rPr>
                <w:rFonts w:ascii="Liberation Sans Narrow" w:hAnsi="Liberation Sans Narrow"/>
                <w:sz w:val="17"/>
              </w:rPr>
              <w:t xml:space="preserve"> </w:t>
            </w:r>
            <w:r>
              <w:rPr>
                <w:rFonts w:ascii="Liberation Sans Narrow" w:hAnsi="Liberation Sans Narrow"/>
                <w:sz w:val="17"/>
              </w:rPr>
              <w:t xml:space="preserve">“errônea valoração jurídica da prova”</w:t>
            </w:r>
            <w:r>
              <w:rPr>
                <w:rFonts w:ascii="Liberation Sans Narrow" w:hAnsi="Liberation Sans Narrow"/>
                <w:sz w:val="17"/>
              </w:rPr>
              <w:t xml:space="preserve"> </w:t>
            </w:r>
            <w:r>
              <w:rPr>
                <w:rFonts w:ascii="Liberation Sans Narrow" w:hAnsi="Liberation Sans Narrow"/>
                <w:sz w:val="17"/>
              </w:rPr>
              <w:t xml:space="preserve">que autoriza a atuação do STJ é a de má aplicação de regra ou princípio do campo probatório, não o inconformismo com conclusões fáticas.</w:t>
            </w:r>
          </w:p>
        </w:tc>
      </w:tr>
      <w:tr>
        <w:trPr>
          <w:cantSplit/>
        </w:trPr>
        <w:tc>
          <w:tcPr>
            <w:tcW w:type="dxa" w:w="2154"/>
          </w:tcPr>
          <w:p>
            <w:pPr>
              <w:pStyle w:val="Compact"/>
              <w:spacing w:line="276" w:lineRule="auto" w:before="40" w:after="40"/>
            </w:pPr>
            <w:r>
              <w:rPr>
                <w:rFonts w:ascii="Liberation Sans Narrow" w:hAnsi="Liberation Sans Narrow"/>
                <w:sz w:val="17"/>
              </w:rPr>
              <w:t xml:space="preserve">Livre convencimento, necessidade de outras provas e de esclarecimentos do perito</w:t>
            </w:r>
          </w:p>
        </w:tc>
        <w:tc>
          <w:tcPr>
            <w:tcW w:type="dxa" w:w="1655"/>
          </w:tcPr>
          <w:p>
            <w:pPr>
              <w:pStyle w:val="Compact"/>
              <w:spacing w:line="276" w:lineRule="auto" w:before="40" w:after="40"/>
            </w:pPr>
            <w:r>
              <w:rPr>
                <w:rFonts w:ascii="Liberation Sans Narrow" w:hAnsi="Liberation Sans Narrow"/>
                <w:sz w:val="17"/>
              </w:rPr>
              <w:t xml:space="preserve">STJ, AREsp 3.135.885, Terceira Turma, relator Min. Ricardo Villas Bôas Cueva, DJe de 27/04/2026</w:t>
            </w:r>
          </w:p>
        </w:tc>
        <w:tc>
          <w:tcPr>
            <w:tcW w:type="dxa" w:w="2279"/>
          </w:tcPr>
          <w:p>
            <w:pPr>
              <w:pStyle w:val="Compact"/>
              <w:spacing w:line="276" w:lineRule="auto" w:before="40" w:after="40"/>
            </w:pPr>
            <w:r>
              <w:rPr>
                <w:rFonts w:ascii="Liberation Sans Narrow" w:hAnsi="Liberation Sans Narrow"/>
                <w:sz w:val="17"/>
              </w:rPr>
              <w:t xml:space="preserve">O juiz pode formar a convicção em qualquer elemento de prova disponível, bastando indicar os motivos; a decisão das instâncias ordinárias sobre a necessidade de outras provas e de esclarecimentos do perito não se revê em recurso especial (Súmula 7/STJ).</w:t>
            </w:r>
          </w:p>
        </w:tc>
      </w:tr>
      <w:tr>
        <w:trPr>
          <w:cantSplit/>
        </w:trPr>
        <w:tc>
          <w:tcPr>
            <w:tcW w:type="dxa" w:w="2154"/>
          </w:tcPr>
          <w:p>
            <w:pPr>
              <w:pStyle w:val="Compact"/>
              <w:spacing w:line="276" w:lineRule="auto" w:before="40" w:after="40"/>
            </w:pPr>
            <w:r>
              <w:rPr>
                <w:rFonts w:ascii="Liberation Sans Narrow" w:hAnsi="Liberation Sans Narrow"/>
                <w:sz w:val="17"/>
              </w:rPr>
              <w:t xml:space="preserve">Limite do livre convencimento diante de laudo pericial</w:t>
            </w:r>
          </w:p>
        </w:tc>
        <w:tc>
          <w:tcPr>
            <w:tcW w:type="dxa" w:w="1655"/>
          </w:tcPr>
          <w:p>
            <w:pPr>
              <w:pStyle w:val="Compact"/>
              <w:spacing w:line="276" w:lineRule="auto" w:before="40" w:after="40"/>
            </w:pPr>
            <w:r>
              <w:rPr>
                <w:rFonts w:ascii="Liberation Sans Narrow" w:hAnsi="Liberation Sans Narrow"/>
                <w:sz w:val="17"/>
              </w:rPr>
              <w:t xml:space="preserve">STJ, AgInt no AREsp 2.773.143, Quarta Turma, relator Min. João Otávio de Noronha, julgado em 14/04/2026, DJEN de 24/04/2026</w:t>
            </w:r>
          </w:p>
        </w:tc>
        <w:tc>
          <w:tcPr>
            <w:tcW w:type="dxa" w:w="2279"/>
          </w:tcPr>
          <w:p>
            <w:pPr>
              <w:pStyle w:val="Compact"/>
              <w:spacing w:line="276" w:lineRule="auto" w:before="40" w:after="40"/>
            </w:pPr>
            <w:r>
              <w:rPr>
                <w:rFonts w:ascii="Liberation Sans Narrow" w:hAnsi="Liberation Sans Narrow"/>
                <w:sz w:val="17"/>
              </w:rPr>
              <w:t xml:space="preserve">Responsabilidade civil médica. Agravo interno provido: a desconsideração do laudo pericial, em matéria de alta complexidade, sem contraprova técnica e fundamentação idônea ofende os arts. 375 e 479, hipótese em que não incide a Súmula 7/STJ, restabelecida a sentença.</w:t>
            </w:r>
          </w:p>
        </w:tc>
      </w:tr>
      <w:tr>
        <w:trPr>
          <w:cantSplit/>
        </w:trPr>
        <w:tc>
          <w:tcPr>
            <w:tcW w:type="dxa" w:w="2154"/>
          </w:tcPr>
          <w:p>
            <w:pPr>
              <w:pStyle w:val="Compact"/>
              <w:spacing w:line="276" w:lineRule="auto" w:before="40" w:after="40"/>
            </w:pPr>
            <w:r>
              <w:rPr>
                <w:rFonts w:ascii="Liberation Sans Narrow" w:hAnsi="Liberation Sans Narrow"/>
                <w:sz w:val="17"/>
              </w:rPr>
              <w:t xml:space="preserve">Art. 371: o julgador forma a convicção livremente, com fundamentação</w:t>
            </w:r>
          </w:p>
        </w:tc>
        <w:tc>
          <w:tcPr>
            <w:tcW w:type="dxa" w:w="1655"/>
          </w:tcPr>
          <w:p>
            <w:pPr>
              <w:pStyle w:val="Compact"/>
              <w:spacing w:line="276" w:lineRule="auto" w:before="40" w:after="40"/>
            </w:pPr>
            <w:r>
              <w:rPr>
                <w:rFonts w:ascii="Liberation Sans Narrow" w:hAnsi="Liberation Sans Narrow"/>
                <w:sz w:val="17"/>
              </w:rPr>
              <w:t xml:space="preserve">STJ, AgInt no AREsp 2.229.945, Quarta Turma, relatora Min. Maria Isabel Gallotti, DJe de 16/10/2023</w:t>
            </w:r>
          </w:p>
        </w:tc>
        <w:tc>
          <w:tcPr>
            <w:tcW w:type="dxa" w:w="2279"/>
          </w:tcPr>
          <w:p>
            <w:pPr>
              <w:pStyle w:val="Compact"/>
              <w:spacing w:line="276" w:lineRule="auto" w:before="40" w:after="40"/>
            </w:pPr>
            <w:r>
              <w:rPr>
                <w:rFonts w:ascii="Liberation Sans Narrow" w:hAnsi="Liberation Sans Narrow"/>
                <w:sz w:val="17"/>
              </w:rPr>
              <w:t xml:space="preserve">No sistema da persuasão racional, o julgador examina livremente as provas e forma a convicção, desde que indique de forma fundamentada os elementos do convencimento; não se pode compeli-lo a acolher uma prova em detrimento de outras. A verificação de parcialidade ou de erro de critério do perito exige reexame de provas (Súmula 7/STJ).</w:t>
            </w:r>
          </w:p>
        </w:tc>
      </w:tr>
      <w:tr>
        <w:trPr>
          <w:cantSplit/>
        </w:trPr>
        <w:tc>
          <w:tcPr>
            <w:tcW w:type="dxa" w:w="2154"/>
          </w:tcPr>
          <w:p>
            <w:pPr>
              <w:pStyle w:val="Compact"/>
              <w:spacing w:line="276" w:lineRule="auto" w:before="40" w:after="40"/>
            </w:pPr>
            <w:r>
              <w:rPr>
                <w:rFonts w:ascii="Liberation Sans Narrow" w:hAnsi="Liberation Sans Narrow"/>
                <w:sz w:val="17"/>
              </w:rPr>
              <w:t xml:space="preserve">Arts. 370 e 371 juntos</w:t>
            </w:r>
          </w:p>
        </w:tc>
        <w:tc>
          <w:tcPr>
            <w:tcW w:type="dxa" w:w="1655"/>
          </w:tcPr>
          <w:p>
            <w:pPr>
              <w:pStyle w:val="Compact"/>
              <w:spacing w:line="276" w:lineRule="auto" w:before="40" w:after="40"/>
            </w:pPr>
            <w:r>
              <w:rPr>
                <w:rFonts w:ascii="Liberation Sans Narrow" w:hAnsi="Liberation Sans Narrow"/>
                <w:sz w:val="17"/>
              </w:rPr>
              <w:t xml:space="preserve">STJ, AgInt no AREsp 2.350.898, Segunda Turma, relator Min. Herman Benjamin, DJe de 21/09/2023</w:t>
            </w:r>
          </w:p>
        </w:tc>
        <w:tc>
          <w:tcPr>
            <w:tcW w:type="dxa" w:w="2279"/>
          </w:tcPr>
          <w:p>
            <w:pPr>
              <w:pStyle w:val="Compact"/>
              <w:spacing w:line="276" w:lineRule="auto" w:before="40" w:after="40"/>
            </w:pPr>
            <w:r>
              <w:rPr>
                <w:rFonts w:ascii="Liberation Sans Narrow" w:hAnsi="Liberation Sans Narrow"/>
                <w:sz w:val="17"/>
              </w:rPr>
              <w:t xml:space="preserve">O juiz, destinatário final da prova, avalia a pertinência das diligências e pode afastar as inúteis ou protelatórias, ou se já firmou a convicção (arts. 370 e 371), com remissão ao AgInt no AREsp 1.816.381/SP (Segunda Turma, 2021).</w:t>
            </w:r>
          </w:p>
        </w:tc>
      </w:tr>
    </w:tbl>
    <w:bookmarkEnd w:id="89"/>
    <w:bookmarkStart w:id="90" w:name="art.-372"/>
    <w:p>
      <w:pPr>
        <w:pStyle w:val="Heading6"/>
        <w:pBdr>
          <w:left w:val="single" w:sz="36" w:space="4" w:color="2E75B6"/>
        </w:pBdr>
        <w:shd w:val="clear" w:color="auto" w:fill="E3EEF9"/>
        <w:spacing w:before="120" w:after="60"/>
        <w:ind w:left="85"/>
      </w:pPr>
      <w:r>
        <w:rPr>
          <w:i w:val="0"/>
          <w:color w:val="1F3A5F"/>
          <w:sz w:val="22"/>
        </w:rPr>
        <w:t xml:space="preserve">Art. 372</w:t>
      </w:r>
    </w:p>
    <w:p>
      <w:pPr>
        <w:pStyle w:val="FirstParagraph"/>
        <w:keepNext/>
        <w:spacing w:after="60"/>
        <w:jc w:val="both"/>
      </w:pPr>
      <w:r>
        <w:rPr>
          <w:b/>
          <w:bCs/>
        </w:rPr>
        <w:t xml:space="preserve">Art. 372.</w:t>
      </w:r>
      <w:r>
        <w:t xml:space="preserve"> </w:t>
      </w:r>
      <w:r>
        <w:t xml:space="preserve">O juiz poderá admitir a utilização de prova produzida em outro processo, atribuindo-lhe o valor que considerar adequado, observado o contraditório.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655"/>
        <w:gridCol w:w="2404"/>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Prova emprestada no processo administrativo disciplinar</w:t>
            </w:r>
          </w:p>
        </w:tc>
        <w:tc>
          <w:tcPr>
            <w:tcW w:type="dxa" w:w="1655"/>
          </w:tcPr>
          <w:p>
            <w:pPr>
              <w:pStyle w:val="Compact"/>
              <w:spacing w:line="276" w:lineRule="auto" w:before="40" w:after="40"/>
            </w:pPr>
            <w:r>
              <w:rPr>
                <w:rFonts w:ascii="Liberation Sans Narrow" w:hAnsi="Liberation Sans Narrow"/>
                <w:sz w:val="17"/>
              </w:rPr>
              <w:t xml:space="preserve">STJ, MS 22.280, Primeira Seção, relator Min. Gurgel de Faria, DJe de 25/11/2021</w:t>
            </w:r>
          </w:p>
        </w:tc>
        <w:tc>
          <w:tcPr>
            <w:tcW w:type="dxa" w:w="2404"/>
          </w:tcPr>
          <w:p>
            <w:pPr>
              <w:pStyle w:val="Compact"/>
              <w:spacing w:line="276" w:lineRule="auto" w:before="40" w:after="40"/>
            </w:pPr>
            <w:r>
              <w:rPr>
                <w:rFonts w:ascii="Liberation Sans Narrow" w:hAnsi="Liberation Sans Narrow"/>
                <w:sz w:val="17"/>
              </w:rPr>
              <w:t xml:space="preserve">É possível a prova emprestada no processo disciplinar, desde que atendidos os requisitos legais e assegurado o contraditório ao acusado.</w:t>
            </w:r>
          </w:p>
        </w:tc>
      </w:tr>
      <w:tr>
        <w:trPr>
          <w:cantSplit/>
        </w:trPr>
        <w:tc>
          <w:tcPr>
            <w:tcW w:type="dxa" w:w="2030"/>
          </w:tcPr>
          <w:p>
            <w:pPr>
              <w:pStyle w:val="Compact"/>
              <w:spacing w:line="276" w:lineRule="auto" w:before="40" w:after="40"/>
            </w:pPr>
            <w:r>
              <w:rPr>
                <w:rFonts w:ascii="Liberation Sans Narrow" w:hAnsi="Liberation Sans Narrow"/>
                <w:sz w:val="17"/>
              </w:rPr>
              <w:t xml:space="preserve">Admissão da prova emprestada e rejeição de nova perícia</w:t>
            </w:r>
          </w:p>
        </w:tc>
        <w:tc>
          <w:tcPr>
            <w:tcW w:type="dxa" w:w="1655"/>
          </w:tcPr>
          <w:p>
            <w:pPr>
              <w:pStyle w:val="Compact"/>
              <w:spacing w:line="276" w:lineRule="auto" w:before="40" w:after="40"/>
            </w:pPr>
            <w:r>
              <w:rPr>
                <w:rFonts w:ascii="Liberation Sans Narrow" w:hAnsi="Liberation Sans Narrow"/>
                <w:sz w:val="17"/>
              </w:rPr>
              <w:t xml:space="preserve">STJ, AREsp 3.160.766, Quarta Turma, relator Min. João Otávio de Noronha, julgado em 24/08/2026, DJEN de 27/08/2026</w:t>
            </w:r>
          </w:p>
        </w:tc>
        <w:tc>
          <w:tcPr>
            <w:tcW w:type="dxa" w:w="2404"/>
          </w:tcPr>
          <w:p>
            <w:pPr>
              <w:pStyle w:val="Compact"/>
              <w:spacing w:line="276" w:lineRule="auto" w:before="40" w:after="40"/>
            </w:pPr>
            <w:r>
              <w:rPr>
                <w:rFonts w:ascii="Liberation Sans Narrow" w:hAnsi="Liberation Sans Narrow"/>
                <w:sz w:val="17"/>
              </w:rPr>
              <w:t xml:space="preserve">A origem admitiu a prova emprestada com observância do contraditório (art. 372) e entendeu desnecessária nova perícia por ausência de fato novo; a suficiência do laudo emprestado e a necessidade de nova perícia exigem reexame de provas (Súmula 7/STJ).</w:t>
            </w:r>
          </w:p>
        </w:tc>
      </w:tr>
      <w:tr>
        <w:trPr>
          <w:cantSplit/>
        </w:trPr>
        <w:tc>
          <w:tcPr>
            <w:tcW w:type="dxa" w:w="2030"/>
          </w:tcPr>
          <w:p>
            <w:pPr>
              <w:pStyle w:val="Compact"/>
              <w:spacing w:line="276" w:lineRule="auto" w:before="40" w:after="40"/>
            </w:pPr>
            <w:r>
              <w:rPr>
                <w:rFonts w:ascii="Liberation Sans Narrow" w:hAnsi="Liberation Sans Narrow"/>
                <w:sz w:val="17"/>
              </w:rPr>
              <w:t xml:space="preserve">Contraditório com acesso aos autos de origem (improbidade)</w:t>
            </w:r>
          </w:p>
        </w:tc>
        <w:tc>
          <w:tcPr>
            <w:tcW w:type="dxa" w:w="1655"/>
          </w:tcPr>
          <w:p>
            <w:pPr>
              <w:pStyle w:val="Compact"/>
              <w:spacing w:line="276" w:lineRule="auto" w:before="40" w:after="40"/>
            </w:pPr>
            <w:r>
              <w:rPr>
                <w:rFonts w:ascii="Liberation Sans Narrow" w:hAnsi="Liberation Sans Narrow"/>
                <w:sz w:val="17"/>
              </w:rPr>
              <w:t xml:space="preserve">STJ, AgInt no REsp 2.169.344, Segunda Turma, relator Min. Teodoro Silva Santos, julgado em 12/05/2026, DJEN de 22/05/2026</w:t>
            </w:r>
          </w:p>
        </w:tc>
        <w:tc>
          <w:tcPr>
            <w:tcW w:type="dxa" w:w="2404"/>
          </w:tcPr>
          <w:p>
            <w:pPr>
              <w:pStyle w:val="Compact"/>
              <w:spacing w:line="276" w:lineRule="auto" w:before="40" w:after="40"/>
            </w:pPr>
            <w:r>
              <w:rPr>
                <w:rFonts w:ascii="Liberation Sans Narrow" w:hAnsi="Liberation Sans Narrow"/>
                <w:sz w:val="17"/>
              </w:rPr>
              <w:t xml:space="preserve">A prova emprestada foi admitida sob o crivo do contraditório, nos termos do art. 372, com acesso das partes aos autos de origem e manifestação prévia.</w:t>
            </w:r>
          </w:p>
        </w:tc>
      </w:tr>
      <w:tr>
        <w:trPr>
          <w:cantSplit/>
        </w:trPr>
        <w:tc>
          <w:tcPr>
            <w:tcW w:type="dxa" w:w="2030"/>
          </w:tcPr>
          <w:p>
            <w:pPr>
              <w:pStyle w:val="Compact"/>
              <w:spacing w:line="276" w:lineRule="auto" w:before="40" w:after="40"/>
            </w:pPr>
            <w:r>
              <w:rPr>
                <w:rFonts w:ascii="Liberation Sans Narrow" w:hAnsi="Liberation Sans Narrow"/>
                <w:sz w:val="17"/>
              </w:rPr>
              <w:t xml:space="preserve">Parte que pediu o empréstimo não pode alegar nulidade; trânsito em julgado dispensável</w:t>
            </w:r>
          </w:p>
        </w:tc>
        <w:tc>
          <w:tcPr>
            <w:tcW w:type="dxa" w:w="1655"/>
          </w:tcPr>
          <w:p>
            <w:pPr>
              <w:pStyle w:val="Compact"/>
              <w:spacing w:line="276" w:lineRule="auto" w:before="40" w:after="40"/>
            </w:pPr>
            <w:r>
              <w:rPr>
                <w:rFonts w:ascii="Liberation Sans Narrow" w:hAnsi="Liberation Sans Narrow"/>
                <w:sz w:val="17"/>
              </w:rPr>
              <w:t xml:space="preserve">STJ, AREsp 2.972.657, Quarta Turma, relator Min. Raul Araújo, julgado em 16/03/2026, DJEN de 23/03/2026</w:t>
            </w:r>
          </w:p>
        </w:tc>
        <w:tc>
          <w:tcPr>
            <w:tcW w:type="dxa" w:w="2404"/>
          </w:tcPr>
          <w:p>
            <w:pPr>
              <w:pStyle w:val="Compact"/>
              <w:spacing w:line="276" w:lineRule="auto" w:before="40" w:after="40"/>
            </w:pPr>
            <w:r>
              <w:rPr>
                <w:rFonts w:ascii="Liberation Sans Narrow" w:hAnsi="Liberation Sans Narrow"/>
                <w:sz w:val="17"/>
              </w:rPr>
              <w:t xml:space="preserve">A vedação ao comportamento contraditório impede a parte de alegar nulidade ou</w:t>
            </w:r>
            <w:r>
              <w:rPr>
                <w:rFonts w:ascii="Liberation Sans Narrow" w:hAnsi="Liberation Sans Narrow"/>
                <w:sz w:val="17"/>
              </w:rPr>
              <w:t xml:space="preserve"> </w:t>
            </w:r>
            <w:r>
              <w:rPr>
                <w:rFonts w:ascii="Liberation Sans Narrow" w:hAnsi="Liberation Sans Narrow"/>
                <w:sz w:val="17"/>
              </w:rPr>
              <w:t xml:space="preserve">“decisão surpresa”</w:t>
            </w:r>
            <w:r>
              <w:rPr>
                <w:rFonts w:ascii="Liberation Sans Narrow" w:hAnsi="Liberation Sans Narrow"/>
                <w:sz w:val="17"/>
              </w:rPr>
              <w:t xml:space="preserve"> </w:t>
            </w:r>
            <w:r>
              <w:rPr>
                <w:rFonts w:ascii="Liberation Sans Narrow" w:hAnsi="Liberation Sans Narrow"/>
                <w:sz w:val="17"/>
              </w:rPr>
              <w:t xml:space="preserve">sobre prova emprestada que ela mesma requereu. A prova emprestada ingressa como documento e independe do trânsito em julgado da decisão homologatória na origem, desde que assegurado o contraditório substancial.</w:t>
            </w:r>
          </w:p>
        </w:tc>
      </w:tr>
      <w:tr>
        <w:trPr>
          <w:cantSplit/>
        </w:trPr>
        <w:tc>
          <w:tcPr>
            <w:tcW w:type="dxa" w:w="2030"/>
          </w:tcPr>
          <w:p>
            <w:pPr>
              <w:pStyle w:val="Compact"/>
              <w:spacing w:line="276" w:lineRule="auto" w:before="40" w:after="40"/>
            </w:pPr>
            <w:r>
              <w:rPr>
                <w:rFonts w:ascii="Liberation Sans Narrow" w:hAnsi="Liberation Sans Narrow"/>
                <w:sz w:val="17"/>
              </w:rPr>
              <w:t xml:space="preserve">Contraditório como requisito; identidade de partes dispensável</w:t>
            </w:r>
          </w:p>
        </w:tc>
        <w:tc>
          <w:tcPr>
            <w:tcW w:type="dxa" w:w="1655"/>
          </w:tcPr>
          <w:p>
            <w:pPr>
              <w:pStyle w:val="Compact"/>
              <w:spacing w:line="276" w:lineRule="auto" w:before="40" w:after="40"/>
            </w:pPr>
            <w:r>
              <w:rPr>
                <w:rFonts w:ascii="Liberation Sans Narrow" w:hAnsi="Liberation Sans Narrow"/>
                <w:sz w:val="17"/>
              </w:rPr>
              <w:t xml:space="preserve">STJ, AgInt no REsp 2.040.456, Quarta Turma, relator Min. Raul Araújo, DJe de 01/09/2023</w:t>
            </w:r>
          </w:p>
        </w:tc>
        <w:tc>
          <w:tcPr>
            <w:tcW w:type="dxa" w:w="2404"/>
          </w:tcPr>
          <w:p>
            <w:pPr>
              <w:pStyle w:val="Compact"/>
              <w:spacing w:line="276" w:lineRule="auto" w:before="40" w:after="40"/>
            </w:pPr>
            <w:r>
              <w:rPr>
                <w:rFonts w:ascii="Liberation Sans Narrow" w:hAnsi="Liberation Sans Narrow"/>
                <w:sz w:val="17"/>
              </w:rPr>
              <w:t xml:space="preserve">Independentemente de haver identidade de partes, o contraditório é o requisito primordial para o aproveitamento da prova emprestada: assegurado o direito de se insurgir contra a prova e refutá-la, o empréstimo é válido (cita o EREsp 617.428/SP, Corte Especial, de 2014).</w:t>
            </w:r>
          </w:p>
        </w:tc>
      </w:tr>
      <w:tr>
        <w:trPr>
          <w:cantSplit/>
        </w:trPr>
        <w:tc>
          <w:tcPr>
            <w:tcW w:type="dxa" w:w="2030"/>
          </w:tcPr>
          <w:p>
            <w:pPr>
              <w:pStyle w:val="Compact"/>
              <w:spacing w:line="276" w:lineRule="auto" w:before="40" w:after="40"/>
            </w:pPr>
            <w:r>
              <w:rPr>
                <w:rFonts w:ascii="Liberation Sans Narrow" w:hAnsi="Liberation Sans Narrow"/>
                <w:sz w:val="17"/>
              </w:rPr>
              <w:t xml:space="preserve">Mesmo sentido, prova testemunhal emprestada da esfera penal</w:t>
            </w:r>
          </w:p>
        </w:tc>
        <w:tc>
          <w:tcPr>
            <w:tcW w:type="dxa" w:w="1655"/>
          </w:tcPr>
          <w:p>
            <w:pPr>
              <w:pStyle w:val="Compact"/>
              <w:spacing w:line="276" w:lineRule="auto" w:before="40" w:after="40"/>
            </w:pPr>
            <w:r>
              <w:rPr>
                <w:rFonts w:ascii="Liberation Sans Narrow" w:hAnsi="Liberation Sans Narrow"/>
                <w:sz w:val="17"/>
              </w:rPr>
              <w:t xml:space="preserve">STJ, AgInt no RMS 62.819, Segunda Turma, relator Min. Herman Benjamin, DJe de 15/04/2021</w:t>
            </w:r>
          </w:p>
        </w:tc>
        <w:tc>
          <w:tcPr>
            <w:tcW w:type="dxa" w:w="2404"/>
          </w:tcPr>
          <w:p>
            <w:pPr>
              <w:pStyle w:val="Compact"/>
              <w:spacing w:line="276" w:lineRule="auto" w:before="40" w:after="40"/>
            </w:pPr>
            <w:r>
              <w:rPr>
                <w:rFonts w:ascii="Liberation Sans Narrow" w:hAnsi="Liberation Sans Narrow"/>
                <w:sz w:val="17"/>
              </w:rPr>
              <w:t xml:space="preserve">A prova emprestada não se restringe a processos com partes idênticas; preserva-se o contraditório quando os litigantes podem insurgir-se contra o material e refutá-lo, ainda que o contraditório seja diferido (ação civil pública com prova testemunhal oriunda da esfera penal).</w:t>
            </w:r>
          </w:p>
        </w:tc>
      </w:tr>
    </w:tbl>
    <w:bookmarkEnd w:id="90"/>
    <w:bookmarkStart w:id="91" w:name="art.-373"/>
    <w:p>
      <w:pPr>
        <w:pStyle w:val="Heading6"/>
        <w:pBdr>
          <w:left w:val="single" w:sz="36" w:space="4" w:color="2E75B6"/>
        </w:pBdr>
        <w:shd w:val="clear" w:color="auto" w:fill="E3EEF9"/>
        <w:spacing w:before="120" w:after="60"/>
        <w:ind w:left="85"/>
      </w:pPr>
      <w:r>
        <w:rPr>
          <w:i w:val="0"/>
          <w:color w:val="1F3A5F"/>
          <w:sz w:val="22"/>
        </w:rPr>
        <w:t xml:space="preserve">Art. 373</w:t>
      </w:r>
    </w:p>
    <w:p>
      <w:pPr>
        <w:pStyle w:val="FirstParagraph"/>
        <w:spacing w:after="60"/>
        <w:jc w:val="both"/>
      </w:pPr>
      <w:r>
        <w:rPr>
          <w:b/>
          <w:bCs/>
        </w:rPr>
        <w:t xml:space="preserve">Art. 373.</w:t>
      </w:r>
      <w:r>
        <w:t xml:space="preserve"> </w:t>
      </w:r>
      <w:r>
        <w:t xml:space="preserve">O ônus da prova incumbe:</w:t>
      </w:r>
    </w:p>
    <w:p>
      <w:pPr>
        <w:pStyle w:val="BodyText"/>
        <w:spacing w:after="60"/>
        <w:jc w:val="both"/>
      </w:pPr>
      <w:r>
        <w:t xml:space="preserve">I - ao autor, quanto ao fato constitutivo de seu direito;</w:t>
      </w:r>
    </w:p>
    <w:p>
      <w:pPr>
        <w:pStyle w:val="BodyText"/>
        <w:spacing w:after="60"/>
        <w:jc w:val="both"/>
      </w:pPr>
      <w:r>
        <w:t xml:space="preserve">II - ao réu, quanto à existência de fato impeditivo, modificativo ou extintivo do direito do autor.</w:t>
      </w:r>
    </w:p>
    <w:p>
      <w:pPr>
        <w:pStyle w:val="BodyText"/>
        <w:keepNext/>
        <w:spacing w:after="60"/>
        <w:jc w:val="both"/>
      </w:pPr>
      <w:r>
        <w:t xml:space="preserve">§ 1º Nos casos previstos em lei ou diante de peculiaridades da causa relacionadas à impossibilidade ou à excessiva dificuldade de cumprir o encargo nos termos do caput ou à maior facilidade de obtenção da prova do fato contrário, poderá o juiz atribuir o ônus da prova de modo diverso, desde que o faça por decisão fundamentada, caso em que deverá dar à parte a oportunidade de se desincumbir do ônus que lhe foi atribuído.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2154"/>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 1º: inversão do ônus em relação de consumo e cabimento do agravo de instrumento</w:t>
            </w:r>
          </w:p>
        </w:tc>
        <w:tc>
          <w:tcPr>
            <w:tcW w:type="dxa" w:w="1655"/>
          </w:tcPr>
          <w:p>
            <w:pPr>
              <w:pStyle w:val="Compact"/>
              <w:spacing w:line="276" w:lineRule="auto" w:before="40" w:after="40"/>
            </w:pPr>
            <w:r>
              <w:rPr>
                <w:rFonts w:ascii="Liberation Sans Narrow" w:hAnsi="Liberation Sans Narrow"/>
                <w:sz w:val="17"/>
              </w:rPr>
              <w:t xml:space="preserve">STJ, AREsp 2.249.352, Quarta Turma, relator Min. Raul Araújo, julgado em 13/10/2025, DJEN de 20/10/2025</w:t>
            </w:r>
          </w:p>
        </w:tc>
        <w:tc>
          <w:tcPr>
            <w:tcW w:type="dxa" w:w="2154"/>
          </w:tcPr>
          <w:p>
            <w:pPr>
              <w:pStyle w:val="Compact"/>
              <w:spacing w:line="276" w:lineRule="auto" w:before="40" w:after="40"/>
            </w:pPr>
            <w:r>
              <w:rPr>
                <w:rFonts w:ascii="Liberation Sans Narrow" w:hAnsi="Liberation Sans Narrow"/>
                <w:sz w:val="17"/>
              </w:rPr>
              <w:t xml:space="preserve">A decisão que versa sobre inversão do ônus da prova em relação de consumo é impugnável por agravo de instrumento, em entendimento consolidado no STJ, porque o art. 1.015, XI, deve ser lido com o art. 373, § 1º, e a decisão pode influenciar diretamente o julgamento do mérito.</w:t>
            </w:r>
          </w:p>
        </w:tc>
      </w:tr>
      <w:tr>
        <w:trPr>
          <w:cantSplit/>
        </w:trPr>
        <w:tc>
          <w:tcPr>
            <w:tcW w:type="dxa" w:w="1780"/>
          </w:tcPr>
          <w:p>
            <w:pPr>
              <w:pStyle w:val="Compact"/>
              <w:spacing w:line="276" w:lineRule="auto" w:before="40" w:after="40"/>
            </w:pPr>
            <w:r>
              <w:rPr>
                <w:rFonts w:ascii="Liberation Sans Narrow" w:hAnsi="Liberation Sans Narrow"/>
                <w:sz w:val="17"/>
              </w:rPr>
              <w:t xml:space="preserve">§ 1º: decisão que indefere a modificação do ônus da prova</w:t>
            </w:r>
          </w:p>
        </w:tc>
        <w:tc>
          <w:tcPr>
            <w:tcW w:type="dxa" w:w="1655"/>
          </w:tcPr>
          <w:p>
            <w:pPr>
              <w:pStyle w:val="Compact"/>
              <w:spacing w:line="276" w:lineRule="auto" w:before="40" w:after="40"/>
            </w:pPr>
            <w:r>
              <w:rPr>
                <w:rFonts w:ascii="Liberation Sans Narrow" w:hAnsi="Liberation Sans Narrow"/>
                <w:sz w:val="17"/>
              </w:rPr>
              <w:t xml:space="preserve">STJ, REsp 1.802.025, Terceira Turma, relatora Min. Nancy Andrighi, julgado em 17/09/2019, DJe de 20/09/2019</w:t>
            </w:r>
          </w:p>
        </w:tc>
        <w:tc>
          <w:tcPr>
            <w:tcW w:type="dxa" w:w="2154"/>
          </w:tcPr>
          <w:p>
            <w:pPr>
              <w:pStyle w:val="Compact"/>
              <w:spacing w:line="276" w:lineRule="auto" w:before="40" w:after="40"/>
            </w:pPr>
            <w:r>
              <w:rPr>
                <w:rFonts w:ascii="Liberation Sans Narrow" w:hAnsi="Liberation Sans Narrow"/>
                <w:sz w:val="17"/>
              </w:rPr>
              <w:t xml:space="preserve">As decisões interlocutórias que deferem e as que indeferem a modificação judicial do ônus da prova são imediatamente recorríveis por agravo de instrumento, seja na inversão autorizada pelo legislador (art. 6º, VIII, do CDC, com o art. 373, § 1º, primeira parte), seja na distribuição dinâmica (§ 1º, segunda parte), por serem regras de instrução.</w:t>
            </w:r>
          </w:p>
        </w:tc>
      </w:tr>
      <w:tr>
        <w:trPr>
          <w:cantSplit/>
        </w:trPr>
        <w:tc>
          <w:tcPr>
            <w:tcW w:type="dxa" w:w="1780"/>
          </w:tcPr>
          <w:p>
            <w:pPr>
              <w:pStyle w:val="Compact"/>
              <w:spacing w:line="276" w:lineRule="auto" w:before="40" w:after="40"/>
            </w:pPr>
            <w:r>
              <w:rPr>
                <w:rFonts w:ascii="Liberation Sans Narrow" w:hAnsi="Liberation Sans Narrow"/>
                <w:sz w:val="17"/>
              </w:rPr>
              <w:t xml:space="preserve">§ 1º: distribuição dinâmica e inversão do ônus da prova; agravo de instrumento</w:t>
            </w:r>
          </w:p>
        </w:tc>
        <w:tc>
          <w:tcPr>
            <w:tcW w:type="dxa" w:w="1655"/>
          </w:tcPr>
          <w:p>
            <w:pPr>
              <w:pStyle w:val="Compact"/>
              <w:spacing w:line="276" w:lineRule="auto" w:before="40" w:after="40"/>
            </w:pPr>
            <w:r>
              <w:rPr>
                <w:rFonts w:ascii="Liberation Sans Narrow" w:hAnsi="Liberation Sans Narrow"/>
                <w:sz w:val="17"/>
              </w:rPr>
              <w:t xml:space="preserve">STJ, REsp 1.729.110, Terceira Turma, relatora Min. Nancy Andrighi, julgado em 02/04/2019, DJe de 04/04/2019</w:t>
            </w:r>
          </w:p>
        </w:tc>
        <w:tc>
          <w:tcPr>
            <w:tcW w:type="dxa" w:w="2154"/>
          </w:tcPr>
          <w:p>
            <w:pPr>
              <w:pStyle w:val="Compact"/>
              <w:spacing w:line="276" w:lineRule="auto" w:before="40" w:after="40"/>
            </w:pPr>
            <w:r>
              <w:rPr>
                <w:rFonts w:ascii="Liberation Sans Narrow" w:hAnsi="Liberation Sans Narrow"/>
                <w:sz w:val="17"/>
              </w:rPr>
              <w:t xml:space="preserve">O agravo de instrumento é cabível contra a decisão sobre distribuição dinâmica ou inversão do ônus da prova (art. 1.015, XI, interpretado com o art. 373, § 1º). Os institutos são distintos, mas semelhantes quanto à natureza, à justificativa, ao momento de aplicação e aos efeitos, e é indispensável permitir à parte desincumbir-se do ônus que lhe foi imposto no curso do processo.</w:t>
            </w:r>
          </w:p>
        </w:tc>
      </w:tr>
    </w:tbl>
    <w:p>
      <w:pPr>
        <w:pStyle w:val="BodyText"/>
        <w:spacing w:after="60"/>
        <w:jc w:val="both"/>
      </w:pPr>
      <w:r>
        <w:t xml:space="preserve">§ 2º A decisão prevista no § 1º deste artigo não pode gerar situação em que a desincumbência do encargo pela parte seja impossível ou excessivamente difícil.</w:t>
      </w:r>
    </w:p>
    <w:p>
      <w:pPr>
        <w:pStyle w:val="BodyText"/>
        <w:spacing w:after="60"/>
        <w:jc w:val="both"/>
      </w:pPr>
      <w:r>
        <w:t xml:space="preserve">§ 3º A distribuição diversa do ônus da prova também pode ocorrer por convenção das partes, salvo quando:</w:t>
      </w:r>
    </w:p>
    <w:p>
      <w:pPr>
        <w:pStyle w:val="BodyText"/>
        <w:spacing w:after="60"/>
        <w:jc w:val="both"/>
      </w:pPr>
      <w:r>
        <w:t xml:space="preserve">I - recair sobre direito indisponível da parte;</w:t>
      </w:r>
    </w:p>
    <w:p>
      <w:pPr>
        <w:pStyle w:val="BodyText"/>
        <w:spacing w:after="60"/>
        <w:jc w:val="both"/>
      </w:pPr>
      <w:r>
        <w:t xml:space="preserve">II - tornar excessivamente difícil a uma parte o exercício do direito.</w:t>
      </w:r>
    </w:p>
    <w:p>
      <w:pPr>
        <w:pStyle w:val="BodyText"/>
        <w:spacing w:after="60"/>
        <w:jc w:val="both"/>
      </w:pPr>
      <w:r>
        <w:t xml:space="preserve">§ 4º A convenção de que trata o § 3º pode ser celebrada antes ou durante o processo.</w:t>
      </w:r>
    </w:p>
    <w:bookmarkEnd w:id="91"/>
    <w:bookmarkStart w:id="92" w:name="art.-374"/>
    <w:p>
      <w:pPr>
        <w:pStyle w:val="Heading6"/>
        <w:pBdr>
          <w:left w:val="single" w:sz="36" w:space="4" w:color="2E75B6"/>
        </w:pBdr>
        <w:shd w:val="clear" w:color="auto" w:fill="E3EEF9"/>
        <w:spacing w:before="120" w:after="60"/>
        <w:ind w:left="85"/>
      </w:pPr>
      <w:r>
        <w:rPr>
          <w:i w:val="0"/>
          <w:color w:val="1F3A5F"/>
          <w:sz w:val="22"/>
        </w:rPr>
        <w:t xml:space="preserve">Art. 374</w:t>
      </w:r>
    </w:p>
    <w:p>
      <w:pPr>
        <w:pStyle w:val="FirstParagraph"/>
        <w:spacing w:after="60"/>
        <w:jc w:val="both"/>
      </w:pPr>
      <w:r>
        <w:rPr>
          <w:b/>
          <w:bCs/>
        </w:rPr>
        <w:t xml:space="preserve">Art. 374.</w:t>
      </w:r>
      <w:r>
        <w:t xml:space="preserve"> </w:t>
      </w:r>
      <w:r>
        <w:t xml:space="preserve">Não dependem de prova os fatos:</w:t>
      </w:r>
    </w:p>
    <w:p>
      <w:pPr>
        <w:pStyle w:val="BodyText"/>
        <w:keepNext/>
        <w:spacing w:after="60"/>
        <w:jc w:val="both"/>
      </w:pPr>
      <w:r>
        <w:t xml:space="preserve">I - notórios;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2528"/>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52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Art. 374, I: fato notório não dispensa a prova do nexo causal</w:t>
            </w:r>
          </w:p>
        </w:tc>
        <w:tc>
          <w:tcPr>
            <w:tcW w:type="dxa" w:w="1655"/>
          </w:tcPr>
          <w:p>
            <w:pPr>
              <w:pStyle w:val="Compact"/>
              <w:spacing w:line="276" w:lineRule="auto" w:before="40" w:after="40"/>
            </w:pPr>
            <w:r>
              <w:rPr>
                <w:rFonts w:ascii="Liberation Sans Narrow" w:hAnsi="Liberation Sans Narrow"/>
                <w:sz w:val="17"/>
              </w:rPr>
              <w:t xml:space="preserve">STJ, EDcl no AREsp 2.995.889, Terceira Turma, relator Min. Moura Ribeiro, julgado em 30/06/2026, DJEN de 03/07/2026</w:t>
            </w:r>
          </w:p>
        </w:tc>
        <w:tc>
          <w:tcPr>
            <w:tcW w:type="dxa" w:w="2529"/>
          </w:tcPr>
          <w:p>
            <w:pPr>
              <w:pStyle w:val="Compact"/>
              <w:spacing w:line="276" w:lineRule="auto" w:before="40" w:after="40"/>
            </w:pPr>
            <w:r>
              <w:rPr>
                <w:rFonts w:ascii="Liberation Sans Narrow" w:hAnsi="Liberation Sans Narrow"/>
                <w:sz w:val="17"/>
              </w:rPr>
              <w:t xml:space="preserve">“O fato notório não dispensa demonstração do nexo causal e a inversão do ônus da prova não afasta a necessidade de prova mínima do fato constitutivo. A responsabilidade objetiva pressupõe nexo causal.”</w:t>
            </w:r>
            <w:r>
              <w:rPr>
                <w:rFonts w:ascii="Liberation Sans Narrow" w:hAnsi="Liberation Sans Narrow"/>
                <w:sz w:val="17"/>
              </w:rPr>
              <w:t xml:space="preserve"> </w:t>
            </w:r>
            <w:r>
              <w:rPr>
                <w:rFonts w:ascii="Liberation Sans Narrow" w:hAnsi="Liberation Sans Narrow"/>
                <w:sz w:val="17"/>
              </w:rPr>
              <w:t xml:space="preserve">O recall do veículo é notório, mas a causa do incêndio dependia de prova, e a revisão da insuficiência probatória esbarra na Súmula 7.</w:t>
            </w:r>
          </w:p>
        </w:tc>
      </w:tr>
      <w:tr>
        <w:trPr>
          <w:cantSplit/>
        </w:trPr>
        <w:tc>
          <w:tcPr>
            <w:tcW w:type="dxa" w:w="1905"/>
          </w:tcPr>
          <w:p>
            <w:pPr>
              <w:pStyle w:val="Compact"/>
              <w:spacing w:line="276" w:lineRule="auto" w:before="40" w:after="40"/>
            </w:pPr>
            <w:r>
              <w:rPr>
                <w:rFonts w:ascii="Liberation Sans Narrow" w:hAnsi="Liberation Sans Narrow"/>
                <w:sz w:val="17"/>
              </w:rPr>
              <w:t xml:space="preserve">Art. 374, I: suspensão de expediente determinada pelo próprio tribunal é fato notório</w:t>
            </w:r>
          </w:p>
        </w:tc>
        <w:tc>
          <w:tcPr>
            <w:tcW w:type="dxa" w:w="1655"/>
          </w:tcPr>
          <w:p>
            <w:pPr>
              <w:pStyle w:val="Compact"/>
              <w:spacing w:line="276" w:lineRule="auto" w:before="40" w:after="40"/>
            </w:pPr>
            <w:r>
              <w:rPr>
                <w:rFonts w:ascii="Liberation Sans Narrow" w:hAnsi="Liberation Sans Narrow"/>
                <w:sz w:val="17"/>
              </w:rPr>
              <w:t xml:space="preserve">STJ, REsp 2.193.462, Quarta Turma, relator Min. João Otávio de Noronha, julgado em 22/06/2026, DJEN de 26/06/2026</w:t>
            </w:r>
          </w:p>
        </w:tc>
        <w:tc>
          <w:tcPr>
            <w:tcW w:type="dxa" w:w="2529"/>
          </w:tcPr>
          <w:p>
            <w:pPr>
              <w:pStyle w:val="Compact"/>
              <w:spacing w:line="276" w:lineRule="auto" w:before="40" w:after="40"/>
            </w:pPr>
            <w:r>
              <w:rPr>
                <w:rFonts w:ascii="Liberation Sans Narrow" w:hAnsi="Liberation Sans Narrow"/>
                <w:sz w:val="17"/>
              </w:rPr>
              <w:t xml:space="preserve">Tese expressa:</w:t>
            </w:r>
            <w:r>
              <w:rPr>
                <w:rFonts w:ascii="Liberation Sans Narrow" w:hAnsi="Liberation Sans Narrow"/>
                <w:sz w:val="17"/>
              </w:rPr>
              <w:t xml:space="preserve"> </w:t>
            </w:r>
            <w:r>
              <w:rPr>
                <w:rFonts w:ascii="Liberation Sans Narrow" w:hAnsi="Liberation Sans Narrow"/>
                <w:sz w:val="17"/>
              </w:rPr>
              <w:t xml:space="preserve">“Aplica-se o art. 374, I, do CPC quando a suspensão de expediente forense decorre de ato normativo do próprio Tribunal, por se tratar de fato notório que dispensa comprovação”</w:t>
            </w:r>
            <w:r>
              <w:rPr>
                <w:rFonts w:ascii="Liberation Sans Narrow" w:hAnsi="Liberation Sans Narrow"/>
                <w:sz w:val="17"/>
              </w:rPr>
              <w:t xml:space="preserve">. A ausência de expediente determinada por aviso conjunto do tribunal não precisa ser provada no ato de interposição; afasta-se o art. 1.003, § 6º, e reconhece-se a tempestividade da apelação.</w:t>
            </w:r>
          </w:p>
        </w:tc>
      </w:tr>
      <w:tr>
        <w:trPr>
          <w:cantSplit/>
        </w:trPr>
        <w:tc>
          <w:tcPr>
            <w:tcW w:type="dxa" w:w="1905"/>
          </w:tcPr>
          <w:p>
            <w:pPr>
              <w:pStyle w:val="Compact"/>
              <w:spacing w:line="276" w:lineRule="auto" w:before="40" w:after="40"/>
            </w:pPr>
            <w:r>
              <w:rPr>
                <w:rFonts w:ascii="Liberation Sans Narrow" w:hAnsi="Liberation Sans Narrow"/>
                <w:sz w:val="17"/>
              </w:rPr>
              <w:t xml:space="preserve">Art. 374, I: suspensão de expediente e ônus de comprovar (entendimento anterior, em sentido diverso)</w:t>
            </w:r>
          </w:p>
        </w:tc>
        <w:tc>
          <w:tcPr>
            <w:tcW w:type="dxa" w:w="1655"/>
          </w:tcPr>
          <w:p>
            <w:pPr>
              <w:pStyle w:val="Compact"/>
              <w:spacing w:line="276" w:lineRule="auto" w:before="40" w:after="40"/>
            </w:pPr>
            <w:r>
              <w:rPr>
                <w:rFonts w:ascii="Liberation Sans Narrow" w:hAnsi="Liberation Sans Narrow"/>
                <w:sz w:val="17"/>
              </w:rPr>
              <w:t xml:space="preserve">STJ, AgInt no AREsp 2.377.676, Segunda Turma, relator Min. Mauro Campbell Marques, DJe de 22/08/2024</w:t>
            </w:r>
          </w:p>
        </w:tc>
        <w:tc>
          <w:tcPr>
            <w:tcW w:type="dxa" w:w="2529"/>
          </w:tcPr>
          <w:p>
            <w:pPr>
              <w:pStyle w:val="Compact"/>
              <w:spacing w:line="276" w:lineRule="auto" w:before="40" w:after="40"/>
            </w:pPr>
            <w:r>
              <w:rPr>
                <w:rFonts w:ascii="Liberation Sans Narrow" w:hAnsi="Liberation Sans Narrow"/>
                <w:sz w:val="17"/>
              </w:rPr>
              <w:t xml:space="preserve">“A necessidade de comprovação do feriado local ou mesmo da suspensão do expediente, no âmbito do Tribunal a quo, no ato da interposição do recurso, por meio de documento idôneo”</w:t>
            </w:r>
            <w:r>
              <w:rPr>
                <w:rFonts w:ascii="Liberation Sans Narrow" w:hAnsi="Liberation Sans Narrow"/>
                <w:sz w:val="17"/>
              </w:rPr>
              <w:t xml:space="preserve"> </w:t>
            </w:r>
            <w:r>
              <w:rPr>
                <w:rFonts w:ascii="Liberation Sans Narrow" w:hAnsi="Liberation Sans Narrow"/>
                <w:sz w:val="17"/>
              </w:rPr>
              <w:t xml:space="preserve">foi reafirmada pela Corte Especial, e incumbe à parte comprovar as contingências</w:t>
            </w:r>
            <w:r>
              <w:rPr>
                <w:rFonts w:ascii="Liberation Sans Narrow" w:hAnsi="Liberation Sans Narrow"/>
                <w:sz w:val="17"/>
              </w:rPr>
              <w:t xml:space="preserve"> </w:t>
            </w:r>
            <w:r>
              <w:rPr>
                <w:rFonts w:ascii="Liberation Sans Narrow" w:hAnsi="Liberation Sans Narrow"/>
                <w:sz w:val="17"/>
              </w:rPr>
              <w:t xml:space="preserve">“independentemente de se tratar de fato notório incorporado ao sistema eletrônico do Tribunal local”</w:t>
            </w:r>
            <w:r>
              <w:rPr>
                <w:rFonts w:ascii="Liberation Sans Narrow" w:hAnsi="Liberation Sans Narrow"/>
                <w:sz w:val="17"/>
              </w:rPr>
              <w:t xml:space="preserve">.</w:t>
            </w:r>
          </w:p>
        </w:tc>
      </w:tr>
      <w:tr>
        <w:trPr>
          <w:cantSplit/>
        </w:trPr>
        <w:tc>
          <w:tcPr>
            <w:tcW w:type="dxa" w:w="1905"/>
          </w:tcPr>
          <w:p>
            <w:pPr>
              <w:pStyle w:val="Compact"/>
              <w:spacing w:line="276" w:lineRule="auto" w:before="40" w:after="40"/>
            </w:pPr>
            <w:r>
              <w:rPr>
                <w:rFonts w:ascii="Liberation Sans Narrow" w:hAnsi="Liberation Sans Narrow"/>
                <w:sz w:val="17"/>
              </w:rPr>
              <w:t xml:space="preserve">Art. 374, I: dano ao pavimento por excesso de peso é fato notório</w:t>
            </w:r>
          </w:p>
        </w:tc>
        <w:tc>
          <w:tcPr>
            <w:tcW w:type="dxa" w:w="1655"/>
          </w:tcPr>
          <w:p>
            <w:pPr>
              <w:pStyle w:val="Compact"/>
              <w:spacing w:line="276" w:lineRule="auto" w:before="40" w:after="40"/>
            </w:pPr>
            <w:r>
              <w:rPr>
                <w:rFonts w:ascii="Liberation Sans Narrow" w:hAnsi="Liberation Sans Narrow"/>
                <w:sz w:val="17"/>
              </w:rPr>
              <w:t xml:space="preserve">STJ, AgInt no AREsp 1.716.133, Segunda Turma, relator Min. Herman Benjamin, julgado em 31/05/2021, DJe de 01/07/2021</w:t>
            </w:r>
          </w:p>
        </w:tc>
        <w:tc>
          <w:tcPr>
            <w:tcW w:type="dxa" w:w="2529"/>
          </w:tcPr>
          <w:p>
            <w:pPr>
              <w:pStyle w:val="Compact"/>
              <w:spacing w:line="276" w:lineRule="auto" w:before="40" w:after="40"/>
            </w:pPr>
            <w:r>
              <w:rPr>
                <w:rFonts w:ascii="Liberation Sans Narrow" w:hAnsi="Liberation Sans Narrow"/>
                <w:sz w:val="17"/>
              </w:rPr>
              <w:t xml:space="preserve">“É fato notório (art. 374, I, do CPC) que o tráfego de veículos com excesso de peso provoca sérios danos materiais às vias públicas”</w:t>
            </w:r>
            <w:r>
              <w:rPr>
                <w:rFonts w:ascii="Liberation Sans Narrow" w:hAnsi="Liberation Sans Narrow"/>
                <w:sz w:val="17"/>
              </w:rPr>
              <w:t xml:space="preserve">, com deterioração do pavimento e ampliação dos custos de manutenção. Por se tratar de contexto fático incontroverso, o STJ pode revalorar os critérios jurídicos, sem ofensa à Súmula 7.</w:t>
            </w:r>
          </w:p>
        </w:tc>
      </w:tr>
    </w:tbl>
    <w:p>
      <w:pPr>
        <w:pStyle w:val="BodyText"/>
        <w:keepNext/>
        <w:spacing w:after="60"/>
        <w:jc w:val="both"/>
      </w:pPr>
      <w:r>
        <w:t xml:space="preserve">II - afirmados por uma parte e confessados pela parte contrária;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530"/>
        <w:gridCol w:w="1905"/>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Art. 374, II e III: a controvérsia sobre o fato afasta a incontrovérsia e a confissão</w:t>
            </w:r>
          </w:p>
        </w:tc>
        <w:tc>
          <w:tcPr>
            <w:tcW w:type="dxa" w:w="1531"/>
          </w:tcPr>
          <w:p>
            <w:pPr>
              <w:pStyle w:val="Compact"/>
              <w:spacing w:line="276" w:lineRule="auto" w:before="40" w:after="40"/>
            </w:pPr>
            <w:r>
              <w:rPr>
                <w:rFonts w:ascii="Liberation Sans Narrow" w:hAnsi="Liberation Sans Narrow"/>
                <w:sz w:val="17"/>
              </w:rPr>
              <w:t xml:space="preserve">STJ, REsp 2.198.361, Terceira Turma, relator Min. Humberto Martins, DJe de 16/10/2025</w:t>
            </w:r>
          </w:p>
        </w:tc>
        <w:tc>
          <w:tcPr>
            <w:tcW w:type="dxa" w:w="1905"/>
          </w:tcPr>
          <w:p>
            <w:pPr>
              <w:pStyle w:val="Compact"/>
              <w:spacing w:line="276" w:lineRule="auto" w:before="40" w:after="40"/>
            </w:pPr>
            <w:r>
              <w:rPr>
                <w:rFonts w:ascii="Liberation Sans Narrow" w:hAnsi="Liberation Sans Narrow"/>
                <w:sz w:val="17"/>
              </w:rPr>
              <w:t xml:space="preserve">“Não se pode considerar como fato incontroverso ou confessado a titularidade da propriedade rural ou a origem dos semoventes, pois as instâncias ordinárias reconheceram a ausência de prova segura quanto a tais afirmações.”</w:t>
            </w:r>
            <w:r>
              <w:rPr>
                <w:rFonts w:ascii="Liberation Sans Narrow" w:hAnsi="Liberation Sans Narrow"/>
                <w:sz w:val="17"/>
              </w:rPr>
              <w:t xml:space="preserve"> </w:t>
            </w:r>
            <w:r>
              <w:rPr>
                <w:rFonts w:ascii="Liberation Sans Narrow" w:hAnsi="Liberation Sans Narrow"/>
                <w:sz w:val="17"/>
              </w:rPr>
              <w:t xml:space="preserve">Os poderes instrutórios do art. 370 são facultativos e não substituem o ônus do art. 373; a revisão do acervo probatório é barrada pela Súmula 7.</w:t>
            </w:r>
          </w:p>
        </w:tc>
      </w:tr>
    </w:tbl>
    <w:p>
      <w:pPr>
        <w:pStyle w:val="BodyText"/>
        <w:spacing w:after="60"/>
        <w:jc w:val="both"/>
      </w:pPr>
      <w:r>
        <w:t xml:space="preserve">III - admitidos no processo como incontroversos;</w:t>
      </w:r>
    </w:p>
    <w:p>
      <w:pPr>
        <w:pStyle w:val="BodyText"/>
        <w:spacing w:after="60"/>
        <w:jc w:val="both"/>
      </w:pPr>
      <w:r>
        <w:t xml:space="preserve">IV - em cujo favor milita presunção legal de existência ou de veracidade.</w:t>
      </w:r>
    </w:p>
    <w:bookmarkEnd w:id="92"/>
    <w:bookmarkStart w:id="93" w:name="art.-375"/>
    <w:p>
      <w:pPr>
        <w:pStyle w:val="Heading6"/>
        <w:pBdr>
          <w:left w:val="single" w:sz="36" w:space="4" w:color="2E75B6"/>
        </w:pBdr>
        <w:shd w:val="clear" w:color="auto" w:fill="E3EEF9"/>
        <w:spacing w:before="120" w:after="60"/>
        <w:ind w:left="85"/>
      </w:pPr>
      <w:r>
        <w:rPr>
          <w:i w:val="0"/>
          <w:color w:val="1F3A5F"/>
          <w:sz w:val="22"/>
        </w:rPr>
        <w:t xml:space="preserve">Art. 375</w:t>
      </w:r>
    </w:p>
    <w:p>
      <w:pPr>
        <w:pStyle w:val="FirstParagraph"/>
        <w:keepNext/>
        <w:spacing w:after="60"/>
        <w:jc w:val="both"/>
      </w:pPr>
      <w:r>
        <w:rPr>
          <w:b/>
          <w:bCs/>
        </w:rPr>
        <w:t xml:space="preserve">Art. 375.</w:t>
      </w:r>
      <w:r>
        <w:t xml:space="preserve"> </w:t>
      </w:r>
      <w:r>
        <w:t xml:space="preserve">O juiz aplicará as regras de experiência comum subministradas pela observação do que ordinariamente acontece e, ainda, as regras de experiência técnica, ressalvado, quanto a estas, o exame pericial.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2154"/>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Art. 375: uso das regras de experiência comum para fixar o lapso indenizável</w:t>
            </w:r>
          </w:p>
        </w:tc>
        <w:tc>
          <w:tcPr>
            <w:tcW w:type="dxa" w:w="1655"/>
          </w:tcPr>
          <w:p>
            <w:pPr>
              <w:pStyle w:val="Compact"/>
              <w:spacing w:line="276" w:lineRule="auto" w:before="40" w:after="40"/>
            </w:pPr>
            <w:r>
              <w:rPr>
                <w:rFonts w:ascii="Liberation Sans Narrow" w:hAnsi="Liberation Sans Narrow"/>
                <w:sz w:val="17"/>
              </w:rPr>
              <w:t xml:space="preserve">STJ, AREsp 3.141.923, Terceira Turma, relator Min. Moura Ribeiro, julgado em 30/06/2026, DJEN de 03/07/2026</w:t>
            </w:r>
          </w:p>
        </w:tc>
        <w:tc>
          <w:tcPr>
            <w:tcW w:type="dxa" w:w="2154"/>
          </w:tcPr>
          <w:p>
            <w:pPr>
              <w:pStyle w:val="Compact"/>
              <w:spacing w:line="276" w:lineRule="auto" w:before="40" w:after="40"/>
            </w:pPr>
            <w:r>
              <w:rPr>
                <w:rFonts w:ascii="Liberation Sans Narrow" w:hAnsi="Liberation Sans Narrow"/>
                <w:sz w:val="17"/>
              </w:rPr>
              <w:t xml:space="preserve">O colegiado pode fixar o período indenizável observando</w:t>
            </w:r>
            <w:r>
              <w:rPr>
                <w:rFonts w:ascii="Liberation Sans Narrow" w:hAnsi="Liberation Sans Narrow"/>
                <w:sz w:val="17"/>
              </w:rPr>
              <w:t xml:space="preserve"> </w:t>
            </w:r>
            <w:r>
              <w:rPr>
                <w:rFonts w:ascii="Liberation Sans Narrow" w:hAnsi="Liberation Sans Narrow"/>
                <w:sz w:val="17"/>
              </w:rPr>
              <w:t xml:space="preserve">“o que ordinariamente acontece e as circunstâncias do caso concreto”</w:t>
            </w:r>
            <w:r>
              <w:rPr>
                <w:rFonts w:ascii="Liberation Sans Narrow" w:hAnsi="Liberation Sans Narrow"/>
                <w:sz w:val="17"/>
              </w:rPr>
              <w:t xml:space="preserve">, com base nas regras de experiência comum e técnica do art. 375. Em padrão epistêmico adequado,</w:t>
            </w:r>
            <w:r>
              <w:rPr>
                <w:rFonts w:ascii="Liberation Sans Narrow" w:hAnsi="Liberation Sans Narrow"/>
                <w:sz w:val="17"/>
              </w:rPr>
              <w:t xml:space="preserve"> </w:t>
            </w:r>
            <w:r>
              <w:rPr>
                <w:rFonts w:ascii="Liberation Sans Narrow" w:hAnsi="Liberation Sans Narrow"/>
                <w:sz w:val="17"/>
              </w:rPr>
              <w:t xml:space="preserve">“afirmações que divergem do esperado, do comum, do ordinário exigem demonstração reforçada”</w:t>
            </w:r>
            <w:r>
              <w:rPr>
                <w:rFonts w:ascii="Liberation Sans Narrow" w:hAnsi="Liberation Sans Narrow"/>
                <w:sz w:val="17"/>
              </w:rPr>
              <w:t xml:space="preserve">; a pretensão de vincular o prazo ao contrato esbarra nas Súmulas 5 e 7.</w:t>
            </w:r>
          </w:p>
        </w:tc>
      </w:tr>
      <w:tr>
        <w:trPr/>
        <w:tc>
          <w:tcPr>
            <w:tcW w:type="dxa" w:w="1780"/>
          </w:tcPr>
          <w:p>
            <w:pPr>
              <w:pStyle w:val="Compact"/>
              <w:spacing w:line="276" w:lineRule="auto" w:before="40" w:after="40"/>
            </w:pPr>
            <w:r>
              <w:rPr>
                <w:rFonts w:ascii="Liberation Sans Narrow" w:hAnsi="Liberation Sans Narrow"/>
                <w:sz w:val="17"/>
              </w:rPr>
              <w:t xml:space="preserve">Art. 375: a ressalva do exame pericial afasta as regras de experiência quando a matéria é técnica</w:t>
            </w:r>
          </w:p>
        </w:tc>
        <w:tc>
          <w:tcPr>
            <w:tcW w:type="dxa" w:w="1655"/>
          </w:tcPr>
          <w:p>
            <w:pPr>
              <w:pStyle w:val="Compact"/>
              <w:spacing w:line="276" w:lineRule="auto" w:before="40" w:after="40"/>
            </w:pPr>
            <w:r>
              <w:rPr>
                <w:rFonts w:ascii="Liberation Sans Narrow" w:hAnsi="Liberation Sans Narrow"/>
                <w:sz w:val="17"/>
              </w:rPr>
              <w:t xml:space="preserve">STJ, AREsp 2.749.084, Quarta Turma, relator Min. Raul Araújo, julgado em 04/05/2026, DJEN de 12/05/2026</w:t>
            </w:r>
          </w:p>
        </w:tc>
        <w:tc>
          <w:tcPr>
            <w:tcW w:type="dxa" w:w="2154"/>
          </w:tcPr>
          <w:p>
            <w:pPr>
              <w:pStyle w:val="Compact"/>
              <w:spacing w:line="276" w:lineRule="auto" w:before="40" w:after="40"/>
            </w:pPr>
            <w:r>
              <w:rPr>
                <w:rFonts w:ascii="Liberation Sans Narrow" w:hAnsi="Liberation Sans Narrow"/>
                <w:sz w:val="17"/>
              </w:rPr>
              <w:t xml:space="preserve">“Nos termos do art. 375 do CPC/2015 (art. 355 do CPC/73), as regras de experiência não podem ser aplicadas pelo julgador quando a solução da lide demandar conhecimentos técnicos sobre o tema.”</w:t>
            </w:r>
            <w:r>
              <w:rPr>
                <w:rFonts w:ascii="Liberation Sans Narrow" w:hAnsi="Liberation Sans Narrow"/>
                <w:sz w:val="17"/>
              </w:rPr>
              <w:t xml:space="preserve"> </w:t>
            </w:r>
            <w:r>
              <w:rPr>
                <w:rFonts w:ascii="Liberation Sans Narrow" w:hAnsi="Liberation Sans Narrow"/>
                <w:sz w:val="17"/>
              </w:rPr>
              <w:t xml:space="preserve">O juiz não está adstrito ao laudo, mas a desconsideração da perícia que atestou invalidez parcial permanente, substituída por enquadramento distinto sem força probante, afronta o sistema de valoração das provas (arts. 371 e 479). Recurso parcialmente provido.</w:t>
            </w:r>
          </w:p>
        </w:tc>
      </w:tr>
      <w:tr>
        <w:trPr/>
        <w:tc>
          <w:tcPr>
            <w:tcW w:type="dxa" w:w="1780"/>
          </w:tcPr>
          <w:p>
            <w:pPr>
              <w:pStyle w:val="Compact"/>
              <w:spacing w:line="276" w:lineRule="auto" w:before="40" w:after="40"/>
            </w:pPr>
            <w:r>
              <w:rPr>
                <w:rFonts w:ascii="Liberation Sans Narrow" w:hAnsi="Liberation Sans Narrow"/>
                <w:sz w:val="17"/>
              </w:rPr>
              <w:t xml:space="preserve">Art. 375: regras de experiência não se confundem com o conhecimento pessoal do julgador</w:t>
            </w:r>
          </w:p>
        </w:tc>
        <w:tc>
          <w:tcPr>
            <w:tcW w:type="dxa" w:w="1655"/>
          </w:tcPr>
          <w:p>
            <w:pPr>
              <w:pStyle w:val="Compact"/>
              <w:spacing w:line="276" w:lineRule="auto" w:before="40" w:after="40"/>
            </w:pPr>
            <w:r>
              <w:rPr>
                <w:rFonts w:ascii="Liberation Sans Narrow" w:hAnsi="Liberation Sans Narrow"/>
                <w:sz w:val="17"/>
              </w:rPr>
              <w:t xml:space="preserve">STJ, REsp 1.786.046, Terceira Turma, relator Min. Moura Ribeiro, julgado em 09/05/2023, DJe de 11/05/2023</w:t>
            </w:r>
          </w:p>
        </w:tc>
        <w:tc>
          <w:tcPr>
            <w:tcW w:type="dxa" w:w="2154"/>
          </w:tcPr>
          <w:p>
            <w:pPr>
              <w:pStyle w:val="Compact"/>
              <w:spacing w:line="276" w:lineRule="auto" w:before="40" w:after="40"/>
            </w:pPr>
            <w:r>
              <w:rPr>
                <w:rFonts w:ascii="Liberation Sans Narrow" w:hAnsi="Liberation Sans Narrow"/>
                <w:sz w:val="17"/>
              </w:rPr>
              <w:t xml:space="preserve">As regras ou máximas de experiência são juízos que o homem médio formula a partir do que normalmente acontece e</w:t>
            </w:r>
            <w:r>
              <w:rPr>
                <w:rFonts w:ascii="Liberation Sans Narrow" w:hAnsi="Liberation Sans Narrow"/>
                <w:sz w:val="17"/>
              </w:rPr>
              <w:t xml:space="preserve"> </w:t>
            </w:r>
            <w:r>
              <w:rPr>
                <w:rFonts w:ascii="Liberation Sans Narrow" w:hAnsi="Liberation Sans Narrow"/>
                <w:sz w:val="17"/>
              </w:rPr>
              <w:t xml:space="preserve">“não se confundem com o conhecimento pessoal que ele tem a respeito de algum fato concreto, em relação ao qual, exige-se, de qualquer forma, a produção de prova específica, sob o crivo do contraditório”</w:t>
            </w:r>
            <w:r>
              <w:rPr>
                <w:rFonts w:ascii="Liberation Sans Narrow" w:hAnsi="Liberation Sans Narrow"/>
                <w:sz w:val="17"/>
              </w:rPr>
              <w:t xml:space="preserve">. Saber o valor de mercado de imóvel penhorado não é informação de conhecimento público: a avaliação exige perícia, e não cabe ao julgador fixá-la com base no art. 375. Recurso especial provido.</w:t>
            </w:r>
          </w:p>
        </w:tc>
      </w:tr>
    </w:tbl>
    <w:bookmarkEnd w:id="93"/>
    <w:bookmarkStart w:id="94" w:name="art.-376"/>
    <w:p>
      <w:pPr>
        <w:pStyle w:val="Heading6"/>
        <w:pBdr>
          <w:left w:val="single" w:sz="36" w:space="4" w:color="2E75B6"/>
        </w:pBdr>
        <w:shd w:val="clear" w:color="auto" w:fill="E3EEF9"/>
        <w:spacing w:before="120" w:after="60"/>
        <w:ind w:left="85"/>
      </w:pPr>
      <w:r>
        <w:rPr>
          <w:i w:val="0"/>
          <w:color w:val="1F3A5F"/>
          <w:sz w:val="22"/>
        </w:rPr>
        <w:t xml:space="preserve">Art. 376</w:t>
      </w:r>
    </w:p>
    <w:p>
      <w:pPr>
        <w:pStyle w:val="FirstParagraph"/>
        <w:keepNext/>
        <w:spacing w:after="60"/>
        <w:jc w:val="both"/>
      </w:pPr>
      <w:r>
        <w:rPr>
          <w:b/>
          <w:bCs/>
        </w:rPr>
        <w:t xml:space="preserve">Art. 376.</w:t>
      </w:r>
      <w:r>
        <w:t xml:space="preserve"> </w:t>
      </w:r>
      <w:r>
        <w:t xml:space="preserve">A parte que alegar direito municipal, estadual, estrangeiro ou consuetudinário provar-lhe-á o teor e a vigência, se assim o juiz determinar.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2154"/>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655"/>
          </w:tcPr>
          <w:p>
            <w:pPr>
              <w:pStyle w:val="Compact"/>
              <w:spacing w:line="276" w:lineRule="auto" w:before="40" w:after="40"/>
            </w:pPr>
            <w:r>
              <w:rPr>
                <w:rFonts w:ascii="Liberation Sans Narrow" w:hAnsi="Liberation Sans Narrow"/>
                <w:sz w:val="17"/>
              </w:rPr>
              <w:t xml:space="preserve">Art. 376: ônus de provar o teor e a vigência do direito estrangeiro</w:t>
            </w:r>
          </w:p>
        </w:tc>
        <w:tc>
          <w:tcPr>
            <w:tcW w:type="dxa" w:w="1655"/>
          </w:tcPr>
          <w:p>
            <w:pPr>
              <w:pStyle w:val="Compact"/>
              <w:spacing w:line="276" w:lineRule="auto" w:before="40" w:after="40"/>
            </w:pPr>
            <w:r>
              <w:rPr>
                <w:rFonts w:ascii="Liberation Sans Narrow" w:hAnsi="Liberation Sans Narrow"/>
                <w:sz w:val="17"/>
              </w:rPr>
              <w:t xml:space="preserve">STJ, REsp 1.691.771, Segunda Turma, relator Min. Mauro Campbell Marques, julgado em 13/12/2022, DJe de 15/12/2022</w:t>
            </w:r>
          </w:p>
        </w:tc>
        <w:tc>
          <w:tcPr>
            <w:tcW w:type="dxa" w:w="2154"/>
          </w:tcPr>
          <w:p>
            <w:pPr>
              <w:pStyle w:val="Compact"/>
              <w:spacing w:line="276" w:lineRule="auto" w:before="40" w:after="40"/>
            </w:pPr>
            <w:r>
              <w:rPr>
                <w:rFonts w:ascii="Liberation Sans Narrow" w:hAnsi="Liberation Sans Narrow"/>
                <w:sz w:val="17"/>
              </w:rPr>
              <w:t xml:space="preserve">A prova da vigência de norma estrangeira que assegure a reciprocidade de tratamento do art. 5º da Lei 4.862/65 cabe ao contribuinte, na forma do art. 376 do CPC/2015, cujo texto a ementa transcreve: a parte que alegar direito municipal, estadual, estrangeiro ou consuetudinário provar-lhe-á o teor e a vigência, se assim o juiz determinar. A Corte de origem, ao subtrair a oportunidade de produzir essa prova e ao silenciar-se, em embargos de declaração, sobre sua necessidade e relevância, incidiu em omissão relevante (art. 535 do CPC/1973, atual art. 1.022 do CPC/2015). Recurso especial provido para que a origem oportunize ao contribuinte demonstrar a vigência da norma estrangeira.</w:t>
            </w:r>
          </w:p>
        </w:tc>
      </w:tr>
    </w:tbl>
    <w:bookmarkEnd w:id="94"/>
    <w:bookmarkStart w:id="95" w:name="art.-377"/>
    <w:p>
      <w:pPr>
        <w:pStyle w:val="Heading6"/>
        <w:pBdr>
          <w:left w:val="single" w:sz="36" w:space="4" w:color="2E75B6"/>
        </w:pBdr>
        <w:shd w:val="clear" w:color="auto" w:fill="E3EEF9"/>
        <w:spacing w:before="120" w:after="60"/>
        <w:ind w:left="85"/>
      </w:pPr>
      <w:r>
        <w:rPr>
          <w:i w:val="0"/>
          <w:color w:val="1F3A5F"/>
          <w:sz w:val="22"/>
        </w:rPr>
        <w:t xml:space="preserve">Art. 377</w:t>
      </w:r>
    </w:p>
    <w:p>
      <w:pPr>
        <w:pStyle w:val="FirstParagraph"/>
        <w:spacing w:after="60"/>
        <w:jc w:val="both"/>
      </w:pPr>
      <w:r>
        <w:rPr>
          <w:b/>
          <w:bCs/>
        </w:rPr>
        <w:t xml:space="preserve">Art. 377.</w:t>
      </w:r>
      <w:r>
        <w:t xml:space="preserve"> </w:t>
      </w:r>
      <w:r>
        <w:t xml:space="preserve">A carta precatória, a carta rogatória e o auxílio direto suspenderão o julgamento da causa no caso previsto no art. 313, inciso V, alínea “b”, quando, tendo sido requeridos antes da decisão de saneamento, a prova neles solicitada for imprescindível.</w:t>
      </w:r>
    </w:p>
    <w:p>
      <w:pPr>
        <w:pStyle w:val="BodyText"/>
        <w:spacing w:after="60"/>
        <w:jc w:val="both"/>
      </w:pPr>
      <w:r>
        <w:t xml:space="preserve">Parágrafo único. A carta precatória e a carta rogatória não devolvidas no prazo ou concedidas sem efeito suspensivo poderão ser juntadas aos autos a qualquer momento.</w:t>
      </w:r>
    </w:p>
    <w:bookmarkEnd w:id="95"/>
    <w:bookmarkStart w:id="96" w:name="art.-378"/>
    <w:p>
      <w:pPr>
        <w:pStyle w:val="Heading6"/>
        <w:pBdr>
          <w:left w:val="single" w:sz="36" w:space="4" w:color="2E75B6"/>
        </w:pBdr>
        <w:shd w:val="clear" w:color="auto" w:fill="E3EEF9"/>
        <w:spacing w:before="120" w:after="60"/>
        <w:ind w:left="85"/>
      </w:pPr>
      <w:r>
        <w:rPr>
          <w:i w:val="0"/>
          <w:color w:val="1F3A5F"/>
          <w:sz w:val="22"/>
        </w:rPr>
        <w:t xml:space="preserve">Art. 378</w:t>
      </w:r>
    </w:p>
    <w:p>
      <w:pPr>
        <w:pStyle w:val="FirstParagraph"/>
        <w:keepNext/>
        <w:spacing w:after="60"/>
        <w:jc w:val="both"/>
      </w:pPr>
      <w:r>
        <w:rPr>
          <w:b/>
          <w:bCs/>
        </w:rPr>
        <w:t xml:space="preserve">Art. 378.</w:t>
      </w:r>
      <w:r>
        <w:t xml:space="preserve"> </w:t>
      </w:r>
      <w:r>
        <w:t xml:space="preserve">Ninguém se exime do dever de colaborar com o Poder Judiciário para o descobrimento da verdade.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2154"/>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655"/>
          </w:tcPr>
          <w:p>
            <w:pPr>
              <w:pStyle w:val="Compact"/>
              <w:spacing w:line="276" w:lineRule="auto" w:before="40" w:after="40"/>
            </w:pPr>
            <w:r>
              <w:rPr>
                <w:rFonts w:ascii="Liberation Sans Narrow" w:hAnsi="Liberation Sans Narrow"/>
                <w:sz w:val="17"/>
              </w:rPr>
              <w:t xml:space="preserve">Art. 378: dever de colaboração como fundamento da exibição de documentos</w:t>
            </w:r>
          </w:p>
        </w:tc>
        <w:tc>
          <w:tcPr>
            <w:tcW w:type="dxa" w:w="1655"/>
          </w:tcPr>
          <w:p>
            <w:pPr>
              <w:pStyle w:val="Compact"/>
              <w:spacing w:line="276" w:lineRule="auto" w:before="40" w:after="40"/>
            </w:pPr>
            <w:r>
              <w:rPr>
                <w:rFonts w:ascii="Liberation Sans Narrow" w:hAnsi="Liberation Sans Narrow"/>
                <w:sz w:val="17"/>
              </w:rPr>
              <w:t xml:space="preserve">STJ, AREsp 2.770.186, Quarta Turma, relator Min. Raul Araújo, julgado em 02/03/2026, DJEN de 11/03/2026</w:t>
            </w:r>
          </w:p>
        </w:tc>
        <w:tc>
          <w:tcPr>
            <w:tcW w:type="dxa" w:w="2154"/>
          </w:tcPr>
          <w:p>
            <w:pPr>
              <w:pStyle w:val="Compact"/>
              <w:spacing w:line="276" w:lineRule="auto" w:before="40" w:after="40"/>
            </w:pPr>
            <w:r>
              <w:rPr>
                <w:rFonts w:ascii="Liberation Sans Narrow" w:hAnsi="Liberation Sans Narrow"/>
                <w:sz w:val="17"/>
              </w:rPr>
              <w:t xml:space="preserve">A decisão que determinou a exibição de extratos da</w:t>
            </w:r>
            <w:r>
              <w:rPr>
                <w:rFonts w:ascii="Liberation Sans Narrow" w:hAnsi="Liberation Sans Narrow"/>
                <w:sz w:val="17"/>
              </w:rPr>
              <w:t xml:space="preserve"> </w:t>
            </w:r>
            <w:r>
              <w:rPr>
                <w:rFonts w:ascii="Liberation Sans Narrow" w:hAnsi="Liberation Sans Narrow"/>
                <w:sz w:val="17"/>
              </w:rPr>
              <w:t xml:space="preserve">“conta centralizadora”</w:t>
            </w:r>
            <w:r>
              <w:rPr>
                <w:rFonts w:ascii="Liberation Sans Narrow" w:hAnsi="Liberation Sans Narrow"/>
                <w:sz w:val="17"/>
              </w:rPr>
              <w:t xml:space="preserve"> </w:t>
            </w:r>
            <w:r>
              <w:rPr>
                <w:rFonts w:ascii="Liberation Sans Narrow" w:hAnsi="Liberation Sans Narrow"/>
                <w:sz w:val="17"/>
              </w:rPr>
              <w:t xml:space="preserve">de operação de securitização</w:t>
            </w:r>
            <w:r>
              <w:rPr>
                <w:rFonts w:ascii="Liberation Sans Narrow" w:hAnsi="Liberation Sans Narrow"/>
                <w:sz w:val="17"/>
              </w:rPr>
              <w:t xml:space="preserve"> </w:t>
            </w:r>
            <w:r>
              <w:rPr>
                <w:rFonts w:ascii="Liberation Sans Narrow" w:hAnsi="Liberation Sans Narrow"/>
                <w:sz w:val="17"/>
              </w:rPr>
              <w:t xml:space="preserve">“está fundamentada no dever de colaboração processual e na possibilidade de intimação de terceiro para apresentação de documentos relacionados ao objeto da execução, conforme os arts. 378, 380 e 772, III, do CPC”</w:t>
            </w:r>
            <w:r>
              <w:rPr>
                <w:rFonts w:ascii="Liberation Sans Narrow" w:hAnsi="Liberation Sans Narrow"/>
                <w:sz w:val="17"/>
              </w:rPr>
              <w:t xml:space="preserve">. A medida</w:t>
            </w:r>
            <w:r>
              <w:rPr>
                <w:rFonts w:ascii="Liberation Sans Narrow" w:hAnsi="Liberation Sans Narrow"/>
                <w:sz w:val="17"/>
              </w:rPr>
              <w:t xml:space="preserve"> </w:t>
            </w:r>
            <w:r>
              <w:rPr>
                <w:rFonts w:ascii="Liberation Sans Narrow" w:hAnsi="Liberation Sans Narrow"/>
                <w:sz w:val="17"/>
              </w:rPr>
              <w:t xml:space="preserve">“não configura quebra de sigilo bancário, pois se refere a informações da própria devedora”</w:t>
            </w:r>
            <w:r>
              <w:rPr>
                <w:rFonts w:ascii="Liberation Sans Narrow" w:hAnsi="Liberation Sans Narrow"/>
                <w:sz w:val="17"/>
              </w:rPr>
              <w:t xml:space="preserve">, sendo providência excepcional para satisfação do crédito. Agravo conhecido para negar provimento ao recurso especial, também por incidência da Súmula 126/STJ.</w:t>
            </w:r>
          </w:p>
        </w:tc>
      </w:tr>
    </w:tbl>
    <w:bookmarkEnd w:id="96"/>
    <w:bookmarkStart w:id="97" w:name="art.-379"/>
    <w:p>
      <w:pPr>
        <w:pStyle w:val="Heading6"/>
        <w:pBdr>
          <w:left w:val="single" w:sz="36" w:space="4" w:color="2E75B6"/>
        </w:pBdr>
        <w:shd w:val="clear" w:color="auto" w:fill="E3EEF9"/>
        <w:spacing w:before="120" w:after="60"/>
        <w:ind w:left="85"/>
      </w:pPr>
      <w:r>
        <w:rPr>
          <w:i w:val="0"/>
          <w:color w:val="1F3A5F"/>
          <w:sz w:val="22"/>
        </w:rPr>
        <w:t xml:space="preserve">Art. 379</w:t>
      </w:r>
    </w:p>
    <w:p>
      <w:pPr>
        <w:pStyle w:val="FirstParagraph"/>
        <w:spacing w:after="60"/>
        <w:jc w:val="both"/>
      </w:pPr>
      <w:r>
        <w:rPr>
          <w:b/>
          <w:bCs/>
        </w:rPr>
        <w:t xml:space="preserve">Art. 379.</w:t>
      </w:r>
      <w:r>
        <w:t xml:space="preserve"> </w:t>
      </w:r>
      <w:r>
        <w:t xml:space="preserve">Preservado o direito de não produzir prova contra si própria, incumbe à parte:</w:t>
      </w:r>
    </w:p>
    <w:p>
      <w:pPr>
        <w:pStyle w:val="BodyText"/>
        <w:spacing w:after="60"/>
        <w:jc w:val="both"/>
      </w:pPr>
      <w:r>
        <w:t xml:space="preserve">I - comparecer em juízo, respondendo ao que lhe for interrogado;</w:t>
      </w:r>
    </w:p>
    <w:p>
      <w:pPr>
        <w:pStyle w:val="BodyText"/>
        <w:spacing w:after="60"/>
        <w:jc w:val="both"/>
      </w:pPr>
      <w:r>
        <w:t xml:space="preserve">II - colaborar com o juízo na realização de inspeção judicial que for considerada necessária;</w:t>
      </w:r>
    </w:p>
    <w:p>
      <w:pPr>
        <w:pStyle w:val="BodyText"/>
        <w:spacing w:after="60"/>
        <w:jc w:val="both"/>
      </w:pPr>
      <w:r>
        <w:t xml:space="preserve">III - praticar o ato que lhe for determinado.</w:t>
      </w:r>
    </w:p>
    <w:bookmarkEnd w:id="97"/>
    <w:bookmarkStart w:id="98" w:name="art.-380"/>
    <w:p>
      <w:pPr>
        <w:pStyle w:val="Heading6"/>
        <w:pBdr>
          <w:left w:val="single" w:sz="36" w:space="4" w:color="2E75B6"/>
        </w:pBdr>
        <w:shd w:val="clear" w:color="auto" w:fill="E3EEF9"/>
        <w:spacing w:before="120" w:after="60"/>
        <w:ind w:left="85"/>
      </w:pPr>
      <w:r>
        <w:rPr>
          <w:i w:val="0"/>
          <w:color w:val="1F3A5F"/>
          <w:sz w:val="22"/>
        </w:rPr>
        <w:t xml:space="preserve">Art. 380</w:t>
      </w:r>
    </w:p>
    <w:p>
      <w:pPr>
        <w:pStyle w:val="FirstParagraph"/>
        <w:spacing w:after="60"/>
        <w:jc w:val="both"/>
      </w:pPr>
      <w:r>
        <w:rPr>
          <w:b/>
          <w:bCs/>
        </w:rPr>
        <w:t xml:space="preserve">Art. 380.</w:t>
      </w:r>
      <w:r>
        <w:t xml:space="preserve"> </w:t>
      </w:r>
      <w:r>
        <w:t xml:space="preserve">Incumbe ao terceiro, em relação a qualquer causa:</w:t>
      </w:r>
    </w:p>
    <w:p>
      <w:pPr>
        <w:pStyle w:val="BodyText"/>
        <w:spacing w:after="60"/>
        <w:jc w:val="both"/>
      </w:pPr>
      <w:r>
        <w:t xml:space="preserve">I - informar ao juiz os fatos e as circunstâncias de que tenha conhecimento;</w:t>
      </w:r>
    </w:p>
    <w:p>
      <w:pPr>
        <w:pStyle w:val="BodyText"/>
        <w:spacing w:after="60"/>
        <w:jc w:val="both"/>
      </w:pPr>
      <w:r>
        <w:t xml:space="preserve">II - exibir coisa ou documento que esteja em seu poder.</w:t>
      </w:r>
    </w:p>
    <w:p>
      <w:pPr>
        <w:pStyle w:val="BodyText"/>
        <w:keepNext/>
        <w:spacing w:after="60"/>
        <w:jc w:val="both"/>
      </w:pPr>
      <w:r>
        <w:t xml:space="preserve">Parágrafo único. Poderá o juiz, em caso de descumprimento, determinar, além da imposição de multa, outras medidas indutivas, coercitivas, mandamentais ou sub-rogatórias.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2835"/>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83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Parágrafo único: medidas necessárias para que o terceiro cumpra o dever de colaborar com o Judiciário</w:t>
            </w:r>
          </w:p>
        </w:tc>
        <w:tc>
          <w:tcPr>
            <w:tcW w:type="dxa" w:w="1531"/>
          </w:tcPr>
          <w:p>
            <w:pPr>
              <w:pStyle w:val="Compact"/>
              <w:spacing w:line="276" w:lineRule="auto" w:before="40" w:after="40"/>
            </w:pPr>
            <w:r>
              <w:rPr>
                <w:rFonts w:ascii="Liberation Sans Narrow" w:hAnsi="Liberation Sans Narrow"/>
                <w:sz w:val="17"/>
              </w:rPr>
              <w:t xml:space="preserve">STF, ADI 5.941, Tribunal Pleno, relator Min. Luiz Fux, julgado em 09/02/2023</w:t>
            </w:r>
          </w:p>
        </w:tc>
        <w:tc>
          <w:tcPr>
            <w:tcW w:type="dxa" w:w="2835"/>
          </w:tcPr>
          <w:p>
            <w:pPr>
              <w:pStyle w:val="Compact"/>
              <w:spacing w:line="276" w:lineRule="auto" w:before="40" w:after="40"/>
            </w:pPr>
            <w:r>
              <w:rPr>
                <w:rFonts w:ascii="Liberation Sans Narrow" w:hAnsi="Liberation Sans Narrow"/>
                <w:sz w:val="17"/>
              </w:rPr>
              <w:t xml:space="preserve">Julgada improcedente: não há inconstitucionalidade a priori nos meios executivos atípicos, cuja adequação, necessidade e proporcionalidade em sentido estrito se aferem no caso concreto, com controle pelo sistema recursal.</w:t>
            </w:r>
          </w:p>
        </w:tc>
      </w:tr>
    </w:tbl>
    <w:bookmarkEnd w:id="98"/>
    <w:bookmarkEnd w:id="99"/>
    <w:bookmarkStart w:id="103" w:name="Xe8bcdf2452351349d7c4e958a0cd2f27016f060"/>
    <w:p>
      <w:pPr>
        <w:pStyle w:val="Heading5"/>
        <w:spacing w:before="60" w:after="20"/>
      </w:pPr>
      <w:r>
        <w:rPr>
          <w:i/>
          <w:color w:val="595959"/>
        </w:rPr>
        <w:t xml:space="preserve">Seção II: da produção antecipada da prova (arts. 381 a 383)</w:t>
      </w:r>
    </w:p>
    <w:bookmarkStart w:id="100" w:name="art.-381"/>
    <w:p>
      <w:pPr>
        <w:pStyle w:val="Heading6"/>
        <w:pBdr>
          <w:left w:val="single" w:sz="36" w:space="4" w:color="2E75B6"/>
        </w:pBdr>
        <w:shd w:val="clear" w:color="auto" w:fill="E3EEF9"/>
        <w:spacing w:before="120" w:after="60"/>
        <w:ind w:left="85"/>
      </w:pPr>
      <w:r>
        <w:rPr>
          <w:i w:val="0"/>
          <w:color w:val="1F3A5F"/>
          <w:sz w:val="22"/>
        </w:rPr>
        <w:t xml:space="preserve">Art. 381</w:t>
      </w:r>
    </w:p>
    <w:p>
      <w:pPr>
        <w:pStyle w:val="FirstParagraph"/>
        <w:keepNext/>
        <w:spacing w:after="60"/>
        <w:jc w:val="both"/>
      </w:pPr>
      <w:r>
        <w:rPr>
          <w:b/>
          <w:bCs/>
        </w:rPr>
        <w:t xml:space="preserve">Art. 381.</w:t>
      </w:r>
      <w:r>
        <w:t xml:space="preserve"> </w:t>
      </w:r>
      <w:r>
        <w:t xml:space="preserve">A produção antecipada da prova será admitida nos casos em que: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2029"/>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Art. 381: exame dos requisitos e honorários em caso de resistência</w:t>
            </w:r>
          </w:p>
        </w:tc>
        <w:tc>
          <w:tcPr>
            <w:tcW w:type="dxa" w:w="1655"/>
          </w:tcPr>
          <w:p>
            <w:pPr>
              <w:pStyle w:val="Compact"/>
              <w:spacing w:line="276" w:lineRule="auto" w:before="40" w:after="40"/>
            </w:pPr>
            <w:r>
              <w:rPr>
                <w:rFonts w:ascii="Liberation Sans Narrow" w:hAnsi="Liberation Sans Narrow"/>
                <w:sz w:val="17"/>
              </w:rPr>
              <w:t xml:space="preserve">STJ, REsp 2.220.046, Quarta Turma, relator Min. João Otávio de Noronha, julgado em 30/03/2026, DJEN de 08/04/2026</w:t>
            </w:r>
          </w:p>
        </w:tc>
        <w:tc>
          <w:tcPr>
            <w:tcW w:type="dxa" w:w="2030"/>
          </w:tcPr>
          <w:p>
            <w:pPr>
              <w:pStyle w:val="Compact"/>
              <w:spacing w:line="276" w:lineRule="auto" w:before="40" w:after="40"/>
            </w:pPr>
            <w:r>
              <w:rPr>
                <w:rFonts w:ascii="Liberation Sans Narrow" w:hAnsi="Liberation Sans Narrow"/>
                <w:sz w:val="17"/>
              </w:rPr>
              <w:t xml:space="preserve">Teses: é possível a manifestação judicial sobre a presença dos requisitos da ação de produção antecipada de provas,</w:t>
            </w:r>
            <w:r>
              <w:rPr>
                <w:rFonts w:ascii="Liberation Sans Narrow" w:hAnsi="Liberation Sans Narrow"/>
                <w:sz w:val="17"/>
              </w:rPr>
              <w:t xml:space="preserve"> </w:t>
            </w:r>
            <w:r>
              <w:rPr>
                <w:rFonts w:ascii="Liberation Sans Narrow" w:hAnsi="Liberation Sans Narrow"/>
                <w:sz w:val="17"/>
              </w:rPr>
              <w:t xml:space="preserve">“inclusive o interesse processual”</w:t>
            </w:r>
            <w:r>
              <w:rPr>
                <w:rFonts w:ascii="Liberation Sans Narrow" w:hAnsi="Liberation Sans Narrow"/>
                <w:sz w:val="17"/>
              </w:rPr>
              <w:t xml:space="preserve"> </w:t>
            </w:r>
            <w:r>
              <w:rPr>
                <w:rFonts w:ascii="Liberation Sans Narrow" w:hAnsi="Liberation Sans Narrow"/>
                <w:sz w:val="17"/>
              </w:rPr>
              <w:t xml:space="preserve">e a legitimidade; e</w:t>
            </w:r>
            <w:r>
              <w:rPr>
                <w:rFonts w:ascii="Liberation Sans Narrow" w:hAnsi="Liberation Sans Narrow"/>
                <w:sz w:val="17"/>
              </w:rPr>
              <w:t xml:space="preserve"> </w:t>
            </w:r>
            <w:r>
              <w:rPr>
                <w:rFonts w:ascii="Liberation Sans Narrow" w:hAnsi="Liberation Sans Narrow"/>
                <w:sz w:val="17"/>
              </w:rPr>
              <w:t xml:space="preserve">“os honorários sucumbenciais, no procedimento de produção antecipada de provas, são cabíveis quando houver resistência”</w:t>
            </w:r>
            <w:r>
              <w:rPr>
                <w:rFonts w:ascii="Liberation Sans Narrow" w:hAnsi="Liberation Sans Narrow"/>
                <w:sz w:val="17"/>
              </w:rPr>
              <w:t xml:space="preserve"> </w:t>
            </w:r>
            <w:r>
              <w:rPr>
                <w:rFonts w:ascii="Liberation Sans Narrow" w:hAnsi="Liberation Sans Narrow"/>
                <w:sz w:val="17"/>
              </w:rPr>
              <w:t xml:space="preserve">(Súmula 83/STJ em ambos os pontos). Recurso especial não conhecido.</w:t>
            </w:r>
          </w:p>
        </w:tc>
      </w:tr>
      <w:tr>
        <w:trPr>
          <w:cantSplit/>
        </w:trPr>
        <w:tc>
          <w:tcPr>
            <w:tcW w:type="dxa" w:w="1655"/>
          </w:tcPr>
          <w:p>
            <w:pPr>
              <w:pStyle w:val="Compact"/>
              <w:spacing w:line="276" w:lineRule="auto" w:before="40" w:after="40"/>
            </w:pPr>
            <w:r>
              <w:rPr>
                <w:rFonts w:ascii="Liberation Sans Narrow" w:hAnsi="Liberation Sans Narrow"/>
                <w:sz w:val="17"/>
              </w:rPr>
              <w:t xml:space="preserve">Art. 381: natureza de jurisdição voluntária e honorários</w:t>
            </w:r>
          </w:p>
        </w:tc>
        <w:tc>
          <w:tcPr>
            <w:tcW w:type="dxa" w:w="1655"/>
          </w:tcPr>
          <w:p>
            <w:pPr>
              <w:pStyle w:val="Compact"/>
              <w:spacing w:line="276" w:lineRule="auto" w:before="40" w:after="40"/>
            </w:pPr>
            <w:r>
              <w:rPr>
                <w:rFonts w:ascii="Liberation Sans Narrow" w:hAnsi="Liberation Sans Narrow"/>
                <w:sz w:val="17"/>
              </w:rPr>
              <w:t xml:space="preserve">STJ, REsp 2.115.471, Terceira Turma, relator Min. Humberto Martins, julgado em 09/03/2026, DJEN de 12/03/2026</w:t>
            </w:r>
          </w:p>
        </w:tc>
        <w:tc>
          <w:tcPr>
            <w:tcW w:type="dxa" w:w="2030"/>
          </w:tcPr>
          <w:p>
            <w:pPr>
              <w:pStyle w:val="Compact"/>
              <w:spacing w:line="276" w:lineRule="auto" w:before="40" w:after="40"/>
            </w:pPr>
            <w:r>
              <w:rPr>
                <w:rFonts w:ascii="Liberation Sans Narrow" w:hAnsi="Liberation Sans Narrow"/>
                <w:sz w:val="17"/>
              </w:rPr>
              <w:t xml:space="preserve">“A produção antecipada de provas, conforme o art. 381 do CPC, é procedimento de jurisdição voluntária, no qual não há litigiosidade, sendo descabida a condenação em honorários advocatícios.”</w:t>
            </w:r>
            <w:r>
              <w:rPr>
                <w:rFonts w:ascii="Liberation Sans Narrow" w:hAnsi="Liberation Sans Narrow"/>
                <w:sz w:val="17"/>
              </w:rPr>
              <w:t xml:space="preserve"> </w:t>
            </w:r>
            <w:r>
              <w:rPr>
                <w:rFonts w:ascii="Liberation Sans Narrow" w:hAnsi="Liberation Sans Narrow"/>
                <w:sz w:val="17"/>
              </w:rPr>
              <w:t xml:space="preserve">A jurisprudência só os admite</w:t>
            </w:r>
            <w:r>
              <w:rPr>
                <w:rFonts w:ascii="Liberation Sans Narrow" w:hAnsi="Liberation Sans Narrow"/>
                <w:sz w:val="17"/>
              </w:rPr>
              <w:t xml:space="preserve"> </w:t>
            </w:r>
            <w:r>
              <w:rPr>
                <w:rFonts w:ascii="Liberation Sans Narrow" w:hAnsi="Liberation Sans Narrow"/>
                <w:sz w:val="17"/>
              </w:rPr>
              <w:t xml:space="preserve">“quando há resistência da parte requerida ao atendimento do pedido”</w:t>
            </w:r>
            <w:r>
              <w:rPr>
                <w:rFonts w:ascii="Liberation Sans Narrow" w:hAnsi="Liberation Sans Narrow"/>
                <w:sz w:val="17"/>
              </w:rPr>
              <w:t xml:space="preserve">; a análise da resistência administrativa exigiria reexame de provas (Súmula 7). Recurso especial não conhecido.</w:t>
            </w:r>
          </w:p>
        </w:tc>
      </w:tr>
    </w:tbl>
    <w:p>
      <w:pPr>
        <w:pStyle w:val="BodyText"/>
        <w:spacing w:after="60"/>
        <w:jc w:val="both"/>
      </w:pPr>
      <w:r>
        <w:t xml:space="preserve">I - haja fundado receio de que venha a tornar-se impossível ou muito difícil a verificação de certos fatos na pendência da ação;</w:t>
      </w:r>
    </w:p>
    <w:p>
      <w:pPr>
        <w:pStyle w:val="BodyText"/>
        <w:keepNext/>
        <w:spacing w:after="60"/>
        <w:jc w:val="both"/>
      </w:pPr>
      <w:r>
        <w:t xml:space="preserve">II - a prova a ser produzida seja suscetível de viabilizar a autocomposição ou outro meio adequado de solução de conflito;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154"/>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531"/>
          </w:tcPr>
          <w:p>
            <w:pPr>
              <w:pStyle w:val="Compact"/>
              <w:spacing w:line="276" w:lineRule="auto" w:before="40" w:after="40"/>
            </w:pPr>
            <w:r>
              <w:rPr>
                <w:rFonts w:ascii="Liberation Sans Narrow" w:hAnsi="Liberation Sans Narrow"/>
                <w:sz w:val="17"/>
              </w:rPr>
              <w:t xml:space="preserve">Art. 381, II e III: produção antecipada sem urgência e convenção de arbitragem</w:t>
            </w:r>
          </w:p>
        </w:tc>
        <w:tc>
          <w:tcPr>
            <w:tcW w:type="dxa" w:w="1655"/>
          </w:tcPr>
          <w:p>
            <w:pPr>
              <w:pStyle w:val="Compact"/>
              <w:spacing w:line="276" w:lineRule="auto" w:before="40" w:after="40"/>
            </w:pPr>
            <w:r>
              <w:rPr>
                <w:rFonts w:ascii="Liberation Sans Narrow" w:hAnsi="Liberation Sans Narrow"/>
                <w:sz w:val="17"/>
              </w:rPr>
              <w:t xml:space="preserve">STJ, REsp 2.161.191, Terceira Turma, relator Min. Moura Ribeiro, julgado em 08/06/2026, DJEN de 11/06/2026</w:t>
            </w:r>
          </w:p>
        </w:tc>
        <w:tc>
          <w:tcPr>
            <w:tcW w:type="dxa" w:w="2154"/>
          </w:tcPr>
          <w:p>
            <w:pPr>
              <w:pStyle w:val="Compact"/>
              <w:spacing w:line="276" w:lineRule="auto" w:before="40" w:after="40"/>
            </w:pPr>
            <w:r>
              <w:rPr>
                <w:rFonts w:ascii="Liberation Sans Narrow" w:hAnsi="Liberation Sans Narrow"/>
                <w:sz w:val="17"/>
              </w:rPr>
              <w:t xml:space="preserve">“A competência exclusiva do juízo arbitral não se projeta sobre partes não signatárias da convenção nem sobre instrumentos sem cláusula compromissória, subsistindo a jurisdição estatal para a ação probatória autônoma sem urgência, quando a prova tem por finalidade a autocomposição e o prévio conhecimento dos fatos.”</w:t>
            </w:r>
            <w:r>
              <w:rPr>
                <w:rFonts w:ascii="Liberation Sans Narrow" w:hAnsi="Liberation Sans Narrow"/>
                <w:sz w:val="17"/>
              </w:rPr>
              <w:t xml:space="preserve"> </w:t>
            </w:r>
            <w:r>
              <w:rPr>
                <w:rFonts w:ascii="Liberation Sans Narrow" w:hAnsi="Liberation Sans Narrow"/>
                <w:sz w:val="17"/>
              </w:rPr>
              <w:t xml:space="preserve">Distinção do REsp 2.023.615/SP, que tratava de contratos com convenção arbitral entre signatários; a utilidade da prova testemunhal não se revê pela Súmula 7. Recurso conhecido em parte e, nessa extensão, não provido.</w:t>
            </w:r>
          </w:p>
        </w:tc>
      </w:tr>
    </w:tbl>
    <w:p>
      <w:pPr>
        <w:pStyle w:val="BodyText"/>
        <w:keepNext/>
        <w:spacing w:after="60"/>
        <w:jc w:val="both"/>
      </w:pPr>
      <w:r>
        <w:t xml:space="preserve">III - o prévio conhecimento dos fatos possa justificar ou evitar o ajuizamento de ação.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780"/>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Art. 381, III: ação autônoma de exibição de documentos</w:t>
            </w:r>
          </w:p>
        </w:tc>
        <w:tc>
          <w:tcPr>
            <w:tcW w:type="dxa" w:w="1655"/>
          </w:tcPr>
          <w:p>
            <w:pPr>
              <w:pStyle w:val="Compact"/>
              <w:spacing w:line="276" w:lineRule="auto" w:before="40" w:after="40"/>
            </w:pPr>
            <w:r>
              <w:rPr>
                <w:rFonts w:ascii="Liberation Sans Narrow" w:hAnsi="Liberation Sans Narrow"/>
                <w:sz w:val="17"/>
              </w:rPr>
              <w:t xml:space="preserve">STJ, REsp 2.174.791, Quarta Turma, relator Min. João Otávio de Noronha, julgado em 04/05/2026, DJEN de 07/05/2026</w:t>
            </w:r>
          </w:p>
        </w:tc>
        <w:tc>
          <w:tcPr>
            <w:tcW w:type="dxa" w:w="1780"/>
          </w:tcPr>
          <w:p>
            <w:pPr>
              <w:pStyle w:val="Compact"/>
              <w:spacing w:line="276" w:lineRule="auto" w:before="40" w:after="40"/>
            </w:pPr>
            <w:r>
              <w:rPr>
                <w:rFonts w:ascii="Liberation Sans Narrow" w:hAnsi="Liberation Sans Narrow"/>
                <w:sz w:val="17"/>
              </w:rPr>
              <w:t xml:space="preserve">Tese expressa:</w:t>
            </w:r>
            <w:r>
              <w:rPr>
                <w:rFonts w:ascii="Liberation Sans Narrow" w:hAnsi="Liberation Sans Narrow"/>
                <w:sz w:val="17"/>
              </w:rPr>
              <w:t xml:space="preserve"> </w:t>
            </w:r>
            <w:r>
              <w:rPr>
                <w:rFonts w:ascii="Liberation Sans Narrow" w:hAnsi="Liberation Sans Narrow"/>
                <w:sz w:val="17"/>
              </w:rPr>
              <w:t xml:space="preserve">“Admite-se a ação autônoma de exibição de documentos pelo procedimento comum (art. 318 do Código de Processo Civil) ou pela via da produção antecipada de provas (arts. 381, III, e 396 do Código de Processo Civil).”</w:t>
            </w:r>
            <w:r>
              <w:rPr>
                <w:rFonts w:ascii="Liberation Sans Narrow" w:hAnsi="Liberation Sans Narrow"/>
                <w:sz w:val="17"/>
              </w:rPr>
              <w:t xml:space="preserve"> </w:t>
            </w:r>
            <w:r>
              <w:rPr>
                <w:rFonts w:ascii="Liberation Sans Narrow" w:hAnsi="Liberation Sans Narrow"/>
                <w:sz w:val="17"/>
              </w:rPr>
              <w:t xml:space="preserve">A negativa de acesso a documentos necessários à verificação da viabilidade de demanda futura caracteriza negativa de jurisdição, impondo o retorno dos autos ao primeiro grau. Recurso especial conhecido e provido.</w:t>
            </w:r>
          </w:p>
        </w:tc>
      </w:tr>
    </w:tbl>
    <w:p>
      <w:pPr>
        <w:pStyle w:val="BodyText"/>
        <w:spacing w:after="60"/>
        <w:jc w:val="both"/>
      </w:pPr>
      <w:r>
        <w:t xml:space="preserve">§ 1º O arrolamento de bens observará o disposto nesta Seção quando tiver por finalidade apenas a realização de documentação e não a prática de atos de apreensão.</w:t>
      </w:r>
    </w:p>
    <w:p>
      <w:pPr>
        <w:pStyle w:val="BodyText"/>
        <w:spacing w:after="60"/>
        <w:jc w:val="both"/>
      </w:pPr>
      <w:r>
        <w:t xml:space="preserve">§ 2º A produção antecipada da prova é da competência do juízo do foro onde esta deva ser produzida ou do foro de domicílio do réu.</w:t>
      </w:r>
    </w:p>
    <w:p>
      <w:pPr>
        <w:pStyle w:val="BodyText"/>
        <w:spacing w:after="60"/>
        <w:jc w:val="both"/>
      </w:pPr>
      <w:r>
        <w:t xml:space="preserve">§ 3º A produção antecipada da prova não previne a competência do juízo para a ação que venha a ser proposta.</w:t>
      </w:r>
    </w:p>
    <w:p>
      <w:pPr>
        <w:pStyle w:val="BodyText"/>
        <w:spacing w:after="60"/>
        <w:jc w:val="both"/>
      </w:pPr>
      <w:r>
        <w:t xml:space="preserve">§ 4º O juízo estadual tem competência para produção antecipada de prova requerida em face da União, de entidade autárquica ou de empresa pública federal se, na localidade, não houver vara federal.</w:t>
      </w:r>
    </w:p>
    <w:p>
      <w:pPr>
        <w:pStyle w:val="BodyText"/>
        <w:spacing w:after="60"/>
        <w:jc w:val="both"/>
      </w:pPr>
      <w:r>
        <w:t xml:space="preserve">§ 5º Aplica-se o disposto nesta Seção àquele que pretender justificar a existência de algum fato ou relação jurídica para simples documento e sem caráter contencioso, que exporá, em petição circunstanciada, a sua intenção.</w:t>
      </w:r>
    </w:p>
    <w:bookmarkEnd w:id="100"/>
    <w:bookmarkStart w:id="101" w:name="art.-382"/>
    <w:p>
      <w:pPr>
        <w:pStyle w:val="Heading6"/>
        <w:pBdr>
          <w:left w:val="single" w:sz="36" w:space="4" w:color="2E75B6"/>
        </w:pBdr>
        <w:shd w:val="clear" w:color="auto" w:fill="E3EEF9"/>
        <w:spacing w:before="120" w:after="60"/>
        <w:ind w:left="85"/>
      </w:pPr>
      <w:r>
        <w:rPr>
          <w:i w:val="0"/>
          <w:color w:val="1F3A5F"/>
          <w:sz w:val="22"/>
        </w:rPr>
        <w:t xml:space="preserve">Art. 382</w:t>
      </w:r>
    </w:p>
    <w:p>
      <w:pPr>
        <w:pStyle w:val="FirstParagraph"/>
        <w:keepNext/>
        <w:spacing w:after="60"/>
        <w:jc w:val="both"/>
      </w:pPr>
      <w:r>
        <w:rPr>
          <w:b/>
          <w:bCs/>
        </w:rPr>
        <w:t xml:space="preserve">Art. 382.</w:t>
      </w:r>
      <w:r>
        <w:t xml:space="preserve"> </w:t>
      </w:r>
      <w:r>
        <w:t xml:space="preserve">Na petição, o requerente apresentará as razões que justificam a necessidade de antecipação da prova e mencionará com precisão os fatos sobre os quais a prova há de recair.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2154"/>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Produção antecipada de prova (§ 4º): inviabilidade de recurso contra o deferimento</w:t>
            </w:r>
          </w:p>
        </w:tc>
        <w:tc>
          <w:tcPr>
            <w:tcW w:type="dxa" w:w="1655"/>
          </w:tcPr>
          <w:p>
            <w:pPr>
              <w:pStyle w:val="Compact"/>
              <w:spacing w:line="276" w:lineRule="auto" w:before="40" w:after="40"/>
            </w:pPr>
            <w:r>
              <w:rPr>
                <w:rFonts w:ascii="Liberation Sans Narrow" w:hAnsi="Liberation Sans Narrow"/>
                <w:sz w:val="17"/>
              </w:rPr>
              <w:t xml:space="preserve">STJ, AREsp 2.962.979, Terceira Turma, relatora Min. Nancy Andrighi, julgado em 17/11/2025, DJEN de 25/11/2025</w:t>
            </w:r>
          </w:p>
        </w:tc>
        <w:tc>
          <w:tcPr>
            <w:tcW w:type="dxa" w:w="2154"/>
          </w:tcPr>
          <w:p>
            <w:pPr>
              <w:pStyle w:val="Compact"/>
              <w:spacing w:line="276" w:lineRule="auto" w:before="40" w:after="40"/>
            </w:pPr>
            <w:r>
              <w:rPr>
                <w:rFonts w:ascii="Liberation Sans Narrow" w:hAnsi="Liberation Sans Narrow"/>
                <w:sz w:val="17"/>
              </w:rPr>
              <w:t xml:space="preserve">Nos procedimentos de produção antecipada de prova, a impugnação só é cabível quando a decisão denega o pleito formulado (art. 382, § 4º).</w:t>
            </w:r>
          </w:p>
        </w:tc>
      </w:tr>
      <w:tr>
        <w:trPr>
          <w:cantSplit/>
        </w:trPr>
        <w:tc>
          <w:tcPr>
            <w:tcW w:type="dxa" w:w="1905"/>
          </w:tcPr>
          <w:p>
            <w:pPr>
              <w:pStyle w:val="Compact"/>
              <w:spacing w:line="276" w:lineRule="auto" w:before="40" w:after="40"/>
            </w:pPr>
            <w:r>
              <w:rPr>
                <w:rFonts w:ascii="Liberation Sans Narrow" w:hAnsi="Liberation Sans Narrow"/>
                <w:sz w:val="17"/>
              </w:rPr>
              <w:t xml:space="preserve">Produção antecipada de prova (§ 4º): contraditório e recurso contra a decisão que a defere</w:t>
            </w:r>
          </w:p>
        </w:tc>
        <w:tc>
          <w:tcPr>
            <w:tcW w:type="dxa" w:w="1655"/>
          </w:tcPr>
          <w:p>
            <w:pPr>
              <w:pStyle w:val="Compact"/>
              <w:spacing w:line="276" w:lineRule="auto" w:before="40" w:after="40"/>
            </w:pPr>
            <w:r>
              <w:rPr>
                <w:rFonts w:ascii="Liberation Sans Narrow" w:hAnsi="Liberation Sans Narrow"/>
                <w:sz w:val="17"/>
              </w:rPr>
              <w:t xml:space="preserve">STJ, REsp 2.043.440, Quarta Turma, relatora Min. Maria Isabel Gallotti, julgado em 29/11/2023, DJe de 23/01/2024</w:t>
            </w:r>
          </w:p>
        </w:tc>
        <w:tc>
          <w:tcPr>
            <w:tcW w:type="dxa" w:w="2154"/>
          </w:tcPr>
          <w:p>
            <w:pPr>
              <w:pStyle w:val="Compact"/>
              <w:spacing w:line="276" w:lineRule="auto" w:before="40" w:after="40"/>
            </w:pPr>
            <w:r>
              <w:rPr>
                <w:rFonts w:ascii="Liberation Sans Narrow" w:hAnsi="Liberation Sans Narrow"/>
                <w:sz w:val="17"/>
              </w:rPr>
              <w:t xml:space="preserve">A melhor interpretação do § 4º não veda em absoluto a resistência à decisão que defere a produção antecipada de provas: admite-se afastar a limitação de recorribilidade quando a parte atingida questiona a presença dos requisitos que autorizam a ação.</w:t>
            </w:r>
          </w:p>
        </w:tc>
      </w:tr>
    </w:tbl>
    <w:p>
      <w:pPr>
        <w:pStyle w:val="BodyText"/>
        <w:spacing w:after="60"/>
        <w:jc w:val="both"/>
      </w:pPr>
      <w:r>
        <w:t xml:space="preserve">§ 1º O juiz determinará, de ofício ou a requerimento da parte, a citação de interessados na produção da prova ou no fato a ser provado, salvo se inexistente caráter contencioso.</w:t>
      </w:r>
    </w:p>
    <w:p>
      <w:pPr>
        <w:pStyle w:val="BodyText"/>
        <w:keepNext/>
        <w:spacing w:after="60"/>
        <w:jc w:val="both"/>
      </w:pPr>
      <w:r>
        <w:t xml:space="preserve">§ 2º O juiz não se pronunciará sobre a ocorrência ou a inocorrência do fato, nem sobre as respectivas consequências jurídicas.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154"/>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 2º — vedação de valoração da prova na produção antecipada</w:t>
            </w:r>
          </w:p>
        </w:tc>
        <w:tc>
          <w:tcPr>
            <w:tcW w:type="dxa" w:w="1655"/>
          </w:tcPr>
          <w:p>
            <w:pPr>
              <w:pStyle w:val="Compact"/>
              <w:spacing w:line="276" w:lineRule="auto" w:before="40" w:after="40"/>
            </w:pPr>
            <w:r>
              <w:rPr>
                <w:rFonts w:ascii="Liberation Sans Narrow" w:hAnsi="Liberation Sans Narrow"/>
                <w:sz w:val="17"/>
              </w:rPr>
              <w:t xml:space="preserve">STJ, AREsp 2.628.736, Terceira Turma, relator Min. Moura Ribeiro, julgado em 13/10/2025, DJEN de 17/10/2025</w:t>
            </w:r>
          </w:p>
        </w:tc>
        <w:tc>
          <w:tcPr>
            <w:tcW w:type="dxa" w:w="2154"/>
          </w:tcPr>
          <w:p>
            <w:pPr>
              <w:pStyle w:val="Compact"/>
              <w:spacing w:line="276" w:lineRule="auto" w:before="40" w:after="40"/>
            </w:pPr>
            <w:r>
              <w:rPr>
                <w:rFonts w:ascii="Liberation Sans Narrow" w:hAnsi="Liberation Sans Narrow"/>
                <w:sz w:val="17"/>
              </w:rPr>
              <w:t xml:space="preserve">A ação de produção antecipada de provas não se presta à valoração ou à complementação do laudo pericial, mas apenas à sua colheita; eventuais questionamentos sobre o mérito da prova técnica devem ser deduzidos na ação principal.</w:t>
            </w:r>
          </w:p>
        </w:tc>
      </w:tr>
    </w:tbl>
    <w:p>
      <w:pPr>
        <w:pStyle w:val="BodyText"/>
        <w:spacing w:after="60"/>
        <w:jc w:val="both"/>
      </w:pPr>
      <w:r>
        <w:t xml:space="preserve">§ 3º Os interessados poderão requerer a produção de qualquer prova no mesmo procedimento, desde que relacionada ao mesmo fato, salvo se a sua produção conjunta acarretar excessiva demora.</w:t>
      </w:r>
    </w:p>
    <w:p>
      <w:pPr>
        <w:pStyle w:val="BodyText"/>
        <w:spacing w:after="60"/>
        <w:jc w:val="both"/>
      </w:pPr>
      <w:r>
        <w:t xml:space="preserve">§ 4º Neste procedimento, não se admitirá defesa ou recurso, salvo contra decisão que indeferir totalmente a produção da prova pleiteada pelo requerente originário.</w:t>
      </w:r>
    </w:p>
    <w:bookmarkEnd w:id="101"/>
    <w:bookmarkStart w:id="102" w:name="art.-383"/>
    <w:p>
      <w:pPr>
        <w:pStyle w:val="Heading6"/>
        <w:pBdr>
          <w:left w:val="single" w:sz="36" w:space="4" w:color="2E75B6"/>
        </w:pBdr>
        <w:shd w:val="clear" w:color="auto" w:fill="E3EEF9"/>
        <w:spacing w:before="120" w:after="60"/>
        <w:ind w:left="85"/>
      </w:pPr>
      <w:r>
        <w:rPr>
          <w:i w:val="0"/>
          <w:color w:val="1F3A5F"/>
          <w:sz w:val="22"/>
        </w:rPr>
        <w:t xml:space="preserve">Art. 383</w:t>
      </w:r>
    </w:p>
    <w:p>
      <w:pPr>
        <w:pStyle w:val="FirstParagraph"/>
        <w:spacing w:after="60"/>
        <w:jc w:val="both"/>
      </w:pPr>
      <w:r>
        <w:rPr>
          <w:b/>
          <w:bCs/>
        </w:rPr>
        <w:t xml:space="preserve">Art. 383.</w:t>
      </w:r>
      <w:r>
        <w:t xml:space="preserve"> </w:t>
      </w:r>
      <w:r>
        <w:t xml:space="preserve">Os autos permanecerão em cartório durante 1 (um) mês para extração de cópias e certidões pelos interessados.</w:t>
      </w:r>
    </w:p>
    <w:p>
      <w:pPr>
        <w:pStyle w:val="BodyText"/>
        <w:spacing w:after="60"/>
        <w:jc w:val="both"/>
      </w:pPr>
      <w:r>
        <w:t xml:space="preserve">Parágrafo único. Findo o prazo, os autos serão entregues ao promovente da medida.</w:t>
      </w:r>
    </w:p>
    <w:bookmarkEnd w:id="102"/>
    <w:bookmarkEnd w:id="103"/>
    <w:bookmarkStart w:id="105" w:name="seção-iii-da-ata-notarial-arts.-384"/>
    <w:p>
      <w:pPr>
        <w:pStyle w:val="Heading5"/>
        <w:spacing w:before="60" w:after="20"/>
      </w:pPr>
      <w:r>
        <w:rPr>
          <w:i/>
          <w:color w:val="595959"/>
        </w:rPr>
        <w:t xml:space="preserve">Seção III: da ata notarial (arts. 384)</w:t>
      </w:r>
    </w:p>
    <w:bookmarkStart w:id="104" w:name="art.-384"/>
    <w:p>
      <w:pPr>
        <w:pStyle w:val="Heading6"/>
        <w:pBdr>
          <w:left w:val="single" w:sz="36" w:space="4" w:color="2E75B6"/>
        </w:pBdr>
        <w:shd w:val="clear" w:color="auto" w:fill="E3EEF9"/>
        <w:spacing w:before="120" w:after="60"/>
        <w:ind w:left="85"/>
      </w:pPr>
      <w:r>
        <w:rPr>
          <w:i w:val="0"/>
          <w:color w:val="1F3A5F"/>
          <w:sz w:val="22"/>
        </w:rPr>
        <w:t xml:space="preserve">Art. 384</w:t>
      </w:r>
    </w:p>
    <w:p>
      <w:pPr>
        <w:pStyle w:val="FirstParagraph"/>
        <w:spacing w:after="60"/>
        <w:jc w:val="both"/>
      </w:pPr>
      <w:r>
        <w:rPr>
          <w:b/>
          <w:bCs/>
        </w:rPr>
        <w:t xml:space="preserve">Art. 384.</w:t>
      </w:r>
      <w:r>
        <w:t xml:space="preserve"> </w:t>
      </w:r>
      <w:r>
        <w:t xml:space="preserve">A existência e o modo de existir de algum fato podem ser atestados ou documentados, a requerimento do interessado, mediante ata lavrada por tabelião.</w:t>
      </w:r>
    </w:p>
    <w:p>
      <w:pPr>
        <w:pStyle w:val="BodyText"/>
        <w:spacing w:after="60"/>
        <w:jc w:val="both"/>
      </w:pPr>
      <w:r>
        <w:t xml:space="preserve">Parágrafo único. Dados representados por imagem ou som gravados em arquivos eletrônicos poderão constar da ata notarial.</w:t>
      </w:r>
    </w:p>
    <w:bookmarkEnd w:id="104"/>
    <w:bookmarkEnd w:id="105"/>
    <w:bookmarkStart w:id="110" w:name="X5df5e29b468afcacdf955e4c79f646d5cad798d"/>
    <w:p>
      <w:pPr>
        <w:pStyle w:val="Heading5"/>
        <w:spacing w:before="60" w:after="20"/>
      </w:pPr>
      <w:r>
        <w:rPr>
          <w:i/>
          <w:color w:val="595959"/>
        </w:rPr>
        <w:t xml:space="preserve">Seção IV: do depoimento pessoal (arts. 385 a 388)</w:t>
      </w:r>
    </w:p>
    <w:bookmarkStart w:id="106" w:name="art.-385"/>
    <w:p>
      <w:pPr>
        <w:pStyle w:val="Heading6"/>
        <w:pBdr>
          <w:left w:val="single" w:sz="36" w:space="4" w:color="2E75B6"/>
        </w:pBdr>
        <w:shd w:val="clear" w:color="auto" w:fill="E3EEF9"/>
        <w:spacing w:before="120" w:after="60"/>
        <w:ind w:left="85"/>
      </w:pPr>
      <w:r>
        <w:rPr>
          <w:i w:val="0"/>
          <w:color w:val="1F3A5F"/>
          <w:sz w:val="22"/>
        </w:rPr>
        <w:t xml:space="preserve">Art. 385</w:t>
      </w:r>
    </w:p>
    <w:p>
      <w:pPr>
        <w:pStyle w:val="FirstParagraph"/>
        <w:keepNext/>
        <w:spacing w:after="60"/>
        <w:jc w:val="both"/>
      </w:pPr>
      <w:r>
        <w:rPr>
          <w:b/>
          <w:bCs/>
        </w:rPr>
        <w:t xml:space="preserve">Art. 385.</w:t>
      </w:r>
      <w:r>
        <w:t xml:space="preserve"> </w:t>
      </w:r>
      <w:r>
        <w:t xml:space="preserve">Cabe à parte requerer o depoimento pessoal da outra parte, a fim de que esta seja interrogada na audiência de instrução e julgamento, sem prejuízo do poder do juiz de ordená-lo de ofício.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530"/>
        <w:gridCol w:w="1780"/>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Art. 385, caput: requerimento de depoimento pessoal e julgamento antecipado</w:t>
            </w:r>
          </w:p>
        </w:tc>
        <w:tc>
          <w:tcPr>
            <w:tcW w:type="dxa" w:w="1531"/>
          </w:tcPr>
          <w:p>
            <w:pPr>
              <w:pStyle w:val="Compact"/>
              <w:spacing w:line="276" w:lineRule="auto" w:before="40" w:after="40"/>
            </w:pPr>
            <w:r>
              <w:rPr>
                <w:rFonts w:ascii="Liberation Sans Narrow" w:hAnsi="Liberation Sans Narrow"/>
                <w:sz w:val="17"/>
              </w:rPr>
              <w:t xml:space="preserve">STJ, AgInt no REsp 1.924.583, Quarta Turma, relator Min. Antonio Carlos Ferreira, DJe de 30/09/2022</w:t>
            </w:r>
          </w:p>
        </w:tc>
        <w:tc>
          <w:tcPr>
            <w:tcW w:type="dxa" w:w="1780"/>
          </w:tcPr>
          <w:p>
            <w:pPr>
              <w:pStyle w:val="Compact"/>
              <w:spacing w:line="276" w:lineRule="auto" w:before="40" w:after="40"/>
            </w:pPr>
            <w:r>
              <w:rPr>
                <w:rFonts w:ascii="Liberation Sans Narrow" w:hAnsi="Liberation Sans Narrow"/>
                <w:sz w:val="17"/>
              </w:rPr>
              <w:t xml:space="preserve">Configura-se o cerceamento de defesa quando, subsistindo controvérsia sobre matéria de fato e diante do expresso requerimento da parte para a dilação probatória, o juiz dá o julgamento antecipado da lide com solução de mérito contrária àquele que pretendia ouvir testemunhas e o depoimento pessoal do coautor.</w:t>
            </w:r>
          </w:p>
        </w:tc>
      </w:tr>
    </w:tbl>
    <w:p>
      <w:pPr>
        <w:pStyle w:val="BodyText"/>
        <w:keepNext/>
        <w:spacing w:after="60"/>
        <w:jc w:val="both"/>
      </w:pPr>
      <w:r>
        <w:t xml:space="preserve">§ 1º Se a parte, pessoalmente intimada para prestar depoimento pessoal e advertida da pena de confesso, não comparecer ou, comparecendo, se recusar a depor, o juiz aplicar-lhe-á a pena.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528"/>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52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531"/>
          </w:tcPr>
          <w:p>
            <w:pPr>
              <w:pStyle w:val="Compact"/>
              <w:spacing w:line="276" w:lineRule="auto" w:before="40" w:after="40"/>
            </w:pPr>
            <w:r>
              <w:rPr>
                <w:rFonts w:ascii="Liberation Sans Narrow" w:hAnsi="Liberation Sans Narrow"/>
                <w:sz w:val="17"/>
              </w:rPr>
              <w:t xml:space="preserve">Art. 385, § 1º: eficácia relativa da pena de confissão</w:t>
            </w:r>
          </w:p>
        </w:tc>
        <w:tc>
          <w:tcPr>
            <w:tcW w:type="dxa" w:w="1655"/>
          </w:tcPr>
          <w:p>
            <w:pPr>
              <w:pStyle w:val="Compact"/>
              <w:spacing w:line="276" w:lineRule="auto" w:before="40" w:after="40"/>
            </w:pPr>
            <w:r>
              <w:rPr>
                <w:rFonts w:ascii="Liberation Sans Narrow" w:hAnsi="Liberation Sans Narrow"/>
                <w:sz w:val="17"/>
              </w:rPr>
              <w:t xml:space="preserve">STJ, REsp 2.256.830, Terceira Turma, relator Min. Humberto Martins, julgado em 08/06/2026, DJEN de 11/06/2026</w:t>
            </w:r>
          </w:p>
        </w:tc>
        <w:tc>
          <w:tcPr>
            <w:tcW w:type="dxa" w:w="2529"/>
          </w:tcPr>
          <w:p>
            <w:pPr>
              <w:pStyle w:val="Compact"/>
              <w:spacing w:line="276" w:lineRule="auto" w:before="40" w:after="40"/>
            </w:pPr>
            <w:r>
              <w:rPr>
                <w:rFonts w:ascii="Liberation Sans Narrow" w:hAnsi="Liberation Sans Narrow"/>
                <w:sz w:val="17"/>
              </w:rPr>
              <w:t xml:space="preserve">A aplicação da pena de confissão pelo não comparecimento ao depoimento pessoal (art. 385, § 1º, do CPC) é faculdade do magistrado e possui eficácia relativa, devendo ser sopesada com o restante do acervo probatório; é inviável impor conclusão automática favorável à parte que a invoca. Reconhecidas a posse anterior, a turbação ou ameaça e o justo receio com apoio em laudo, memorial descritivo e depoimentos, a revisão exigiria reexame de fatos e provas (Súmula 7/STJ).</w:t>
            </w:r>
          </w:p>
        </w:tc>
      </w:tr>
      <w:tr>
        <w:trPr>
          <w:cantSplit/>
        </w:trPr>
        <w:tc>
          <w:tcPr>
            <w:tcW w:type="dxa" w:w="1531"/>
          </w:tcPr>
          <w:p>
            <w:pPr>
              <w:pStyle w:val="Compact"/>
              <w:spacing w:line="276" w:lineRule="auto" w:before="40" w:after="40"/>
            </w:pPr>
            <w:r>
              <w:rPr>
                <w:rFonts w:ascii="Liberation Sans Narrow" w:hAnsi="Liberation Sans Narrow"/>
                <w:sz w:val="17"/>
              </w:rPr>
              <w:t xml:space="preserve">Art. 385, § 1º: pena de confissão exige intimação pessoal</w:t>
            </w:r>
          </w:p>
        </w:tc>
        <w:tc>
          <w:tcPr>
            <w:tcW w:type="dxa" w:w="1655"/>
          </w:tcPr>
          <w:p>
            <w:pPr>
              <w:pStyle w:val="Compact"/>
              <w:spacing w:line="276" w:lineRule="auto" w:before="40" w:after="40"/>
            </w:pPr>
            <w:r>
              <w:rPr>
                <w:rFonts w:ascii="Liberation Sans Narrow" w:hAnsi="Liberation Sans Narrow"/>
                <w:sz w:val="17"/>
              </w:rPr>
              <w:t xml:space="preserve">STJ, AREsp 2.726.055, Quarta Turma, relator Min. Raul Araújo, julgado em 09/03/2026, DJEN de 16/03/2026</w:t>
            </w:r>
          </w:p>
        </w:tc>
        <w:tc>
          <w:tcPr>
            <w:tcW w:type="dxa" w:w="2529"/>
          </w:tcPr>
          <w:p>
            <w:pPr>
              <w:pStyle w:val="Compact"/>
              <w:spacing w:line="276" w:lineRule="auto" w:before="40" w:after="40"/>
            </w:pPr>
            <w:r>
              <w:rPr>
                <w:rFonts w:ascii="Liberation Sans Narrow" w:hAnsi="Liberation Sans Narrow"/>
                <w:sz w:val="17"/>
              </w:rPr>
              <w:t xml:space="preserve">A impossibilidade de colher o depoimento pessoal do representante legal da embargada, por seu paradeiro desconhecido, não configura cerceamento de defesa, pois a controvérsia poderia ser provada pela via documental. A aplicação da pena de confissão exige a intimação pessoal da parte, conforme o art. 385, § 1º, do CPC, requisito inviabilizado no caso concreto; a reforma demandaria reexame fático-probatório, óbice da Súmula 7/STJ.</w:t>
            </w:r>
          </w:p>
        </w:tc>
      </w:tr>
    </w:tbl>
    <w:p>
      <w:pPr>
        <w:pStyle w:val="BodyText"/>
        <w:spacing w:after="60"/>
        <w:jc w:val="both"/>
      </w:pPr>
      <w:r>
        <w:t xml:space="preserve">§ 2º É vedado a quem ainda não depôs assistir ao interrogatório da outra parte.</w:t>
      </w:r>
    </w:p>
    <w:p>
      <w:pPr>
        <w:pStyle w:val="BodyText"/>
        <w:spacing w:after="60"/>
        <w:jc w:val="both"/>
      </w:pPr>
      <w:r>
        <w:t xml:space="preserve">§ 3º O depoimento pessoal da parte que residir em comarca, seção ou subseção judiciária diversa daquela onde tramita o processo poderá ser colhido por meio de videoconferência ou outro recurso tecnológico de transmissão de sons e imagens em tempo real, o que poderá ocorrer, inclusive, durante a realização da audiência de instrução e julgamento.</w:t>
      </w:r>
    </w:p>
    <w:bookmarkEnd w:id="106"/>
    <w:bookmarkStart w:id="107" w:name="art.-386"/>
    <w:p>
      <w:pPr>
        <w:pStyle w:val="Heading6"/>
        <w:pBdr>
          <w:left w:val="single" w:sz="36" w:space="4" w:color="2E75B6"/>
        </w:pBdr>
        <w:shd w:val="clear" w:color="auto" w:fill="E3EEF9"/>
        <w:spacing w:before="120" w:after="60"/>
        <w:ind w:left="85"/>
      </w:pPr>
      <w:r>
        <w:rPr>
          <w:i w:val="0"/>
          <w:color w:val="1F3A5F"/>
          <w:sz w:val="22"/>
        </w:rPr>
        <w:t xml:space="preserve">Art. 386</w:t>
      </w:r>
    </w:p>
    <w:p>
      <w:pPr>
        <w:pStyle w:val="FirstParagraph"/>
        <w:spacing w:after="60"/>
        <w:jc w:val="both"/>
      </w:pPr>
      <w:r>
        <w:rPr>
          <w:b/>
          <w:bCs/>
        </w:rPr>
        <w:t xml:space="preserve">Art. 386.</w:t>
      </w:r>
      <w:r>
        <w:t xml:space="preserve"> </w:t>
      </w:r>
      <w:r>
        <w:t xml:space="preserve">Quando a parte, sem motivo justificado, deixar de responder ao que lhe for perguntado ou empregar evasivas, o juiz, apreciando as demais circunstâncias e os elementos de prova, declarará, na sentença, se houve recusa de depor.</w:t>
      </w:r>
    </w:p>
    <w:bookmarkEnd w:id="107"/>
    <w:bookmarkStart w:id="108" w:name="art.-387"/>
    <w:p>
      <w:pPr>
        <w:pStyle w:val="Heading6"/>
        <w:pBdr>
          <w:left w:val="single" w:sz="36" w:space="4" w:color="2E75B6"/>
        </w:pBdr>
        <w:shd w:val="clear" w:color="auto" w:fill="E3EEF9"/>
        <w:spacing w:before="120" w:after="60"/>
        <w:ind w:left="85"/>
      </w:pPr>
      <w:r>
        <w:rPr>
          <w:i w:val="0"/>
          <w:color w:val="1F3A5F"/>
          <w:sz w:val="22"/>
        </w:rPr>
        <w:t xml:space="preserve">Art. 387</w:t>
      </w:r>
    </w:p>
    <w:p>
      <w:pPr>
        <w:pStyle w:val="FirstParagraph"/>
        <w:spacing w:after="60"/>
        <w:jc w:val="both"/>
      </w:pPr>
      <w:r>
        <w:rPr>
          <w:b/>
          <w:bCs/>
        </w:rPr>
        <w:t xml:space="preserve">Art. 387.</w:t>
      </w:r>
      <w:r>
        <w:t xml:space="preserve"> </w:t>
      </w:r>
      <w:r>
        <w:t xml:space="preserve">A parte responderá pessoalmente sobre os fatos articulados, não podendo servir-se de escritos anteriormente preparados, permitindo-lhe o juiz, todavia, a consulta a notas breves, desde que objetivem completar esclarecimentos.</w:t>
      </w:r>
    </w:p>
    <w:bookmarkEnd w:id="108"/>
    <w:bookmarkStart w:id="109" w:name="art.-388"/>
    <w:p>
      <w:pPr>
        <w:pStyle w:val="Heading6"/>
        <w:pBdr>
          <w:left w:val="single" w:sz="36" w:space="4" w:color="2E75B6"/>
        </w:pBdr>
        <w:shd w:val="clear" w:color="auto" w:fill="E3EEF9"/>
        <w:spacing w:before="120" w:after="60"/>
        <w:ind w:left="85"/>
      </w:pPr>
      <w:r>
        <w:rPr>
          <w:i w:val="0"/>
          <w:color w:val="1F3A5F"/>
          <w:sz w:val="22"/>
        </w:rPr>
        <w:t xml:space="preserve">Art. 388</w:t>
      </w:r>
    </w:p>
    <w:p>
      <w:pPr>
        <w:pStyle w:val="FirstParagraph"/>
        <w:spacing w:after="60"/>
        <w:jc w:val="both"/>
      </w:pPr>
      <w:r>
        <w:rPr>
          <w:b/>
          <w:bCs/>
        </w:rPr>
        <w:t xml:space="preserve">Art. 388.</w:t>
      </w:r>
      <w:r>
        <w:t xml:space="preserve"> </w:t>
      </w:r>
      <w:r>
        <w:t xml:space="preserve">A parte não é obrigada a depor sobre fatos:</w:t>
      </w:r>
    </w:p>
    <w:p>
      <w:pPr>
        <w:pStyle w:val="BodyText"/>
        <w:spacing w:after="60"/>
        <w:jc w:val="both"/>
      </w:pPr>
      <w:r>
        <w:t xml:space="preserve">I - criminosos ou torpes que lhe forem imputados;</w:t>
      </w:r>
    </w:p>
    <w:p>
      <w:pPr>
        <w:pStyle w:val="BodyText"/>
        <w:spacing w:after="60"/>
        <w:jc w:val="both"/>
      </w:pPr>
      <w:r>
        <w:t xml:space="preserve">II - a cujo respeito, por estado ou profissão, deva guardar sigilo;</w:t>
      </w:r>
    </w:p>
    <w:p>
      <w:pPr>
        <w:pStyle w:val="BodyText"/>
        <w:spacing w:after="60"/>
        <w:jc w:val="both"/>
      </w:pPr>
      <w:r>
        <w:t xml:space="preserve">III - acerca dos quais não possa responder sem desonra própria, de seu cônjuge, de seu companheiro ou de parente em grau sucessível;</w:t>
      </w:r>
    </w:p>
    <w:p>
      <w:pPr>
        <w:pStyle w:val="BodyText"/>
        <w:spacing w:after="60"/>
        <w:jc w:val="both"/>
      </w:pPr>
      <w:r>
        <w:t xml:space="preserve">IV - que coloquem em perigo a vida do depoente ou das pessoas referidas no inciso III.</w:t>
      </w:r>
    </w:p>
    <w:p>
      <w:pPr>
        <w:pStyle w:val="BodyText"/>
        <w:spacing w:after="60"/>
        <w:jc w:val="both"/>
      </w:pPr>
      <w:r>
        <w:t xml:space="preserve">Parágrafo único. Esta disposição não se aplica às ações de estado e de família.</w:t>
      </w:r>
    </w:p>
    <w:bookmarkEnd w:id="109"/>
    <w:bookmarkEnd w:id="110"/>
    <w:bookmarkStart w:id="118" w:name="seção-v-da-confissão-arts.-389-a-395"/>
    <w:p>
      <w:pPr>
        <w:pStyle w:val="Heading5"/>
        <w:spacing w:before="60" w:after="20"/>
      </w:pPr>
      <w:r>
        <w:rPr>
          <w:i/>
          <w:color w:val="595959"/>
        </w:rPr>
        <w:t xml:space="preserve">Seção V: da confissão (arts. 389 a 395)</w:t>
      </w:r>
    </w:p>
    <w:bookmarkStart w:id="111" w:name="art.-389"/>
    <w:p>
      <w:pPr>
        <w:pStyle w:val="Heading6"/>
        <w:pBdr>
          <w:left w:val="single" w:sz="36" w:space="4" w:color="2E75B6"/>
        </w:pBdr>
        <w:shd w:val="clear" w:color="auto" w:fill="E3EEF9"/>
        <w:spacing w:before="120" w:after="60"/>
        <w:ind w:left="85"/>
      </w:pPr>
      <w:r>
        <w:rPr>
          <w:i w:val="0"/>
          <w:color w:val="1F3A5F"/>
          <w:sz w:val="22"/>
        </w:rPr>
        <w:t xml:space="preserve">Art. 389</w:t>
      </w:r>
    </w:p>
    <w:p>
      <w:pPr>
        <w:pStyle w:val="FirstParagraph"/>
        <w:keepNext/>
        <w:spacing w:after="60"/>
        <w:jc w:val="both"/>
      </w:pPr>
      <w:r>
        <w:rPr>
          <w:b/>
          <w:bCs/>
        </w:rPr>
        <w:t xml:space="preserve">Art. 389.</w:t>
      </w:r>
      <w:r>
        <w:t xml:space="preserve"> </w:t>
      </w:r>
      <w:r>
        <w:t xml:space="preserve">Há confissão, judicial ou extrajudicial, quando a parte admite a verdade de fato contrário ao seu interesse e favorável ao do adversário.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655"/>
        <w:gridCol w:w="2029"/>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2030"/>
          </w:tcPr>
          <w:p>
            <w:pPr>
              <w:pStyle w:val="Compact"/>
              <w:spacing w:line="276" w:lineRule="auto" w:before="40" w:after="40"/>
            </w:pPr>
            <w:r>
              <w:rPr>
                <w:rFonts w:ascii="Liberation Sans Narrow" w:hAnsi="Liberation Sans Narrow"/>
                <w:sz w:val="17"/>
              </w:rPr>
              <w:t xml:space="preserve">Art. 389, caput: requisitos da confissão extrajudicial e do reconhecimento do pedido</w:t>
            </w:r>
          </w:p>
        </w:tc>
        <w:tc>
          <w:tcPr>
            <w:tcW w:type="dxa" w:w="1655"/>
          </w:tcPr>
          <w:p>
            <w:pPr>
              <w:pStyle w:val="Compact"/>
              <w:spacing w:line="276" w:lineRule="auto" w:before="40" w:after="40"/>
            </w:pPr>
            <w:r>
              <w:rPr>
                <w:rFonts w:ascii="Liberation Sans Narrow" w:hAnsi="Liberation Sans Narrow"/>
                <w:sz w:val="17"/>
              </w:rPr>
              <w:t xml:space="preserve">STJ, REsp 1.918.105, Quarta Turma, relator Min. João Otávio de Noronha, julgado em 09/02/2026, DJEN de 13/02/2026</w:t>
            </w:r>
          </w:p>
        </w:tc>
        <w:tc>
          <w:tcPr>
            <w:tcW w:type="dxa" w:w="2030"/>
          </w:tcPr>
          <w:p>
            <w:pPr>
              <w:pStyle w:val="Compact"/>
              <w:spacing w:line="276" w:lineRule="auto" w:before="40" w:after="40"/>
            </w:pPr>
            <w:r>
              <w:rPr>
                <w:rFonts w:ascii="Liberation Sans Narrow" w:hAnsi="Liberation Sans Narrow"/>
                <w:sz w:val="17"/>
              </w:rPr>
              <w:t xml:space="preserve">Tese: não configura confissão extrajudicial, para os fins do art. 389 do CPC, a menção genérica, em acordo coletivo, a eventuais acordos judiciais, quando o objeto do pacto não guarda relação com os pedidos da demanda. O reconhecimento jurídico do pedido pressupõe manifestação inequívoca e específica da parte contrária sobre os exatos termos do pedido judicial, o que não se verifica quando há divergência temporal e material entre os fundamentos invocados.</w:t>
            </w:r>
          </w:p>
        </w:tc>
      </w:tr>
    </w:tbl>
    <w:bookmarkEnd w:id="111"/>
    <w:bookmarkStart w:id="112" w:name="art.-390"/>
    <w:p>
      <w:pPr>
        <w:pStyle w:val="Heading6"/>
        <w:pBdr>
          <w:left w:val="single" w:sz="36" w:space="4" w:color="2E75B6"/>
        </w:pBdr>
        <w:shd w:val="clear" w:color="auto" w:fill="E3EEF9"/>
        <w:spacing w:before="120" w:after="60"/>
        <w:ind w:left="85"/>
      </w:pPr>
      <w:r>
        <w:rPr>
          <w:i w:val="0"/>
          <w:color w:val="1F3A5F"/>
          <w:sz w:val="22"/>
        </w:rPr>
        <w:t xml:space="preserve">Art. 390</w:t>
      </w:r>
    </w:p>
    <w:p>
      <w:pPr>
        <w:pStyle w:val="FirstParagraph"/>
        <w:spacing w:after="60"/>
        <w:jc w:val="both"/>
      </w:pPr>
      <w:r>
        <w:rPr>
          <w:b/>
          <w:bCs/>
        </w:rPr>
        <w:t xml:space="preserve">Art. 390.</w:t>
      </w:r>
      <w:r>
        <w:t xml:space="preserve"> </w:t>
      </w:r>
      <w:r>
        <w:t xml:space="preserve">A confissão judicial pode ser espontânea ou provocada.</w:t>
      </w:r>
    </w:p>
    <w:p>
      <w:pPr>
        <w:pStyle w:val="BodyText"/>
        <w:keepNext/>
        <w:spacing w:after="60"/>
        <w:jc w:val="both"/>
      </w:pPr>
      <w:r>
        <w:t xml:space="preserve">§ 1º A confissão espontânea pode ser feita pela própria parte ou por representante com poder especial.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530"/>
        <w:gridCol w:w="2279"/>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905"/>
          </w:tcPr>
          <w:p>
            <w:pPr>
              <w:pStyle w:val="Compact"/>
              <w:spacing w:line="276" w:lineRule="auto" w:before="40" w:after="40"/>
            </w:pPr>
            <w:r>
              <w:rPr>
                <w:rFonts w:ascii="Liberation Sans Narrow" w:hAnsi="Liberation Sans Narrow"/>
                <w:sz w:val="17"/>
              </w:rPr>
              <w:t xml:space="preserve">Art. 390, § 1º: confissão espontânea por representante e exigência de poder especial</w:t>
            </w:r>
          </w:p>
        </w:tc>
        <w:tc>
          <w:tcPr>
            <w:tcW w:type="dxa" w:w="1531"/>
          </w:tcPr>
          <w:p>
            <w:pPr>
              <w:pStyle w:val="Compact"/>
              <w:spacing w:line="276" w:lineRule="auto" w:before="40" w:after="40"/>
            </w:pPr>
            <w:r>
              <w:rPr>
                <w:rFonts w:ascii="Liberation Sans Narrow" w:hAnsi="Liberation Sans Narrow"/>
                <w:sz w:val="17"/>
              </w:rPr>
              <w:t xml:space="preserve">STJ, AREsp 2.661.032, Terceira Turma, relator Min. Moura Ribeiro, DJe de 17/10/2025</w:t>
            </w:r>
          </w:p>
        </w:tc>
        <w:tc>
          <w:tcPr>
            <w:tcW w:type="dxa" w:w="2279"/>
          </w:tcPr>
          <w:p>
            <w:pPr>
              <w:pStyle w:val="Compact"/>
              <w:spacing w:line="276" w:lineRule="auto" w:before="40" w:after="40"/>
            </w:pPr>
            <w:r>
              <w:rPr>
                <w:rFonts w:ascii="Liberation Sans Narrow" w:hAnsi="Liberation Sans Narrow"/>
                <w:sz w:val="17"/>
              </w:rPr>
              <w:t xml:space="preserve">Em ação reivindicatória, a parte vencida sustentou, no recurso especial, a nulidade da confissão judicial porque o procurador não teria poderes especiais (art. 390 do CPC). O STJ não anulou a confissão: assentou que a extensão dos poderes conferidos ao mandatário só se apura pela interpretação das cláusulas do mandato e pelo exame do instrumento juntado aos autos, providências vedadas pela Súmula 5/STJ. A improcedência da reivindicatória foi mantida com base no acervo probatório (Súmula 7) e na orientação consolidada sobre a admissão da usucapião como matéria de defesa (Súmula 83).</w:t>
            </w:r>
          </w:p>
        </w:tc>
      </w:tr>
    </w:tbl>
    <w:p>
      <w:pPr>
        <w:pStyle w:val="BodyText"/>
        <w:spacing w:after="60"/>
        <w:jc w:val="both"/>
      </w:pPr>
      <w:r>
        <w:t xml:space="preserve">§ 2º A confissão provocada constará do termo de depoimento pessoal.</w:t>
      </w:r>
    </w:p>
    <w:bookmarkEnd w:id="112"/>
    <w:bookmarkStart w:id="113" w:name="art.-391"/>
    <w:p>
      <w:pPr>
        <w:pStyle w:val="Heading6"/>
        <w:pBdr>
          <w:left w:val="single" w:sz="36" w:space="4" w:color="2E75B6"/>
        </w:pBdr>
        <w:shd w:val="clear" w:color="auto" w:fill="E3EEF9"/>
        <w:spacing w:before="120" w:after="60"/>
        <w:ind w:left="85"/>
      </w:pPr>
      <w:r>
        <w:rPr>
          <w:i w:val="0"/>
          <w:color w:val="1F3A5F"/>
          <w:sz w:val="22"/>
        </w:rPr>
        <w:t xml:space="preserve">Art. 391</w:t>
      </w:r>
    </w:p>
    <w:p>
      <w:pPr>
        <w:pStyle w:val="FirstParagraph"/>
        <w:keepNext/>
        <w:spacing w:after="60"/>
        <w:jc w:val="both"/>
      </w:pPr>
      <w:r>
        <w:rPr>
          <w:b/>
          <w:bCs/>
        </w:rPr>
        <w:t xml:space="preserve">Art. 391.</w:t>
      </w:r>
      <w:r>
        <w:t xml:space="preserve"> </w:t>
      </w:r>
      <w:r>
        <w:t xml:space="preserve">A confissão judicial faz prova contra o confitente, não prejudicando, todavia, os litisconsortes.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531"/>
          </w:tcPr>
          <w:p>
            <w:pPr>
              <w:pStyle w:val="Compact"/>
              <w:spacing w:line="276" w:lineRule="auto" w:before="40" w:after="40"/>
            </w:pPr>
            <w:r>
              <w:rPr>
                <w:rFonts w:ascii="Liberation Sans Narrow" w:hAnsi="Liberation Sans Narrow"/>
                <w:sz w:val="17"/>
              </w:rPr>
              <w:t xml:space="preserve">Art. 391, caput: eficácia da confissão judicial</w:t>
            </w:r>
          </w:p>
        </w:tc>
        <w:tc>
          <w:tcPr>
            <w:tcW w:type="dxa" w:w="1655"/>
          </w:tcPr>
          <w:p>
            <w:pPr>
              <w:pStyle w:val="Compact"/>
              <w:spacing w:line="276" w:lineRule="auto" w:before="40" w:after="40"/>
            </w:pPr>
            <w:r>
              <w:rPr>
                <w:rFonts w:ascii="Liberation Sans Narrow" w:hAnsi="Liberation Sans Narrow"/>
                <w:sz w:val="17"/>
              </w:rPr>
              <w:t xml:space="preserve">STJ, AREsp 2.739.264, Quarta Turma, relator Min. Raul Araújo, julgado em 02/03/2026, DJEN de 11/03/2026</w:t>
            </w:r>
          </w:p>
        </w:tc>
        <w:tc>
          <w:tcPr>
            <w:tcW w:type="dxa" w:w="2030"/>
          </w:tcPr>
          <w:p>
            <w:pPr>
              <w:pStyle w:val="Compact"/>
              <w:spacing w:line="276" w:lineRule="auto" w:before="40" w:after="40"/>
            </w:pPr>
            <w:r>
              <w:rPr>
                <w:rFonts w:ascii="Liberation Sans Narrow" w:hAnsi="Liberation Sans Narrow"/>
                <w:sz w:val="17"/>
              </w:rPr>
              <w:t xml:space="preserve">A confissão judicial do recorrido não foi suficiente para comprovar os fatos constitutivos do direito da autora, que deveria apresentar provas adequadas e seguras; a ausência dos documentos solicitados pelo perito e a base unilateral das planilhas configuram descumprimento do art. 373, I, do CPC. A questão foi posta como violação dos arts. 5º, 6º, 373, II, 389 e 391 do CPC, quanto ao ônus da prova e à consideração da confissão judicial como prova bastante para a condenação; os agravos foram conhecidos para negar provimento aos recursos especiais e a cobrança da multa contratual foi afastada.</w:t>
            </w:r>
          </w:p>
        </w:tc>
      </w:tr>
    </w:tbl>
    <w:p>
      <w:pPr>
        <w:pStyle w:val="BodyText"/>
        <w:spacing w:after="60"/>
        <w:jc w:val="both"/>
      </w:pPr>
      <w:r>
        <w:t xml:space="preserve">Parágrafo único. Nas ações que versarem sobre bens imóveis ou direitos reais sobre imóveis alheios, a confissão de um cônjuge ou companheiro não valerá sem a do outro, salvo se o regime de casamento for o de separação absoluta de bens.</w:t>
      </w:r>
    </w:p>
    <w:bookmarkEnd w:id="113"/>
    <w:bookmarkStart w:id="114" w:name="art.-392"/>
    <w:p>
      <w:pPr>
        <w:pStyle w:val="Heading6"/>
        <w:pBdr>
          <w:left w:val="single" w:sz="36" w:space="4" w:color="2E75B6"/>
        </w:pBdr>
        <w:shd w:val="clear" w:color="auto" w:fill="E3EEF9"/>
        <w:spacing w:before="120" w:after="60"/>
        <w:ind w:left="85"/>
      </w:pPr>
      <w:r>
        <w:rPr>
          <w:i w:val="0"/>
          <w:color w:val="1F3A5F"/>
          <w:sz w:val="22"/>
        </w:rPr>
        <w:t xml:space="preserve">Art. 392</w:t>
      </w:r>
    </w:p>
    <w:p>
      <w:pPr>
        <w:pStyle w:val="FirstParagraph"/>
        <w:keepNext/>
        <w:spacing w:after="60"/>
        <w:jc w:val="both"/>
      </w:pPr>
      <w:r>
        <w:rPr>
          <w:b/>
          <w:bCs/>
        </w:rPr>
        <w:t xml:space="preserve">Art. 392.</w:t>
      </w:r>
      <w:r>
        <w:t xml:space="preserve"> </w:t>
      </w:r>
      <w:r>
        <w:t xml:space="preserve">Não vale como confissão a admissão, em juízo, de fatos relativos a direitos indisponíveis.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530"/>
        <w:gridCol w:w="2653"/>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653"/>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Art. 392, caput: direitos indisponíveis e confissão</w:t>
            </w:r>
          </w:p>
        </w:tc>
        <w:tc>
          <w:tcPr>
            <w:tcW w:type="dxa" w:w="1531"/>
          </w:tcPr>
          <w:p>
            <w:pPr>
              <w:pStyle w:val="Compact"/>
              <w:spacing w:line="276" w:lineRule="auto" w:before="40" w:after="40"/>
            </w:pPr>
            <w:r>
              <w:rPr>
                <w:rFonts w:ascii="Liberation Sans Narrow" w:hAnsi="Liberation Sans Narrow"/>
                <w:sz w:val="17"/>
              </w:rPr>
              <w:t xml:space="preserve">STJ, AgInt no AREsp 1.613.420, Segunda Turma, relator Min. Francisco Falcão, DJe de 31/05/2023</w:t>
            </w:r>
          </w:p>
        </w:tc>
        <w:tc>
          <w:tcPr>
            <w:tcW w:type="dxa" w:w="2653"/>
          </w:tcPr>
          <w:p>
            <w:pPr>
              <w:pStyle w:val="Compact"/>
              <w:spacing w:line="276" w:lineRule="auto" w:before="40" w:after="40"/>
            </w:pPr>
            <w:r>
              <w:rPr>
                <w:rFonts w:ascii="Liberation Sans Narrow" w:hAnsi="Liberation Sans Narrow"/>
                <w:sz w:val="17"/>
              </w:rPr>
              <w:t xml:space="preserve">O acórdão recorrido estava em consonância com a jurisprudência do STJ segundo a qual não se aplica à Fazenda Pública o efeito material da revelia nem é admissível, quanto aos fatos que lhe dizem respeito, a confissão, pois os bens e direitos são considerados indisponíveis. O agravo interno não foi provido porque a parte deixou de impugnar, de modo específico, os óbices da decisão agravada (Súmulas 7 e 83 do STJ e ausência de prequestionamento).</w:t>
            </w:r>
          </w:p>
        </w:tc>
      </w:tr>
    </w:tbl>
    <w:p>
      <w:pPr>
        <w:pStyle w:val="BodyText"/>
        <w:spacing w:after="60"/>
        <w:jc w:val="both"/>
      </w:pPr>
      <w:r>
        <w:t xml:space="preserve">§ 1º A confissão será ineficaz se feita por quem não for capaz de dispor do direito a que se referem os fatos confessados.</w:t>
      </w:r>
    </w:p>
    <w:p>
      <w:pPr>
        <w:pStyle w:val="BodyText"/>
        <w:spacing w:after="60"/>
        <w:jc w:val="both"/>
      </w:pPr>
      <w:r>
        <w:t xml:space="preserve">§ 2º A confissão feita por um representante somente é eficaz nos limites em que este pode vincular o representado.</w:t>
      </w:r>
    </w:p>
    <w:bookmarkEnd w:id="114"/>
    <w:bookmarkStart w:id="115" w:name="art.-393"/>
    <w:p>
      <w:pPr>
        <w:pStyle w:val="Heading6"/>
        <w:pBdr>
          <w:left w:val="single" w:sz="36" w:space="4" w:color="2E75B6"/>
        </w:pBdr>
        <w:shd w:val="clear" w:color="auto" w:fill="E3EEF9"/>
        <w:spacing w:before="120" w:after="60"/>
        <w:ind w:left="85"/>
      </w:pPr>
      <w:r>
        <w:rPr>
          <w:i w:val="0"/>
          <w:color w:val="1F3A5F"/>
          <w:sz w:val="22"/>
        </w:rPr>
        <w:t xml:space="preserve">Art. 393</w:t>
      </w:r>
    </w:p>
    <w:p>
      <w:pPr>
        <w:pStyle w:val="FirstParagraph"/>
        <w:spacing w:after="60"/>
        <w:jc w:val="both"/>
      </w:pPr>
      <w:r>
        <w:rPr>
          <w:b/>
          <w:bCs/>
        </w:rPr>
        <w:t xml:space="preserve">Art. 393.</w:t>
      </w:r>
      <w:r>
        <w:t xml:space="preserve"> </w:t>
      </w:r>
      <w:r>
        <w:t xml:space="preserve">A confissão é irrevogável, mas pode ser anulada se decorreu de erro de fato ou de coação.</w:t>
      </w:r>
    </w:p>
    <w:p>
      <w:pPr>
        <w:pStyle w:val="BodyText"/>
        <w:spacing w:after="60"/>
        <w:jc w:val="both"/>
      </w:pPr>
      <w:r>
        <w:t xml:space="preserve">Parágrafo único. A legitimidade para a ação prevista no caput é exclusiva do confitente e pode ser transferida a seus herdeiros se ele falecer após a propositura.</w:t>
      </w:r>
    </w:p>
    <w:bookmarkEnd w:id="115"/>
    <w:bookmarkStart w:id="116" w:name="art.-394"/>
    <w:p>
      <w:pPr>
        <w:pStyle w:val="Heading6"/>
        <w:pBdr>
          <w:left w:val="single" w:sz="36" w:space="4" w:color="2E75B6"/>
        </w:pBdr>
        <w:shd w:val="clear" w:color="auto" w:fill="E3EEF9"/>
        <w:spacing w:before="120" w:after="60"/>
        <w:ind w:left="85"/>
      </w:pPr>
      <w:r>
        <w:rPr>
          <w:i w:val="0"/>
          <w:color w:val="1F3A5F"/>
          <w:sz w:val="22"/>
        </w:rPr>
        <w:t xml:space="preserve">Art. 394</w:t>
      </w:r>
    </w:p>
    <w:p>
      <w:pPr>
        <w:pStyle w:val="FirstParagraph"/>
        <w:spacing w:after="60"/>
        <w:jc w:val="both"/>
      </w:pPr>
      <w:r>
        <w:rPr>
          <w:b/>
          <w:bCs/>
        </w:rPr>
        <w:t xml:space="preserve">Art. 394.</w:t>
      </w:r>
      <w:r>
        <w:t xml:space="preserve"> </w:t>
      </w:r>
      <w:r>
        <w:t xml:space="preserve">A confissão extrajudicial, quando feita oralmente, só terá eficácia nos casos em que a lei não exija prova literal.</w:t>
      </w:r>
    </w:p>
    <w:bookmarkEnd w:id="116"/>
    <w:bookmarkStart w:id="117" w:name="art.-395"/>
    <w:p>
      <w:pPr>
        <w:pStyle w:val="Heading6"/>
        <w:pBdr>
          <w:left w:val="single" w:sz="36" w:space="4" w:color="2E75B6"/>
        </w:pBdr>
        <w:shd w:val="clear" w:color="auto" w:fill="E3EEF9"/>
        <w:spacing w:before="120" w:after="60"/>
        <w:ind w:left="85"/>
      </w:pPr>
      <w:r>
        <w:rPr>
          <w:i w:val="0"/>
          <w:color w:val="1F3A5F"/>
          <w:sz w:val="22"/>
        </w:rPr>
        <w:t xml:space="preserve">Art. 395</w:t>
      </w:r>
    </w:p>
    <w:p>
      <w:pPr>
        <w:pStyle w:val="FirstParagraph"/>
        <w:spacing w:after="60"/>
        <w:jc w:val="both"/>
      </w:pPr>
      <w:r>
        <w:rPr>
          <w:b/>
          <w:bCs/>
        </w:rPr>
        <w:t xml:space="preserve">Art. 395.</w:t>
      </w:r>
      <w:r>
        <w:t xml:space="preserve"> </w:t>
      </w:r>
      <w:r>
        <w:t xml:space="preserve">A confissão é, em regra, indivisível, não podendo a parte que a quiser invocar como prova aceitá-la no tópico que a beneficiar e rejeitá-la no que lhe for desfavorável, porém cindir-se-á quando o confitente a ela aduzir fatos novos, capazes de constituir fundamento de defesa de direito material ou de reconvenção.</w:t>
      </w:r>
    </w:p>
    <w:bookmarkEnd w:id="117"/>
    <w:bookmarkEnd w:id="118"/>
    <w:bookmarkStart w:id="128" w:name="Xb5fa7b84aab7bbade8a821dabb42b85b799666a"/>
    <w:p>
      <w:pPr>
        <w:pStyle w:val="Heading5"/>
        <w:spacing w:before="60" w:after="20"/>
      </w:pPr>
      <w:r>
        <w:rPr>
          <w:i/>
          <w:color w:val="595959"/>
        </w:rPr>
        <w:t xml:space="preserve">Seção VI: da exibição de documento ou coisa (arts. 396 a 404)</w:t>
      </w:r>
    </w:p>
    <w:bookmarkStart w:id="119" w:name="art.-396"/>
    <w:p>
      <w:pPr>
        <w:pStyle w:val="Heading6"/>
        <w:pBdr>
          <w:left w:val="single" w:sz="36" w:space="4" w:color="2E75B6"/>
        </w:pBdr>
        <w:shd w:val="clear" w:color="auto" w:fill="E3EEF9"/>
        <w:spacing w:before="120" w:after="60"/>
        <w:ind w:left="85"/>
      </w:pPr>
      <w:r>
        <w:rPr>
          <w:i w:val="0"/>
          <w:color w:val="1F3A5F"/>
          <w:sz w:val="22"/>
        </w:rPr>
        <w:t xml:space="preserve">Art. 396</w:t>
      </w:r>
    </w:p>
    <w:p>
      <w:pPr>
        <w:pStyle w:val="FirstParagraph"/>
        <w:keepNext/>
        <w:spacing w:after="60"/>
        <w:jc w:val="both"/>
      </w:pPr>
      <w:r>
        <w:rPr>
          <w:b/>
          <w:bCs/>
        </w:rPr>
        <w:t xml:space="preserve">Art. 396.</w:t>
      </w:r>
      <w:r>
        <w:t xml:space="preserve"> </w:t>
      </w:r>
      <w:r>
        <w:t xml:space="preserve">O juiz pode ordenar que a parte exiba documento ou coisa que se encontre em seu poder.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1780"/>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Ação autônoma de exibição de documento ou coisa pelo procedimento comum</w:t>
            </w:r>
          </w:p>
        </w:tc>
        <w:tc>
          <w:tcPr>
            <w:tcW w:type="dxa" w:w="1655"/>
          </w:tcPr>
          <w:p>
            <w:pPr>
              <w:pStyle w:val="Compact"/>
              <w:spacing w:line="276" w:lineRule="auto" w:before="40" w:after="40"/>
            </w:pPr>
            <w:r>
              <w:rPr>
                <w:rFonts w:ascii="Liberation Sans Narrow" w:hAnsi="Liberation Sans Narrow"/>
                <w:sz w:val="17"/>
              </w:rPr>
              <w:t xml:space="preserve">STJ, REsp 1.803.251, Terceira Turma, relator Min. Marco Aurélio Bellizze, julgado em 22/10/2019, DJe de 08/11/2019</w:t>
            </w:r>
          </w:p>
        </w:tc>
        <w:tc>
          <w:tcPr>
            <w:tcW w:type="dxa" w:w="1780"/>
          </w:tcPr>
          <w:p>
            <w:pPr>
              <w:pStyle w:val="Compact"/>
              <w:spacing w:line="276" w:lineRule="auto" w:before="40" w:after="40"/>
            </w:pPr>
            <w:r>
              <w:rPr>
                <w:rFonts w:ascii="Liberation Sans Narrow" w:hAnsi="Liberation Sans Narrow"/>
                <w:sz w:val="17"/>
              </w:rPr>
              <w:t xml:space="preserve">É cabível a ação probatória autônoma de exibição de documento ou coisa, de caráter satisfativo e sem exigência de urgência, pelo procedimento comum (art. 318), com aplicação, no que couber, dos arts. 396 e seguintes. A pretensão se exaure na apresentação do documento, sem presunção de veracidade em caso de não exibição, preservadas as medidas coercitivas; há interesse de agir, inclusive quanto à adequação da via.</w:t>
            </w:r>
          </w:p>
        </w:tc>
      </w:tr>
    </w:tbl>
    <w:bookmarkEnd w:id="119"/>
    <w:bookmarkStart w:id="120" w:name="art.-397"/>
    <w:p>
      <w:pPr>
        <w:pStyle w:val="Heading6"/>
        <w:pBdr>
          <w:left w:val="single" w:sz="36" w:space="4" w:color="2E75B6"/>
        </w:pBdr>
        <w:shd w:val="clear" w:color="auto" w:fill="E3EEF9"/>
        <w:spacing w:before="120" w:after="60"/>
        <w:ind w:left="85"/>
      </w:pPr>
      <w:r>
        <w:rPr>
          <w:i w:val="0"/>
          <w:color w:val="1F3A5F"/>
          <w:sz w:val="22"/>
        </w:rPr>
        <w:t xml:space="preserve">Art. 397</w:t>
      </w:r>
    </w:p>
    <w:p>
      <w:pPr>
        <w:pStyle w:val="FirstParagraph"/>
        <w:keepNext/>
        <w:spacing w:after="60"/>
        <w:jc w:val="both"/>
      </w:pPr>
      <w:r>
        <w:rPr>
          <w:b/>
          <w:bCs/>
        </w:rPr>
        <w:t xml:space="preserve">Art. 397.</w:t>
      </w:r>
      <w:r>
        <w:t xml:space="preserve"> </w:t>
      </w:r>
      <w:r>
        <w:t xml:space="preserve">O pedido formulado pela parte conterá:</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154"/>
        <w:gridCol w:w="1655"/>
        <w:gridCol w:w="2154"/>
      </w:tblGrid>
      <w:tr>
        <w:trPr>
          <w:tblHeader w:val="on"/>
          <w:cantSplit/>
          <w:tblHeader/>
        </w:trPr>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2154"/>
          </w:tcPr>
          <w:p>
            <w:pPr>
              <w:pStyle w:val="Compact"/>
              <w:spacing w:line="276" w:lineRule="auto" w:before="40" w:after="40"/>
            </w:pPr>
            <w:r>
              <w:rPr>
                <w:rFonts w:ascii="Liberation Sans Narrow" w:hAnsi="Liberation Sans Narrow"/>
                <w:sz w:val="17"/>
              </w:rPr>
              <w:t xml:space="preserve">Art. 397, caput (incisos I e II): indicação individualizada do documento e demonstração de sua pertinência</w:t>
            </w:r>
          </w:p>
        </w:tc>
        <w:tc>
          <w:tcPr>
            <w:tcW w:type="dxa" w:w="1655"/>
          </w:tcPr>
          <w:p>
            <w:pPr>
              <w:pStyle w:val="Compact"/>
              <w:spacing w:line="276" w:lineRule="auto" w:before="40" w:after="40"/>
            </w:pPr>
            <w:r>
              <w:rPr>
                <w:rFonts w:ascii="Liberation Sans Narrow" w:hAnsi="Liberation Sans Narrow"/>
                <w:sz w:val="17"/>
              </w:rPr>
              <w:t xml:space="preserve">STJ, AgInt na CR 14.548, Corte Especial, relator Min. João Otávio de Noronha, julgado em 07/04/2020, DJe de 16/04/2020</w:t>
            </w:r>
          </w:p>
        </w:tc>
        <w:tc>
          <w:tcPr>
            <w:tcW w:type="dxa" w:w="2154"/>
          </w:tcPr>
          <w:p>
            <w:pPr>
              <w:pStyle w:val="Compact"/>
              <w:spacing w:line="276" w:lineRule="auto" w:before="40" w:after="40"/>
            </w:pPr>
            <w:r>
              <w:rPr>
                <w:rFonts w:ascii="Liberation Sans Narrow" w:hAnsi="Liberation Sans Narrow"/>
                <w:sz w:val="17"/>
              </w:rPr>
              <w:t xml:space="preserve">“A indicação individualizada de documentos cuja produção é objeto de diligência rogada e a demonstração de sua pertinência para a instrução de demanda em trâmite na Justiça rogante, quando feitas da forma mais completa possível (art. 397 do CPC), não geram nulidade da comissão.”</w:t>
            </w:r>
            <w:r>
              <w:rPr>
                <w:rFonts w:ascii="Liberation Sans Narrow" w:hAnsi="Liberation Sans Narrow"/>
                <w:sz w:val="17"/>
              </w:rPr>
              <w:t xml:space="preserve"> </w:t>
            </w:r>
            <w:r>
              <w:rPr>
                <w:rFonts w:ascii="Liberation Sans Narrow" w:hAnsi="Liberation Sans Narrow"/>
                <w:sz w:val="17"/>
              </w:rPr>
              <w:t xml:space="preserve">O julgado completa que a ninguém é dado eximir-se do dever de colaborar com o Poder Judiciário, cabendo ao terceiro exibir coisa ou documento em seu poder, observado o direito de não se autoincriminar (arts. 378, 379 e 380, II, do CPC).</w:t>
            </w:r>
          </w:p>
        </w:tc>
      </w:tr>
    </w:tbl>
    <w:p>
      <w:pPr>
        <w:pStyle w:val="BodyText"/>
        <w:spacing w:after="60"/>
        <w:jc w:val="both"/>
      </w:pPr>
      <w:r>
        <w:t xml:space="preserve">I - a descrição, tão completa quanto possível, do documento ou da coisa, ou das categorias de documentos ou de coisas buscados; (Redação dada pela Lei nº 14.195, de 2021)</w:t>
      </w:r>
    </w:p>
    <w:p>
      <w:pPr>
        <w:pStyle w:val="BodyText"/>
        <w:spacing w:after="60"/>
        <w:jc w:val="both"/>
      </w:pPr>
      <w:r>
        <w:t xml:space="preserve">II - a finalidade da prova, com indicação dos fatos que se relacionam com o documento ou com a coisa, ou com suas categorias; (Redação dada pela Lei nº 14.195, de 2021)</w:t>
      </w:r>
    </w:p>
    <w:p>
      <w:pPr>
        <w:pStyle w:val="BodyText"/>
        <w:keepNext/>
        <w:spacing w:after="60"/>
        <w:jc w:val="both"/>
      </w:pPr>
      <w:r>
        <w:t xml:space="preserve">III - as circunstâncias em que se funda o requerente para afirmar que o documento ou a coisa existe, ainda que a referência seja a categoria de documentos ou de coisas, e se acha em poder da parte contrária. (Redação dada pela Lei nº 14.195, de 2021)</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531"/>
          </w:tcPr>
          <w:p>
            <w:pPr>
              <w:pStyle w:val="Compact"/>
              <w:spacing w:line="276" w:lineRule="auto" w:before="40" w:after="40"/>
            </w:pPr>
            <w:r>
              <w:rPr>
                <w:rFonts w:ascii="Liberation Sans Narrow" w:hAnsi="Liberation Sans Narrow"/>
                <w:sz w:val="17"/>
              </w:rPr>
              <w:t xml:space="preserve">Art. 397, III: premissa da posse do documento pela parte requerida</w:t>
            </w:r>
          </w:p>
        </w:tc>
        <w:tc>
          <w:tcPr>
            <w:tcW w:type="dxa" w:w="1655"/>
          </w:tcPr>
          <w:p>
            <w:pPr>
              <w:pStyle w:val="Compact"/>
              <w:spacing w:line="276" w:lineRule="auto" w:before="40" w:after="40"/>
            </w:pPr>
            <w:r>
              <w:rPr>
                <w:rFonts w:ascii="Liberation Sans Narrow" w:hAnsi="Liberation Sans Narrow"/>
                <w:sz w:val="17"/>
              </w:rPr>
              <w:t xml:space="preserve">STJ, AREsp 2.668.540, Terceira Turma, relator Min. Moura Ribeiro, julgado em 09/02/2026, DJEN de 13/02/2026</w:t>
            </w:r>
          </w:p>
        </w:tc>
        <w:tc>
          <w:tcPr>
            <w:tcW w:type="dxa" w:w="1905"/>
          </w:tcPr>
          <w:p>
            <w:pPr>
              <w:pStyle w:val="Compact"/>
              <w:spacing w:line="276" w:lineRule="auto" w:before="40" w:after="40"/>
            </w:pPr>
            <w:r>
              <w:rPr>
                <w:rFonts w:ascii="Liberation Sans Narrow" w:hAnsi="Liberation Sans Narrow"/>
                <w:sz w:val="17"/>
              </w:rPr>
              <w:t xml:space="preserve">Reconhecida a negativa de prestação jurisdicional (arts. 489, § 1º, IV, e 1.022, II, do CPC): o tribunal de origem, ao rejeitar os embargos de declaração, não enfrentou o argumento de que as folhas de pagamento anteriores a 1997 foram emitidas pelo Banco do Brasil, e não pela entidade de previdência, o que afeta</w:t>
            </w:r>
            <w:r>
              <w:rPr>
                <w:rFonts w:ascii="Liberation Sans Narrow" w:hAnsi="Liberation Sans Narrow"/>
                <w:sz w:val="17"/>
              </w:rPr>
              <w:t xml:space="preserve"> </w:t>
            </w:r>
            <w:r>
              <w:rPr>
                <w:rFonts w:ascii="Liberation Sans Narrow" w:hAnsi="Liberation Sans Narrow"/>
                <w:sz w:val="17"/>
              </w:rPr>
              <w:t xml:space="preserve">“a premissa da posse (art. 397, III, do CPC)”</w:t>
            </w:r>
            <w:r>
              <w:rPr>
                <w:rFonts w:ascii="Liberation Sans Narrow" w:hAnsi="Liberation Sans Narrow"/>
                <w:sz w:val="17"/>
              </w:rPr>
              <w:t xml:space="preserve"> </w:t>
            </w:r>
            <w:r>
              <w:rPr>
                <w:rFonts w:ascii="Liberation Sans Narrow" w:hAnsi="Liberation Sans Narrow"/>
                <w:sz w:val="17"/>
              </w:rPr>
              <w:t xml:space="preserve">e caracteriza prova diabólica (art. 373, § 2º); sendo ponto relevante para a viabilidade da prova, exigia manifestação expressa.</w:t>
            </w:r>
          </w:p>
        </w:tc>
      </w:tr>
    </w:tbl>
    <w:bookmarkEnd w:id="120"/>
    <w:bookmarkStart w:id="121" w:name="art.-398"/>
    <w:p>
      <w:pPr>
        <w:pStyle w:val="Heading6"/>
        <w:pBdr>
          <w:left w:val="single" w:sz="36" w:space="4" w:color="2E75B6"/>
        </w:pBdr>
        <w:shd w:val="clear" w:color="auto" w:fill="E3EEF9"/>
        <w:spacing w:before="120" w:after="60"/>
        <w:ind w:left="85"/>
      </w:pPr>
      <w:r>
        <w:rPr>
          <w:i w:val="0"/>
          <w:color w:val="1F3A5F"/>
          <w:sz w:val="22"/>
        </w:rPr>
        <w:t xml:space="preserve">Art. 398</w:t>
      </w:r>
    </w:p>
    <w:p>
      <w:pPr>
        <w:pStyle w:val="FirstParagraph"/>
        <w:spacing w:after="60"/>
        <w:jc w:val="both"/>
      </w:pPr>
      <w:r>
        <w:rPr>
          <w:b/>
          <w:bCs/>
        </w:rPr>
        <w:t xml:space="preserve">Art. 398.</w:t>
      </w:r>
      <w:r>
        <w:t xml:space="preserve"> </w:t>
      </w:r>
      <w:r>
        <w:t xml:space="preserve">O requerido dará sua resposta nos 5 (cinco) dias subsequentes à sua intimação.</w:t>
      </w:r>
    </w:p>
    <w:p>
      <w:pPr>
        <w:pStyle w:val="BodyText"/>
        <w:spacing w:after="60"/>
        <w:jc w:val="both"/>
      </w:pPr>
      <w:r>
        <w:t xml:space="preserve">Parágrafo único. Se o requerido afirmar que não possui o documento ou a coisa, o juiz permitirá que o requerente prove, por qualquer meio, que a declaração não corresponde à verdade.</w:t>
      </w:r>
    </w:p>
    <w:bookmarkEnd w:id="121"/>
    <w:bookmarkStart w:id="122" w:name="art.-399"/>
    <w:p>
      <w:pPr>
        <w:pStyle w:val="Heading6"/>
        <w:pBdr>
          <w:left w:val="single" w:sz="36" w:space="4" w:color="2E75B6"/>
        </w:pBdr>
        <w:shd w:val="clear" w:color="auto" w:fill="E3EEF9"/>
        <w:spacing w:before="120" w:after="60"/>
        <w:ind w:left="85"/>
      </w:pPr>
      <w:r>
        <w:rPr>
          <w:i w:val="0"/>
          <w:color w:val="1F3A5F"/>
          <w:sz w:val="22"/>
        </w:rPr>
        <w:t xml:space="preserve">Art. 399</w:t>
      </w:r>
    </w:p>
    <w:p>
      <w:pPr>
        <w:pStyle w:val="FirstParagraph"/>
        <w:spacing w:after="60"/>
        <w:jc w:val="both"/>
      </w:pPr>
      <w:r>
        <w:rPr>
          <w:b/>
          <w:bCs/>
        </w:rPr>
        <w:t xml:space="preserve">Art. 399.</w:t>
      </w:r>
      <w:r>
        <w:t xml:space="preserve"> </w:t>
      </w:r>
      <w:r>
        <w:t xml:space="preserve">O juiz não admitirá a recusa se:</w:t>
      </w:r>
    </w:p>
    <w:p>
      <w:pPr>
        <w:pStyle w:val="BodyText"/>
        <w:spacing w:after="60"/>
        <w:jc w:val="both"/>
      </w:pPr>
      <w:r>
        <w:t xml:space="preserve">I - o requerido tiver obrigação legal de exibir;</w:t>
      </w:r>
    </w:p>
    <w:p>
      <w:pPr>
        <w:pStyle w:val="BodyText"/>
        <w:spacing w:after="60"/>
        <w:jc w:val="both"/>
      </w:pPr>
      <w:r>
        <w:t xml:space="preserve">II - o requerido tiver aludido ao documento ou à coisa, no processo, com o intuito de constituir prova;</w:t>
      </w:r>
    </w:p>
    <w:p>
      <w:pPr>
        <w:pStyle w:val="BodyText"/>
        <w:keepNext/>
        <w:spacing w:after="60"/>
        <w:jc w:val="both"/>
      </w:pPr>
      <w:r>
        <w:t xml:space="preserve">III - o documento, por seu conteúdo, for comum às partes.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531"/>
          </w:tcPr>
          <w:p>
            <w:pPr>
              <w:pStyle w:val="Compact"/>
              <w:spacing w:line="276" w:lineRule="auto" w:before="40" w:after="40"/>
            </w:pPr>
            <w:r>
              <w:rPr>
                <w:rFonts w:ascii="Liberation Sans Narrow" w:hAnsi="Liberation Sans Narrow"/>
                <w:sz w:val="17"/>
              </w:rPr>
              <w:t xml:space="preserve">Art. 399, III (e II): recusa de exibição de documento comum ou de interesse comum</w:t>
            </w:r>
          </w:p>
        </w:tc>
        <w:tc>
          <w:tcPr>
            <w:tcW w:type="dxa" w:w="1655"/>
          </w:tcPr>
          <w:p>
            <w:pPr>
              <w:pStyle w:val="Compact"/>
              <w:spacing w:line="276" w:lineRule="auto" w:before="40" w:after="40"/>
            </w:pPr>
            <w:r>
              <w:rPr>
                <w:rFonts w:ascii="Liberation Sans Narrow" w:hAnsi="Liberation Sans Narrow"/>
                <w:sz w:val="17"/>
              </w:rPr>
              <w:t xml:space="preserve">STJ, REsp 2.001.188, Quarta Turma, relator Min. João Otávio de Noronha, julgado em 08/06/2026, DJEN de 11/06/2026</w:t>
            </w:r>
          </w:p>
        </w:tc>
        <w:tc>
          <w:tcPr>
            <w:tcW w:type="dxa" w:w="2030"/>
          </w:tcPr>
          <w:p>
            <w:pPr>
              <w:pStyle w:val="Compact"/>
              <w:spacing w:line="276" w:lineRule="auto" w:before="40" w:after="40"/>
            </w:pPr>
            <w:r>
              <w:rPr>
                <w:rFonts w:ascii="Liberation Sans Narrow" w:hAnsi="Liberation Sans Narrow"/>
                <w:sz w:val="17"/>
              </w:rPr>
              <w:t xml:space="preserve">“O conceito de documento comum abrange aquele de interesse comum das partes, justificando a exibição das planilhas de evolução do saldo devedor e dos custos de captação quando guardem relação direta com a relação jurídica material e a verificação de eventual abusividade.”</w:t>
            </w:r>
            <w:r>
              <w:rPr>
                <w:rFonts w:ascii="Liberation Sans Narrow" w:hAnsi="Liberation Sans Narrow"/>
                <w:sz w:val="17"/>
              </w:rPr>
              <w:t xml:space="preserve"> </w:t>
            </w:r>
            <w:r>
              <w:rPr>
                <w:rFonts w:ascii="Liberation Sans Narrow" w:hAnsi="Liberation Sans Narrow"/>
                <w:sz w:val="17"/>
              </w:rPr>
              <w:t xml:space="preserve">A ementa enquadra a hipótese no art. 358, II e III, do CPC/1973 e no correspondente art. 399 do CPC/2015 (grafado</w:t>
            </w:r>
            <w:r>
              <w:rPr>
                <w:rFonts w:ascii="Liberation Sans Narrow" w:hAnsi="Liberation Sans Narrow"/>
                <w:sz w:val="17"/>
              </w:rPr>
              <w:t xml:space="preserve"> </w:t>
            </w:r>
            <w:r>
              <w:rPr>
                <w:rFonts w:ascii="Liberation Sans Narrow" w:hAnsi="Liberation Sans Narrow"/>
                <w:sz w:val="17"/>
              </w:rPr>
              <w:t xml:space="preserve">“art. 399, II e II”</w:t>
            </w:r>
            <w:r>
              <w:rPr>
                <w:rFonts w:ascii="Liberation Sans Narrow" w:hAnsi="Liberation Sans Narrow"/>
                <w:sz w:val="17"/>
              </w:rPr>
              <w:t xml:space="preserve">) e conclui que a negativa de exibição de documentos de interesse comum ofende esse dispositivo, impondo-se a apresentação das planilhas e dos custos ligados à relação contratual; recurso especial provido em parte.</w:t>
            </w:r>
          </w:p>
        </w:tc>
      </w:tr>
    </w:tbl>
    <w:bookmarkEnd w:id="122"/>
    <w:bookmarkStart w:id="123" w:name="art.-400"/>
    <w:p>
      <w:pPr>
        <w:pStyle w:val="Heading6"/>
        <w:pBdr>
          <w:left w:val="single" w:sz="36" w:space="4" w:color="2E75B6"/>
        </w:pBdr>
        <w:shd w:val="clear" w:color="auto" w:fill="E3EEF9"/>
        <w:spacing w:before="120" w:after="60"/>
        <w:ind w:left="85"/>
      </w:pPr>
      <w:r>
        <w:rPr>
          <w:i w:val="0"/>
          <w:color w:val="1F3A5F"/>
          <w:sz w:val="22"/>
        </w:rPr>
        <w:t xml:space="preserve">Art. 400</w:t>
      </w:r>
    </w:p>
    <w:p>
      <w:pPr>
        <w:pStyle w:val="FirstParagraph"/>
        <w:keepNext/>
        <w:spacing w:after="60"/>
        <w:jc w:val="both"/>
      </w:pPr>
      <w:r>
        <w:rPr>
          <w:b/>
          <w:bCs/>
        </w:rPr>
        <w:t xml:space="preserve">Art. 400.</w:t>
      </w:r>
      <w:r>
        <w:t xml:space="preserve"> </w:t>
      </w:r>
      <w:r>
        <w:t xml:space="preserve">Ao decidir o pedido, o juiz admitirá como verdadeiros os fatos que, por meio do documento ou da coisa, a parte pretendia provar se: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780"/>
        <w:gridCol w:w="1905"/>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Exibição de documento: multa (astreintes) para compelir a parte contrária</w:t>
            </w:r>
          </w:p>
        </w:tc>
        <w:tc>
          <w:tcPr>
            <w:tcW w:type="dxa" w:w="1780"/>
          </w:tcPr>
          <w:p>
            <w:pPr>
              <w:pStyle w:val="Compact"/>
              <w:spacing w:line="276" w:lineRule="auto" w:before="40" w:after="40"/>
            </w:pPr>
            <w:r>
              <w:rPr>
                <w:rFonts w:ascii="Liberation Sans Narrow" w:hAnsi="Liberation Sans Narrow"/>
                <w:sz w:val="17"/>
              </w:rPr>
              <w:t xml:space="preserve">STJ, Tema Repetitivo 1000, REsp 1.763.462, Segunda Seção, relator Min. Paulo de Tarso Sanseverino, julgado em 09/06/2021, DJe de 01/07/2021</w:t>
            </w:r>
          </w:p>
        </w:tc>
        <w:tc>
          <w:tcPr>
            <w:tcW w:type="dxa" w:w="1905"/>
          </w:tcPr>
          <w:p>
            <w:pPr>
              <w:pStyle w:val="Compact"/>
              <w:spacing w:line="276" w:lineRule="auto" w:before="40" w:after="40"/>
            </w:pPr>
            <w:r>
              <w:rPr>
                <w:rFonts w:ascii="Liberation Sans Narrow" w:hAnsi="Liberation Sans Narrow"/>
                <w:sz w:val="17"/>
              </w:rPr>
              <w:t xml:space="preserve">Desde que prováveis a existência da relação jurídica entre as partes e de documento ou coisa que se pretende seja exibido, apurada em contraditório prévio, poderá o juiz, após tentativa de busca e apreensão ou outra medida coercitiva, determinar sua exibição sob pena de multa com base no art. 400, parágrafo único, do CPC/2015.</w:t>
            </w:r>
          </w:p>
        </w:tc>
      </w:tr>
    </w:tbl>
    <w:p>
      <w:pPr>
        <w:pStyle w:val="BodyText"/>
        <w:spacing w:after="60"/>
        <w:jc w:val="both"/>
      </w:pPr>
      <w:r>
        <w:t xml:space="preserve">I - o requerido não efetuar a exibição nem fizer nenhuma declaração no prazo do art. 398;</w:t>
      </w:r>
    </w:p>
    <w:p>
      <w:pPr>
        <w:pStyle w:val="BodyText"/>
        <w:spacing w:after="60"/>
        <w:jc w:val="both"/>
      </w:pPr>
      <w:r>
        <w:t xml:space="preserve">II - a recusa for havida por ilegítima.</w:t>
      </w:r>
    </w:p>
    <w:p>
      <w:pPr>
        <w:pStyle w:val="BodyText"/>
        <w:keepNext/>
        <w:spacing w:after="60"/>
        <w:jc w:val="both"/>
      </w:pPr>
      <w:r>
        <w:t xml:space="preserve">Parágrafo único. Sendo necessário, o juiz pode adotar medidas indutivas, coercitivas, mandamentais ou sub-rogatórias para que o documento seja exibido.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530"/>
        <w:gridCol w:w="2835"/>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83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Parágrafo único: medidas indutivas, coercitivas, mandamentais ou sub-rogatórias na exibição de documento ou coisa</w:t>
            </w:r>
          </w:p>
        </w:tc>
        <w:tc>
          <w:tcPr>
            <w:tcW w:type="dxa" w:w="1531"/>
          </w:tcPr>
          <w:p>
            <w:pPr>
              <w:pStyle w:val="Compact"/>
              <w:spacing w:line="276" w:lineRule="auto" w:before="40" w:after="40"/>
            </w:pPr>
            <w:r>
              <w:rPr>
                <w:rFonts w:ascii="Liberation Sans Narrow" w:hAnsi="Liberation Sans Narrow"/>
                <w:sz w:val="17"/>
              </w:rPr>
              <w:t xml:space="preserve">STF, ADI 5.941, Tribunal Pleno, relator Min. Luiz Fux, julgado em 09/02/2023</w:t>
            </w:r>
          </w:p>
        </w:tc>
        <w:tc>
          <w:tcPr>
            <w:tcW w:type="dxa" w:w="2835"/>
          </w:tcPr>
          <w:p>
            <w:pPr>
              <w:pStyle w:val="Compact"/>
              <w:spacing w:line="276" w:lineRule="auto" w:before="40" w:after="40"/>
            </w:pPr>
            <w:r>
              <w:rPr>
                <w:rFonts w:ascii="Liberation Sans Narrow" w:hAnsi="Liberation Sans Narrow"/>
                <w:sz w:val="17"/>
              </w:rPr>
              <w:t xml:space="preserve">Julgada improcedente: não há inconstitucionalidade a priori nos meios executivos atípicos, cuja adequação, necessidade e proporcionalidade em sentido estrito se aferem no caso concreto, com controle pelo sistema recursal.</w:t>
            </w:r>
          </w:p>
        </w:tc>
      </w:tr>
    </w:tbl>
    <w:bookmarkEnd w:id="123"/>
    <w:bookmarkStart w:id="124" w:name="art.-401"/>
    <w:p>
      <w:pPr>
        <w:pStyle w:val="Heading6"/>
        <w:pBdr>
          <w:left w:val="single" w:sz="36" w:space="4" w:color="2E75B6"/>
        </w:pBdr>
        <w:shd w:val="clear" w:color="auto" w:fill="E3EEF9"/>
        <w:spacing w:before="120" w:after="60"/>
        <w:ind w:left="85"/>
      </w:pPr>
      <w:r>
        <w:rPr>
          <w:i w:val="0"/>
          <w:color w:val="1F3A5F"/>
          <w:sz w:val="22"/>
        </w:rPr>
        <w:t xml:space="preserve">Art. 401</w:t>
      </w:r>
    </w:p>
    <w:p>
      <w:pPr>
        <w:pStyle w:val="FirstParagraph"/>
        <w:keepNext/>
        <w:spacing w:after="60"/>
        <w:jc w:val="both"/>
      </w:pPr>
      <w:r>
        <w:rPr>
          <w:b/>
          <w:bCs/>
        </w:rPr>
        <w:t xml:space="preserve">Art. 401.</w:t>
      </w:r>
      <w:r>
        <w:t xml:space="preserve"> </w:t>
      </w:r>
      <w:r>
        <w:t xml:space="preserve">Quando o documento ou a coisa estiver em poder de terceiro, o juiz ordenará sua citação para responder no prazo de 15 (quinze) dias.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2404"/>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905"/>
          </w:tcPr>
          <w:p>
            <w:pPr>
              <w:pStyle w:val="Compact"/>
              <w:spacing w:line="276" w:lineRule="auto" w:before="40" w:after="40"/>
            </w:pPr>
            <w:r>
              <w:rPr>
                <w:rFonts w:ascii="Liberation Sans Narrow" w:hAnsi="Liberation Sans Narrow"/>
                <w:sz w:val="17"/>
              </w:rPr>
              <w:t xml:space="preserve">Art. 401: exibição por terceiro, por simples requerimento, sem incidente processual</w:t>
            </w:r>
          </w:p>
        </w:tc>
        <w:tc>
          <w:tcPr>
            <w:tcW w:type="dxa" w:w="1655"/>
          </w:tcPr>
          <w:p>
            <w:pPr>
              <w:pStyle w:val="Compact"/>
              <w:spacing w:line="276" w:lineRule="auto" w:before="40" w:after="40"/>
            </w:pPr>
            <w:r>
              <w:rPr>
                <w:rFonts w:ascii="Liberation Sans Narrow" w:hAnsi="Liberation Sans Narrow"/>
                <w:sz w:val="17"/>
              </w:rPr>
              <w:t xml:space="preserve">STJ, AREsp 2.840.956, Quarta Turma, relator Min. João Otávio de Noronha, julgado em 16/03/2026, DJEN de 19/03/2026</w:t>
            </w:r>
          </w:p>
        </w:tc>
        <w:tc>
          <w:tcPr>
            <w:tcW w:type="dxa" w:w="2404"/>
          </w:tcPr>
          <w:p>
            <w:pPr>
              <w:pStyle w:val="Compact"/>
              <w:spacing w:line="276" w:lineRule="auto" w:before="40" w:after="40"/>
            </w:pPr>
            <w:r>
              <w:rPr>
                <w:rFonts w:ascii="Liberation Sans Narrow" w:hAnsi="Liberation Sans Narrow"/>
                <w:sz w:val="17"/>
              </w:rPr>
              <w:t xml:space="preserve">“Incide a Súmula n. 83 do STJ quanto ao art. 401 do CPC, porque é admitida a intimação de terceiro, por simples requerimento, para exibição de documentos, independentemente de instauração de incidente processual; além disso, a nulidade exige demonstração de prejuízo concreto.”</w:t>
            </w:r>
            <w:r>
              <w:rPr>
                <w:rFonts w:ascii="Liberation Sans Narrow" w:hAnsi="Liberation Sans Narrow"/>
                <w:sz w:val="17"/>
              </w:rPr>
              <w:t xml:space="preserve"> </w:t>
            </w:r>
            <w:r>
              <w:rPr>
                <w:rFonts w:ascii="Liberation Sans Narrow" w:hAnsi="Liberation Sans Narrow"/>
                <w:sz w:val="17"/>
              </w:rPr>
              <w:t xml:space="preserve">O caso é de exibição, por securitizadora, de documentos de operação de securitização no cumprimento de sentença; o sigilo da Lei nº 105/2001 não impediu a ordem, com observação de sigilo nos autos.</w:t>
            </w:r>
          </w:p>
        </w:tc>
      </w:tr>
      <w:tr>
        <w:trPr>
          <w:cantSplit/>
        </w:trPr>
        <w:tc>
          <w:tcPr>
            <w:tcW w:type="dxa" w:w="1905"/>
          </w:tcPr>
          <w:p>
            <w:pPr>
              <w:pStyle w:val="Compact"/>
              <w:spacing w:line="276" w:lineRule="auto" w:before="40" w:after="40"/>
            </w:pPr>
            <w:r>
              <w:rPr>
                <w:rFonts w:ascii="Liberation Sans Narrow" w:hAnsi="Liberation Sans Narrow"/>
                <w:sz w:val="17"/>
              </w:rPr>
              <w:t xml:space="preserve">Art. 401: dispensa do rito quando o terceiro cumpre a ordem</w:t>
            </w:r>
          </w:p>
        </w:tc>
        <w:tc>
          <w:tcPr>
            <w:tcW w:type="dxa" w:w="1655"/>
          </w:tcPr>
          <w:p>
            <w:pPr>
              <w:pStyle w:val="Compact"/>
              <w:spacing w:line="276" w:lineRule="auto" w:before="40" w:after="40"/>
            </w:pPr>
            <w:r>
              <w:rPr>
                <w:rFonts w:ascii="Liberation Sans Narrow" w:hAnsi="Liberation Sans Narrow"/>
                <w:sz w:val="17"/>
              </w:rPr>
              <w:t xml:space="preserve">STJ, AREsp 2.999.990, Terceira Turma, relator Min. Moura Ribeiro, julgado em 09/02/2026, DJEN de 18/02/2026</w:t>
            </w:r>
          </w:p>
        </w:tc>
        <w:tc>
          <w:tcPr>
            <w:tcW w:type="dxa" w:w="2404"/>
          </w:tcPr>
          <w:p>
            <w:pPr>
              <w:pStyle w:val="Compact"/>
              <w:spacing w:line="276" w:lineRule="auto" w:before="40" w:after="40"/>
            </w:pPr>
            <w:r>
              <w:rPr>
                <w:rFonts w:ascii="Liberation Sans Narrow" w:hAnsi="Liberation Sans Narrow"/>
                <w:sz w:val="17"/>
              </w:rPr>
              <w:t xml:space="preserve">“A exibição de documentos por terceiro não exige o rito dos arts. 401 a 403 do CPC quando a ordem específica é cumprida e o alargamento pretendido se mostra inviável e desconectado da controvérsia útil, inexistindo resistência relevante que justifique medidas coercitivas.”</w:t>
            </w:r>
            <w:r>
              <w:rPr>
                <w:rFonts w:ascii="Liberation Sans Narrow" w:hAnsi="Liberation Sans Narrow"/>
                <w:sz w:val="17"/>
              </w:rPr>
              <w:t xml:space="preserve"> </w:t>
            </w:r>
            <w:r>
              <w:rPr>
                <w:rFonts w:ascii="Liberation Sans Narrow" w:hAnsi="Liberation Sans Narrow"/>
                <w:sz w:val="17"/>
              </w:rPr>
              <w:t xml:space="preserve">Acrescenta que o juiz, destinatário da prova, pode indeferir diligências inúteis ou protelatórias, sem cerceamento de defesa.</w:t>
            </w:r>
          </w:p>
        </w:tc>
      </w:tr>
    </w:tbl>
    <w:bookmarkEnd w:id="124"/>
    <w:bookmarkStart w:id="125" w:name="art.-402"/>
    <w:p>
      <w:pPr>
        <w:pStyle w:val="Heading6"/>
        <w:pBdr>
          <w:left w:val="single" w:sz="36" w:space="4" w:color="2E75B6"/>
        </w:pBdr>
        <w:shd w:val="clear" w:color="auto" w:fill="E3EEF9"/>
        <w:spacing w:before="120" w:after="60"/>
        <w:ind w:left="85"/>
      </w:pPr>
      <w:r>
        <w:rPr>
          <w:i w:val="0"/>
          <w:color w:val="1F3A5F"/>
          <w:sz w:val="22"/>
        </w:rPr>
        <w:t xml:space="preserve">Art. 402</w:t>
      </w:r>
    </w:p>
    <w:p>
      <w:pPr>
        <w:pStyle w:val="FirstParagraph"/>
        <w:keepNext/>
        <w:spacing w:after="60"/>
        <w:jc w:val="both"/>
      </w:pPr>
      <w:r>
        <w:rPr>
          <w:b/>
          <w:bCs/>
        </w:rPr>
        <w:t xml:space="preserve">Art. 402.</w:t>
      </w:r>
      <w:r>
        <w:t xml:space="preserve"> </w:t>
      </w:r>
      <w:r>
        <w:t xml:space="preserve">Se o terceiro negar a obrigação de exibir ou a posse do documento ou da coisa, o juiz designará audiência especial, tomando-lhe o depoimento, bem como o das partes e, se necessário, o de testemunhas, e em seguida proferirá decisão.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2154"/>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655"/>
          </w:tcPr>
          <w:p>
            <w:pPr>
              <w:pStyle w:val="Compact"/>
              <w:spacing w:line="276" w:lineRule="auto" w:before="40" w:after="40"/>
            </w:pPr>
            <w:r>
              <w:rPr>
                <w:rFonts w:ascii="Liberation Sans Narrow" w:hAnsi="Liberation Sans Narrow"/>
                <w:sz w:val="17"/>
              </w:rPr>
              <w:t xml:space="preserve">Art. 402: rito dos arts. 401 a 403 dispensável quando o terceiro cumpre a ordem</w:t>
            </w:r>
          </w:p>
        </w:tc>
        <w:tc>
          <w:tcPr>
            <w:tcW w:type="dxa" w:w="1655"/>
          </w:tcPr>
          <w:p>
            <w:pPr>
              <w:pStyle w:val="Compact"/>
              <w:spacing w:line="276" w:lineRule="auto" w:before="40" w:after="40"/>
            </w:pPr>
            <w:r>
              <w:rPr>
                <w:rFonts w:ascii="Liberation Sans Narrow" w:hAnsi="Liberation Sans Narrow"/>
                <w:sz w:val="17"/>
              </w:rPr>
              <w:t xml:space="preserve">STJ, AREsp 2.999.990, Terceira Turma, relator Min. Moura Ribeiro, julgado em 09/02/2026, DJEN de 18/02/2026</w:t>
            </w:r>
          </w:p>
        </w:tc>
        <w:tc>
          <w:tcPr>
            <w:tcW w:type="dxa" w:w="2154"/>
          </w:tcPr>
          <w:p>
            <w:pPr>
              <w:pStyle w:val="Compact"/>
              <w:spacing w:line="276" w:lineRule="auto" w:before="40" w:after="40"/>
            </w:pPr>
            <w:r>
              <w:rPr>
                <w:rFonts w:ascii="Liberation Sans Narrow" w:hAnsi="Liberation Sans Narrow"/>
                <w:sz w:val="17"/>
              </w:rPr>
              <w:t xml:space="preserve">“A exibição de documentos por terceiro não exige o rito dos arts. 401 a 403 do CPC quando a ordem específica é cumprida e o alargamento pretendido se mostra inviável e desconectado da controvérsia útil, inexistindo resistência relevante que justifique medidas coercitivas.”</w:t>
            </w:r>
            <w:r>
              <w:rPr>
                <w:rFonts w:ascii="Liberation Sans Narrow" w:hAnsi="Liberation Sans Narrow"/>
                <w:sz w:val="17"/>
              </w:rPr>
              <w:t xml:space="preserve"> </w:t>
            </w:r>
            <w:r>
              <w:rPr>
                <w:rFonts w:ascii="Liberation Sans Narrow" w:hAnsi="Liberation Sans Narrow"/>
                <w:sz w:val="17"/>
              </w:rPr>
              <w:t xml:space="preserve">No caso, a ordem de exibição já havia sido atendida por terceiro, e o alargamento pretendido foi tido por genérico e desvinculado dos pontos controvertidos; o juiz pode indeferir diligências inúteis ou protelatórias, sem cerceamento de defesa.</w:t>
            </w:r>
          </w:p>
        </w:tc>
      </w:tr>
    </w:tbl>
    <w:bookmarkEnd w:id="125"/>
    <w:bookmarkStart w:id="126" w:name="art.-403"/>
    <w:p>
      <w:pPr>
        <w:pStyle w:val="Heading6"/>
        <w:pBdr>
          <w:left w:val="single" w:sz="36" w:space="4" w:color="2E75B6"/>
        </w:pBdr>
        <w:shd w:val="clear" w:color="auto" w:fill="E3EEF9"/>
        <w:spacing w:before="120" w:after="60"/>
        <w:ind w:left="85"/>
      </w:pPr>
      <w:r>
        <w:rPr>
          <w:i w:val="0"/>
          <w:color w:val="1F3A5F"/>
          <w:sz w:val="22"/>
        </w:rPr>
        <w:t xml:space="preserve">Art. 403</w:t>
      </w:r>
    </w:p>
    <w:p>
      <w:pPr>
        <w:pStyle w:val="FirstParagraph"/>
        <w:spacing w:after="60"/>
        <w:jc w:val="both"/>
      </w:pPr>
      <w:r>
        <w:rPr>
          <w:b/>
          <w:bCs/>
        </w:rPr>
        <w:t xml:space="preserve">Art. 403.</w:t>
      </w:r>
      <w:r>
        <w:t xml:space="preserve"> </w:t>
      </w:r>
      <w:r>
        <w:t xml:space="preserve">Se o terceiro, sem justo motivo, se recusar a efetuar a exibição, o juiz ordenar-lhe-á que proceda ao respectivo depósito em cartório ou em outro lugar designado, no prazo de 5 (cinco) dias, impondo ao requerente que o ressarça pelas despesas que tiver.</w:t>
      </w:r>
    </w:p>
    <w:p>
      <w:pPr>
        <w:pStyle w:val="BodyText"/>
        <w:keepNext/>
        <w:spacing w:after="60"/>
        <w:jc w:val="both"/>
      </w:pPr>
      <w:r>
        <w:t xml:space="preserve">Parágrafo único. Se o terceiro descumprir a ordem, o juiz expedirá mandado de apreensão, requisitando, se necessário, força policial, sem prejuízo da responsabilidade por crime de desobediência, pagamento de multa e outras medidas indutivas, coercitivas, mandamentais ou sub-rogatórias necessárias para assegurar a efetivação da decisão.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2835"/>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83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Parágrafo único: medidas coercitivas contra o terceiro que se recusa a exibir documento ou coisa</w:t>
            </w:r>
          </w:p>
        </w:tc>
        <w:tc>
          <w:tcPr>
            <w:tcW w:type="dxa" w:w="1655"/>
          </w:tcPr>
          <w:p>
            <w:pPr>
              <w:pStyle w:val="Compact"/>
              <w:spacing w:line="276" w:lineRule="auto" w:before="40" w:after="40"/>
            </w:pPr>
            <w:r>
              <w:rPr>
                <w:rFonts w:ascii="Liberation Sans Narrow" w:hAnsi="Liberation Sans Narrow"/>
                <w:sz w:val="17"/>
              </w:rPr>
              <w:t xml:space="preserve">STF, ADI 5.941, Tribunal Pleno, relator Min. Luiz Fux, julgado em 09/02/2023</w:t>
            </w:r>
          </w:p>
        </w:tc>
        <w:tc>
          <w:tcPr>
            <w:tcW w:type="dxa" w:w="2835"/>
          </w:tcPr>
          <w:p>
            <w:pPr>
              <w:pStyle w:val="Compact"/>
              <w:spacing w:line="276" w:lineRule="auto" w:before="40" w:after="40"/>
            </w:pPr>
            <w:r>
              <w:rPr>
                <w:rFonts w:ascii="Liberation Sans Narrow" w:hAnsi="Liberation Sans Narrow"/>
                <w:sz w:val="17"/>
              </w:rPr>
              <w:t xml:space="preserve">Julgada improcedente: não há inconstitucionalidade a priori nos meios executivos atípicos, cuja adequação, necessidade e proporcionalidade em sentido estrito se aferem no caso concreto, com controle pelo sistema recursal.</w:t>
            </w:r>
          </w:p>
        </w:tc>
      </w:tr>
      <w:tr>
        <w:trPr/>
        <w:tc>
          <w:tcPr>
            <w:tcW w:type="dxa" w:w="1655"/>
          </w:tcPr>
          <w:p>
            <w:pPr>
              <w:pStyle w:val="Compact"/>
              <w:spacing w:line="276" w:lineRule="auto" w:before="40" w:after="40"/>
            </w:pPr>
            <w:r>
              <w:rPr>
                <w:rFonts w:ascii="Liberation Sans Narrow" w:hAnsi="Liberation Sans Narrow"/>
                <w:sz w:val="17"/>
              </w:rPr>
              <w:t xml:space="preserve">Art. 403, parágrafo único: medidas coercitivas contra o terceiro só diante de resistência relevante</w:t>
            </w:r>
          </w:p>
        </w:tc>
        <w:tc>
          <w:tcPr>
            <w:tcW w:type="dxa" w:w="1655"/>
          </w:tcPr>
          <w:p>
            <w:pPr>
              <w:pStyle w:val="Compact"/>
              <w:spacing w:line="276" w:lineRule="auto" w:before="40" w:after="40"/>
            </w:pPr>
            <w:r>
              <w:rPr>
                <w:rFonts w:ascii="Liberation Sans Narrow" w:hAnsi="Liberation Sans Narrow"/>
                <w:sz w:val="17"/>
              </w:rPr>
              <w:t xml:space="preserve">STJ, AREsp 2.999.990, Terceira Turma, relator Min. Moura Ribeiro, julgado em 09/02/2026, DJEN de 18/02/2026</w:t>
            </w:r>
          </w:p>
        </w:tc>
        <w:tc>
          <w:tcPr>
            <w:tcW w:type="dxa" w:w="2835"/>
          </w:tcPr>
          <w:p>
            <w:pPr>
              <w:pStyle w:val="Compact"/>
              <w:spacing w:line="276" w:lineRule="auto" w:before="40" w:after="40"/>
            </w:pPr>
            <w:r>
              <w:rPr>
                <w:rFonts w:ascii="Liberation Sans Narrow" w:hAnsi="Liberation Sans Narrow"/>
                <w:sz w:val="17"/>
              </w:rPr>
              <w:t xml:space="preserve">“A exibição de documentos por terceiro não exige o rito dos arts. 401 a 403 do CPC quando a ordem específica é cumprida e o alargamento pretendido se mostra inviável e desconectado da controvérsia útil, inexistindo resistência relevante que justifique medidas coercitivas.”</w:t>
            </w:r>
            <w:r>
              <w:rPr>
                <w:rFonts w:ascii="Liberation Sans Narrow" w:hAnsi="Liberation Sans Narrow"/>
                <w:sz w:val="17"/>
              </w:rPr>
              <w:t xml:space="preserve"> </w:t>
            </w:r>
            <w:r>
              <w:rPr>
                <w:rFonts w:ascii="Liberation Sans Narrow" w:hAnsi="Liberation Sans Narrow"/>
                <w:sz w:val="17"/>
              </w:rPr>
              <w:t xml:space="preserve">O juiz, destinatário da prova, pode indeferir diligências inúteis ou protelatórias, sem cerceamento de defesa; o efeito suspensivo não se justifica sem demonstração concreta de dano grave e irreparável.</w:t>
            </w:r>
          </w:p>
        </w:tc>
      </w:tr>
    </w:tbl>
    <w:bookmarkEnd w:id="126"/>
    <w:bookmarkStart w:id="127" w:name="art.-404"/>
    <w:p>
      <w:pPr>
        <w:pStyle w:val="Heading6"/>
        <w:pBdr>
          <w:left w:val="single" w:sz="36" w:space="4" w:color="2E75B6"/>
        </w:pBdr>
        <w:shd w:val="clear" w:color="auto" w:fill="E3EEF9"/>
        <w:spacing w:before="120" w:after="60"/>
        <w:ind w:left="85"/>
      </w:pPr>
      <w:r>
        <w:rPr>
          <w:i w:val="0"/>
          <w:color w:val="1F3A5F"/>
          <w:sz w:val="22"/>
        </w:rPr>
        <w:t xml:space="preserve">Art. 404</w:t>
      </w:r>
    </w:p>
    <w:p>
      <w:pPr>
        <w:pStyle w:val="FirstParagraph"/>
        <w:spacing w:after="60"/>
        <w:jc w:val="both"/>
      </w:pPr>
      <w:r>
        <w:rPr>
          <w:b/>
          <w:bCs/>
        </w:rPr>
        <w:t xml:space="preserve">Art. 404.</w:t>
      </w:r>
      <w:r>
        <w:t xml:space="preserve"> </w:t>
      </w:r>
      <w:r>
        <w:t xml:space="preserve">A parte e o terceiro se escusam de exibir, em juízo, o documento ou a coisa se:</w:t>
      </w:r>
    </w:p>
    <w:p>
      <w:pPr>
        <w:pStyle w:val="BodyText"/>
        <w:spacing w:after="60"/>
        <w:jc w:val="both"/>
      </w:pPr>
      <w:r>
        <w:t xml:space="preserve">I - concernente a negócios da própria vida da família;</w:t>
      </w:r>
    </w:p>
    <w:p>
      <w:pPr>
        <w:pStyle w:val="BodyText"/>
        <w:spacing w:after="60"/>
        <w:jc w:val="both"/>
      </w:pPr>
      <w:r>
        <w:t xml:space="preserve">II - sua apresentação puder violar dever de honra;</w:t>
      </w:r>
    </w:p>
    <w:p>
      <w:pPr>
        <w:pStyle w:val="BodyText"/>
        <w:spacing w:after="60"/>
        <w:jc w:val="both"/>
      </w:pPr>
      <w:r>
        <w:t xml:space="preserve">III - sua publicidade redundar em desonra à parte ou ao terceiro, bem como a seus parentes consanguíneos ou afins até o terceiro grau, ou lhes representar perigo de ação penal;</w:t>
      </w:r>
    </w:p>
    <w:p>
      <w:pPr>
        <w:pStyle w:val="BodyText"/>
        <w:spacing w:after="60"/>
        <w:jc w:val="both"/>
      </w:pPr>
      <w:r>
        <w:t xml:space="preserve">IV - sua exibição acarretar a divulgação de fatos a cujo respeito, por estado ou profissão, devam guardar segredo;</w:t>
      </w:r>
    </w:p>
    <w:p>
      <w:pPr>
        <w:pStyle w:val="BodyText"/>
        <w:spacing w:after="60"/>
        <w:jc w:val="both"/>
      </w:pPr>
      <w:r>
        <w:t xml:space="preserve">V - subsistirem outros motivos graves que, segundo o prudente arbítrio do juiz, justifiquem a recusa da exibição;</w:t>
      </w:r>
    </w:p>
    <w:p>
      <w:pPr>
        <w:pStyle w:val="BodyText"/>
        <w:spacing w:after="60"/>
        <w:jc w:val="both"/>
      </w:pPr>
      <w:r>
        <w:t xml:space="preserve">VI - houver disposição legal que justifique a recusa da exibição.</w:t>
      </w:r>
    </w:p>
    <w:p>
      <w:pPr>
        <w:pStyle w:val="BodyText"/>
        <w:spacing w:after="60"/>
        <w:jc w:val="both"/>
      </w:pPr>
      <w:r>
        <w:t xml:space="preserve">Parágrafo único. Se os motivos de que tratam os incisos I a VI do caput disserem respeito a apenas uma parcela do documento, a parte ou o terceiro exibirá a outra em cartório, para dela ser extraída cópia reprográfica, de tudo sendo lavrado auto circunstanciado.</w:t>
      </w:r>
    </w:p>
    <w:bookmarkEnd w:id="127"/>
    <w:bookmarkEnd w:id="128"/>
    <w:bookmarkStart w:id="163" w:name="X707c5e82b88e1d274b22444eb3faee110ff322e"/>
    <w:p>
      <w:pPr>
        <w:pStyle w:val="Heading5"/>
        <w:spacing w:before="60" w:after="20"/>
      </w:pPr>
      <w:r>
        <w:rPr>
          <w:i/>
          <w:color w:val="595959"/>
        </w:rPr>
        <w:t xml:space="preserve">Seção VII: da prova documental (arts. 405 a 438)</w:t>
      </w:r>
    </w:p>
    <w:bookmarkStart w:id="129" w:name="art.-405"/>
    <w:p>
      <w:pPr>
        <w:pStyle w:val="Heading6"/>
        <w:pBdr>
          <w:left w:val="single" w:sz="36" w:space="4" w:color="2E75B6"/>
        </w:pBdr>
        <w:shd w:val="clear" w:color="auto" w:fill="E3EEF9"/>
        <w:spacing w:before="120" w:after="60"/>
        <w:ind w:left="85"/>
      </w:pPr>
      <w:r>
        <w:rPr>
          <w:i w:val="0"/>
          <w:color w:val="1F3A5F"/>
          <w:sz w:val="22"/>
        </w:rPr>
        <w:t xml:space="preserve">Art. 405</w:t>
      </w:r>
    </w:p>
    <w:p>
      <w:pPr>
        <w:pStyle w:val="FirstParagraph"/>
        <w:keepNext/>
        <w:spacing w:after="60"/>
        <w:jc w:val="both"/>
      </w:pPr>
      <w:r>
        <w:rPr>
          <w:b/>
          <w:bCs/>
        </w:rPr>
        <w:t xml:space="preserve">Art. 405.</w:t>
      </w:r>
      <w:r>
        <w:t xml:space="preserve"> </w:t>
      </w:r>
      <w:r>
        <w:t xml:space="preserve">O documento público faz prova não só da sua formação, mas também dos fatos que o escrivão, o chefe de secretaria, o tabelião ou o servidor declarar que ocorreram em sua presença.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2029"/>
        <w:gridCol w:w="2154"/>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531"/>
          </w:tcPr>
          <w:p>
            <w:pPr>
              <w:pStyle w:val="Compact"/>
              <w:spacing w:line="276" w:lineRule="auto" w:before="40" w:after="40"/>
            </w:pPr>
            <w:r>
              <w:rPr>
                <w:rFonts w:ascii="Liberation Sans Narrow" w:hAnsi="Liberation Sans Narrow"/>
                <w:sz w:val="17"/>
              </w:rPr>
              <w:t xml:space="preserve">Art. 405: força probante do documento público e presunção relativa</w:t>
            </w:r>
          </w:p>
        </w:tc>
        <w:tc>
          <w:tcPr>
            <w:tcW w:type="dxa" w:w="2030"/>
          </w:tcPr>
          <w:p>
            <w:pPr>
              <w:pStyle w:val="Compact"/>
              <w:spacing w:line="276" w:lineRule="auto" w:before="40" w:after="40"/>
            </w:pPr>
            <w:r>
              <w:rPr>
                <w:rFonts w:ascii="Liberation Sans Narrow" w:hAnsi="Liberation Sans Narrow"/>
                <w:sz w:val="17"/>
              </w:rPr>
              <w:t xml:space="preserve">STJ, AgInt no AREsp 2.993.026, Quarta Turma, relator Min. Luís Carlos Gambogi (Desembargador Convocado do Tjmg), julgado em 01/06/2026, DJEN de 08/06/2026</w:t>
            </w:r>
          </w:p>
        </w:tc>
        <w:tc>
          <w:tcPr>
            <w:tcW w:type="dxa" w:w="2154"/>
          </w:tcPr>
          <w:p>
            <w:pPr>
              <w:pStyle w:val="Compact"/>
              <w:spacing w:line="276" w:lineRule="auto" w:before="40" w:after="40"/>
            </w:pPr>
            <w:r>
              <w:rPr>
                <w:rFonts w:ascii="Liberation Sans Narrow" w:hAnsi="Liberation Sans Narrow"/>
                <w:sz w:val="17"/>
              </w:rPr>
              <w:t xml:space="preserve">A força probante do documento público (matrícula de imóvel) não foi desconsiderada: as declarações prestadas ao notário e o documento público por ele elaborado gozam de presunção relativa de veracidade, admitindo prova em contrário, o que afasta a tese de presunção absoluta da data ali indicada quanto à posse. A data da imissão na posse foi fixada por outras provas; revertê-la exigiria reexame de fatos (Súmula 7), e o acórdão estava conforme a orientação do STJ (Súmula 83).</w:t>
            </w:r>
          </w:p>
        </w:tc>
      </w:tr>
      <w:tr>
        <w:trPr>
          <w:cantSplit/>
        </w:trPr>
        <w:tc>
          <w:tcPr>
            <w:tcW w:type="dxa" w:w="1531"/>
          </w:tcPr>
          <w:p>
            <w:pPr>
              <w:pStyle w:val="Compact"/>
              <w:spacing w:line="276" w:lineRule="auto" w:before="40" w:after="40"/>
            </w:pPr>
            <w:r>
              <w:rPr>
                <w:rFonts w:ascii="Liberation Sans Narrow" w:hAnsi="Liberation Sans Narrow"/>
                <w:sz w:val="17"/>
              </w:rPr>
              <w:t xml:space="preserve">Art. 405: extensão da presunção — formação do documento e declaração de vontade</w:t>
            </w:r>
          </w:p>
        </w:tc>
        <w:tc>
          <w:tcPr>
            <w:tcW w:type="dxa" w:w="2030"/>
          </w:tcPr>
          <w:p>
            <w:pPr>
              <w:pStyle w:val="Compact"/>
              <w:spacing w:line="276" w:lineRule="auto" w:before="40" w:after="40"/>
            </w:pPr>
            <w:r>
              <w:rPr>
                <w:rFonts w:ascii="Liberation Sans Narrow" w:hAnsi="Liberation Sans Narrow"/>
                <w:sz w:val="17"/>
              </w:rPr>
              <w:t xml:space="preserve">STJ, AgInt no REsp 2.114.142, Terceira Turma, relator Min. Moura Ribeiro, DJe de 15/08/2025</w:t>
            </w:r>
          </w:p>
        </w:tc>
        <w:tc>
          <w:tcPr>
            <w:tcW w:type="dxa" w:w="2154"/>
          </w:tcPr>
          <w:p>
            <w:pPr>
              <w:pStyle w:val="Compact"/>
              <w:spacing w:line="276" w:lineRule="auto" w:before="40" w:after="40"/>
            </w:pPr>
            <w:r>
              <w:rPr>
                <w:rFonts w:ascii="Liberation Sans Narrow" w:hAnsi="Liberation Sans Narrow"/>
                <w:sz w:val="17"/>
              </w:rPr>
              <w:t xml:space="preserve">A presunção de veracidade do documento público é considerada em relação às condições de sua formação, podendo ser infirmada a declaração de vontade nele manifestada. No caso, a discussão era a natureza solene da doação, que exige escritura pública ou instrumento particular, salvo bens móveis de pequeno valor (art. 541, parágrafo único, do Código Civil); o recurso foi rejeitado também pela deficiência de fundamentação (Súmula 284 do STF).</w:t>
            </w:r>
          </w:p>
        </w:tc>
      </w:tr>
    </w:tbl>
    <w:bookmarkEnd w:id="129"/>
    <w:bookmarkStart w:id="130" w:name="art.-406"/>
    <w:p>
      <w:pPr>
        <w:pStyle w:val="Heading6"/>
        <w:pBdr>
          <w:left w:val="single" w:sz="36" w:space="4" w:color="2E75B6"/>
        </w:pBdr>
        <w:shd w:val="clear" w:color="auto" w:fill="E3EEF9"/>
        <w:spacing w:before="120" w:after="60"/>
        <w:ind w:left="85"/>
      </w:pPr>
      <w:r>
        <w:rPr>
          <w:i w:val="0"/>
          <w:color w:val="1F3A5F"/>
          <w:sz w:val="22"/>
        </w:rPr>
        <w:t xml:space="preserve">Art. 406</w:t>
      </w:r>
    </w:p>
    <w:p>
      <w:pPr>
        <w:pStyle w:val="FirstParagraph"/>
        <w:spacing w:after="60"/>
        <w:jc w:val="both"/>
      </w:pPr>
      <w:r>
        <w:rPr>
          <w:b/>
          <w:bCs/>
        </w:rPr>
        <w:t xml:space="preserve">Art. 406.</w:t>
      </w:r>
      <w:r>
        <w:t xml:space="preserve"> </w:t>
      </w:r>
      <w:r>
        <w:t xml:space="preserve">Quando a lei exigir instrumento público como da substância do ato, nenhuma outra prova, por mais especial que seja, pode suprir-lhe a falta.</w:t>
      </w:r>
    </w:p>
    <w:bookmarkEnd w:id="130"/>
    <w:bookmarkStart w:id="131" w:name="art.-407"/>
    <w:p>
      <w:pPr>
        <w:pStyle w:val="Heading6"/>
        <w:pBdr>
          <w:left w:val="single" w:sz="36" w:space="4" w:color="2E75B6"/>
        </w:pBdr>
        <w:shd w:val="clear" w:color="auto" w:fill="E3EEF9"/>
        <w:spacing w:before="120" w:after="60"/>
        <w:ind w:left="85"/>
      </w:pPr>
      <w:r>
        <w:rPr>
          <w:i w:val="0"/>
          <w:color w:val="1F3A5F"/>
          <w:sz w:val="22"/>
        </w:rPr>
        <w:t xml:space="preserve">Art. 407</w:t>
      </w:r>
    </w:p>
    <w:p>
      <w:pPr>
        <w:pStyle w:val="FirstParagraph"/>
        <w:spacing w:after="60"/>
        <w:jc w:val="both"/>
      </w:pPr>
      <w:r>
        <w:rPr>
          <w:b/>
          <w:bCs/>
        </w:rPr>
        <w:t xml:space="preserve">Art. 407.</w:t>
      </w:r>
      <w:r>
        <w:t xml:space="preserve"> </w:t>
      </w:r>
      <w:r>
        <w:t xml:space="preserve">O documento feito por oficial público incompetente ou sem a observância das formalidades legais, sendo subscrito pelas partes, tem a mesma eficácia probatória do documento particular.</w:t>
      </w:r>
    </w:p>
    <w:bookmarkEnd w:id="131"/>
    <w:bookmarkStart w:id="132" w:name="art.-408"/>
    <w:p>
      <w:pPr>
        <w:pStyle w:val="Heading6"/>
        <w:pBdr>
          <w:left w:val="single" w:sz="36" w:space="4" w:color="2E75B6"/>
        </w:pBdr>
        <w:shd w:val="clear" w:color="auto" w:fill="E3EEF9"/>
        <w:spacing w:before="120" w:after="60"/>
        <w:ind w:left="85"/>
      </w:pPr>
      <w:r>
        <w:rPr>
          <w:i w:val="0"/>
          <w:color w:val="1F3A5F"/>
          <w:sz w:val="22"/>
        </w:rPr>
        <w:t xml:space="preserve">Art. 408</w:t>
      </w:r>
    </w:p>
    <w:p>
      <w:pPr>
        <w:pStyle w:val="FirstParagraph"/>
        <w:keepNext/>
        <w:spacing w:after="60"/>
        <w:jc w:val="both"/>
      </w:pPr>
      <w:r>
        <w:rPr>
          <w:b/>
          <w:bCs/>
        </w:rPr>
        <w:t xml:space="preserve">Art. 408.</w:t>
      </w:r>
      <w:r>
        <w:t xml:space="preserve"> </w:t>
      </w:r>
      <w:r>
        <w:t xml:space="preserve">As declarações constantes do documento particular escrito e assinado ou somente assinado presumem-se verdadeiras em relação ao signatário.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2404"/>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905"/>
          </w:tcPr>
          <w:p>
            <w:pPr>
              <w:pStyle w:val="Compact"/>
              <w:spacing w:line="276" w:lineRule="auto" w:before="40" w:after="40"/>
            </w:pPr>
            <w:r>
              <w:rPr>
                <w:rFonts w:ascii="Liberation Sans Narrow" w:hAnsi="Liberation Sans Narrow"/>
                <w:sz w:val="17"/>
              </w:rPr>
              <w:t xml:space="preserve">Art. 408: presunção de veracidade do documento particular diante de alegação genérica de fraude</w:t>
            </w:r>
          </w:p>
        </w:tc>
        <w:tc>
          <w:tcPr>
            <w:tcW w:type="dxa" w:w="1655"/>
          </w:tcPr>
          <w:p>
            <w:pPr>
              <w:pStyle w:val="Compact"/>
              <w:spacing w:line="276" w:lineRule="auto" w:before="40" w:after="40"/>
            </w:pPr>
            <w:r>
              <w:rPr>
                <w:rFonts w:ascii="Liberation Sans Narrow" w:hAnsi="Liberation Sans Narrow"/>
                <w:sz w:val="17"/>
              </w:rPr>
              <w:t xml:space="preserve">STJ, AREsp 3.089.012, Quarta Turma, relator Min. Raul Araújo, julgado em 13/04/2026, DJEN de 22/04/2026</w:t>
            </w:r>
          </w:p>
        </w:tc>
        <w:tc>
          <w:tcPr>
            <w:tcW w:type="dxa" w:w="2404"/>
          </w:tcPr>
          <w:p>
            <w:pPr>
              <w:pStyle w:val="Compact"/>
              <w:spacing w:line="276" w:lineRule="auto" w:before="40" w:after="40"/>
            </w:pPr>
            <w:r>
              <w:rPr>
                <w:rFonts w:ascii="Liberation Sans Narrow" w:hAnsi="Liberation Sans Narrow"/>
                <w:sz w:val="17"/>
              </w:rPr>
              <w:t xml:space="preserve">Alegações genéricas de fraude não afastam a presunção de veracidade do documento particular (art. 408) nem a presunção de legitimidade da contratação: o contrato de empréstimo assinado e o comprovante de transferência do valor bastam quando a autora não impugnou o recebimento nem indicou irregularidade específica. O Tema 1.061/STJ atribui à instituição financeira o ônus de provar a autenticidade da assinatura e a regularidade da contratação quando impugnadas, mas não impõe, em todos os casos, perícia grafotécnica ou documentoscópica; rever a suficiência da prova documental e a necessidade da perícia demandaria reexame de provas e interpretação de cláusulas (Súmulas 5 e 7).</w:t>
            </w:r>
          </w:p>
        </w:tc>
      </w:tr>
      <w:tr>
        <w:trPr>
          <w:cantSplit/>
        </w:trPr>
        <w:tc>
          <w:tcPr>
            <w:tcW w:type="dxa" w:w="1905"/>
          </w:tcPr>
          <w:p>
            <w:pPr>
              <w:pStyle w:val="Compact"/>
              <w:spacing w:line="276" w:lineRule="auto" w:before="40" w:after="40"/>
            </w:pPr>
            <w:r>
              <w:rPr>
                <w:rFonts w:ascii="Liberation Sans Narrow" w:hAnsi="Liberation Sans Narrow"/>
                <w:sz w:val="17"/>
              </w:rPr>
              <w:t xml:space="preserve">Art. 408: presunção relativa e prova dos fatos constitutivos</w:t>
            </w:r>
          </w:p>
        </w:tc>
        <w:tc>
          <w:tcPr>
            <w:tcW w:type="dxa" w:w="1655"/>
          </w:tcPr>
          <w:p>
            <w:pPr>
              <w:pStyle w:val="Compact"/>
              <w:spacing w:line="276" w:lineRule="auto" w:before="40" w:after="40"/>
            </w:pPr>
            <w:r>
              <w:rPr>
                <w:rFonts w:ascii="Liberation Sans Narrow" w:hAnsi="Liberation Sans Narrow"/>
                <w:sz w:val="17"/>
              </w:rPr>
              <w:t xml:space="preserve">STJ, REsp 2.221.778, Terceira Turma, relator Min. Humberto Martins, DJe de 16/10/2025</w:t>
            </w:r>
          </w:p>
        </w:tc>
        <w:tc>
          <w:tcPr>
            <w:tcW w:type="dxa" w:w="2404"/>
          </w:tcPr>
          <w:p>
            <w:pPr>
              <w:pStyle w:val="Compact"/>
              <w:spacing w:line="276" w:lineRule="auto" w:before="40" w:after="40"/>
            </w:pPr>
            <w:r>
              <w:rPr>
                <w:rFonts w:ascii="Liberation Sans Narrow" w:hAnsi="Liberation Sans Narrow"/>
                <w:sz w:val="17"/>
              </w:rPr>
              <w:t xml:space="preserve">Os documentos particulares apresentados gozam de presunção relativa de veracidade, mas não foram suficientes para comprovar os fatos constitutivos do direito alegado; a pretensão de reavaliar o conjunto probatório esbarra na Súmula 7. A ementa examina especificamente a alegação de afronta aos arts. 408 e 411, III, do CPC, ao afastar a força probante de documentos particulares não impugnados pela parte contrária.</w:t>
            </w:r>
          </w:p>
        </w:tc>
      </w:tr>
    </w:tbl>
    <w:p>
      <w:pPr>
        <w:pStyle w:val="BodyText"/>
        <w:spacing w:after="60"/>
        <w:jc w:val="both"/>
      </w:pPr>
      <w:r>
        <w:t xml:space="preserve">Parágrafo único. Quando, todavia, contiver declaração de ciência de determinado fato, o documento particular prova a ciência, mas não o fato em si, incumbindo o ônus de prová-lo ao interessado em sua veracidade.</w:t>
      </w:r>
    </w:p>
    <w:bookmarkEnd w:id="132"/>
    <w:bookmarkStart w:id="133" w:name="art.-409"/>
    <w:p>
      <w:pPr>
        <w:pStyle w:val="Heading6"/>
        <w:pBdr>
          <w:left w:val="single" w:sz="36" w:space="4" w:color="2E75B6"/>
        </w:pBdr>
        <w:shd w:val="clear" w:color="auto" w:fill="E3EEF9"/>
        <w:spacing w:before="120" w:after="60"/>
        <w:ind w:left="85"/>
      </w:pPr>
      <w:r>
        <w:rPr>
          <w:i w:val="0"/>
          <w:color w:val="1F3A5F"/>
          <w:sz w:val="22"/>
        </w:rPr>
        <w:t xml:space="preserve">Art. 409</w:t>
      </w:r>
    </w:p>
    <w:p>
      <w:pPr>
        <w:pStyle w:val="FirstParagraph"/>
        <w:spacing w:after="60"/>
        <w:jc w:val="both"/>
      </w:pPr>
      <w:r>
        <w:rPr>
          <w:b/>
          <w:bCs/>
        </w:rPr>
        <w:t xml:space="preserve">Art. 409.</w:t>
      </w:r>
      <w:r>
        <w:t xml:space="preserve"> </w:t>
      </w:r>
      <w:r>
        <w:t xml:space="preserve">A data do documento particular, quando a seu respeito surgir dúvida ou impugnação entre os litigantes, provar-se-á por todos os meios de direito.</w:t>
      </w:r>
    </w:p>
    <w:p>
      <w:pPr>
        <w:pStyle w:val="BodyText"/>
        <w:spacing w:after="60"/>
        <w:jc w:val="both"/>
      </w:pPr>
      <w:r>
        <w:t xml:space="preserve">Parágrafo único. Em relação a terceiros, considerar-se-á datado o documento particular:</w:t>
      </w:r>
    </w:p>
    <w:p>
      <w:pPr>
        <w:pStyle w:val="BodyText"/>
        <w:spacing w:after="60"/>
        <w:jc w:val="both"/>
      </w:pPr>
      <w:r>
        <w:t xml:space="preserve">I - no dia em que foi registrado;</w:t>
      </w:r>
    </w:p>
    <w:p>
      <w:pPr>
        <w:pStyle w:val="BodyText"/>
        <w:spacing w:after="60"/>
        <w:jc w:val="both"/>
      </w:pPr>
      <w:r>
        <w:t xml:space="preserve">II - desde a morte de algum dos signatários;</w:t>
      </w:r>
    </w:p>
    <w:p>
      <w:pPr>
        <w:pStyle w:val="BodyText"/>
        <w:spacing w:after="60"/>
        <w:jc w:val="both"/>
      </w:pPr>
      <w:r>
        <w:t xml:space="preserve">III - a partir da impossibilidade física que sobreveio a qualquer dos signatários;</w:t>
      </w:r>
    </w:p>
    <w:p>
      <w:pPr>
        <w:pStyle w:val="BodyText"/>
        <w:spacing w:after="60"/>
        <w:jc w:val="both"/>
      </w:pPr>
      <w:r>
        <w:t xml:space="preserve">IV - da sua apresentação em repartição pública ou em juízo;</w:t>
      </w:r>
    </w:p>
    <w:p>
      <w:pPr>
        <w:pStyle w:val="BodyText"/>
        <w:spacing w:after="60"/>
        <w:jc w:val="both"/>
      </w:pPr>
      <w:r>
        <w:t xml:space="preserve">V - do ato ou do fato que estabeleça, de modo certo, a anterioridade da formação do documento.</w:t>
      </w:r>
    </w:p>
    <w:bookmarkEnd w:id="133"/>
    <w:bookmarkStart w:id="134" w:name="art.-410"/>
    <w:p>
      <w:pPr>
        <w:pStyle w:val="Heading6"/>
        <w:pBdr>
          <w:left w:val="single" w:sz="36" w:space="4" w:color="2E75B6"/>
        </w:pBdr>
        <w:shd w:val="clear" w:color="auto" w:fill="E3EEF9"/>
        <w:spacing w:before="120" w:after="60"/>
        <w:ind w:left="85"/>
      </w:pPr>
      <w:r>
        <w:rPr>
          <w:i w:val="0"/>
          <w:color w:val="1F3A5F"/>
          <w:sz w:val="22"/>
        </w:rPr>
        <w:t xml:space="preserve">Art. 410</w:t>
      </w:r>
    </w:p>
    <w:p>
      <w:pPr>
        <w:pStyle w:val="FirstParagraph"/>
        <w:spacing w:after="60"/>
        <w:jc w:val="both"/>
      </w:pPr>
      <w:r>
        <w:rPr>
          <w:b/>
          <w:bCs/>
        </w:rPr>
        <w:t xml:space="preserve">Art. 410.</w:t>
      </w:r>
      <w:r>
        <w:t xml:space="preserve"> </w:t>
      </w:r>
      <w:r>
        <w:t xml:space="preserve">Considera-se autor do documento particular:</w:t>
      </w:r>
    </w:p>
    <w:p>
      <w:pPr>
        <w:pStyle w:val="BodyText"/>
        <w:spacing w:after="60"/>
        <w:jc w:val="both"/>
      </w:pPr>
      <w:r>
        <w:t xml:space="preserve">I - aquele que o fez e o assinou;</w:t>
      </w:r>
    </w:p>
    <w:p>
      <w:pPr>
        <w:pStyle w:val="BodyText"/>
        <w:spacing w:after="60"/>
        <w:jc w:val="both"/>
      </w:pPr>
      <w:r>
        <w:t xml:space="preserve">II - aquele por conta de quem ele foi feito, estando assinado;</w:t>
      </w:r>
    </w:p>
    <w:p>
      <w:pPr>
        <w:pStyle w:val="BodyText"/>
        <w:spacing w:after="60"/>
        <w:jc w:val="both"/>
      </w:pPr>
      <w:r>
        <w:t xml:space="preserve">III - aquele que, mandando compô-lo, não o firmou porque, conforme a experiência comum, não se costuma assinar, como livros empresariais e assentos domésticos.</w:t>
      </w:r>
    </w:p>
    <w:bookmarkEnd w:id="134"/>
    <w:bookmarkStart w:id="135" w:name="art.-411"/>
    <w:p>
      <w:pPr>
        <w:pStyle w:val="Heading6"/>
        <w:pBdr>
          <w:left w:val="single" w:sz="36" w:space="4" w:color="2E75B6"/>
        </w:pBdr>
        <w:shd w:val="clear" w:color="auto" w:fill="E3EEF9"/>
        <w:spacing w:before="120" w:after="60"/>
        <w:ind w:left="85"/>
      </w:pPr>
      <w:r>
        <w:rPr>
          <w:i w:val="0"/>
          <w:color w:val="1F3A5F"/>
          <w:sz w:val="22"/>
        </w:rPr>
        <w:t xml:space="preserve">Art. 411</w:t>
      </w:r>
    </w:p>
    <w:p>
      <w:pPr>
        <w:pStyle w:val="FirstParagraph"/>
        <w:spacing w:after="60"/>
        <w:jc w:val="both"/>
      </w:pPr>
      <w:r>
        <w:rPr>
          <w:b/>
          <w:bCs/>
        </w:rPr>
        <w:t xml:space="preserve">Art. 411.</w:t>
      </w:r>
      <w:r>
        <w:t xml:space="preserve"> </w:t>
      </w:r>
      <w:r>
        <w:t xml:space="preserve">Considera-se autêntico o documento quando:</w:t>
      </w:r>
    </w:p>
    <w:p>
      <w:pPr>
        <w:pStyle w:val="BodyText"/>
        <w:spacing w:after="60"/>
        <w:jc w:val="both"/>
      </w:pPr>
      <w:r>
        <w:t xml:space="preserve">I - o tabelião reconhecer a firma do signatário;</w:t>
      </w:r>
    </w:p>
    <w:p>
      <w:pPr>
        <w:pStyle w:val="BodyText"/>
        <w:keepNext/>
        <w:spacing w:after="60"/>
        <w:jc w:val="both"/>
      </w:pPr>
      <w:r>
        <w:t xml:space="preserve">II - a autoria estiver identificada por qualquer outro meio legal de certificação, inclusive eletrônico, nos termos da lei;</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2279"/>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905"/>
          </w:tcPr>
          <w:p>
            <w:pPr>
              <w:pStyle w:val="Compact"/>
              <w:spacing w:line="276" w:lineRule="auto" w:before="40" w:after="40"/>
            </w:pPr>
            <w:r>
              <w:rPr>
                <w:rFonts w:ascii="Liberation Sans Narrow" w:hAnsi="Liberation Sans Narrow"/>
                <w:sz w:val="17"/>
              </w:rPr>
              <w:t xml:space="preserve">Art. 411, II: assinatura eletrônica e exigência de confirmação da autenticidade diante de indícios de litigância abusiva</w:t>
            </w:r>
          </w:p>
        </w:tc>
        <w:tc>
          <w:tcPr>
            <w:tcW w:type="dxa" w:w="1655"/>
          </w:tcPr>
          <w:p>
            <w:pPr>
              <w:pStyle w:val="Compact"/>
              <w:spacing w:line="276" w:lineRule="auto" w:before="40" w:after="40"/>
            </w:pPr>
            <w:r>
              <w:rPr>
                <w:rFonts w:ascii="Liberation Sans Narrow" w:hAnsi="Liberation Sans Narrow"/>
                <w:sz w:val="17"/>
              </w:rPr>
              <w:t xml:space="preserve">STJ, REsp 2.243.438, Quarta Turma, relator Min. João Otávio de Noronha, julgado em 22/06/2026, DJEN de 26/06/2026</w:t>
            </w:r>
          </w:p>
        </w:tc>
        <w:tc>
          <w:tcPr>
            <w:tcW w:type="dxa" w:w="2279"/>
          </w:tcPr>
          <w:p>
            <w:pPr>
              <w:pStyle w:val="Compact"/>
              <w:spacing w:line="276" w:lineRule="auto" w:before="40" w:after="40"/>
            </w:pPr>
            <w:r>
              <w:rPr>
                <w:rFonts w:ascii="Liberation Sans Narrow" w:hAnsi="Liberation Sans Narrow"/>
                <w:sz w:val="17"/>
              </w:rPr>
              <w:t xml:space="preserve">Na tese de julgamento (item 2), o STJ assentou que, constatados indícios de litigância abusiva, o art. 139, III, do CPC legitima exigências proporcionais voltadas à confirmação da autenticidade da representação, sem afastar, em tese, a validade de assinatura eletrônica. A controvérsia era a procuração assinada eletronicamente (art. 411, II, e Medida Provisória 2.200-2/2001): não se declara a invalidade da assinatura eletrônica em tese, mas se admite cautela adicional no caso concreto. A presunção de hipossuficiência do art. 99, § 3º, é relativa (Tema 1.178/STJ).</w:t>
            </w:r>
          </w:p>
        </w:tc>
      </w:tr>
    </w:tbl>
    <w:p>
      <w:pPr>
        <w:pStyle w:val="BodyText"/>
        <w:keepNext/>
        <w:spacing w:after="60"/>
        <w:jc w:val="both"/>
      </w:pPr>
      <w:r>
        <w:t xml:space="preserve">III - não houver impugnação da parte contra quem foi produzido o documento.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1905"/>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Art. 411, III: documento não impugnado tem-se por autêntico, mas a autenticidade não equivale a força probante</w:t>
            </w:r>
          </w:p>
        </w:tc>
        <w:tc>
          <w:tcPr>
            <w:tcW w:type="dxa" w:w="1655"/>
          </w:tcPr>
          <w:p>
            <w:pPr>
              <w:pStyle w:val="Compact"/>
              <w:spacing w:line="276" w:lineRule="auto" w:before="40" w:after="40"/>
            </w:pPr>
            <w:r>
              <w:rPr>
                <w:rFonts w:ascii="Liberation Sans Narrow" w:hAnsi="Liberation Sans Narrow"/>
                <w:sz w:val="17"/>
              </w:rPr>
              <w:t xml:space="preserve">STJ, AREsp 3.029.971, Quarta Turma, relator Min. João Otávio de Noronha, julgado em 09/02/2026, DJEN de 13/02/2026</w:t>
            </w:r>
          </w:p>
        </w:tc>
        <w:tc>
          <w:tcPr>
            <w:tcW w:type="dxa" w:w="1905"/>
          </w:tcPr>
          <w:p>
            <w:pPr>
              <w:pStyle w:val="Compact"/>
              <w:spacing w:line="276" w:lineRule="auto" w:before="40" w:after="40"/>
            </w:pPr>
            <w:r>
              <w:rPr>
                <w:rFonts w:ascii="Liberation Sans Narrow" w:hAnsi="Liberation Sans Narrow"/>
                <w:sz w:val="17"/>
              </w:rPr>
              <w:t xml:space="preserve">Tese de julgamento, item 3:</w:t>
            </w:r>
            <w:r>
              <w:rPr>
                <w:rFonts w:ascii="Liberation Sans Narrow" w:hAnsi="Liberation Sans Narrow"/>
                <w:sz w:val="17"/>
              </w:rPr>
              <w:t xml:space="preserve"> </w:t>
            </w:r>
            <w:r>
              <w:rPr>
                <w:rFonts w:ascii="Liberation Sans Narrow" w:hAnsi="Liberation Sans Narrow"/>
                <w:sz w:val="17"/>
              </w:rPr>
              <w:t xml:space="preserve">“A duplicata sem aceite exige prova da entrega; a presunção de autenticidade do art. 411, III, do CPC não supre a falta de aceite”</w:t>
            </w:r>
            <w:r>
              <w:rPr>
                <w:rFonts w:ascii="Liberation Sans Narrow" w:hAnsi="Liberation Sans Narrow"/>
                <w:sz w:val="17"/>
              </w:rPr>
              <w:t xml:space="preserve">. A autenticidade documental não se confunde com força probante suficiente para comprovar o aceite; a ausência da causa debendi retira a força executiva do título e é oponível ao cessionário, ainda que de boa-fé. Rever essas conclusões exigiria reexame de fatos e provas (Súmula 7/STJ).</w:t>
            </w:r>
          </w:p>
        </w:tc>
      </w:tr>
    </w:tbl>
    <w:bookmarkEnd w:id="135"/>
    <w:bookmarkStart w:id="136" w:name="art.-412"/>
    <w:p>
      <w:pPr>
        <w:pStyle w:val="Heading6"/>
        <w:pBdr>
          <w:left w:val="single" w:sz="36" w:space="4" w:color="2E75B6"/>
        </w:pBdr>
        <w:shd w:val="clear" w:color="auto" w:fill="E3EEF9"/>
        <w:spacing w:before="120" w:after="60"/>
        <w:ind w:left="85"/>
      </w:pPr>
      <w:r>
        <w:rPr>
          <w:i w:val="0"/>
          <w:color w:val="1F3A5F"/>
          <w:sz w:val="22"/>
        </w:rPr>
        <w:t xml:space="preserve">Art. 412</w:t>
      </w:r>
    </w:p>
    <w:p>
      <w:pPr>
        <w:pStyle w:val="FirstParagraph"/>
        <w:spacing w:after="60"/>
        <w:jc w:val="both"/>
      </w:pPr>
      <w:r>
        <w:rPr>
          <w:b/>
          <w:bCs/>
        </w:rPr>
        <w:t xml:space="preserve">Art. 412.</w:t>
      </w:r>
      <w:r>
        <w:t xml:space="preserve"> </w:t>
      </w:r>
      <w:r>
        <w:t xml:space="preserve">O documento particular de cuja autenticidade não se duvida prova que o seu autor fez a declaração que lhe é atribuída.</w:t>
      </w:r>
    </w:p>
    <w:p>
      <w:pPr>
        <w:pStyle w:val="BodyText"/>
        <w:spacing w:after="60"/>
        <w:jc w:val="both"/>
      </w:pPr>
      <w:r>
        <w:t xml:space="preserve">Parágrafo único. O documento particular admitido expressa ou tacitamente é indivisível, sendo vedado à parte que pretende utilizar-se dele aceitar os fatos que lhe são favoráveis e recusar os que são contrários ao seu interesse, salvo se provar que estes não ocorreram.</w:t>
      </w:r>
    </w:p>
    <w:bookmarkEnd w:id="136"/>
    <w:bookmarkStart w:id="137" w:name="art.-413"/>
    <w:p>
      <w:pPr>
        <w:pStyle w:val="Heading6"/>
        <w:pBdr>
          <w:left w:val="single" w:sz="36" w:space="4" w:color="2E75B6"/>
        </w:pBdr>
        <w:shd w:val="clear" w:color="auto" w:fill="E3EEF9"/>
        <w:spacing w:before="120" w:after="60"/>
        <w:ind w:left="85"/>
      </w:pPr>
      <w:r>
        <w:rPr>
          <w:i w:val="0"/>
          <w:color w:val="1F3A5F"/>
          <w:sz w:val="22"/>
        </w:rPr>
        <w:t xml:space="preserve">Art. 413</w:t>
      </w:r>
    </w:p>
    <w:p>
      <w:pPr>
        <w:pStyle w:val="FirstParagraph"/>
        <w:spacing w:after="60"/>
        <w:jc w:val="both"/>
      </w:pPr>
      <w:r>
        <w:rPr>
          <w:b/>
          <w:bCs/>
        </w:rPr>
        <w:t xml:space="preserve">Art. 413.</w:t>
      </w:r>
      <w:r>
        <w:t xml:space="preserve"> </w:t>
      </w:r>
      <w:r>
        <w:t xml:space="preserve">O telegrama, o radiograma ou qualquer outro meio de transmissão tem a mesma força probatória do documento particular se o original constante da estação expedidora tiver sido assinado pelo remetente.</w:t>
      </w:r>
    </w:p>
    <w:p>
      <w:pPr>
        <w:pStyle w:val="BodyText"/>
        <w:spacing w:after="60"/>
        <w:jc w:val="both"/>
      </w:pPr>
      <w:r>
        <w:t xml:space="preserve">Parágrafo único. A firma do remetente poderá ser reconhecida pelo tabelião, declarando-se essa circunstância no original depositado na estação expedidora.</w:t>
      </w:r>
    </w:p>
    <w:bookmarkEnd w:id="137"/>
    <w:bookmarkStart w:id="138" w:name="art.-414"/>
    <w:p>
      <w:pPr>
        <w:pStyle w:val="Heading6"/>
        <w:pBdr>
          <w:left w:val="single" w:sz="36" w:space="4" w:color="2E75B6"/>
        </w:pBdr>
        <w:shd w:val="clear" w:color="auto" w:fill="E3EEF9"/>
        <w:spacing w:before="120" w:after="60"/>
        <w:ind w:left="85"/>
      </w:pPr>
      <w:r>
        <w:rPr>
          <w:i w:val="0"/>
          <w:color w:val="1F3A5F"/>
          <w:sz w:val="22"/>
        </w:rPr>
        <w:t xml:space="preserve">Art. 414</w:t>
      </w:r>
    </w:p>
    <w:p>
      <w:pPr>
        <w:pStyle w:val="FirstParagraph"/>
        <w:spacing w:after="60"/>
        <w:jc w:val="both"/>
      </w:pPr>
      <w:r>
        <w:rPr>
          <w:b/>
          <w:bCs/>
        </w:rPr>
        <w:t xml:space="preserve">Art. 414.</w:t>
      </w:r>
      <w:r>
        <w:t xml:space="preserve"> </w:t>
      </w:r>
      <w:r>
        <w:t xml:space="preserve">O telegrama ou o radiograma presume-se conforme com o original, provando as datas de sua expedição e de seu recebimento pelo destinatário.</w:t>
      </w:r>
    </w:p>
    <w:bookmarkEnd w:id="138"/>
    <w:bookmarkStart w:id="139" w:name="art.-415"/>
    <w:p>
      <w:pPr>
        <w:pStyle w:val="Heading6"/>
        <w:pBdr>
          <w:left w:val="single" w:sz="36" w:space="4" w:color="2E75B6"/>
        </w:pBdr>
        <w:shd w:val="clear" w:color="auto" w:fill="E3EEF9"/>
        <w:spacing w:before="120" w:after="60"/>
        <w:ind w:left="85"/>
      </w:pPr>
      <w:r>
        <w:rPr>
          <w:i w:val="0"/>
          <w:color w:val="1F3A5F"/>
          <w:sz w:val="22"/>
        </w:rPr>
        <w:t xml:space="preserve">Art. 415</w:t>
      </w:r>
    </w:p>
    <w:p>
      <w:pPr>
        <w:pStyle w:val="FirstParagraph"/>
        <w:spacing w:after="60"/>
        <w:jc w:val="both"/>
      </w:pPr>
      <w:r>
        <w:rPr>
          <w:b/>
          <w:bCs/>
        </w:rPr>
        <w:t xml:space="preserve">Art. 415.</w:t>
      </w:r>
      <w:r>
        <w:t xml:space="preserve"> </w:t>
      </w:r>
      <w:r>
        <w:t xml:space="preserve">As cartas e os registros domésticos provam contra quem os escreveu quando:</w:t>
      </w:r>
    </w:p>
    <w:p>
      <w:pPr>
        <w:pStyle w:val="BodyText"/>
        <w:spacing w:after="60"/>
        <w:jc w:val="both"/>
      </w:pPr>
      <w:r>
        <w:t xml:space="preserve">I - enunciam o recebimento de um crédito;</w:t>
      </w:r>
    </w:p>
    <w:p>
      <w:pPr>
        <w:pStyle w:val="BodyText"/>
        <w:spacing w:after="60"/>
        <w:jc w:val="both"/>
      </w:pPr>
      <w:r>
        <w:t xml:space="preserve">II - contêm anotação que visa a suprir a falta de título em favor de quem é apontado como credor;</w:t>
      </w:r>
    </w:p>
    <w:p>
      <w:pPr>
        <w:pStyle w:val="BodyText"/>
        <w:spacing w:after="60"/>
        <w:jc w:val="both"/>
      </w:pPr>
      <w:r>
        <w:t xml:space="preserve">III - expressam conhecimento de fatos para os quais não se exija determinada prova.</w:t>
      </w:r>
    </w:p>
    <w:bookmarkEnd w:id="139"/>
    <w:bookmarkStart w:id="140" w:name="art.-416"/>
    <w:p>
      <w:pPr>
        <w:pStyle w:val="Heading6"/>
        <w:pBdr>
          <w:left w:val="single" w:sz="36" w:space="4" w:color="2E75B6"/>
        </w:pBdr>
        <w:shd w:val="clear" w:color="auto" w:fill="E3EEF9"/>
        <w:spacing w:before="120" w:after="60"/>
        <w:ind w:left="85"/>
      </w:pPr>
      <w:r>
        <w:rPr>
          <w:i w:val="0"/>
          <w:color w:val="1F3A5F"/>
          <w:sz w:val="22"/>
        </w:rPr>
        <w:t xml:space="preserve">Art. 416</w:t>
      </w:r>
    </w:p>
    <w:p>
      <w:pPr>
        <w:pStyle w:val="FirstParagraph"/>
        <w:spacing w:after="60"/>
        <w:jc w:val="both"/>
      </w:pPr>
      <w:r>
        <w:rPr>
          <w:b/>
          <w:bCs/>
        </w:rPr>
        <w:t xml:space="preserve">Art. 416.</w:t>
      </w:r>
      <w:r>
        <w:t xml:space="preserve"> </w:t>
      </w:r>
      <w:r>
        <w:t xml:space="preserve">A nota escrita pelo credor em qualquer parte de documento representativo de obrigação, ainda que não assinada, faz prova em benefício do devedor.</w:t>
      </w:r>
    </w:p>
    <w:p>
      <w:pPr>
        <w:pStyle w:val="BodyText"/>
        <w:spacing w:after="60"/>
        <w:jc w:val="both"/>
      </w:pPr>
      <w:r>
        <w:t xml:space="preserve">Parágrafo único. Aplica-se essa regra tanto para o documento que o credor conservar em seu poder quanto para aquele que se achar em poder do devedor ou de terceiro.</w:t>
      </w:r>
    </w:p>
    <w:bookmarkEnd w:id="140"/>
    <w:bookmarkStart w:id="141" w:name="art.-417"/>
    <w:p>
      <w:pPr>
        <w:pStyle w:val="Heading6"/>
        <w:pBdr>
          <w:left w:val="single" w:sz="36" w:space="4" w:color="2E75B6"/>
        </w:pBdr>
        <w:shd w:val="clear" w:color="auto" w:fill="E3EEF9"/>
        <w:spacing w:before="120" w:after="60"/>
        <w:ind w:left="85"/>
      </w:pPr>
      <w:r>
        <w:rPr>
          <w:i w:val="0"/>
          <w:color w:val="1F3A5F"/>
          <w:sz w:val="22"/>
        </w:rPr>
        <w:t xml:space="preserve">Art. 417</w:t>
      </w:r>
    </w:p>
    <w:p>
      <w:pPr>
        <w:pStyle w:val="FirstParagraph"/>
        <w:spacing w:after="60"/>
        <w:jc w:val="both"/>
      </w:pPr>
      <w:r>
        <w:rPr>
          <w:b/>
          <w:bCs/>
        </w:rPr>
        <w:t xml:space="preserve">Art. 417.</w:t>
      </w:r>
      <w:r>
        <w:t xml:space="preserve"> </w:t>
      </w:r>
      <w:r>
        <w:t xml:space="preserve">Os livros empresariais provam contra seu autor, sendo lícito ao empresário, todavia, demonstrar, por todos os meios permitidos em direito, que os lançamentos não correspondem à verdade dos fatos.</w:t>
      </w:r>
    </w:p>
    <w:bookmarkEnd w:id="141"/>
    <w:bookmarkStart w:id="142" w:name="art.-418"/>
    <w:p>
      <w:pPr>
        <w:pStyle w:val="Heading6"/>
        <w:pBdr>
          <w:left w:val="single" w:sz="36" w:space="4" w:color="2E75B6"/>
        </w:pBdr>
        <w:shd w:val="clear" w:color="auto" w:fill="E3EEF9"/>
        <w:spacing w:before="120" w:after="60"/>
        <w:ind w:left="85"/>
      </w:pPr>
      <w:r>
        <w:rPr>
          <w:i w:val="0"/>
          <w:color w:val="1F3A5F"/>
          <w:sz w:val="22"/>
        </w:rPr>
        <w:t xml:space="preserve">Art. 418</w:t>
      </w:r>
    </w:p>
    <w:p>
      <w:pPr>
        <w:pStyle w:val="FirstParagraph"/>
        <w:spacing w:after="60"/>
        <w:jc w:val="both"/>
      </w:pPr>
      <w:r>
        <w:rPr>
          <w:b/>
          <w:bCs/>
        </w:rPr>
        <w:t xml:space="preserve">Art. 418.</w:t>
      </w:r>
      <w:r>
        <w:t xml:space="preserve"> </w:t>
      </w:r>
      <w:r>
        <w:t xml:space="preserve">Os livros empresariais que preencham os requisitos exigidos por lei provam a favor de seu autor no litígio entre empresários.</w:t>
      </w:r>
    </w:p>
    <w:bookmarkEnd w:id="142"/>
    <w:bookmarkStart w:id="143" w:name="art.-419"/>
    <w:p>
      <w:pPr>
        <w:pStyle w:val="Heading6"/>
        <w:pBdr>
          <w:left w:val="single" w:sz="36" w:space="4" w:color="2E75B6"/>
        </w:pBdr>
        <w:shd w:val="clear" w:color="auto" w:fill="E3EEF9"/>
        <w:spacing w:before="120" w:after="60"/>
        <w:ind w:left="85"/>
      </w:pPr>
      <w:r>
        <w:rPr>
          <w:i w:val="0"/>
          <w:color w:val="1F3A5F"/>
          <w:sz w:val="22"/>
        </w:rPr>
        <w:t xml:space="preserve">Art. 419</w:t>
      </w:r>
    </w:p>
    <w:p>
      <w:pPr>
        <w:pStyle w:val="FirstParagraph"/>
        <w:spacing w:after="60"/>
        <w:jc w:val="both"/>
      </w:pPr>
      <w:r>
        <w:rPr>
          <w:b/>
          <w:bCs/>
        </w:rPr>
        <w:t xml:space="preserve">Art. 419.</w:t>
      </w:r>
      <w:r>
        <w:t xml:space="preserve"> </w:t>
      </w:r>
      <w:r>
        <w:t xml:space="preserve">A escrituração contábil é indivisível, e, se dos fatos que resultam dos lançamentos, uns são favoráveis ao interesse de seu autor e outros lhe são contrários, ambos serão considerados em conjunto, como unidade.</w:t>
      </w:r>
    </w:p>
    <w:bookmarkEnd w:id="143"/>
    <w:bookmarkStart w:id="144" w:name="art.-420"/>
    <w:p>
      <w:pPr>
        <w:pStyle w:val="Heading6"/>
        <w:pBdr>
          <w:left w:val="single" w:sz="36" w:space="4" w:color="2E75B6"/>
        </w:pBdr>
        <w:shd w:val="clear" w:color="auto" w:fill="E3EEF9"/>
        <w:spacing w:before="120" w:after="60"/>
        <w:ind w:left="85"/>
      </w:pPr>
      <w:r>
        <w:rPr>
          <w:i w:val="0"/>
          <w:color w:val="1F3A5F"/>
          <w:sz w:val="22"/>
        </w:rPr>
        <w:t xml:space="preserve">Art. 420</w:t>
      </w:r>
    </w:p>
    <w:p>
      <w:pPr>
        <w:pStyle w:val="FirstParagraph"/>
        <w:spacing w:after="60"/>
        <w:jc w:val="both"/>
      </w:pPr>
      <w:r>
        <w:rPr>
          <w:b/>
          <w:bCs/>
        </w:rPr>
        <w:t xml:space="preserve">Art. 420.</w:t>
      </w:r>
      <w:r>
        <w:t xml:space="preserve"> </w:t>
      </w:r>
      <w:r>
        <w:t xml:space="preserve">O juiz pode ordenar, a requerimento da parte, a exibição integral dos livros empresariais e dos documentos do arquivo:</w:t>
      </w:r>
    </w:p>
    <w:p>
      <w:pPr>
        <w:pStyle w:val="BodyText"/>
        <w:spacing w:after="60"/>
        <w:jc w:val="both"/>
      </w:pPr>
      <w:r>
        <w:t xml:space="preserve">I - na liquidação de sociedade;</w:t>
      </w:r>
    </w:p>
    <w:p>
      <w:pPr>
        <w:pStyle w:val="BodyText"/>
        <w:spacing w:after="60"/>
        <w:jc w:val="both"/>
      </w:pPr>
      <w:r>
        <w:t xml:space="preserve">II - na sucessão por morte de sócio;</w:t>
      </w:r>
    </w:p>
    <w:p>
      <w:pPr>
        <w:pStyle w:val="BodyText"/>
        <w:spacing w:after="60"/>
        <w:jc w:val="both"/>
      </w:pPr>
      <w:r>
        <w:t xml:space="preserve">III - quando e como determinar a lei.</w:t>
      </w:r>
    </w:p>
    <w:bookmarkEnd w:id="144"/>
    <w:bookmarkStart w:id="145" w:name="art.-421"/>
    <w:p>
      <w:pPr>
        <w:pStyle w:val="Heading6"/>
        <w:pBdr>
          <w:left w:val="single" w:sz="36" w:space="4" w:color="2E75B6"/>
        </w:pBdr>
        <w:shd w:val="clear" w:color="auto" w:fill="E3EEF9"/>
        <w:spacing w:before="120" w:after="60"/>
        <w:ind w:left="85"/>
      </w:pPr>
      <w:r>
        <w:rPr>
          <w:i w:val="0"/>
          <w:color w:val="1F3A5F"/>
          <w:sz w:val="22"/>
        </w:rPr>
        <w:t xml:space="preserve">Art. 421</w:t>
      </w:r>
    </w:p>
    <w:p>
      <w:pPr>
        <w:pStyle w:val="FirstParagraph"/>
        <w:spacing w:after="60"/>
        <w:jc w:val="both"/>
      </w:pPr>
      <w:r>
        <w:rPr>
          <w:b/>
          <w:bCs/>
        </w:rPr>
        <w:t xml:space="preserve">Art. 421.</w:t>
      </w:r>
      <w:r>
        <w:t xml:space="preserve"> </w:t>
      </w:r>
      <w:r>
        <w:t xml:space="preserve">O juiz pode, de ofício, ordenar à parte a exibição parcial dos livros e dos documentos, extraindo-se deles a suma que interessar ao litígio, bem como reproduções autenticadas.</w:t>
      </w:r>
    </w:p>
    <w:bookmarkEnd w:id="145"/>
    <w:bookmarkStart w:id="146" w:name="art.-422"/>
    <w:p>
      <w:pPr>
        <w:pStyle w:val="Heading6"/>
        <w:pBdr>
          <w:left w:val="single" w:sz="36" w:space="4" w:color="2E75B6"/>
        </w:pBdr>
        <w:shd w:val="clear" w:color="auto" w:fill="E3EEF9"/>
        <w:spacing w:before="120" w:after="60"/>
        <w:ind w:left="85"/>
      </w:pPr>
      <w:r>
        <w:rPr>
          <w:i w:val="0"/>
          <w:color w:val="1F3A5F"/>
          <w:sz w:val="22"/>
        </w:rPr>
        <w:t xml:space="preserve">Art. 422</w:t>
      </w:r>
    </w:p>
    <w:p>
      <w:pPr>
        <w:pStyle w:val="FirstParagraph"/>
        <w:spacing w:after="60"/>
        <w:jc w:val="both"/>
      </w:pPr>
      <w:r>
        <w:rPr>
          <w:b/>
          <w:bCs/>
        </w:rPr>
        <w:t xml:space="preserve">Art. 422.</w:t>
      </w:r>
      <w:r>
        <w:t xml:space="preserve"> </w:t>
      </w:r>
      <w:r>
        <w:t xml:space="preserve">Qualquer reprodução mecânica, como a fotográfica, a cinematográfica, a fonográfica ou de outra espécie, tem aptidão para fazer prova dos fatos ou das coisas representadas, se a sua conformidade com o documento original não for impugnada por aquele contra quem foi produzida.</w:t>
      </w:r>
    </w:p>
    <w:p>
      <w:pPr>
        <w:pStyle w:val="BodyText"/>
        <w:spacing w:after="60"/>
        <w:jc w:val="both"/>
      </w:pPr>
      <w:r>
        <w:t xml:space="preserve">§ 1º As fotografias digitais e as extraídas da rede mundial de computadores fazem prova das imagens que reproduzem, devendo, se impugnadas, ser apresentada a respectiva autenticação eletrônica ou, não sendo possível, realizada perícia.</w:t>
      </w:r>
    </w:p>
    <w:p>
      <w:pPr>
        <w:pStyle w:val="BodyText"/>
        <w:spacing w:after="60"/>
        <w:jc w:val="both"/>
      </w:pPr>
      <w:r>
        <w:t xml:space="preserve">§ 2º Se se tratar de fotografia publicada em jornal ou revista, será exigido um exemplar original do periódico, caso impugnada a veracidade pela outra parte.</w:t>
      </w:r>
    </w:p>
    <w:p>
      <w:pPr>
        <w:pStyle w:val="BodyText"/>
        <w:spacing w:after="60"/>
        <w:jc w:val="both"/>
      </w:pPr>
      <w:r>
        <w:t xml:space="preserve">§ 3º Aplica-se o disposto neste artigo à forma impressa de mensagem eletrônica.</w:t>
      </w:r>
    </w:p>
    <w:bookmarkEnd w:id="146"/>
    <w:bookmarkStart w:id="147" w:name="art.-423"/>
    <w:p>
      <w:pPr>
        <w:pStyle w:val="Heading6"/>
        <w:pBdr>
          <w:left w:val="single" w:sz="36" w:space="4" w:color="2E75B6"/>
        </w:pBdr>
        <w:shd w:val="clear" w:color="auto" w:fill="E3EEF9"/>
        <w:spacing w:before="120" w:after="60"/>
        <w:ind w:left="85"/>
      </w:pPr>
      <w:r>
        <w:rPr>
          <w:i w:val="0"/>
          <w:color w:val="1F3A5F"/>
          <w:sz w:val="22"/>
        </w:rPr>
        <w:t xml:space="preserve">Art. 423</w:t>
      </w:r>
    </w:p>
    <w:p>
      <w:pPr>
        <w:pStyle w:val="FirstParagraph"/>
        <w:spacing w:after="60"/>
        <w:jc w:val="both"/>
      </w:pPr>
      <w:r>
        <w:rPr>
          <w:b/>
          <w:bCs/>
        </w:rPr>
        <w:t xml:space="preserve">Art. 423.</w:t>
      </w:r>
      <w:r>
        <w:t xml:space="preserve"> </w:t>
      </w:r>
      <w:r>
        <w:t xml:space="preserve">As reproduções dos documentos particulares, fotográficas ou obtidas por outros processos de repetição, valem como certidões sempre que o escrivão ou o chefe de secretaria certificar sua conformidade com o original.</w:t>
      </w:r>
    </w:p>
    <w:bookmarkEnd w:id="147"/>
    <w:bookmarkStart w:id="148" w:name="art.-424"/>
    <w:p>
      <w:pPr>
        <w:pStyle w:val="Heading6"/>
        <w:pBdr>
          <w:left w:val="single" w:sz="36" w:space="4" w:color="2E75B6"/>
        </w:pBdr>
        <w:shd w:val="clear" w:color="auto" w:fill="E3EEF9"/>
        <w:spacing w:before="120" w:after="60"/>
        <w:ind w:left="85"/>
      </w:pPr>
      <w:r>
        <w:rPr>
          <w:i w:val="0"/>
          <w:color w:val="1F3A5F"/>
          <w:sz w:val="22"/>
        </w:rPr>
        <w:t xml:space="preserve">Art. 424</w:t>
      </w:r>
    </w:p>
    <w:p>
      <w:pPr>
        <w:pStyle w:val="FirstParagraph"/>
        <w:spacing w:after="60"/>
        <w:jc w:val="both"/>
      </w:pPr>
      <w:r>
        <w:rPr>
          <w:b/>
          <w:bCs/>
        </w:rPr>
        <w:t xml:space="preserve">Art. 424.</w:t>
      </w:r>
      <w:r>
        <w:t xml:space="preserve"> </w:t>
      </w:r>
      <w:r>
        <w:t xml:space="preserve">A cópia de documento particular tem o mesmo valor probante que o original, cabendo ao escrivão, intimadas as partes, proceder à conferência e certificar a conformidade entre a cópia e o original.</w:t>
      </w:r>
    </w:p>
    <w:bookmarkEnd w:id="148"/>
    <w:bookmarkStart w:id="149" w:name="art.-425"/>
    <w:p>
      <w:pPr>
        <w:pStyle w:val="Heading6"/>
        <w:pBdr>
          <w:left w:val="single" w:sz="36" w:space="4" w:color="2E75B6"/>
        </w:pBdr>
        <w:shd w:val="clear" w:color="auto" w:fill="E3EEF9"/>
        <w:spacing w:before="120" w:after="60"/>
        <w:ind w:left="85"/>
      </w:pPr>
      <w:r>
        <w:rPr>
          <w:i w:val="0"/>
          <w:color w:val="1F3A5F"/>
          <w:sz w:val="22"/>
        </w:rPr>
        <w:t xml:space="preserve">Art. 425</w:t>
      </w:r>
    </w:p>
    <w:p>
      <w:pPr>
        <w:pStyle w:val="FirstParagraph"/>
        <w:spacing w:after="60"/>
        <w:jc w:val="both"/>
      </w:pPr>
      <w:r>
        <w:rPr>
          <w:b/>
          <w:bCs/>
        </w:rPr>
        <w:t xml:space="preserve">Art. 425.</w:t>
      </w:r>
      <w:r>
        <w:t xml:space="preserve"> </w:t>
      </w:r>
      <w:r>
        <w:t xml:space="preserve">Fazem a mesma prova que os originais:</w:t>
      </w:r>
    </w:p>
    <w:p>
      <w:pPr>
        <w:pStyle w:val="BodyText"/>
        <w:spacing w:after="60"/>
        <w:jc w:val="both"/>
      </w:pPr>
      <w:r>
        <w:t xml:space="preserve">I - as certidões textuais de qualquer peça dos autos, do protocolo das audiências ou de outro livro a cargo do escrivão ou do chefe de secretaria, se extraídas por ele ou sob sua vigilância e por ele subscritas;</w:t>
      </w:r>
    </w:p>
    <w:p>
      <w:pPr>
        <w:pStyle w:val="BodyText"/>
        <w:spacing w:after="60"/>
        <w:jc w:val="both"/>
      </w:pPr>
      <w:r>
        <w:t xml:space="preserve">II - os traslados e as certidões extraídas por oficial público de instrumentos ou documentos lançados em suas notas;</w:t>
      </w:r>
    </w:p>
    <w:p>
      <w:pPr>
        <w:pStyle w:val="BodyText"/>
        <w:spacing w:after="60"/>
        <w:jc w:val="both"/>
      </w:pPr>
      <w:r>
        <w:t xml:space="preserve">III - as reproduções dos documentos públicos, desde que autenticadas por oficial público ou conferidas em cartório com os respectivos originais;</w:t>
      </w:r>
    </w:p>
    <w:p>
      <w:pPr>
        <w:pStyle w:val="BodyText"/>
        <w:spacing w:after="60"/>
        <w:jc w:val="both"/>
      </w:pPr>
      <w:r>
        <w:t xml:space="preserve">IV - as cópias reprográficas de peças do próprio processo judicial declaradas autênticas pelo advogado, sob sua responsabilidade pessoal, se não lhes for impugnada a autenticidade;</w:t>
      </w:r>
    </w:p>
    <w:p>
      <w:pPr>
        <w:pStyle w:val="BodyText"/>
        <w:spacing w:after="60"/>
        <w:jc w:val="both"/>
      </w:pPr>
      <w:r>
        <w:t xml:space="preserve">V - os extratos digitais de bancos de dados públicos e privados, desde que atestado pelo seu emitente, sob as penas da lei, que as informações conferem com o que consta na origem;</w:t>
      </w:r>
    </w:p>
    <w:p>
      <w:pPr>
        <w:pStyle w:val="BodyText"/>
        <w:keepNext/>
        <w:spacing w:after="60"/>
        <w:jc w:val="both"/>
      </w:pPr>
      <w:r>
        <w:t xml:space="preserve">VI - as reproduções digitalizadas de qualquer documento público ou particular, quando juntadas aos autos pelos órgãos da justiça e seus auxiliares, pelo Ministério Público e seus auxiliares, pela Defensoria Pública e seus auxiliares, pelas procuradorias, pelas repartições públicas em geral e por advogados, ressalvada a alegação motivada e fundamentada de adulteração.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2528"/>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52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905"/>
          </w:tcPr>
          <w:p>
            <w:pPr>
              <w:pStyle w:val="Compact"/>
              <w:spacing w:line="276" w:lineRule="auto" w:before="40" w:after="40"/>
            </w:pPr>
            <w:r>
              <w:rPr>
                <w:rFonts w:ascii="Liberation Sans Narrow" w:hAnsi="Liberation Sans Narrow"/>
                <w:sz w:val="17"/>
              </w:rPr>
              <w:t xml:space="preserve">Art. 425, VI: reproduções digitalizadas equiparadas ao original (§§ 1º e 2º)</w:t>
            </w:r>
          </w:p>
        </w:tc>
        <w:tc>
          <w:tcPr>
            <w:tcW w:type="dxa" w:w="1655"/>
          </w:tcPr>
          <w:p>
            <w:pPr>
              <w:pStyle w:val="Compact"/>
              <w:spacing w:line="276" w:lineRule="auto" w:before="40" w:after="40"/>
            </w:pPr>
            <w:r>
              <w:rPr>
                <w:rFonts w:ascii="Liberation Sans Narrow" w:hAnsi="Liberation Sans Narrow"/>
                <w:sz w:val="17"/>
              </w:rPr>
              <w:t xml:space="preserve">STJ, REsp 2.015.911, Quarta Turma, relator Min. Antonio Carlos Ferreira, julgado em 17/03/2026, DJEN de 27/03/2026</w:t>
            </w:r>
          </w:p>
        </w:tc>
        <w:tc>
          <w:tcPr>
            <w:tcW w:type="dxa" w:w="2529"/>
          </w:tcPr>
          <w:p>
            <w:pPr>
              <w:pStyle w:val="Compact"/>
              <w:spacing w:line="276" w:lineRule="auto" w:before="40" w:after="40"/>
            </w:pPr>
            <w:r>
              <w:rPr>
                <w:rFonts w:ascii="Liberation Sans Narrow" w:hAnsi="Liberation Sans Narrow"/>
                <w:sz w:val="17"/>
              </w:rPr>
              <w:t xml:space="preserve">Tese de julgamento:</w:t>
            </w:r>
            <w:r>
              <w:rPr>
                <w:rFonts w:ascii="Liberation Sans Narrow" w:hAnsi="Liberation Sans Narrow"/>
                <w:sz w:val="17"/>
              </w:rPr>
              <w:t xml:space="preserve"> </w:t>
            </w:r>
            <w:r>
              <w:rPr>
                <w:rFonts w:ascii="Liberation Sans Narrow" w:hAnsi="Liberation Sans Narrow"/>
                <w:sz w:val="17"/>
              </w:rPr>
              <w:t xml:space="preserve">“A juntada da via original do título executivo extrajudicial não constitui requisito de admissibilidade da execução no sistema processual eletrônico, cabendo ao juiz, com discricionariedade fundamentada, avaliar casuisticamente a necessidade de juntada do título original”</w:t>
            </w:r>
            <w:r>
              <w:rPr>
                <w:rFonts w:ascii="Liberation Sans Narrow" w:hAnsi="Liberation Sans Narrow"/>
                <w:sz w:val="17"/>
              </w:rPr>
              <w:t xml:space="preserve">. O art. 425, VI, e o art. 11 da Lei nº 11.419/2006 equiparam as reproduções digitalizadas aos originais, e o § 1º impõe ao detentor conservá-las até o fim do prazo da ação rescisória, o que inibe a circulação irregular do título. O § 2º confere ao juiz mera faculdade de determinar o depósito da cópia digital em cartório, de modo que o legislador não fez do original físico condição de procedibilidade da execução. Sem alegação específica de adulteração, de circulação do crédito ou de endosso irregular, a objeção genérica à juntada de cópia converte a exigência do original em formalismo inútil (cita o REsp 2.013.526/MT, Terceira Turma, j. 28/2/2023).</w:t>
            </w:r>
          </w:p>
        </w:tc>
      </w:tr>
      <w:tr>
        <w:trPr>
          <w:cantSplit/>
        </w:trPr>
        <w:tc>
          <w:tcPr>
            <w:tcW w:type="dxa" w:w="1905"/>
          </w:tcPr>
          <w:p>
            <w:pPr>
              <w:pStyle w:val="Compact"/>
              <w:spacing w:line="276" w:lineRule="auto" w:before="40" w:after="40"/>
            </w:pPr>
            <w:r>
              <w:rPr>
                <w:rFonts w:ascii="Liberation Sans Narrow" w:hAnsi="Liberation Sans Narrow"/>
                <w:sz w:val="17"/>
              </w:rPr>
              <w:t xml:space="preserve">Art. 425, VI: busca e apreensão instruída por cópia digitalizada</w:t>
            </w:r>
          </w:p>
        </w:tc>
        <w:tc>
          <w:tcPr>
            <w:tcW w:type="dxa" w:w="1655"/>
          </w:tcPr>
          <w:p>
            <w:pPr>
              <w:pStyle w:val="Compact"/>
              <w:spacing w:line="276" w:lineRule="auto" w:before="40" w:after="40"/>
            </w:pPr>
            <w:r>
              <w:rPr>
                <w:rFonts w:ascii="Liberation Sans Narrow" w:hAnsi="Liberation Sans Narrow"/>
                <w:sz w:val="17"/>
              </w:rPr>
              <w:t xml:space="preserve">STJ, AgInt no AREsp 2.546.739, Quarta Turma, relator Min. João Otávio de Noronha, DJe de 08/07/2024</w:t>
            </w:r>
          </w:p>
        </w:tc>
        <w:tc>
          <w:tcPr>
            <w:tcW w:type="dxa" w:w="2529"/>
          </w:tcPr>
          <w:p>
            <w:pPr>
              <w:pStyle w:val="Compact"/>
              <w:spacing w:line="276" w:lineRule="auto" w:before="40" w:after="40"/>
            </w:pPr>
            <w:r>
              <w:rPr>
                <w:rFonts w:ascii="Liberation Sans Narrow" w:hAnsi="Liberation Sans Narrow"/>
                <w:sz w:val="17"/>
              </w:rPr>
              <w:t xml:space="preserve">Admite-se a instrução da ação de busca e apreensão fundada em alienação fiduciária com a cópia digitalizada da cédula de crédito bancária, com base no art. 425, VI, §§ 1º e 2º; a verificação da necessidade do original fica postergada, cabendo ao devedor apresentar alegação concreta e motivada a respeito da falta de exigibilidade, liquidez e certeza do título.</w:t>
            </w:r>
          </w:p>
        </w:tc>
      </w:tr>
    </w:tbl>
    <w:p>
      <w:pPr>
        <w:pStyle w:val="BodyText"/>
        <w:spacing w:after="60"/>
        <w:jc w:val="both"/>
      </w:pPr>
      <w:r>
        <w:t xml:space="preserve">§ 1º Os originais dos documentos digitalizados mencionados no inciso VI deverão ser preservados pelo seu detentor até o final do prazo para propositura de ação rescisória.</w:t>
      </w:r>
    </w:p>
    <w:p>
      <w:pPr>
        <w:pStyle w:val="BodyText"/>
        <w:spacing w:after="60"/>
        <w:jc w:val="both"/>
      </w:pPr>
      <w:r>
        <w:t xml:space="preserve">§ 2º Tratando-se de cópia digital de título executivo extrajudicial ou de documento relevante à instrução do processo, o juiz poderá determinar seu depósito em cartório ou secretaria.</w:t>
      </w:r>
    </w:p>
    <w:bookmarkEnd w:id="149"/>
    <w:bookmarkStart w:id="150" w:name="art.-426"/>
    <w:p>
      <w:pPr>
        <w:pStyle w:val="Heading6"/>
        <w:pBdr>
          <w:left w:val="single" w:sz="36" w:space="4" w:color="2E75B6"/>
        </w:pBdr>
        <w:shd w:val="clear" w:color="auto" w:fill="E3EEF9"/>
        <w:spacing w:before="120" w:after="60"/>
        <w:ind w:left="85"/>
      </w:pPr>
      <w:r>
        <w:rPr>
          <w:i w:val="0"/>
          <w:color w:val="1F3A5F"/>
          <w:sz w:val="22"/>
        </w:rPr>
        <w:t xml:space="preserve">Art. 426</w:t>
      </w:r>
    </w:p>
    <w:p>
      <w:pPr>
        <w:pStyle w:val="FirstParagraph"/>
        <w:spacing w:after="60"/>
        <w:jc w:val="both"/>
      </w:pPr>
      <w:r>
        <w:rPr>
          <w:b/>
          <w:bCs/>
        </w:rPr>
        <w:t xml:space="preserve">Art. 426.</w:t>
      </w:r>
      <w:r>
        <w:t xml:space="preserve"> </w:t>
      </w:r>
      <w:r>
        <w:t xml:space="preserve">O juiz apreciará fundamentadamente a fé que deva merecer o documento, quando em ponto substancial e sem ressalva contiver entrelinha, emenda, borrão ou cancelamento.</w:t>
      </w:r>
    </w:p>
    <w:bookmarkEnd w:id="150"/>
    <w:bookmarkStart w:id="151" w:name="art.-427"/>
    <w:p>
      <w:pPr>
        <w:pStyle w:val="Heading6"/>
        <w:pBdr>
          <w:left w:val="single" w:sz="36" w:space="4" w:color="2E75B6"/>
        </w:pBdr>
        <w:shd w:val="clear" w:color="auto" w:fill="E3EEF9"/>
        <w:spacing w:before="120" w:after="60"/>
        <w:ind w:left="85"/>
      </w:pPr>
      <w:r>
        <w:rPr>
          <w:i w:val="0"/>
          <w:color w:val="1F3A5F"/>
          <w:sz w:val="22"/>
        </w:rPr>
        <w:t xml:space="preserve">Art. 427</w:t>
      </w:r>
    </w:p>
    <w:p>
      <w:pPr>
        <w:pStyle w:val="FirstParagraph"/>
        <w:spacing w:after="60"/>
        <w:jc w:val="both"/>
      </w:pPr>
      <w:r>
        <w:rPr>
          <w:b/>
          <w:bCs/>
        </w:rPr>
        <w:t xml:space="preserve">Art. 427.</w:t>
      </w:r>
      <w:r>
        <w:t xml:space="preserve"> </w:t>
      </w:r>
      <w:r>
        <w:t xml:space="preserve">Cessa a fé do documento público ou particular sendo-lhe declarada judicialmente a falsidade.</w:t>
      </w:r>
    </w:p>
    <w:p>
      <w:pPr>
        <w:pStyle w:val="BodyText"/>
        <w:spacing w:after="60"/>
        <w:jc w:val="both"/>
      </w:pPr>
      <w:r>
        <w:t xml:space="preserve">Parágrafo único. A falsidade consiste em:</w:t>
      </w:r>
    </w:p>
    <w:p>
      <w:pPr>
        <w:pStyle w:val="BodyText"/>
        <w:spacing w:after="60"/>
        <w:jc w:val="both"/>
      </w:pPr>
      <w:r>
        <w:t xml:space="preserve">I - formar documento não verdadeiro;</w:t>
      </w:r>
    </w:p>
    <w:p>
      <w:pPr>
        <w:pStyle w:val="BodyText"/>
        <w:spacing w:after="60"/>
        <w:jc w:val="both"/>
      </w:pPr>
      <w:r>
        <w:t xml:space="preserve">II - alterar documento verdadeiro.</w:t>
      </w:r>
    </w:p>
    <w:bookmarkEnd w:id="151"/>
    <w:bookmarkStart w:id="152" w:name="art.-428"/>
    <w:p>
      <w:pPr>
        <w:pStyle w:val="Heading6"/>
        <w:pBdr>
          <w:left w:val="single" w:sz="36" w:space="4" w:color="2E75B6"/>
        </w:pBdr>
        <w:shd w:val="clear" w:color="auto" w:fill="E3EEF9"/>
        <w:spacing w:before="120" w:after="60"/>
        <w:ind w:left="85"/>
      </w:pPr>
      <w:r>
        <w:rPr>
          <w:i w:val="0"/>
          <w:color w:val="1F3A5F"/>
          <w:sz w:val="22"/>
        </w:rPr>
        <w:t xml:space="preserve">Art. 428</w:t>
      </w:r>
    </w:p>
    <w:p>
      <w:pPr>
        <w:pStyle w:val="FirstParagraph"/>
        <w:spacing w:after="60"/>
        <w:jc w:val="both"/>
      </w:pPr>
      <w:r>
        <w:rPr>
          <w:b/>
          <w:bCs/>
        </w:rPr>
        <w:t xml:space="preserve">Art. 428.</w:t>
      </w:r>
      <w:r>
        <w:t xml:space="preserve"> </w:t>
      </w:r>
      <w:r>
        <w:t xml:space="preserve">Cessa a fé do documento particular quando:</w:t>
      </w:r>
    </w:p>
    <w:p>
      <w:pPr>
        <w:pStyle w:val="BodyText"/>
        <w:keepNext/>
        <w:spacing w:after="60"/>
        <w:jc w:val="both"/>
      </w:pPr>
      <w:r>
        <w:t xml:space="preserve">I - for impugnada sua autenticidade e enquanto não se comprovar sua veracidade;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27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531"/>
          </w:tcPr>
          <w:p>
            <w:pPr>
              <w:pStyle w:val="Compact"/>
              <w:spacing w:line="276" w:lineRule="auto" w:before="40" w:after="40"/>
            </w:pPr>
            <w:r>
              <w:rPr>
                <w:rFonts w:ascii="Liberation Sans Narrow" w:hAnsi="Liberation Sans Narrow"/>
                <w:sz w:val="17"/>
              </w:rPr>
              <w:t xml:space="preserve">I — aplicação (aplicação narrada)</w:t>
            </w:r>
          </w:p>
        </w:tc>
        <w:tc>
          <w:tcPr>
            <w:tcW w:type="dxa" w:w="1531"/>
          </w:tcPr>
          <w:p>
            <w:pPr>
              <w:pStyle w:val="Compact"/>
              <w:spacing w:line="276" w:lineRule="auto" w:before="40" w:after="40"/>
            </w:pPr>
            <w:r>
              <w:rPr>
                <w:rFonts w:ascii="Liberation Sans Narrow" w:hAnsi="Liberation Sans Narrow"/>
                <w:sz w:val="17"/>
              </w:rPr>
              <w:t xml:space="preserve">STJ, AREsp 2.814.141, Quarta Turma, relator Min. João Otávio de Noronha, julgado em 30/03/2026</w:t>
            </w:r>
          </w:p>
        </w:tc>
        <w:tc>
          <w:tcPr>
            <w:tcW w:type="dxa" w:w="2279"/>
          </w:tcPr>
          <w:p>
            <w:pPr>
              <w:pStyle w:val="Compact"/>
              <w:spacing w:line="276" w:lineRule="auto" w:before="40" w:after="40"/>
            </w:pPr>
            <w:r>
              <w:rPr>
                <w:rFonts w:ascii="Liberation Sans Narrow" w:hAnsi="Liberation Sans Narrow"/>
                <w:sz w:val="17"/>
              </w:rPr>
              <w:t xml:space="preserve">No caso, impugnada a autenticidade de documento particular que instruía embargos à execução, a fé do documento cessou enquanto não comprovada a veracidade da assinatura, e o ônus de provar a autenticidade — com o adiantamento dos honorários periciais — recaiu sobre quem produziu o documento, e não sobre quem o impugnou. Trecho: “A Corte de origem negou provimento ao agravo de instrumento, manteve a decisão saneadora, afastou a intempestividade dos embargos e atribuiu à instituição financeira o ônus de provar a autenticidade das assinaturas, com adiantamento dos honorários periciais.”</w:t>
            </w:r>
          </w:p>
        </w:tc>
      </w:tr>
    </w:tbl>
    <w:p>
      <w:pPr>
        <w:pStyle w:val="BodyText"/>
        <w:spacing w:after="60"/>
        <w:jc w:val="both"/>
      </w:pPr>
      <w:r>
        <w:t xml:space="preserve">II - assinado em branco, for impugnado seu conteúdo, por preenchimento abusivo.</w:t>
      </w:r>
    </w:p>
    <w:p>
      <w:pPr>
        <w:pStyle w:val="BodyText"/>
        <w:spacing w:after="60"/>
        <w:jc w:val="both"/>
      </w:pPr>
      <w:r>
        <w:t xml:space="preserve">Parágrafo único. Dar-se-á abuso quando aquele que recebeu documento assinado com texto não escrito no todo ou em parte formá-lo ou completá-lo por si ou por meio de outrem, violando o pacto feito com o signatário.</w:t>
      </w:r>
    </w:p>
    <w:bookmarkEnd w:id="152"/>
    <w:bookmarkStart w:id="153" w:name="art.-429"/>
    <w:p>
      <w:pPr>
        <w:pStyle w:val="Heading6"/>
        <w:pBdr>
          <w:left w:val="single" w:sz="36" w:space="4" w:color="2E75B6"/>
        </w:pBdr>
        <w:shd w:val="clear" w:color="auto" w:fill="E3EEF9"/>
        <w:spacing w:before="120" w:after="60"/>
        <w:ind w:left="85"/>
      </w:pPr>
      <w:r>
        <w:rPr>
          <w:i w:val="0"/>
          <w:color w:val="1F3A5F"/>
          <w:sz w:val="22"/>
        </w:rPr>
        <w:t xml:space="preserve">Art. 429</w:t>
      </w:r>
    </w:p>
    <w:p>
      <w:pPr>
        <w:pStyle w:val="FirstParagraph"/>
        <w:spacing w:after="60"/>
        <w:jc w:val="both"/>
      </w:pPr>
      <w:r>
        <w:rPr>
          <w:b/>
          <w:bCs/>
        </w:rPr>
        <w:t xml:space="preserve">Art. 429.</w:t>
      </w:r>
      <w:r>
        <w:t xml:space="preserve"> </w:t>
      </w:r>
      <w:r>
        <w:t xml:space="preserve">Incumbe o ônus da prova quando:</w:t>
      </w:r>
    </w:p>
    <w:p>
      <w:pPr>
        <w:pStyle w:val="BodyText"/>
        <w:keepNext/>
        <w:spacing w:after="60"/>
        <w:jc w:val="both"/>
      </w:pPr>
      <w:r>
        <w:t xml:space="preserve">I - se tratar de falsidade de documento ou de preenchimento abusivo, à parte que a arguir;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1905"/>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905"/>
          </w:tcPr>
          <w:p>
            <w:pPr>
              <w:pStyle w:val="Compact"/>
              <w:spacing w:line="276" w:lineRule="auto" w:before="40" w:after="40"/>
            </w:pPr>
            <w:r>
              <w:rPr>
                <w:rFonts w:ascii="Liberation Sans Narrow" w:hAnsi="Liberation Sans Narrow"/>
                <w:sz w:val="17"/>
              </w:rPr>
              <w:t xml:space="preserve">Art. 429, I: preenchimento abusivo e função de regra de julgamento</w:t>
            </w:r>
          </w:p>
        </w:tc>
        <w:tc>
          <w:tcPr>
            <w:tcW w:type="dxa" w:w="1655"/>
          </w:tcPr>
          <w:p>
            <w:pPr>
              <w:pStyle w:val="Compact"/>
              <w:spacing w:line="276" w:lineRule="auto" w:before="40" w:after="40"/>
            </w:pPr>
            <w:r>
              <w:rPr>
                <w:rFonts w:ascii="Liberation Sans Narrow" w:hAnsi="Liberation Sans Narrow"/>
                <w:sz w:val="17"/>
              </w:rPr>
              <w:t xml:space="preserve">STJ, AgInt no AREsp 2.905.519, Quarta Turma, relator Min. Raul Araújo, julgado em 08/06/2026, DJEN de 12/06/2026</w:t>
            </w:r>
          </w:p>
        </w:tc>
        <w:tc>
          <w:tcPr>
            <w:tcW w:type="dxa" w:w="1905"/>
          </w:tcPr>
          <w:p>
            <w:pPr>
              <w:pStyle w:val="Compact"/>
              <w:spacing w:line="276" w:lineRule="auto" w:before="40" w:after="40"/>
            </w:pPr>
            <w:r>
              <w:rPr>
                <w:rFonts w:ascii="Liberation Sans Narrow" w:hAnsi="Liberation Sans Narrow"/>
                <w:sz w:val="17"/>
              </w:rPr>
              <w:t xml:space="preserve">No preenchimento abusivo de cheque emitido em branco, a regra do art. 429, I, opera como regra de julgamento quando há insuficiência probatória; não há inversão indevida do encargo quando a conclusão sobre o abuso decorre da valoração do conjunto probatório, com perícia grafotécnica realizada e contraditório assegurado. O preenchimento posterior do cheque emitido em branco somente se valida à luz da boa-fé e da causa legítima, e a revisão das premissas fáticas é vedada pela Súmula 7/STJ.</w:t>
            </w:r>
          </w:p>
        </w:tc>
      </w:tr>
    </w:tbl>
    <w:p>
      <w:pPr>
        <w:pStyle w:val="BodyText"/>
        <w:keepNext/>
        <w:spacing w:after="60"/>
        <w:jc w:val="both"/>
      </w:pPr>
      <w:r>
        <w:t xml:space="preserve">II - se tratar de impugnação da autenticidade, à parte que produziu o documento.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2029"/>
        <w:gridCol w:w="2029"/>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II — ônus da prova da autenticidade atribuído a quem produziu o documento</w:t>
            </w:r>
          </w:p>
        </w:tc>
        <w:tc>
          <w:tcPr>
            <w:tcW w:type="dxa" w:w="2030"/>
          </w:tcPr>
          <w:p>
            <w:pPr>
              <w:pStyle w:val="Compact"/>
              <w:spacing w:line="276" w:lineRule="auto" w:before="40" w:after="40"/>
            </w:pPr>
            <w:r>
              <w:rPr>
                <w:rFonts w:ascii="Liberation Sans Narrow" w:hAnsi="Liberation Sans Narrow"/>
                <w:sz w:val="17"/>
              </w:rPr>
              <w:t xml:space="preserve">STJ, AREsp 3.138.547, Terceira Turma, relator Min. Moura Ribeiro, julgado em 22/06/2026</w:t>
            </w:r>
          </w:p>
        </w:tc>
        <w:tc>
          <w:tcPr>
            <w:tcW w:type="dxa" w:w="2030"/>
          </w:tcPr>
          <w:p>
            <w:pPr>
              <w:pStyle w:val="Compact"/>
              <w:spacing w:line="276" w:lineRule="auto" w:before="40" w:after="40"/>
            </w:pPr>
            <w:r>
              <w:rPr>
                <w:rFonts w:ascii="Liberation Sans Narrow" w:hAnsi="Liberation Sans Narrow"/>
                <w:sz w:val="17"/>
              </w:rPr>
              <w:t xml:space="preserve">Na impugnação da autenticidade, o ônus de provar cabe à parte que produziu o documento; no caso, a regularidade da contratação eletrônica foi demonstrada por múltiplos fatores de autenticação — biometria facial, selfie, geolocalização e documentos eletrônicos —, o que afasta o cerceamento de defesa pelo indeferimento de perícia grafotécnica.</w:t>
            </w:r>
          </w:p>
        </w:tc>
      </w:tr>
      <w:tr>
        <w:trPr>
          <w:cantSplit/>
        </w:trPr>
        <w:tc>
          <w:tcPr>
            <w:tcW w:type="dxa" w:w="1905"/>
          </w:tcPr>
          <w:p>
            <w:pPr>
              <w:pStyle w:val="Compact"/>
              <w:spacing w:line="276" w:lineRule="auto" w:before="40" w:after="40"/>
            </w:pPr>
            <w:r>
              <w:rPr>
                <w:rFonts w:ascii="Liberation Sans Narrow" w:hAnsi="Liberation Sans Narrow"/>
                <w:sz w:val="17"/>
              </w:rPr>
              <w:t xml:space="preserve">Art. 429, II: ônus da autenticidade e custeio da perícia grafotécnica</w:t>
            </w:r>
          </w:p>
        </w:tc>
        <w:tc>
          <w:tcPr>
            <w:tcW w:type="dxa" w:w="2030"/>
          </w:tcPr>
          <w:p>
            <w:pPr>
              <w:pStyle w:val="Compact"/>
              <w:spacing w:line="276" w:lineRule="auto" w:before="40" w:after="40"/>
            </w:pPr>
            <w:r>
              <w:rPr>
                <w:rFonts w:ascii="Liberation Sans Narrow" w:hAnsi="Liberation Sans Narrow"/>
                <w:sz w:val="17"/>
              </w:rPr>
              <w:t xml:space="preserve">STJ, AgInt no AREsp 3.052.217, Quarta Turma, relator Min. Luís Carlos Gambogi (Desembargador Convocado do Tjmg), julgado em 01/06/2026, DJEN de 08/06/2026</w:t>
            </w:r>
          </w:p>
        </w:tc>
        <w:tc>
          <w:tcPr>
            <w:tcW w:type="dxa" w:w="2030"/>
          </w:tcPr>
          <w:p>
            <w:pPr>
              <w:pStyle w:val="Compact"/>
              <w:spacing w:line="276" w:lineRule="auto" w:before="40" w:after="40"/>
            </w:pPr>
            <w:r>
              <w:rPr>
                <w:rFonts w:ascii="Liberation Sans Narrow" w:hAnsi="Liberation Sans Narrow"/>
                <w:sz w:val="17"/>
              </w:rPr>
              <w:t xml:space="preserve">O ônus de provar a autenticidade de assinatura constante de documento particular é de quem o produziu, na linha do Tema 1.061/STJ; atribuído o encargo à parte, a ela também cabe suportar o custeio da perícia grafotécnica necessária à demonstração da veracidade das assinaturas impugnadas, pois a regra do art. 429, II, excepciona a disciplina geral do art. 95, § 3º, do CPC. Agravo interno desprovido.</w:t>
            </w:r>
          </w:p>
        </w:tc>
      </w:tr>
    </w:tbl>
    <w:bookmarkEnd w:id="153"/>
    <w:bookmarkStart w:id="154" w:name="art.-430"/>
    <w:p>
      <w:pPr>
        <w:pStyle w:val="Heading6"/>
        <w:pBdr>
          <w:left w:val="single" w:sz="36" w:space="4" w:color="2E75B6"/>
        </w:pBdr>
        <w:shd w:val="clear" w:color="auto" w:fill="E3EEF9"/>
        <w:spacing w:before="120" w:after="60"/>
        <w:ind w:left="85"/>
      </w:pPr>
      <w:r>
        <w:rPr>
          <w:i w:val="0"/>
          <w:color w:val="1F3A5F"/>
          <w:sz w:val="22"/>
        </w:rPr>
        <w:t xml:space="preserve">Art. 430</w:t>
      </w:r>
    </w:p>
    <w:p>
      <w:pPr>
        <w:pStyle w:val="FirstParagraph"/>
        <w:keepNext/>
        <w:spacing w:after="60"/>
        <w:jc w:val="both"/>
      </w:pPr>
      <w:r>
        <w:rPr>
          <w:b/>
          <w:bCs/>
        </w:rPr>
        <w:t xml:space="preserve">Art. 430.</w:t>
      </w:r>
      <w:r>
        <w:t xml:space="preserve"> </w:t>
      </w:r>
      <w:r>
        <w:t xml:space="preserve">A falsidade deve ser suscitada na contestação, na réplica ou no prazo de 15 (quinze) dias, contado a partir da intimação da juntada do documento aos autos.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2029"/>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780"/>
          </w:tcPr>
          <w:p>
            <w:pPr>
              <w:pStyle w:val="Compact"/>
              <w:spacing w:line="276" w:lineRule="auto" w:before="40" w:after="40"/>
            </w:pPr>
            <w:r>
              <w:rPr>
                <w:rFonts w:ascii="Liberation Sans Narrow" w:hAnsi="Liberation Sans Narrow"/>
                <w:sz w:val="17"/>
              </w:rPr>
              <w:t xml:space="preserve">Art. 430, caput: oportunidade da arguição e ônus de requerer o incidente no momento próprio</w:t>
            </w:r>
          </w:p>
        </w:tc>
        <w:tc>
          <w:tcPr>
            <w:tcW w:type="dxa" w:w="1655"/>
          </w:tcPr>
          <w:p>
            <w:pPr>
              <w:pStyle w:val="Compact"/>
              <w:spacing w:line="276" w:lineRule="auto" w:before="40" w:after="40"/>
            </w:pPr>
            <w:r>
              <w:rPr>
                <w:rFonts w:ascii="Liberation Sans Narrow" w:hAnsi="Liberation Sans Narrow"/>
                <w:sz w:val="17"/>
              </w:rPr>
              <w:t xml:space="preserve">STJ, AgInt nos EDcl no AREsp 2.636.563, Terceira Turma, relator Min. Humberto Martins, julgado em 30/06/2026, DJEN de 03/07/2026</w:t>
            </w:r>
          </w:p>
        </w:tc>
        <w:tc>
          <w:tcPr>
            <w:tcW w:type="dxa" w:w="2030"/>
          </w:tcPr>
          <w:p>
            <w:pPr>
              <w:pStyle w:val="Compact"/>
              <w:spacing w:line="276" w:lineRule="auto" w:before="40" w:after="40"/>
            </w:pPr>
            <w:r>
              <w:rPr>
                <w:rFonts w:ascii="Liberation Sans Narrow" w:hAnsi="Liberation Sans Narrow"/>
                <w:sz w:val="17"/>
              </w:rPr>
              <w:t xml:space="preserve">“O cerceamento de defesa não se configura quando ausentes elementos concretos e requerimento tempestivo para instaurar incidente de falsidade (arts. 430 e 431 do Código de Processo Civil).”</w:t>
            </w:r>
            <w:r>
              <w:rPr>
                <w:rFonts w:ascii="Liberation Sans Narrow" w:hAnsi="Liberation Sans Narrow"/>
                <w:sz w:val="17"/>
              </w:rPr>
              <w:t xml:space="preserve"> </w:t>
            </w:r>
            <w:r>
              <w:rPr>
                <w:rFonts w:ascii="Liberation Sans Narrow" w:hAnsi="Liberation Sans Narrow"/>
                <w:sz w:val="17"/>
              </w:rPr>
              <w:t xml:space="preserve">A ementa não descreve outras circunstâncias da origem quanto a esse ponto: o óbice está na falta de elementos concretos e de requerimento tempestivo. Os demais capítulos (anterioridade do negócio em relação à averbação, boa-fé do terceiro, conversão da tutela específica em perdas e danos) foram decididos com apoio na Súmula 7/STJ.</w:t>
            </w:r>
          </w:p>
        </w:tc>
      </w:tr>
    </w:tbl>
    <w:p>
      <w:pPr>
        <w:pStyle w:val="BodyText"/>
        <w:keepNext/>
        <w:spacing w:after="60"/>
        <w:jc w:val="both"/>
      </w:pPr>
      <w:r>
        <w:t xml:space="preserve">Parágrafo único. Uma vez arguida, a falsidade será resolvida como questão incidental, salvo se a parte requerer que o juiz a decida como questão principal, nos termos do inciso II do art. 19.</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2029"/>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780"/>
          </w:tcPr>
          <w:p>
            <w:pPr>
              <w:pStyle w:val="Compact"/>
              <w:spacing w:line="276" w:lineRule="auto" w:before="40" w:after="40"/>
            </w:pPr>
            <w:r>
              <w:rPr>
                <w:rFonts w:ascii="Liberation Sans Narrow" w:hAnsi="Liberation Sans Narrow"/>
                <w:sz w:val="17"/>
              </w:rPr>
              <w:t xml:space="preserve">Art. 430, parágrafo único: preclusão do incidente e ação autônoma declaratória de falsidade (art. 19, II)</w:t>
            </w:r>
          </w:p>
        </w:tc>
        <w:tc>
          <w:tcPr>
            <w:tcW w:type="dxa" w:w="1655"/>
          </w:tcPr>
          <w:p>
            <w:pPr>
              <w:pStyle w:val="Compact"/>
              <w:spacing w:line="276" w:lineRule="auto" w:before="40" w:after="40"/>
            </w:pPr>
            <w:r>
              <w:rPr>
                <w:rFonts w:ascii="Liberation Sans Narrow" w:hAnsi="Liberation Sans Narrow"/>
                <w:sz w:val="17"/>
              </w:rPr>
              <w:t xml:space="preserve">STJ, AREsp 2.929.120, Quarta Turma, relator Min. João Otávio de Noronha, julgado em 09/03/2026, DJEN de 12/03/2026</w:t>
            </w:r>
          </w:p>
        </w:tc>
        <w:tc>
          <w:tcPr>
            <w:tcW w:type="dxa" w:w="2030"/>
          </w:tcPr>
          <w:p>
            <w:pPr>
              <w:pStyle w:val="Compact"/>
              <w:spacing w:line="276" w:lineRule="auto" w:before="40" w:after="40"/>
            </w:pPr>
            <w:r>
              <w:rPr>
                <w:rFonts w:ascii="Liberation Sans Narrow" w:hAnsi="Liberation Sans Narrow"/>
                <w:sz w:val="17"/>
              </w:rPr>
              <w:t xml:space="preserve">A sentença extinguira a ação declaratória de falsidade de certidão cartorária com base nos arts. 485, IV, e 430, por preclusão temporal; o tribunal de origem anulou a sentença por entender que a ação autônoma não se sujeita ao prazo do art. 430. O STJ manteve o acórdão por consonância com a sua jurisprudência (Súmula 83/STJ), com tese expressa:</w:t>
            </w:r>
            <w:r>
              <w:rPr>
                <w:rFonts w:ascii="Liberation Sans Narrow" w:hAnsi="Liberation Sans Narrow"/>
                <w:sz w:val="17"/>
              </w:rPr>
              <w:t xml:space="preserve"> </w:t>
            </w:r>
            <w:r>
              <w:rPr>
                <w:rFonts w:ascii="Liberation Sans Narrow" w:hAnsi="Liberation Sans Narrow"/>
                <w:sz w:val="17"/>
              </w:rPr>
              <w:t xml:space="preserve">“a preclusão do incidente não impede a ação autônoma declaratória de falsidade, nos termos do art. 19, II, do Código de Processo Civil”</w:t>
            </w:r>
            <w:r>
              <w:rPr>
                <w:rFonts w:ascii="Liberation Sans Narrow" w:hAnsi="Liberation Sans Narrow"/>
                <w:sz w:val="17"/>
              </w:rPr>
              <w:t xml:space="preserve">; a presunção de autenticidade do art. 411, III, também não obsta a ação autônoma, cabendo ao juízo de origem apreciar a pertinência da prova pericial.</w:t>
            </w:r>
          </w:p>
        </w:tc>
      </w:tr>
    </w:tbl>
    <w:bookmarkEnd w:id="154"/>
    <w:bookmarkStart w:id="155" w:name="art.-431"/>
    <w:p>
      <w:pPr>
        <w:pStyle w:val="Heading6"/>
        <w:pBdr>
          <w:left w:val="single" w:sz="36" w:space="4" w:color="2E75B6"/>
        </w:pBdr>
        <w:shd w:val="clear" w:color="auto" w:fill="E3EEF9"/>
        <w:spacing w:before="120" w:after="60"/>
        <w:ind w:left="85"/>
      </w:pPr>
      <w:r>
        <w:rPr>
          <w:i w:val="0"/>
          <w:color w:val="1F3A5F"/>
          <w:sz w:val="22"/>
        </w:rPr>
        <w:t xml:space="preserve">Art. 431</w:t>
      </w:r>
    </w:p>
    <w:p>
      <w:pPr>
        <w:pStyle w:val="FirstParagraph"/>
        <w:keepNext/>
        <w:spacing w:after="60"/>
        <w:jc w:val="both"/>
      </w:pPr>
      <w:r>
        <w:rPr>
          <w:b/>
          <w:bCs/>
        </w:rPr>
        <w:t xml:space="preserve">Art. 431.</w:t>
      </w:r>
      <w:r>
        <w:t xml:space="preserve"> </w:t>
      </w:r>
      <w:r>
        <w:t xml:space="preserve">A parte arguirá a falsidade expondo os motivos em que funda a sua pretensão e os meios com que provará o alegado.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2154"/>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ônus de expor os motivos e os meios de prova da falsidade</w:t>
            </w:r>
          </w:p>
        </w:tc>
        <w:tc>
          <w:tcPr>
            <w:tcW w:type="dxa" w:w="1655"/>
          </w:tcPr>
          <w:p>
            <w:pPr>
              <w:pStyle w:val="Compact"/>
              <w:spacing w:line="276" w:lineRule="auto" w:before="40" w:after="40"/>
            </w:pPr>
            <w:r>
              <w:rPr>
                <w:rFonts w:ascii="Liberation Sans Narrow" w:hAnsi="Liberation Sans Narrow"/>
                <w:sz w:val="17"/>
              </w:rPr>
              <w:t xml:space="preserve">STJ, AgInt nos EDcl no AREsp 2.636.563, Terceira Turma, relator Min. Humberto Martins, julgado em 30/06/2026</w:t>
            </w:r>
          </w:p>
        </w:tc>
        <w:tc>
          <w:tcPr>
            <w:tcW w:type="dxa" w:w="2154"/>
          </w:tcPr>
          <w:p>
            <w:pPr>
              <w:pStyle w:val="Compact"/>
              <w:spacing w:line="276" w:lineRule="auto" w:before="40" w:after="40"/>
            </w:pPr>
            <w:r>
              <w:rPr>
                <w:rFonts w:ascii="Liberation Sans Narrow" w:hAnsi="Liberation Sans Narrow"/>
                <w:sz w:val="17"/>
              </w:rPr>
              <w:t xml:space="preserve">O cerceamento de defesa não se configura quando ausentes elementos concretos e requerimento tempestivo para instaurar o incidente de falsidade, cabendo à parte expor os motivos em que funda a alegação e os meios com que provará o alegado (arts. 430 e 431).</w:t>
            </w:r>
          </w:p>
        </w:tc>
      </w:tr>
      <w:tr>
        <w:trPr/>
        <w:tc>
          <w:tcPr>
            <w:tcW w:type="dxa" w:w="1655"/>
          </w:tcPr>
          <w:p>
            <w:pPr>
              <w:pStyle w:val="Compact"/>
              <w:spacing w:line="276" w:lineRule="auto" w:before="40" w:after="40"/>
            </w:pPr>
            <w:r>
              <w:rPr>
                <w:rFonts w:ascii="Liberation Sans Narrow" w:hAnsi="Liberation Sans Narrow"/>
                <w:sz w:val="17"/>
              </w:rPr>
              <w:t xml:space="preserve">Art. 431, caput: delimitação dos motivos da arguição — falsidade ideológica só de documento narrativo</w:t>
            </w:r>
          </w:p>
        </w:tc>
        <w:tc>
          <w:tcPr>
            <w:tcW w:type="dxa" w:w="1655"/>
          </w:tcPr>
          <w:p>
            <w:pPr>
              <w:pStyle w:val="Compact"/>
              <w:spacing w:line="276" w:lineRule="auto" w:before="40" w:after="40"/>
            </w:pPr>
            <w:r>
              <w:rPr>
                <w:rFonts w:ascii="Liberation Sans Narrow" w:hAnsi="Liberation Sans Narrow"/>
                <w:sz w:val="17"/>
              </w:rPr>
              <w:t xml:space="preserve">STJ, REsp 1.637.099, Terceira Turma, relator Min. Ricardo Villas Bôas Cueva, julgado em 26/09/2017, DJe de 02/10/2017</w:t>
            </w:r>
          </w:p>
        </w:tc>
        <w:tc>
          <w:tcPr>
            <w:tcW w:type="dxa" w:w="2154"/>
          </w:tcPr>
          <w:p>
            <w:pPr>
              <w:pStyle w:val="Compact"/>
              <w:spacing w:line="276" w:lineRule="auto" w:before="40" w:after="40"/>
            </w:pPr>
            <w:r>
              <w:rPr>
                <w:rFonts w:ascii="Liberation Sans Narrow" w:hAnsi="Liberation Sans Narrow"/>
                <w:sz w:val="17"/>
              </w:rPr>
              <w:t xml:space="preserve">“A instauração de incidente de falsidade é possível mesmo quando se tratar de falsidade ideológica, mas desde que o documento seja narrativo, isto é, que não contenha declaração de vontade, de modo que o reconhecimento de sua falsidade não implique a desconstituição de relação jurídica, quando será necessário o ajuizamento de ação própria.”</w:t>
            </w:r>
            <w:r>
              <w:rPr>
                <w:rFonts w:ascii="Liberation Sans Narrow" w:hAnsi="Liberation Sans Narrow"/>
                <w:sz w:val="17"/>
              </w:rPr>
              <w:t xml:space="preserve"> </w:t>
            </w:r>
            <w:r>
              <w:rPr>
                <w:rFonts w:ascii="Liberation Sans Narrow" w:hAnsi="Liberation Sans Narrow"/>
                <w:sz w:val="17"/>
              </w:rPr>
              <w:t xml:space="preserve">O caso envolvia notas fiscais; o recurso especial foi provido. A ementa não indica o artigo do CPC, mas o acórdão trata do cabimento e do objeto do incidente regulado nos arts. 430 a 433, e a exposição dos motivos (art. 431) é o que define esse objeto.</w:t>
            </w:r>
          </w:p>
        </w:tc>
      </w:tr>
    </w:tbl>
    <w:bookmarkEnd w:id="155"/>
    <w:bookmarkStart w:id="156" w:name="art.-432"/>
    <w:p>
      <w:pPr>
        <w:pStyle w:val="Heading6"/>
        <w:pBdr>
          <w:left w:val="single" w:sz="36" w:space="4" w:color="2E75B6"/>
        </w:pBdr>
        <w:shd w:val="clear" w:color="auto" w:fill="E3EEF9"/>
        <w:spacing w:before="120" w:after="60"/>
        <w:ind w:left="85"/>
      </w:pPr>
      <w:r>
        <w:rPr>
          <w:i w:val="0"/>
          <w:color w:val="1F3A5F"/>
          <w:sz w:val="22"/>
        </w:rPr>
        <w:t xml:space="preserve">Art. 432</w:t>
      </w:r>
    </w:p>
    <w:p>
      <w:pPr>
        <w:pStyle w:val="FirstParagraph"/>
        <w:spacing w:after="60"/>
        <w:jc w:val="both"/>
      </w:pPr>
      <w:r>
        <w:rPr>
          <w:b/>
          <w:bCs/>
        </w:rPr>
        <w:t xml:space="preserve">Art. 432.</w:t>
      </w:r>
      <w:r>
        <w:t xml:space="preserve"> </w:t>
      </w:r>
      <w:r>
        <w:t xml:space="preserve">Depois de ouvida a outra parte no prazo de 15 (quinze) dias, será realizado o exame pericial.</w:t>
      </w:r>
    </w:p>
    <w:p>
      <w:pPr>
        <w:pStyle w:val="BodyText"/>
        <w:spacing w:after="60"/>
        <w:jc w:val="both"/>
      </w:pPr>
      <w:r>
        <w:t xml:space="preserve">Parágrafo único. Não se procederá ao exame pericial se a parte que produziu o documento concordar em retirá-lo.</w:t>
      </w:r>
    </w:p>
    <w:bookmarkEnd w:id="156"/>
    <w:bookmarkStart w:id="157" w:name="art.-433"/>
    <w:p>
      <w:pPr>
        <w:pStyle w:val="Heading6"/>
        <w:pBdr>
          <w:left w:val="single" w:sz="36" w:space="4" w:color="2E75B6"/>
        </w:pBdr>
        <w:shd w:val="clear" w:color="auto" w:fill="E3EEF9"/>
        <w:spacing w:before="120" w:after="60"/>
        <w:ind w:left="85"/>
      </w:pPr>
      <w:r>
        <w:rPr>
          <w:i w:val="0"/>
          <w:color w:val="1F3A5F"/>
          <w:sz w:val="22"/>
        </w:rPr>
        <w:t xml:space="preserve">Art. 433</w:t>
      </w:r>
    </w:p>
    <w:p>
      <w:pPr>
        <w:pStyle w:val="FirstParagraph"/>
        <w:spacing w:after="60"/>
        <w:jc w:val="both"/>
      </w:pPr>
      <w:r>
        <w:rPr>
          <w:b/>
          <w:bCs/>
        </w:rPr>
        <w:t xml:space="preserve">Art. 433.</w:t>
      </w:r>
      <w:r>
        <w:t xml:space="preserve"> </w:t>
      </w:r>
      <w:r>
        <w:t xml:space="preserve">A declaração sobre a falsidade do documento, quando suscitada como questão principal, constará da parte dispositiva da sentença e sobre ela incidirá também a autoridade da coisa julgada.</w:t>
      </w:r>
    </w:p>
    <w:bookmarkEnd w:id="157"/>
    <w:bookmarkStart w:id="158" w:name="art.-434"/>
    <w:p>
      <w:pPr>
        <w:pStyle w:val="Heading6"/>
        <w:pBdr>
          <w:left w:val="single" w:sz="36" w:space="4" w:color="2E75B6"/>
        </w:pBdr>
        <w:shd w:val="clear" w:color="auto" w:fill="E3EEF9"/>
        <w:spacing w:before="120" w:after="60"/>
        <w:ind w:left="85"/>
      </w:pPr>
      <w:r>
        <w:rPr>
          <w:i w:val="0"/>
          <w:color w:val="1F3A5F"/>
          <w:sz w:val="22"/>
        </w:rPr>
        <w:t xml:space="preserve">Art. 434</w:t>
      </w:r>
    </w:p>
    <w:p>
      <w:pPr>
        <w:pStyle w:val="FirstParagraph"/>
        <w:keepNext/>
        <w:spacing w:after="60"/>
        <w:jc w:val="both"/>
      </w:pPr>
      <w:r>
        <w:rPr>
          <w:b/>
          <w:bCs/>
        </w:rPr>
        <w:t xml:space="preserve">Art. 434.</w:t>
      </w:r>
      <w:r>
        <w:t xml:space="preserve"> </w:t>
      </w:r>
      <w:r>
        <w:t xml:space="preserve">Incumbe à parte instruir a petição inicial ou a contestação com os documentos destinados a provar suas alegações.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2029"/>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655"/>
          </w:tcPr>
          <w:p>
            <w:pPr>
              <w:pStyle w:val="Compact"/>
              <w:spacing w:line="276" w:lineRule="auto" w:before="40" w:after="40"/>
            </w:pPr>
            <w:r>
              <w:rPr>
                <w:rFonts w:ascii="Liberation Sans Narrow" w:hAnsi="Liberation Sans Narrow"/>
                <w:sz w:val="17"/>
              </w:rPr>
              <w:t xml:space="preserve">Art. 434, caput: documento essencial disponível deve ser juntado com a contestação</w:t>
            </w:r>
          </w:p>
        </w:tc>
        <w:tc>
          <w:tcPr>
            <w:tcW w:type="dxa" w:w="1655"/>
          </w:tcPr>
          <w:p>
            <w:pPr>
              <w:pStyle w:val="Compact"/>
              <w:spacing w:line="276" w:lineRule="auto" w:before="40" w:after="40"/>
            </w:pPr>
            <w:r>
              <w:rPr>
                <w:rFonts w:ascii="Liberation Sans Narrow" w:hAnsi="Liberation Sans Narrow"/>
                <w:sz w:val="17"/>
              </w:rPr>
              <w:t xml:space="preserve">STJ, AREsp 2.580.345, Quarta Turma, relator Min. João Otávio de Noronha, julgado em 30/06/2026, DJEN de 06/07/2026</w:t>
            </w:r>
          </w:p>
        </w:tc>
        <w:tc>
          <w:tcPr>
            <w:tcW w:type="dxa" w:w="2030"/>
          </w:tcPr>
          <w:p>
            <w:pPr>
              <w:pStyle w:val="Compact"/>
              <w:spacing w:line="276" w:lineRule="auto" w:before="40" w:after="40"/>
            </w:pPr>
            <w:r>
              <w:rPr>
                <w:rFonts w:ascii="Liberation Sans Narrow" w:hAnsi="Liberation Sans Narrow"/>
                <w:sz w:val="17"/>
              </w:rPr>
              <w:t xml:space="preserve">Tese expressa:</w:t>
            </w:r>
            <w:r>
              <w:rPr>
                <w:rFonts w:ascii="Liberation Sans Narrow" w:hAnsi="Liberation Sans Narrow"/>
                <w:sz w:val="17"/>
              </w:rPr>
              <w:t xml:space="preserve"> </w:t>
            </w:r>
            <w:r>
              <w:rPr>
                <w:rFonts w:ascii="Liberation Sans Narrow" w:hAnsi="Liberation Sans Narrow"/>
                <w:sz w:val="17"/>
              </w:rPr>
              <w:t xml:space="preserve">“Documento essencial à defesa, disponível desde a contestação, deve ser juntado no momento oportuno; a juntada extemporânea em apelação, sem justificativa, não se qualifica como</w:t>
            </w:r>
            <w:r>
              <w:rPr>
                <w:rFonts w:ascii="Liberation Sans Narrow" w:hAnsi="Liberation Sans Narrow"/>
                <w:sz w:val="17"/>
              </w:rPr>
              <w:t xml:space="preserve"> </w:t>
            </w:r>
            <w:r>
              <w:rPr>
                <w:rFonts w:ascii="Liberation Sans Narrow" w:hAnsi="Liberation Sans Narrow"/>
                <w:sz w:val="17"/>
              </w:rPr>
              <w:t xml:space="preserve">‘documento novo’</w:t>
            </w:r>
            <w:r>
              <w:rPr>
                <w:rFonts w:ascii="Liberation Sans Narrow" w:hAnsi="Liberation Sans Narrow"/>
                <w:sz w:val="17"/>
              </w:rPr>
              <w:t xml:space="preserve"> </w:t>
            </w:r>
            <w:r>
              <w:rPr>
                <w:rFonts w:ascii="Liberation Sans Narrow" w:hAnsi="Liberation Sans Narrow"/>
                <w:sz w:val="17"/>
              </w:rPr>
              <w:t xml:space="preserve">(arts. 434 e 435, parágrafo único, do CPC) e viola o contraditório e a ampla defesa.”</w:t>
            </w:r>
            <w:r>
              <w:rPr>
                <w:rFonts w:ascii="Liberation Sans Narrow" w:hAnsi="Liberation Sans Narrow"/>
                <w:sz w:val="17"/>
              </w:rPr>
              <w:t xml:space="preserve"> </w:t>
            </w:r>
            <w:r>
              <w:rPr>
                <w:rFonts w:ascii="Liberation Sans Narrow" w:hAnsi="Liberation Sans Narrow"/>
                <w:sz w:val="17"/>
              </w:rPr>
              <w:t xml:space="preserve">O acórdão anulado admitira, em apelação, contrato que embasou a improcedência e invertera o ônus da prova (art. 373, I e II, § 1º); a apresentação tardia, sem justificativa, foi tratada como inovação recursal e surpresa probatória, com anulação do julgado.</w:t>
            </w:r>
          </w:p>
        </w:tc>
      </w:tr>
    </w:tbl>
    <w:p>
      <w:pPr>
        <w:pStyle w:val="BodyText"/>
        <w:spacing w:after="60"/>
        <w:jc w:val="both"/>
      </w:pPr>
      <w:r>
        <w:t xml:space="preserve">Parágrafo único. Quando o documento consistir em reprodução cinematográfica ou fonográfica, a parte deverá trazê-lo nos termos do caput , mas sua exposição será realizada em audiência, intimando-se previamente as partes.</w:t>
      </w:r>
    </w:p>
    <w:bookmarkEnd w:id="158"/>
    <w:bookmarkStart w:id="159" w:name="art.-435"/>
    <w:p>
      <w:pPr>
        <w:pStyle w:val="Heading6"/>
        <w:pBdr>
          <w:left w:val="single" w:sz="36" w:space="4" w:color="2E75B6"/>
        </w:pBdr>
        <w:shd w:val="clear" w:color="auto" w:fill="E3EEF9"/>
        <w:spacing w:before="120" w:after="60"/>
        <w:ind w:left="85"/>
      </w:pPr>
      <w:r>
        <w:rPr>
          <w:i w:val="0"/>
          <w:color w:val="1F3A5F"/>
          <w:sz w:val="22"/>
        </w:rPr>
        <w:t xml:space="preserve">Art. 435</w:t>
      </w:r>
    </w:p>
    <w:p>
      <w:pPr>
        <w:pStyle w:val="FirstParagraph"/>
        <w:spacing w:after="60"/>
        <w:jc w:val="both"/>
      </w:pPr>
      <w:r>
        <w:rPr>
          <w:b/>
          <w:bCs/>
        </w:rPr>
        <w:t xml:space="preserve">Art. 435.</w:t>
      </w:r>
      <w:r>
        <w:t xml:space="preserve"> </w:t>
      </w:r>
      <w:r>
        <w:t xml:space="preserve">É lícito às partes, em qualquer tempo, juntar aos autos documentos novos, quando destinados a fazer prova de fatos ocorridos depois dos articulados ou para contrapô-los aos que foram produzidos nos autos.</w:t>
      </w:r>
    </w:p>
    <w:p>
      <w:pPr>
        <w:pStyle w:val="BodyText"/>
        <w:keepNext/>
        <w:spacing w:after="60"/>
        <w:jc w:val="both"/>
      </w:pPr>
      <w:r>
        <w:t xml:space="preserve">Parágrafo único. Admite-se também a juntada posterior de documentos formados após a petição inicial ou a contestação, bem como dos que se tornaram conhecidos, acessíveis ou disponíveis após esses atos, cabendo à parte que os produzir comprovar o motivo que a impediu de juntá-los anteriormente e incumbindo ao juiz, em qualquer caso, avaliar a conduta da parte de acordo com o art. 5º.</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Parágrafo único: juntada de documentos antigos fora de momento oportuno</w:t>
            </w:r>
          </w:p>
        </w:tc>
        <w:tc>
          <w:tcPr>
            <w:tcW w:type="dxa" w:w="1655"/>
          </w:tcPr>
          <w:p>
            <w:pPr>
              <w:pStyle w:val="Compact"/>
              <w:spacing w:line="276" w:lineRule="auto" w:before="40" w:after="40"/>
            </w:pPr>
            <w:r>
              <w:rPr>
                <w:rFonts w:ascii="Liberation Sans Narrow" w:hAnsi="Liberation Sans Narrow"/>
                <w:sz w:val="17"/>
              </w:rPr>
              <w:t xml:space="preserve">STJ, REsp 1.721.248, Segunda Turma, relator Min. Herman Benjamin, julgado em 17/04/2018, DJe de 23/05/2018</w:t>
            </w:r>
          </w:p>
        </w:tc>
        <w:tc>
          <w:tcPr>
            <w:tcW w:type="dxa" w:w="2030"/>
          </w:tcPr>
          <w:p>
            <w:pPr>
              <w:pStyle w:val="Compact"/>
              <w:spacing w:line="276" w:lineRule="auto" w:before="40" w:after="40"/>
            </w:pPr>
            <w:r>
              <w:rPr>
                <w:rFonts w:ascii="Liberation Sans Narrow" w:hAnsi="Liberation Sans Narrow"/>
                <w:sz w:val="17"/>
              </w:rPr>
              <w:t xml:space="preserve">A juntada extemporânea de documentos antigos é admitida em caráter excepcional, devendo o tribunal de origem verificar se estão presentes as circunstâncias dos arts. 5º e 435, parágrafo único. O ônus de provar o fato constitutivo é do autor (art. 373, I) e não varia conforme o responsável pela criação do documento.</w:t>
            </w:r>
          </w:p>
        </w:tc>
      </w:tr>
    </w:tbl>
    <w:bookmarkEnd w:id="159"/>
    <w:bookmarkStart w:id="160" w:name="art.-436"/>
    <w:p>
      <w:pPr>
        <w:pStyle w:val="Heading6"/>
        <w:pBdr>
          <w:left w:val="single" w:sz="36" w:space="4" w:color="2E75B6"/>
        </w:pBdr>
        <w:shd w:val="clear" w:color="auto" w:fill="E3EEF9"/>
        <w:spacing w:before="120" w:after="60"/>
        <w:ind w:left="85"/>
      </w:pPr>
      <w:r>
        <w:rPr>
          <w:i w:val="0"/>
          <w:color w:val="1F3A5F"/>
          <w:sz w:val="22"/>
        </w:rPr>
        <w:t xml:space="preserve">Art. 436</w:t>
      </w:r>
    </w:p>
    <w:p>
      <w:pPr>
        <w:pStyle w:val="FirstParagraph"/>
        <w:spacing w:after="60"/>
        <w:jc w:val="both"/>
      </w:pPr>
      <w:r>
        <w:rPr>
          <w:b/>
          <w:bCs/>
        </w:rPr>
        <w:t xml:space="preserve">Art. 436.</w:t>
      </w:r>
      <w:r>
        <w:t xml:space="preserve"> </w:t>
      </w:r>
      <w:r>
        <w:t xml:space="preserve">A parte, intimada a falar sobre documento constante dos autos, poderá:</w:t>
      </w:r>
    </w:p>
    <w:p>
      <w:pPr>
        <w:pStyle w:val="BodyText"/>
        <w:spacing w:after="60"/>
        <w:jc w:val="both"/>
      </w:pPr>
      <w:r>
        <w:t xml:space="preserve">I - impugnar a admissibilidade da prova documental;</w:t>
      </w:r>
    </w:p>
    <w:p>
      <w:pPr>
        <w:pStyle w:val="BodyText"/>
        <w:spacing w:after="60"/>
        <w:jc w:val="both"/>
      </w:pPr>
      <w:r>
        <w:t xml:space="preserve">II - impugnar sua autenticidade;</w:t>
      </w:r>
    </w:p>
    <w:p>
      <w:pPr>
        <w:pStyle w:val="BodyText"/>
        <w:keepNext/>
        <w:spacing w:after="60"/>
        <w:jc w:val="both"/>
      </w:pPr>
      <w:r>
        <w:t xml:space="preserve">III - suscitar sua falsidade, com ou sem deflagração do incidente de arguição de falsidade;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531"/>
          </w:tcPr>
          <w:p>
            <w:pPr>
              <w:pStyle w:val="Compact"/>
              <w:spacing w:line="276" w:lineRule="auto" w:before="40" w:after="40"/>
            </w:pPr>
            <w:r>
              <w:rPr>
                <w:rFonts w:ascii="Liberation Sans Narrow" w:hAnsi="Liberation Sans Narrow"/>
                <w:sz w:val="17"/>
              </w:rPr>
              <w:t xml:space="preserve">Art. 436, III: faculdade de suscitar a falsidade e efeito da falta de impugnação</w:t>
            </w:r>
          </w:p>
        </w:tc>
        <w:tc>
          <w:tcPr>
            <w:tcW w:type="dxa" w:w="1655"/>
          </w:tcPr>
          <w:p>
            <w:pPr>
              <w:pStyle w:val="Compact"/>
              <w:spacing w:line="276" w:lineRule="auto" w:before="40" w:after="40"/>
            </w:pPr>
            <w:r>
              <w:rPr>
                <w:rFonts w:ascii="Liberation Sans Narrow" w:hAnsi="Liberation Sans Narrow"/>
                <w:sz w:val="17"/>
              </w:rPr>
              <w:t xml:space="preserve">STJ, AREsp 3.014.872, Terceira Turma, relator Min. Moura Ribeiro, julgado em 09/02/2026, DJEN de 18/02/2026</w:t>
            </w:r>
          </w:p>
        </w:tc>
        <w:tc>
          <w:tcPr>
            <w:tcW w:type="dxa" w:w="2030"/>
          </w:tcPr>
          <w:p>
            <w:pPr>
              <w:pStyle w:val="Compact"/>
              <w:spacing w:line="276" w:lineRule="auto" w:before="40" w:after="40"/>
            </w:pPr>
            <w:r>
              <w:rPr>
                <w:rFonts w:ascii="Liberation Sans Narrow" w:hAnsi="Liberation Sans Narrow"/>
                <w:sz w:val="17"/>
              </w:rPr>
              <w:t xml:space="preserve">Tese do item 3:</w:t>
            </w:r>
            <w:r>
              <w:rPr>
                <w:rFonts w:ascii="Liberation Sans Narrow" w:hAnsi="Liberation Sans Narrow"/>
                <w:sz w:val="17"/>
              </w:rPr>
              <w:t xml:space="preserve"> </w:t>
            </w:r>
            <w:r>
              <w:rPr>
                <w:rFonts w:ascii="Liberation Sans Narrow" w:hAnsi="Liberation Sans Narrow"/>
                <w:sz w:val="17"/>
              </w:rPr>
              <w:t xml:space="preserve">“A juntada de procuração por cópia simples é suficiente. A autenticação é desnecessária, pois os documentos nos autos se presumem verdadeiros, quando não há arguição de falsidade pela parte adversa”</w:t>
            </w:r>
            <w:r>
              <w:rPr>
                <w:rFonts w:ascii="Liberation Sans Narrow" w:hAnsi="Liberation Sans Narrow"/>
                <w:sz w:val="17"/>
              </w:rPr>
              <w:t xml:space="preserve">. O caso era ação monitória fundada em duplicatas; os demais capítulos (negativa de prestação jurisdicional, prescrição quinquenal, Súmula 7/STJ) não tocam a prova documental. A ementa não indica o artigo do CPC: a presunção invocada é a do art. 411, III, e a faculdade de arguir a falsidade é a do art. 436, III.</w:t>
            </w:r>
          </w:p>
        </w:tc>
      </w:tr>
    </w:tbl>
    <w:p>
      <w:pPr>
        <w:pStyle w:val="BodyText"/>
        <w:spacing w:after="60"/>
        <w:jc w:val="both"/>
      </w:pPr>
      <w:r>
        <w:t xml:space="preserve">IV - manifestar-se sobre seu conteúdo.</w:t>
      </w:r>
    </w:p>
    <w:p>
      <w:pPr>
        <w:pStyle w:val="BodyText"/>
        <w:spacing w:after="60"/>
        <w:jc w:val="both"/>
      </w:pPr>
      <w:r>
        <w:t xml:space="preserve">Parágrafo único. Nas hipóteses dos incisos II e III, a impugnação deverá basear-se em argumentação específica, não se admitindo alegação genérica de falsidade.</w:t>
      </w:r>
    </w:p>
    <w:bookmarkEnd w:id="160"/>
    <w:bookmarkStart w:id="161" w:name="art.-437"/>
    <w:p>
      <w:pPr>
        <w:pStyle w:val="Heading6"/>
        <w:pBdr>
          <w:left w:val="single" w:sz="36" w:space="4" w:color="2E75B6"/>
        </w:pBdr>
        <w:shd w:val="clear" w:color="auto" w:fill="E3EEF9"/>
        <w:spacing w:before="120" w:after="60"/>
        <w:ind w:left="85"/>
      </w:pPr>
      <w:r>
        <w:rPr>
          <w:i w:val="0"/>
          <w:color w:val="1F3A5F"/>
          <w:sz w:val="22"/>
        </w:rPr>
        <w:t xml:space="preserve">Art. 437</w:t>
      </w:r>
    </w:p>
    <w:p>
      <w:pPr>
        <w:pStyle w:val="FirstParagraph"/>
        <w:spacing w:after="60"/>
        <w:jc w:val="both"/>
      </w:pPr>
      <w:r>
        <w:rPr>
          <w:b/>
          <w:bCs/>
        </w:rPr>
        <w:t xml:space="preserve">Art. 437.</w:t>
      </w:r>
      <w:r>
        <w:t xml:space="preserve"> </w:t>
      </w:r>
      <w:r>
        <w:t xml:space="preserve">O réu manifestar-se-á na contestação sobre os documentos anexados à inicial, e o autor manifestar-se-á na réplica sobre os documentos anexados à contestação.</w:t>
      </w:r>
    </w:p>
    <w:p>
      <w:pPr>
        <w:pStyle w:val="BodyText"/>
        <w:keepNext/>
        <w:spacing w:after="60"/>
        <w:jc w:val="both"/>
      </w:pPr>
      <w:r>
        <w:t xml:space="preserve">§ 1º Sempre que uma das partes requerer a juntada de documento aos autos, o juiz ouvirá, a seu respeito, a outra parte, que disporá do prazo de 15 (quinze) dias para adotar qualquer das posturas indicadas no art. 436.</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2528"/>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52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905"/>
          </w:tcPr>
          <w:p>
            <w:pPr>
              <w:pStyle w:val="Compact"/>
              <w:spacing w:line="276" w:lineRule="auto" w:before="40" w:after="40"/>
            </w:pPr>
            <w:r>
              <w:rPr>
                <w:rFonts w:ascii="Liberation Sans Narrow" w:hAnsi="Liberation Sans Narrow"/>
                <w:sz w:val="17"/>
              </w:rPr>
              <w:t xml:space="preserve">Art. 437, § 1º: juntada de documento novo e contraditório</w:t>
            </w:r>
          </w:p>
        </w:tc>
        <w:tc>
          <w:tcPr>
            <w:tcW w:type="dxa" w:w="1655"/>
          </w:tcPr>
          <w:p>
            <w:pPr>
              <w:pStyle w:val="Compact"/>
              <w:spacing w:line="276" w:lineRule="auto" w:before="40" w:after="40"/>
            </w:pPr>
            <w:r>
              <w:rPr>
                <w:rFonts w:ascii="Liberation Sans Narrow" w:hAnsi="Liberation Sans Narrow"/>
                <w:sz w:val="17"/>
              </w:rPr>
              <w:t xml:space="preserve">STJ, REsp 2.250.689, Quarta Turma, relatora Min. Maria Isabel Gallotti, julgado em 01/06/2026, DJEN de 08/06/2026</w:t>
            </w:r>
          </w:p>
        </w:tc>
        <w:tc>
          <w:tcPr>
            <w:tcW w:type="dxa" w:w="2529"/>
          </w:tcPr>
          <w:p>
            <w:pPr>
              <w:pStyle w:val="Compact"/>
              <w:spacing w:line="276" w:lineRule="auto" w:before="40" w:after="40"/>
            </w:pPr>
            <w:r>
              <w:rPr>
                <w:rFonts w:ascii="Liberation Sans Narrow" w:hAnsi="Liberation Sans Narrow"/>
                <w:sz w:val="17"/>
              </w:rPr>
              <w:t xml:space="preserve">A juntada de documentos novos aos autos, com aptidão de influir na formação do conhecimento do julgador, impõe o estabelecimento do contraditório, com abertura de oportunidade de manifestação da parte adversa, na esteira dos arts. 10 e 437, § 1º, do CPC, sob pena de nulidade. No caso, a exequente juntou documentos após a oferta de exceção de pré-executividade, para provar a certeza, a liquidez e a exigibilidade do título, sem que a executada pudesse se manifestar; recurso especial provido.</w:t>
            </w:r>
          </w:p>
        </w:tc>
      </w:tr>
    </w:tbl>
    <w:p>
      <w:pPr>
        <w:pStyle w:val="BodyText"/>
        <w:spacing w:after="60"/>
        <w:jc w:val="both"/>
      </w:pPr>
      <w:r>
        <w:t xml:space="preserve">§ 2º Poderá o juiz, a requerimento da parte, dilatar o prazo para manifestação sobre a prova documental produzida, levando em consideração a quantidade e a complexidade da documentação.</w:t>
      </w:r>
    </w:p>
    <w:bookmarkEnd w:id="161"/>
    <w:bookmarkStart w:id="162" w:name="art.-438"/>
    <w:p>
      <w:pPr>
        <w:pStyle w:val="Heading6"/>
        <w:pBdr>
          <w:left w:val="single" w:sz="36" w:space="4" w:color="2E75B6"/>
        </w:pBdr>
        <w:shd w:val="clear" w:color="auto" w:fill="E3EEF9"/>
        <w:spacing w:before="120" w:after="60"/>
        <w:ind w:left="85"/>
      </w:pPr>
      <w:r>
        <w:rPr>
          <w:i w:val="0"/>
          <w:color w:val="1F3A5F"/>
          <w:sz w:val="22"/>
        </w:rPr>
        <w:t xml:space="preserve">Art. 438</w:t>
      </w:r>
    </w:p>
    <w:p>
      <w:pPr>
        <w:pStyle w:val="FirstParagraph"/>
        <w:spacing w:after="60"/>
        <w:jc w:val="both"/>
      </w:pPr>
      <w:r>
        <w:rPr>
          <w:b/>
          <w:bCs/>
        </w:rPr>
        <w:t xml:space="preserve">Art. 438.</w:t>
      </w:r>
      <w:r>
        <w:t xml:space="preserve"> </w:t>
      </w:r>
      <w:r>
        <w:t xml:space="preserve">O juiz requisitará às repartições públicas, em qualquer tempo ou grau de jurisdição:</w:t>
      </w:r>
    </w:p>
    <w:p>
      <w:pPr>
        <w:pStyle w:val="BodyText"/>
        <w:spacing w:after="60"/>
        <w:jc w:val="both"/>
      </w:pPr>
      <w:r>
        <w:t xml:space="preserve">I - as certidões necessárias à prova das alegações das partes;</w:t>
      </w:r>
    </w:p>
    <w:p>
      <w:pPr>
        <w:pStyle w:val="BodyText"/>
        <w:spacing w:after="60"/>
        <w:jc w:val="both"/>
      </w:pPr>
      <w:r>
        <w:t xml:space="preserve">II - os procedimentos administrativos nas causas em que forem interessados a União, os Estados, o Distrito Federal, os Municípios ou entidades da administração indireta.</w:t>
      </w:r>
    </w:p>
    <w:p>
      <w:pPr>
        <w:pStyle w:val="BodyText"/>
        <w:spacing w:after="60"/>
        <w:jc w:val="both"/>
      </w:pPr>
      <w:r>
        <w:t xml:space="preserve">§ 1º Recebidos os autos, o juiz mandará extrair, no prazo máximo e improrrogável de 1 (um) mês, certidões ou reproduções fotográficas das peças que indicar e das que forem indicadas pelas partes, e, em seguida, devolverá os autos à repartição de origem.</w:t>
      </w:r>
    </w:p>
    <w:p>
      <w:pPr>
        <w:pStyle w:val="BodyText"/>
        <w:spacing w:after="60"/>
        <w:jc w:val="both"/>
      </w:pPr>
      <w:r>
        <w:t xml:space="preserve">§ 2º As repartições públicas poderão fornecer todos os documentos em meio eletrônico, conforme disposto em lei, certificando, pelo mesmo meio, que se trata de extrato fiel do que consta em seu banco de dados ou no documento digitalizado.</w:t>
      </w:r>
    </w:p>
    <w:bookmarkEnd w:id="162"/>
    <w:bookmarkEnd w:id="163"/>
    <w:bookmarkStart w:id="167" w:name="Xbc48cfdce427b80f489af148652ca76de858620"/>
    <w:p>
      <w:pPr>
        <w:pStyle w:val="Heading5"/>
        <w:spacing w:before="60" w:after="20"/>
      </w:pPr>
      <w:r>
        <w:rPr>
          <w:i/>
          <w:color w:val="595959"/>
        </w:rPr>
        <w:t xml:space="preserve">Seção VIII: dos documentos eletrônicos (arts. 439 a 441)</w:t>
      </w:r>
    </w:p>
    <w:bookmarkStart w:id="164" w:name="art.-439"/>
    <w:p>
      <w:pPr>
        <w:pStyle w:val="Heading6"/>
        <w:pBdr>
          <w:left w:val="single" w:sz="36" w:space="4" w:color="2E75B6"/>
        </w:pBdr>
        <w:shd w:val="clear" w:color="auto" w:fill="E3EEF9"/>
        <w:spacing w:before="120" w:after="60"/>
        <w:ind w:left="85"/>
      </w:pPr>
      <w:r>
        <w:rPr>
          <w:i w:val="0"/>
          <w:color w:val="1F3A5F"/>
          <w:sz w:val="22"/>
        </w:rPr>
        <w:t xml:space="preserve">Art. 439</w:t>
      </w:r>
    </w:p>
    <w:p>
      <w:pPr>
        <w:pStyle w:val="FirstParagraph"/>
        <w:keepNext/>
        <w:spacing w:after="60"/>
        <w:jc w:val="both"/>
      </w:pPr>
      <w:r>
        <w:rPr>
          <w:b/>
          <w:bCs/>
        </w:rPr>
        <w:t xml:space="preserve">Art. 439.</w:t>
      </w:r>
      <w:r>
        <w:t xml:space="preserve"> </w:t>
      </w:r>
      <w:r>
        <w:t xml:space="preserve">A utilização de documentos eletrônicos no processo convencional dependerá de sua conversão à forma impressa e da verificação de sua autenticidade, na forma da lei.</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2404"/>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905"/>
          </w:tcPr>
          <w:p>
            <w:pPr>
              <w:pStyle w:val="Compact"/>
              <w:spacing w:line="276" w:lineRule="auto" w:before="40" w:after="40"/>
            </w:pPr>
            <w:r>
              <w:rPr>
                <w:rFonts w:ascii="Liberation Sans Narrow" w:hAnsi="Liberation Sans Narrow"/>
                <w:sz w:val="17"/>
              </w:rPr>
              <w:t xml:space="preserve">Art. 439: autenticidade do documento digitalizado e necessidade dos originais quando impugnada a falsidade</w:t>
            </w:r>
          </w:p>
        </w:tc>
        <w:tc>
          <w:tcPr>
            <w:tcW w:type="dxa" w:w="1655"/>
          </w:tcPr>
          <w:p>
            <w:pPr>
              <w:pStyle w:val="Compact"/>
              <w:spacing w:line="276" w:lineRule="auto" w:before="40" w:after="40"/>
            </w:pPr>
            <w:r>
              <w:rPr>
                <w:rFonts w:ascii="Liberation Sans Narrow" w:hAnsi="Liberation Sans Narrow"/>
                <w:sz w:val="17"/>
              </w:rPr>
              <w:t xml:space="preserve">STJ, AREsp 1.980.949, Quarta Turma, relator Min. Raul Araújo, julgado em 09/03/2026, DJEN de 16/03/2026</w:t>
            </w:r>
          </w:p>
        </w:tc>
        <w:tc>
          <w:tcPr>
            <w:tcW w:type="dxa" w:w="2404"/>
          </w:tcPr>
          <w:p>
            <w:pPr>
              <w:pStyle w:val="Compact"/>
              <w:spacing w:line="276" w:lineRule="auto" w:before="40" w:after="40"/>
            </w:pPr>
            <w:r>
              <w:rPr>
                <w:rFonts w:ascii="Liberation Sans Narrow" w:hAnsi="Liberation Sans Narrow"/>
                <w:sz w:val="17"/>
              </w:rPr>
              <w:t xml:space="preserve">“A força probante de documentos digitalizados depende da apresentação dos originais quando há alegação motivada e fundamentada de falsidade ou adulteração”</w:t>
            </w:r>
            <w:r>
              <w:rPr>
                <w:rFonts w:ascii="Liberation Sans Narrow" w:hAnsi="Liberation Sans Narrow"/>
                <w:sz w:val="17"/>
              </w:rPr>
              <w:t xml:space="preserve">; a ausência de apresentação dos originais, mesmo após reiteradas intimações,</w:t>
            </w:r>
            <w:r>
              <w:rPr>
                <w:rFonts w:ascii="Liberation Sans Narrow" w:hAnsi="Liberation Sans Narrow"/>
                <w:sz w:val="17"/>
              </w:rPr>
              <w:t xml:space="preserve"> </w:t>
            </w:r>
            <w:r>
              <w:rPr>
                <w:rFonts w:ascii="Liberation Sans Narrow" w:hAnsi="Liberation Sans Narrow"/>
                <w:sz w:val="17"/>
              </w:rPr>
              <w:t xml:space="preserve">“prejudica a análise pericial e a possibilidade de arguição de incidente de falsidade, resultando na perda da força probante dos documentos digitalizados”</w:t>
            </w:r>
            <w:r>
              <w:rPr>
                <w:rFonts w:ascii="Liberation Sans Narrow" w:hAnsi="Liberation Sans Narrow"/>
                <w:sz w:val="17"/>
              </w:rPr>
              <w:t xml:space="preserve"> </w:t>
            </w:r>
            <w:r>
              <w:rPr>
                <w:rFonts w:ascii="Liberation Sans Narrow" w:hAnsi="Liberation Sans Narrow"/>
                <w:sz w:val="17"/>
              </w:rPr>
              <w:t xml:space="preserve">(itens 3 e 4). A reforma dessa conclusão exigiria reexame do suporte fático-probatório (Súmula 7/STJ). O processo também discutia o cancelamento da distribuição por falta de pagamento de custas (itens 1 e 2). A ementa não indica o artigo do CPC: o julgado foi ancorado neste dispositivo por tratar de documento digitalizado e da verificação de sua autenticidade.</w:t>
            </w:r>
          </w:p>
        </w:tc>
      </w:tr>
    </w:tbl>
    <w:bookmarkEnd w:id="164"/>
    <w:bookmarkStart w:id="165" w:name="art.-440"/>
    <w:p>
      <w:pPr>
        <w:pStyle w:val="Heading6"/>
        <w:pBdr>
          <w:left w:val="single" w:sz="36" w:space="4" w:color="2E75B6"/>
        </w:pBdr>
        <w:shd w:val="clear" w:color="auto" w:fill="E3EEF9"/>
        <w:spacing w:before="120" w:after="60"/>
        <w:ind w:left="85"/>
      </w:pPr>
      <w:r>
        <w:rPr>
          <w:i w:val="0"/>
          <w:color w:val="1F3A5F"/>
          <w:sz w:val="22"/>
        </w:rPr>
        <w:t xml:space="preserve">Art. 440</w:t>
      </w:r>
    </w:p>
    <w:p>
      <w:pPr>
        <w:pStyle w:val="FirstParagraph"/>
        <w:keepNext/>
        <w:spacing w:after="60"/>
        <w:jc w:val="both"/>
      </w:pPr>
      <w:r>
        <w:rPr>
          <w:b/>
          <w:bCs/>
        </w:rPr>
        <w:t xml:space="preserve">Art. 440.</w:t>
      </w:r>
      <w:r>
        <w:t xml:space="preserve"> </w:t>
      </w:r>
      <w:r>
        <w:t xml:space="preserve">O juiz apreciará o valor probante do documento eletrônico não convertido, assegurado às partes o acesso ao seu teor.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780"/>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531"/>
          </w:tcPr>
          <w:p>
            <w:pPr>
              <w:pStyle w:val="Compact"/>
              <w:spacing w:line="276" w:lineRule="auto" w:before="40" w:after="40"/>
            </w:pPr>
            <w:r>
              <w:rPr>
                <w:rFonts w:ascii="Liberation Sans Narrow" w:hAnsi="Liberation Sans Narrow"/>
                <w:sz w:val="17"/>
              </w:rPr>
              <w:t xml:space="preserve">Caput — documento eletrônico e assinatura por meio digital</w:t>
            </w:r>
          </w:p>
        </w:tc>
        <w:tc>
          <w:tcPr>
            <w:tcW w:type="dxa" w:w="1655"/>
          </w:tcPr>
          <w:p>
            <w:pPr>
              <w:pStyle w:val="Compact"/>
              <w:spacing w:line="276" w:lineRule="auto" w:before="40" w:after="40"/>
            </w:pPr>
            <w:r>
              <w:rPr>
                <w:rFonts w:ascii="Liberation Sans Narrow" w:hAnsi="Liberation Sans Narrow"/>
                <w:sz w:val="17"/>
              </w:rPr>
              <w:t xml:space="preserve">STJ, REsp 2.197.156, Terceira Turma, relatora Min. Nancy Andrighi, julgado em 03/03/2026, DJEN de 09/03/2026</w:t>
            </w:r>
          </w:p>
        </w:tc>
        <w:tc>
          <w:tcPr>
            <w:tcW w:type="dxa" w:w="1780"/>
          </w:tcPr>
          <w:p>
            <w:pPr>
              <w:pStyle w:val="Compact"/>
              <w:spacing w:line="276" w:lineRule="auto" w:before="40" w:after="40"/>
            </w:pPr>
            <w:r>
              <w:rPr>
                <w:rFonts w:ascii="Liberation Sans Narrow" w:hAnsi="Liberation Sans Narrow"/>
                <w:sz w:val="17"/>
              </w:rPr>
              <w:t xml:space="preserve">O art. 10, § 2º, da Medida Provisória nº 2.200-2/2001 não obsta a utilização de outro meio de comprovação da autoria e integridade de documentos eletrônicos, inclusive certificados não emitidos pela ICP-Brasil, desde que admitidos pelas partes como válidos ou aceitos por quem lhes é oposto o documento; a simples irresignação genérica da parte quanto à legitimidade do documento não basta para invalidá-lo, e a controvérsia sobre a contratação digital se resolve pelo ônus da prova (Tema 1.061/STJ).</w:t>
            </w:r>
          </w:p>
        </w:tc>
      </w:tr>
    </w:tbl>
    <w:bookmarkEnd w:id="165"/>
    <w:bookmarkStart w:id="166" w:name="art.-441"/>
    <w:p>
      <w:pPr>
        <w:pStyle w:val="Heading6"/>
        <w:pBdr>
          <w:left w:val="single" w:sz="36" w:space="4" w:color="2E75B6"/>
        </w:pBdr>
        <w:shd w:val="clear" w:color="auto" w:fill="E3EEF9"/>
        <w:spacing w:before="120" w:after="60"/>
        <w:ind w:left="85"/>
      </w:pPr>
      <w:r>
        <w:rPr>
          <w:i w:val="0"/>
          <w:color w:val="1F3A5F"/>
          <w:sz w:val="22"/>
        </w:rPr>
        <w:t xml:space="preserve">Art. 441</w:t>
      </w:r>
    </w:p>
    <w:p>
      <w:pPr>
        <w:pStyle w:val="FirstParagraph"/>
        <w:keepNext/>
        <w:spacing w:after="60"/>
        <w:jc w:val="both"/>
      </w:pPr>
      <w:r>
        <w:rPr>
          <w:b/>
          <w:bCs/>
        </w:rPr>
        <w:t xml:space="preserve">Art. 441.</w:t>
      </w:r>
      <w:r>
        <w:t xml:space="preserve"> </w:t>
      </w:r>
      <w:r>
        <w:t xml:space="preserve">Serão admitidos documentos eletrônicos produzidos e conservados com a observância da legislação específica.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1905"/>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admissão de documentos eletrônicos conforme a legislação específica</w:t>
            </w:r>
          </w:p>
        </w:tc>
        <w:tc>
          <w:tcPr>
            <w:tcW w:type="dxa" w:w="1531"/>
          </w:tcPr>
          <w:p>
            <w:pPr>
              <w:pStyle w:val="Compact"/>
              <w:spacing w:line="276" w:lineRule="auto" w:before="40" w:after="40"/>
            </w:pPr>
            <w:r>
              <w:rPr>
                <w:rFonts w:ascii="Liberation Sans Narrow" w:hAnsi="Liberation Sans Narrow"/>
                <w:sz w:val="17"/>
              </w:rPr>
              <w:t xml:space="preserve">STJ, REsp 2.223.695, Terceira Turma, relatora Min. Nancy Andrighi, julgado em 10/03/2026</w:t>
            </w:r>
          </w:p>
        </w:tc>
        <w:tc>
          <w:tcPr>
            <w:tcW w:type="dxa" w:w="1905"/>
          </w:tcPr>
          <w:p>
            <w:pPr>
              <w:pStyle w:val="Compact"/>
              <w:spacing w:line="276" w:lineRule="auto" w:before="40" w:after="40"/>
            </w:pPr>
            <w:r>
              <w:rPr>
                <w:rFonts w:ascii="Liberation Sans Narrow" w:hAnsi="Liberation Sans Narrow"/>
                <w:sz w:val="17"/>
              </w:rPr>
              <w:t xml:space="preserve">A procuração eletrônica não exige, como regra, o uso exclusivo de certificação digital emitida no âmbito da ICP-Brasil, por constituir instrumento particular de outorga de poderes; havendo dúvida objetiva sobre a autenticidade da assinatura ou a legitimidade da outorga, o juiz pode determinar a apresentação de procuração firmada com certificação digital qualificada.</w:t>
            </w:r>
          </w:p>
        </w:tc>
      </w:tr>
    </w:tbl>
    <w:bookmarkEnd w:id="166"/>
    <w:bookmarkEnd w:id="167"/>
    <w:bookmarkStart w:id="190" w:name="Xdee2576f313b32230bb554953c066308a3bbb4b"/>
    <w:p>
      <w:pPr>
        <w:pStyle w:val="Heading5"/>
        <w:spacing w:before="60" w:after="20"/>
      </w:pPr>
      <w:r>
        <w:rPr>
          <w:i/>
          <w:color w:val="595959"/>
        </w:rPr>
        <w:t xml:space="preserve">Seção IX: da prova testemunhal (arts. 442 a 463)</w:t>
      </w:r>
    </w:p>
    <w:bookmarkStart w:id="168" w:name="art.-442"/>
    <w:p>
      <w:pPr>
        <w:pStyle w:val="Heading6"/>
        <w:pBdr>
          <w:left w:val="single" w:sz="36" w:space="4" w:color="2E75B6"/>
        </w:pBdr>
        <w:shd w:val="clear" w:color="auto" w:fill="E3EEF9"/>
        <w:spacing w:before="120" w:after="60"/>
        <w:ind w:left="85"/>
      </w:pPr>
      <w:r>
        <w:rPr>
          <w:i w:val="0"/>
          <w:color w:val="1F3A5F"/>
          <w:sz w:val="22"/>
        </w:rPr>
        <w:t xml:space="preserve">Art. 442</w:t>
      </w:r>
    </w:p>
    <w:p>
      <w:pPr>
        <w:pStyle w:val="FirstParagraph"/>
        <w:keepNext/>
        <w:spacing w:after="60"/>
        <w:jc w:val="both"/>
      </w:pPr>
      <w:r>
        <w:rPr>
          <w:b/>
          <w:bCs/>
        </w:rPr>
        <w:t xml:space="preserve">Art. 442.</w:t>
      </w:r>
      <w:r>
        <w:t xml:space="preserve"> </w:t>
      </w:r>
      <w:r>
        <w:t xml:space="preserve">A prova testemunhal é sempre admissível, não dispondo a lei de modo diverso.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279"/>
        <w:gridCol w:w="1530"/>
        <w:gridCol w:w="2279"/>
      </w:tblGrid>
      <w:tr>
        <w:trPr>
          <w:tblHeader w:val="on"/>
          <w:cantSplit/>
          <w:tblHeader/>
        </w:trPr>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279"/>
          </w:tcPr>
          <w:p>
            <w:pPr>
              <w:pStyle w:val="Compact"/>
              <w:spacing w:line="276" w:lineRule="auto" w:before="40" w:after="40"/>
            </w:pPr>
            <w:r>
              <w:rPr>
                <w:rFonts w:ascii="Liberation Sans Narrow" w:hAnsi="Liberation Sans Narrow"/>
                <w:sz w:val="17"/>
              </w:rPr>
              <w:t xml:space="preserve">Oitiva por carta precatória e videoconferência</w:t>
            </w:r>
          </w:p>
        </w:tc>
        <w:tc>
          <w:tcPr>
            <w:tcW w:type="dxa" w:w="1531"/>
          </w:tcPr>
          <w:p>
            <w:pPr>
              <w:pStyle w:val="Compact"/>
              <w:spacing w:line="276" w:lineRule="auto" w:before="40" w:after="40"/>
            </w:pPr>
            <w:r>
              <w:rPr>
                <w:rFonts w:ascii="Liberation Sans Narrow" w:hAnsi="Liberation Sans Narrow"/>
                <w:sz w:val="17"/>
              </w:rPr>
              <w:t xml:space="preserve">STJ, CC 196.664, Primeira Seção, relator Min. Francisco Falcão, DJe de 12/11/2023</w:t>
            </w:r>
          </w:p>
        </w:tc>
        <w:tc>
          <w:tcPr>
            <w:tcW w:type="dxa" w:w="2279"/>
          </w:tcPr>
          <w:p>
            <w:pPr>
              <w:pStyle w:val="Compact"/>
              <w:spacing w:line="276" w:lineRule="auto" w:before="40" w:after="40"/>
            </w:pPr>
            <w:r>
              <w:rPr>
                <w:rFonts w:ascii="Liberation Sans Narrow" w:hAnsi="Liberation Sans Narrow"/>
                <w:sz w:val="17"/>
              </w:rPr>
              <w:t xml:space="preserve">O art. 267 do CPC/2015 traz rol taxativo de recusa de cumprimento da carta precatória; a prática de atos por videoconferência é faculdade do juízo deprecante, não cabendo ao deprecado determinar forma diversa da audiência. Competente o juízo deprecado para cumprir a carta. Há outro conflito de ementa quase idêntica.</w:t>
            </w:r>
          </w:p>
        </w:tc>
      </w:tr>
      <w:tr>
        <w:trPr>
          <w:cantSplit/>
        </w:trPr>
        <w:tc>
          <w:tcPr>
            <w:tcW w:type="dxa" w:w="2279"/>
          </w:tcPr>
          <w:p>
            <w:pPr>
              <w:pStyle w:val="Compact"/>
              <w:spacing w:line="276" w:lineRule="auto" w:before="40" w:after="40"/>
            </w:pPr>
            <w:r>
              <w:rPr>
                <w:rFonts w:ascii="Liberation Sans Narrow" w:hAnsi="Liberation Sans Narrow"/>
                <w:sz w:val="17"/>
              </w:rPr>
              <w:t xml:space="preserve">Arts. 442 e 443: prova pericial já produzida e indeferimento da testemunhal</w:t>
            </w:r>
          </w:p>
        </w:tc>
        <w:tc>
          <w:tcPr>
            <w:tcW w:type="dxa" w:w="1531"/>
          </w:tcPr>
          <w:p>
            <w:pPr>
              <w:pStyle w:val="Compact"/>
              <w:spacing w:line="276" w:lineRule="auto" w:before="40" w:after="40"/>
            </w:pPr>
            <w:r>
              <w:rPr>
                <w:rFonts w:ascii="Liberation Sans Narrow" w:hAnsi="Liberation Sans Narrow"/>
                <w:sz w:val="17"/>
              </w:rPr>
              <w:t xml:space="preserve">STJ, AREsp 2.547.573, Quarta Turma, relator Min. João Otávio de Noronha, DJe de 22/12/2025</w:t>
            </w:r>
          </w:p>
        </w:tc>
        <w:tc>
          <w:tcPr>
            <w:tcW w:type="dxa" w:w="2279"/>
          </w:tcPr>
          <w:p>
            <w:pPr>
              <w:pStyle w:val="Compact"/>
              <w:spacing w:line="276" w:lineRule="auto" w:before="40" w:after="40"/>
            </w:pPr>
            <w:r>
              <w:rPr>
                <w:rFonts w:ascii="Liberation Sans Narrow" w:hAnsi="Liberation Sans Narrow"/>
                <w:sz w:val="17"/>
              </w:rPr>
              <w:t xml:space="preserve">Ação de ressarcimento: rever a suficiência da prova pericial e a necessidade da prova testemunhal exige reexame de provas (Súmula 7/STJ); divergência não comprovada.</w:t>
            </w:r>
          </w:p>
        </w:tc>
      </w:tr>
      <w:tr>
        <w:trPr>
          <w:cantSplit/>
        </w:trPr>
        <w:tc>
          <w:tcPr>
            <w:tcW w:type="dxa" w:w="2279"/>
          </w:tcPr>
          <w:p>
            <w:pPr>
              <w:pStyle w:val="Compact"/>
              <w:spacing w:line="276" w:lineRule="auto" w:before="40" w:after="40"/>
            </w:pPr>
            <w:r>
              <w:rPr>
                <w:rFonts w:ascii="Liberation Sans Narrow" w:hAnsi="Liberation Sans Narrow"/>
                <w:sz w:val="17"/>
              </w:rPr>
              <w:t xml:space="preserve">Arts. 442 e 443: indeferimento da prova testemunhal</w:t>
            </w:r>
          </w:p>
        </w:tc>
        <w:tc>
          <w:tcPr>
            <w:tcW w:type="dxa" w:w="1531"/>
          </w:tcPr>
          <w:p>
            <w:pPr>
              <w:pStyle w:val="Compact"/>
              <w:spacing w:line="276" w:lineRule="auto" w:before="40" w:after="40"/>
            </w:pPr>
            <w:r>
              <w:rPr>
                <w:rFonts w:ascii="Liberation Sans Narrow" w:hAnsi="Liberation Sans Narrow"/>
                <w:sz w:val="17"/>
              </w:rPr>
              <w:t xml:space="preserve">STJ, AREsp 2.729.744, Quinta Turma, relatora Min. Daniela Teixeira, DJe de 16/10/2025</w:t>
            </w:r>
          </w:p>
        </w:tc>
        <w:tc>
          <w:tcPr>
            <w:tcW w:type="dxa" w:w="2279"/>
          </w:tcPr>
          <w:p>
            <w:pPr>
              <w:pStyle w:val="Compact"/>
              <w:spacing w:line="276" w:lineRule="auto" w:before="40" w:after="40"/>
            </w:pPr>
            <w:r>
              <w:rPr>
                <w:rFonts w:ascii="Liberation Sans Narrow" w:hAnsi="Liberation Sans Narrow"/>
                <w:sz w:val="17"/>
              </w:rPr>
              <w:t xml:space="preserve">É firme a jurisprudência de que não há cerceamento de defesa quando o julgador, constatando nos autos provas suficientes para o convencimento, indefere a prova testemunhal (Súmula 83); rever o quadro fático é vedado (Súmula 7). Embargos à execução, alegação de agiotagem.</w:t>
            </w:r>
          </w:p>
        </w:tc>
      </w:tr>
    </w:tbl>
    <w:bookmarkEnd w:id="168"/>
    <w:bookmarkStart w:id="169" w:name="art.-443"/>
    <w:p>
      <w:pPr>
        <w:pStyle w:val="Heading6"/>
        <w:pBdr>
          <w:left w:val="single" w:sz="36" w:space="4" w:color="2E75B6"/>
        </w:pBdr>
        <w:shd w:val="clear" w:color="auto" w:fill="E3EEF9"/>
        <w:spacing w:before="120" w:after="60"/>
        <w:ind w:left="85"/>
      </w:pPr>
      <w:r>
        <w:rPr>
          <w:i w:val="0"/>
          <w:color w:val="1F3A5F"/>
          <w:sz w:val="22"/>
        </w:rPr>
        <w:t xml:space="preserve">Art. 443</w:t>
      </w:r>
    </w:p>
    <w:p>
      <w:pPr>
        <w:pStyle w:val="FirstParagraph"/>
        <w:spacing w:after="60"/>
        <w:jc w:val="both"/>
      </w:pPr>
      <w:r>
        <w:rPr>
          <w:b/>
          <w:bCs/>
        </w:rPr>
        <w:t xml:space="preserve">Art. 443.</w:t>
      </w:r>
      <w:r>
        <w:t xml:space="preserve"> </w:t>
      </w:r>
      <w:r>
        <w:t xml:space="preserve">O juiz indeferirá a inquirição de testemunhas sobre fatos:</w:t>
      </w:r>
    </w:p>
    <w:p>
      <w:pPr>
        <w:pStyle w:val="BodyText"/>
        <w:spacing w:after="60"/>
        <w:jc w:val="both"/>
      </w:pPr>
      <w:r>
        <w:t xml:space="preserve">I - já provados por documento ou confissão da parte;</w:t>
      </w:r>
    </w:p>
    <w:p>
      <w:pPr>
        <w:pStyle w:val="BodyText"/>
        <w:keepNext/>
        <w:spacing w:after="60"/>
        <w:jc w:val="both"/>
      </w:pPr>
      <w:r>
        <w:t xml:space="preserve">II - que só por documento ou por exame pericial puderem ser provados.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2528"/>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52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Art. 443, II: indeferimento da testemunhal quando já há prova técnica</w:t>
            </w:r>
          </w:p>
        </w:tc>
        <w:tc>
          <w:tcPr>
            <w:tcW w:type="dxa" w:w="1655"/>
          </w:tcPr>
          <w:p>
            <w:pPr>
              <w:pStyle w:val="Compact"/>
              <w:spacing w:line="276" w:lineRule="auto" w:before="40" w:after="40"/>
            </w:pPr>
            <w:r>
              <w:rPr>
                <w:rFonts w:ascii="Liberation Sans Narrow" w:hAnsi="Liberation Sans Narrow"/>
                <w:sz w:val="17"/>
              </w:rPr>
              <w:t xml:space="preserve">STJ, AREsp 2.953.224, Terceira Turma, relator Min. Moura Ribeiro, julgado em 16/03/2026, DJEN de 20/03/2026</w:t>
            </w:r>
          </w:p>
        </w:tc>
        <w:tc>
          <w:tcPr>
            <w:tcW w:type="dxa" w:w="2529"/>
          </w:tcPr>
          <w:p>
            <w:pPr>
              <w:pStyle w:val="Compact"/>
              <w:spacing w:line="276" w:lineRule="auto" w:before="40" w:after="40"/>
            </w:pPr>
            <w:r>
              <w:rPr>
                <w:rFonts w:ascii="Liberation Sans Narrow" w:hAnsi="Liberation Sans Narrow"/>
                <w:sz w:val="17"/>
              </w:rPr>
              <w:t xml:space="preserve">“O indeferimento da prova testemunhal, à luz dos arts. 370 e 443 do CPC, não acarreta nulidade quando já há prova técnica suficiente para o convencimento”</w:t>
            </w:r>
            <w:r>
              <w:rPr>
                <w:rFonts w:ascii="Liberation Sans Narrow" w:hAnsi="Liberation Sans Narrow"/>
                <w:sz w:val="17"/>
              </w:rPr>
              <w:t xml:space="preserve">, e revisitar a conclusão das instâncias ordinárias sobre a necessidade da prova é vedado pela Súmula 7/STJ. Seguro empresarial; a cobertura foi aferida por laudo pericial e documentos.</w:t>
            </w:r>
          </w:p>
        </w:tc>
      </w:tr>
      <w:tr>
        <w:trPr>
          <w:cantSplit/>
        </w:trPr>
        <w:tc>
          <w:tcPr>
            <w:tcW w:type="dxa" w:w="1905"/>
          </w:tcPr>
          <w:p>
            <w:pPr>
              <w:pStyle w:val="Compact"/>
              <w:spacing w:line="276" w:lineRule="auto" w:before="40" w:after="40"/>
            </w:pPr>
            <w:r>
              <w:rPr>
                <w:rFonts w:ascii="Liberation Sans Narrow" w:hAnsi="Liberation Sans Narrow"/>
                <w:sz w:val="17"/>
              </w:rPr>
              <w:t xml:space="preserve">Art. 443, II: fato que depende de conhecimento técnico</w:t>
            </w:r>
          </w:p>
        </w:tc>
        <w:tc>
          <w:tcPr>
            <w:tcW w:type="dxa" w:w="1655"/>
          </w:tcPr>
          <w:p>
            <w:pPr>
              <w:pStyle w:val="Compact"/>
              <w:spacing w:line="276" w:lineRule="auto" w:before="40" w:after="40"/>
            </w:pPr>
            <w:r>
              <w:rPr>
                <w:rFonts w:ascii="Liberation Sans Narrow" w:hAnsi="Liberation Sans Narrow"/>
                <w:sz w:val="17"/>
              </w:rPr>
              <w:t xml:space="preserve">STJ, AgInt no REsp 2.195.778, Primeira Turma, relator Min. Gurgel de Faria, DJe de 20/10/2025</w:t>
            </w:r>
          </w:p>
        </w:tc>
        <w:tc>
          <w:tcPr>
            <w:tcW w:type="dxa" w:w="2529"/>
          </w:tcPr>
          <w:p>
            <w:pPr>
              <w:pStyle w:val="Compact"/>
              <w:spacing w:line="276" w:lineRule="auto" w:before="40" w:after="40"/>
            </w:pPr>
            <w:r>
              <w:rPr>
                <w:rFonts w:ascii="Liberation Sans Narrow" w:hAnsi="Liberation Sans Narrow"/>
                <w:sz w:val="17"/>
              </w:rPr>
              <w:t xml:space="preserve">A Corte de origem manteve o indeferimento da prova testemunhal porque o fato controvertido, a incapacidade do autor, exigia conhecimento técnico,</w:t>
            </w:r>
            <w:r>
              <w:rPr>
                <w:rFonts w:ascii="Liberation Sans Narrow" w:hAnsi="Liberation Sans Narrow"/>
                <w:sz w:val="17"/>
              </w:rPr>
              <w:t xml:space="preserve"> </w:t>
            </w:r>
            <w:r>
              <w:rPr>
                <w:rFonts w:ascii="Liberation Sans Narrow" w:hAnsi="Liberation Sans Narrow"/>
                <w:sz w:val="17"/>
              </w:rPr>
              <w:t xml:space="preserve">“nos termos do art. 443, II, do CPC”</w:t>
            </w:r>
            <w:r>
              <w:rPr>
                <w:rFonts w:ascii="Liberation Sans Narrow" w:hAnsi="Liberation Sans Narrow"/>
                <w:sz w:val="17"/>
              </w:rPr>
              <w:t xml:space="preserve">. O STJ reafirmou que o juiz é o destinatário das provas e pode indeferir, fundamentadamente, as que considerar desnecessárias.</w:t>
            </w:r>
          </w:p>
        </w:tc>
      </w:tr>
    </w:tbl>
    <w:bookmarkEnd w:id="169"/>
    <w:bookmarkStart w:id="170" w:name="art.-444"/>
    <w:p>
      <w:pPr>
        <w:pStyle w:val="Heading6"/>
        <w:pBdr>
          <w:left w:val="single" w:sz="36" w:space="4" w:color="2E75B6"/>
        </w:pBdr>
        <w:shd w:val="clear" w:color="auto" w:fill="E3EEF9"/>
        <w:spacing w:before="120" w:after="60"/>
        <w:ind w:left="85"/>
      </w:pPr>
      <w:r>
        <w:rPr>
          <w:i w:val="0"/>
          <w:color w:val="1F3A5F"/>
          <w:sz w:val="22"/>
        </w:rPr>
        <w:t xml:space="preserve">Art. 444</w:t>
      </w:r>
    </w:p>
    <w:p>
      <w:pPr>
        <w:pStyle w:val="FirstParagraph"/>
        <w:keepNext/>
        <w:spacing w:after="60"/>
        <w:jc w:val="both"/>
      </w:pPr>
      <w:r>
        <w:rPr>
          <w:b/>
          <w:bCs/>
        </w:rPr>
        <w:t xml:space="preserve">Art. 444.</w:t>
      </w:r>
      <w:r>
        <w:t xml:space="preserve"> </w:t>
      </w:r>
      <w:r>
        <w:t xml:space="preserve">Nos casos em que a lei exigir prova escrita da obrigação, é admissível a prova testemunhal quando houver começo de prova por escrito, emanado da parte contra a qual se pretende produzir a prova.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Art. 444: exigência de começo de prova escrita</w:t>
            </w:r>
          </w:p>
        </w:tc>
        <w:tc>
          <w:tcPr>
            <w:tcW w:type="dxa" w:w="1655"/>
          </w:tcPr>
          <w:p>
            <w:pPr>
              <w:pStyle w:val="Compact"/>
              <w:spacing w:line="276" w:lineRule="auto" w:before="40" w:after="40"/>
            </w:pPr>
            <w:r>
              <w:rPr>
                <w:rFonts w:ascii="Liberation Sans Narrow" w:hAnsi="Liberation Sans Narrow"/>
                <w:sz w:val="17"/>
              </w:rPr>
              <w:t xml:space="preserve">STJ, AgInt no AREsp 3.075.878, Terceira Turma, relator Min. Moura Ribeiro, julgado em 30/06/2026, DJEN de 03/07/2026</w:t>
            </w:r>
          </w:p>
        </w:tc>
        <w:tc>
          <w:tcPr>
            <w:tcW w:type="dxa" w:w="1905"/>
          </w:tcPr>
          <w:p>
            <w:pPr>
              <w:pStyle w:val="Compact"/>
              <w:spacing w:line="276" w:lineRule="auto" w:before="40" w:after="40"/>
            </w:pPr>
            <w:r>
              <w:rPr>
                <w:rFonts w:ascii="Liberation Sans Narrow" w:hAnsi="Liberation Sans Narrow"/>
                <w:sz w:val="17"/>
              </w:rPr>
              <w:t xml:space="preserve">Ação monitória fundada em cheque prescrito: o autor apresentou prova escrita do fato constitutivo e cabia ao réu demonstrar o fato extintivo (art. 373, II, do CPC).</w:t>
            </w:r>
            <w:r>
              <w:rPr>
                <w:rFonts w:ascii="Liberation Sans Narrow" w:hAnsi="Liberation Sans Narrow"/>
                <w:sz w:val="17"/>
              </w:rPr>
              <w:t xml:space="preserve"> </w:t>
            </w:r>
            <w:r>
              <w:rPr>
                <w:rFonts w:ascii="Liberation Sans Narrow" w:hAnsi="Liberation Sans Narrow"/>
                <w:sz w:val="17"/>
              </w:rPr>
              <w:t xml:space="preserve">“Sem início de prova escrita, não se reconhece quitação apenas com prova oral, conforme a disciplina legal e a persuasão racional”</w:t>
            </w:r>
            <w:r>
              <w:rPr>
                <w:rFonts w:ascii="Liberation Sans Narrow" w:hAnsi="Liberation Sans Narrow"/>
                <w:sz w:val="17"/>
              </w:rPr>
              <w:t xml:space="preserve">. A insuficiência da testemunhal isolada foi afirmada como conclusão de direito, e não apenas como matéria de fato.</w:t>
            </w:r>
          </w:p>
        </w:tc>
      </w:tr>
    </w:tbl>
    <w:bookmarkEnd w:id="170"/>
    <w:bookmarkStart w:id="171" w:name="art.-445"/>
    <w:p>
      <w:pPr>
        <w:pStyle w:val="Heading6"/>
        <w:pBdr>
          <w:left w:val="single" w:sz="36" w:space="4" w:color="2E75B6"/>
        </w:pBdr>
        <w:shd w:val="clear" w:color="auto" w:fill="E3EEF9"/>
        <w:spacing w:before="120" w:after="60"/>
        <w:ind w:left="85"/>
      </w:pPr>
      <w:r>
        <w:rPr>
          <w:i w:val="0"/>
          <w:color w:val="1F3A5F"/>
          <w:sz w:val="22"/>
        </w:rPr>
        <w:t xml:space="preserve">Art. 445</w:t>
      </w:r>
    </w:p>
    <w:p>
      <w:pPr>
        <w:pStyle w:val="FirstParagraph"/>
        <w:spacing w:after="60"/>
        <w:jc w:val="both"/>
      </w:pPr>
      <w:r>
        <w:rPr>
          <w:b/>
          <w:bCs/>
        </w:rPr>
        <w:t xml:space="preserve">Art. 445.</w:t>
      </w:r>
      <w:r>
        <w:t xml:space="preserve"> </w:t>
      </w:r>
      <w:r>
        <w:t xml:space="preserve">Também se admite a prova testemunhal quando o credor não pode ou não podia, moral ou materialmente, obter a prova escrita da obrigação, em casos como o de parentesco, de depósito necessário ou de hospedagem em hotel ou em razão das práticas comerciais do local onde contraída a obrigação.</w:t>
      </w:r>
    </w:p>
    <w:bookmarkEnd w:id="171"/>
    <w:bookmarkStart w:id="172" w:name="art.-446"/>
    <w:p>
      <w:pPr>
        <w:pStyle w:val="Heading6"/>
        <w:pBdr>
          <w:left w:val="single" w:sz="36" w:space="4" w:color="2E75B6"/>
        </w:pBdr>
        <w:shd w:val="clear" w:color="auto" w:fill="E3EEF9"/>
        <w:spacing w:before="120" w:after="60"/>
        <w:ind w:left="85"/>
      </w:pPr>
      <w:r>
        <w:rPr>
          <w:i w:val="0"/>
          <w:color w:val="1F3A5F"/>
          <w:sz w:val="22"/>
        </w:rPr>
        <w:t xml:space="preserve">Art. 446</w:t>
      </w:r>
    </w:p>
    <w:p>
      <w:pPr>
        <w:pStyle w:val="FirstParagraph"/>
        <w:spacing w:after="60"/>
        <w:jc w:val="both"/>
      </w:pPr>
      <w:r>
        <w:rPr>
          <w:b/>
          <w:bCs/>
        </w:rPr>
        <w:t xml:space="preserve">Art. 446.</w:t>
      </w:r>
      <w:r>
        <w:t xml:space="preserve"> </w:t>
      </w:r>
      <w:r>
        <w:t xml:space="preserve">É lícito à parte provar com testemunhas:</w:t>
      </w:r>
    </w:p>
    <w:p>
      <w:pPr>
        <w:pStyle w:val="BodyText"/>
        <w:spacing w:after="60"/>
        <w:jc w:val="both"/>
      </w:pPr>
      <w:r>
        <w:t xml:space="preserve">I - nos contratos simulados, a divergência entre a vontade real e a vontade declarada;</w:t>
      </w:r>
    </w:p>
    <w:p>
      <w:pPr>
        <w:pStyle w:val="BodyText"/>
        <w:spacing w:after="60"/>
        <w:jc w:val="both"/>
      </w:pPr>
      <w:r>
        <w:t xml:space="preserve">II - nos contratos em geral, os vícios de consentimento.</w:t>
      </w:r>
    </w:p>
    <w:bookmarkEnd w:id="172"/>
    <w:bookmarkStart w:id="173" w:name="art.-447"/>
    <w:p>
      <w:pPr>
        <w:pStyle w:val="Heading6"/>
        <w:pBdr>
          <w:left w:val="single" w:sz="36" w:space="4" w:color="2E75B6"/>
        </w:pBdr>
        <w:shd w:val="clear" w:color="auto" w:fill="E3EEF9"/>
        <w:spacing w:before="120" w:after="60"/>
        <w:ind w:left="85"/>
      </w:pPr>
      <w:r>
        <w:rPr>
          <w:i w:val="0"/>
          <w:color w:val="1F3A5F"/>
          <w:sz w:val="22"/>
        </w:rPr>
        <w:t xml:space="preserve">Art. 447</w:t>
      </w:r>
    </w:p>
    <w:p>
      <w:pPr>
        <w:pStyle w:val="FirstParagraph"/>
        <w:keepNext/>
        <w:spacing w:after="60"/>
        <w:jc w:val="both"/>
      </w:pPr>
      <w:r>
        <w:rPr>
          <w:b/>
          <w:bCs/>
        </w:rPr>
        <w:t xml:space="preserve">Art. 447.</w:t>
      </w:r>
      <w:r>
        <w:t xml:space="preserve"> </w:t>
      </w:r>
      <w:r>
        <w:t xml:space="preserve">Podem depor como testemunhas todas as pessoas, exceto as incapazes, impedidas ou suspeitas.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1780"/>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Testemunha: filhos comuns do casal em ação de divórcio</w:t>
            </w:r>
          </w:p>
        </w:tc>
        <w:tc>
          <w:tcPr>
            <w:tcW w:type="dxa" w:w="1655"/>
          </w:tcPr>
          <w:p>
            <w:pPr>
              <w:pStyle w:val="Compact"/>
              <w:spacing w:line="276" w:lineRule="auto" w:before="40" w:after="40"/>
            </w:pPr>
            <w:r>
              <w:rPr>
                <w:rFonts w:ascii="Liberation Sans Narrow" w:hAnsi="Liberation Sans Narrow"/>
                <w:sz w:val="17"/>
              </w:rPr>
              <w:t xml:space="preserve">STJ, REsp 1.947.751, Terceira Turma, relator Min. Marco Aurélio Bellizze, julgado em 25/04/2023, DJe de 28/04/2023</w:t>
            </w:r>
          </w:p>
        </w:tc>
        <w:tc>
          <w:tcPr>
            <w:tcW w:type="dxa" w:w="1780"/>
          </w:tcPr>
          <w:p>
            <w:pPr>
              <w:pStyle w:val="Compact"/>
              <w:spacing w:line="276" w:lineRule="auto" w:before="40" w:after="40"/>
            </w:pPr>
            <w:r>
              <w:rPr>
                <w:rFonts w:ascii="Liberation Sans Narrow" w:hAnsi="Liberation Sans Narrow"/>
                <w:sz w:val="17"/>
              </w:rPr>
              <w:t xml:space="preserve">Os filhos comuns do casal não são impedidos de depor como testemunha no divórcio dos pais: o parentesco idêntico com ambas as partes não gera parcialidade presumida. O juiz pode, ademais, admitir o depoimento de testemunhas menores, impedidas ou suspeitas, sem compromisso e com o valor que merecerem (§§ 4º e 5º).</w:t>
            </w:r>
          </w:p>
        </w:tc>
      </w:tr>
    </w:tbl>
    <w:p>
      <w:pPr>
        <w:pStyle w:val="BodyText"/>
        <w:spacing w:after="60"/>
        <w:jc w:val="both"/>
      </w:pPr>
      <w:r>
        <w:t xml:space="preserve">§ 1º São incapazes:</w:t>
      </w:r>
    </w:p>
    <w:p>
      <w:pPr>
        <w:pStyle w:val="BodyText"/>
        <w:spacing w:after="60"/>
        <w:jc w:val="both"/>
      </w:pPr>
      <w:r>
        <w:t xml:space="preserve">I - o interdito por enfermidade ou deficiência mental;</w:t>
      </w:r>
    </w:p>
    <w:p>
      <w:pPr>
        <w:pStyle w:val="BodyText"/>
        <w:spacing w:after="60"/>
        <w:jc w:val="both"/>
      </w:pPr>
      <w:r>
        <w:t xml:space="preserve">II - o que, acometido por enfermidade ou retardamento mental, ao tempo em que ocorreram os fatos, não podia discerni-los, ou, ao tempo em que deve depor, não está habilitado a transmitir as percepções;</w:t>
      </w:r>
    </w:p>
    <w:p>
      <w:pPr>
        <w:pStyle w:val="BodyText"/>
        <w:spacing w:after="60"/>
        <w:jc w:val="both"/>
      </w:pPr>
      <w:r>
        <w:t xml:space="preserve">III - o que tiver menos de 16 (dezesseis) anos;</w:t>
      </w:r>
    </w:p>
    <w:p>
      <w:pPr>
        <w:pStyle w:val="BodyText"/>
        <w:spacing w:after="60"/>
        <w:jc w:val="both"/>
      </w:pPr>
      <w:r>
        <w:t xml:space="preserve">IV - o cego e o surdo, quando a ciência do fato depender dos sentidos que lhes faltam.</w:t>
      </w:r>
    </w:p>
    <w:p>
      <w:pPr>
        <w:pStyle w:val="BodyText"/>
        <w:spacing w:after="60"/>
        <w:jc w:val="both"/>
      </w:pPr>
      <w:r>
        <w:t xml:space="preserve">§ 2º São impedidos:</w:t>
      </w:r>
    </w:p>
    <w:p>
      <w:pPr>
        <w:pStyle w:val="BodyText"/>
        <w:spacing w:after="60"/>
        <w:jc w:val="both"/>
      </w:pPr>
      <w:r>
        <w:t xml:space="preserve">I - o cônjuge, o companheiro, o ascendente e o descendente em qualquer grau e o colateral, até o terceiro grau, de alguma das partes, por consanguinidade ou afinidade, salvo se o exigir o interesse público ou, tratando-se de causa relativa ao estado da pessoa, não se puder obter de outro modo a prova que o juiz repute necessária ao julgamento do mérito;</w:t>
      </w:r>
    </w:p>
    <w:p>
      <w:pPr>
        <w:pStyle w:val="BodyText"/>
        <w:spacing w:after="60"/>
        <w:jc w:val="both"/>
      </w:pPr>
      <w:r>
        <w:t xml:space="preserve">II - o que é parte na causa;</w:t>
      </w:r>
    </w:p>
    <w:p>
      <w:pPr>
        <w:pStyle w:val="BodyText"/>
        <w:spacing w:after="60"/>
        <w:jc w:val="both"/>
      </w:pPr>
      <w:r>
        <w:t xml:space="preserve">III - o que intervém em nome de uma parte, como o tutor, o representante legal da pessoa jurídica, o juiz, o advogado e outros que assistam ou tenham assistido as partes.</w:t>
      </w:r>
    </w:p>
    <w:p>
      <w:pPr>
        <w:pStyle w:val="BodyText"/>
        <w:spacing w:after="60"/>
        <w:jc w:val="both"/>
      </w:pPr>
      <w:r>
        <w:t xml:space="preserve">§ 3º São suspeitos:</w:t>
      </w:r>
    </w:p>
    <w:p>
      <w:pPr>
        <w:pStyle w:val="BodyText"/>
        <w:spacing w:after="60"/>
        <w:jc w:val="both"/>
      </w:pPr>
      <w:r>
        <w:t xml:space="preserve">I - o inimigo da parte ou o seu amigo íntimo;</w:t>
      </w:r>
    </w:p>
    <w:p>
      <w:pPr>
        <w:pStyle w:val="BodyText"/>
        <w:spacing w:after="60"/>
        <w:jc w:val="both"/>
      </w:pPr>
      <w:r>
        <w:t xml:space="preserve">II - o que tiver interesse no litígio.</w:t>
      </w:r>
    </w:p>
    <w:p>
      <w:pPr>
        <w:pStyle w:val="BodyText"/>
        <w:spacing w:after="60"/>
        <w:jc w:val="both"/>
      </w:pPr>
      <w:r>
        <w:t xml:space="preserve">§ 4º Sendo necessário, pode o juiz admitir o depoimento das testemunhas menores, impedidas ou suspeitas.</w:t>
      </w:r>
    </w:p>
    <w:p>
      <w:pPr>
        <w:pStyle w:val="BodyText"/>
        <w:spacing w:after="60"/>
        <w:jc w:val="both"/>
      </w:pPr>
      <w:r>
        <w:t xml:space="preserve">§ 5º Os depoimentos referidos no § 4º serão prestados independentemente de compromisso, e o juiz lhes atribuirá o valor que possam merecer.</w:t>
      </w:r>
    </w:p>
    <w:bookmarkEnd w:id="173"/>
    <w:bookmarkStart w:id="174" w:name="art.-448"/>
    <w:p>
      <w:pPr>
        <w:pStyle w:val="Heading6"/>
        <w:pBdr>
          <w:left w:val="single" w:sz="36" w:space="4" w:color="2E75B6"/>
        </w:pBdr>
        <w:shd w:val="clear" w:color="auto" w:fill="E3EEF9"/>
        <w:spacing w:before="120" w:after="60"/>
        <w:ind w:left="85"/>
      </w:pPr>
      <w:r>
        <w:rPr>
          <w:i w:val="0"/>
          <w:color w:val="1F3A5F"/>
          <w:sz w:val="22"/>
        </w:rPr>
        <w:t xml:space="preserve">Art. 448</w:t>
      </w:r>
    </w:p>
    <w:p>
      <w:pPr>
        <w:pStyle w:val="FirstParagraph"/>
        <w:spacing w:after="60"/>
        <w:jc w:val="both"/>
      </w:pPr>
      <w:r>
        <w:rPr>
          <w:b/>
          <w:bCs/>
        </w:rPr>
        <w:t xml:space="preserve">Art. 448.</w:t>
      </w:r>
      <w:r>
        <w:t xml:space="preserve"> </w:t>
      </w:r>
      <w:r>
        <w:t xml:space="preserve">A testemunha não é obrigada a depor sobre fatos:</w:t>
      </w:r>
    </w:p>
    <w:p>
      <w:pPr>
        <w:pStyle w:val="BodyText"/>
        <w:spacing w:after="60"/>
        <w:jc w:val="both"/>
      </w:pPr>
      <w:r>
        <w:t xml:space="preserve">I - que lhe acarretem grave dano, bem como ao seu cônjuge ou companheiro e aos seus parentes consanguíneos ou afins, em linha reta ou colateral, até o terceiro grau;</w:t>
      </w:r>
    </w:p>
    <w:p>
      <w:pPr>
        <w:pStyle w:val="BodyText"/>
        <w:spacing w:after="60"/>
        <w:jc w:val="both"/>
      </w:pPr>
      <w:r>
        <w:t xml:space="preserve">II - a cujo respeito, por estado ou profissão, deva guardar sigilo.</w:t>
      </w:r>
    </w:p>
    <w:bookmarkEnd w:id="174"/>
    <w:bookmarkStart w:id="175" w:name="art.-449"/>
    <w:p>
      <w:pPr>
        <w:pStyle w:val="Heading6"/>
        <w:pBdr>
          <w:left w:val="single" w:sz="36" w:space="4" w:color="2E75B6"/>
        </w:pBdr>
        <w:shd w:val="clear" w:color="auto" w:fill="E3EEF9"/>
        <w:spacing w:before="120" w:after="60"/>
        <w:ind w:left="85"/>
      </w:pPr>
      <w:r>
        <w:rPr>
          <w:i w:val="0"/>
          <w:color w:val="1F3A5F"/>
          <w:sz w:val="22"/>
        </w:rPr>
        <w:t xml:space="preserve">Art. 449</w:t>
      </w:r>
    </w:p>
    <w:p>
      <w:pPr>
        <w:pStyle w:val="FirstParagraph"/>
        <w:spacing w:after="60"/>
        <w:jc w:val="both"/>
      </w:pPr>
      <w:r>
        <w:rPr>
          <w:b/>
          <w:bCs/>
        </w:rPr>
        <w:t xml:space="preserve">Art. 449.</w:t>
      </w:r>
      <w:r>
        <w:t xml:space="preserve"> </w:t>
      </w:r>
      <w:r>
        <w:t xml:space="preserve">Salvo disposição especial em contrário, as testemunhas devem ser ouvidas na sede do juízo.</w:t>
      </w:r>
    </w:p>
    <w:p>
      <w:pPr>
        <w:pStyle w:val="BodyText"/>
        <w:spacing w:after="60"/>
        <w:jc w:val="both"/>
      </w:pPr>
      <w:r>
        <w:t xml:space="preserve">Parágrafo único. Quando a parte ou a testemunha, por enfermidade ou por outro motivo relevante, estiver impossibilitada de comparecer, mas não de prestar depoimento, o juiz designará, conforme as circunstâncias, dia, hora e lugar para inquiri-la.</w:t>
      </w:r>
    </w:p>
    <w:bookmarkEnd w:id="175"/>
    <w:bookmarkStart w:id="176" w:name="art.-450"/>
    <w:p>
      <w:pPr>
        <w:pStyle w:val="Heading6"/>
        <w:pBdr>
          <w:left w:val="single" w:sz="36" w:space="4" w:color="2E75B6"/>
        </w:pBdr>
        <w:shd w:val="clear" w:color="auto" w:fill="E3EEF9"/>
        <w:spacing w:before="120" w:after="60"/>
        <w:ind w:left="85"/>
      </w:pPr>
      <w:r>
        <w:rPr>
          <w:i w:val="0"/>
          <w:color w:val="1F3A5F"/>
          <w:sz w:val="22"/>
        </w:rPr>
        <w:t xml:space="preserve">Art. 450</w:t>
      </w:r>
    </w:p>
    <w:p>
      <w:pPr>
        <w:pStyle w:val="FirstParagraph"/>
        <w:keepNext/>
        <w:spacing w:after="60"/>
        <w:jc w:val="both"/>
      </w:pPr>
      <w:r>
        <w:rPr>
          <w:b/>
          <w:bCs/>
        </w:rPr>
        <w:t xml:space="preserve">Art. 450.</w:t>
      </w:r>
      <w:r>
        <w:t xml:space="preserve"> </w:t>
      </w:r>
      <w:r>
        <w:t xml:space="preserve">O rol de testemunhas conterá, sempre que possível, o nome, a profissão, o estado civil, a idade, o número de inscrição no Cadastro de Pessoas Físicas, o número de registro de identidade e o endereço completo da residência e do local de trabalho.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279"/>
        <w:gridCol w:w="1655"/>
        <w:gridCol w:w="2279"/>
      </w:tblGrid>
      <w:tr>
        <w:trPr>
          <w:tblHeader w:val="on"/>
          <w:cantSplit/>
          <w:tblHeader/>
        </w:trPr>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279"/>
          </w:tcPr>
          <w:p>
            <w:pPr>
              <w:pStyle w:val="Compact"/>
              <w:spacing w:line="276" w:lineRule="auto" w:before="40" w:after="40"/>
            </w:pPr>
            <w:r>
              <w:rPr>
                <w:rFonts w:ascii="Liberation Sans Narrow" w:hAnsi="Liberation Sans Narrow"/>
                <w:sz w:val="17"/>
              </w:rPr>
              <w:t xml:space="preserve">Caput — conteúdo do rol e prazo para sua apresentação (art. 357, § 4º)</w:t>
            </w:r>
          </w:p>
        </w:tc>
        <w:tc>
          <w:tcPr>
            <w:tcW w:type="dxa" w:w="1655"/>
          </w:tcPr>
          <w:p>
            <w:pPr>
              <w:pStyle w:val="Compact"/>
              <w:spacing w:line="276" w:lineRule="auto" w:before="40" w:after="40"/>
            </w:pPr>
            <w:r>
              <w:rPr>
                <w:rFonts w:ascii="Liberation Sans Narrow" w:hAnsi="Liberation Sans Narrow"/>
                <w:sz w:val="17"/>
              </w:rPr>
              <w:t xml:space="preserve">STJ, AgInt no AREsp 3.097.599, Quarta Turma, relatora Min. Maria Isabel Gallotti, DJe de 25/09/2026</w:t>
            </w:r>
          </w:p>
        </w:tc>
        <w:tc>
          <w:tcPr>
            <w:tcW w:type="dxa" w:w="2279"/>
          </w:tcPr>
          <w:p>
            <w:pPr>
              <w:pStyle w:val="Compact"/>
              <w:spacing w:line="276" w:lineRule="auto" w:before="40" w:after="40"/>
            </w:pPr>
            <w:r>
              <w:rPr>
                <w:rFonts w:ascii="Liberation Sans Narrow" w:hAnsi="Liberation Sans Narrow"/>
                <w:sz w:val="17"/>
              </w:rPr>
              <w:t xml:space="preserve">O art. 357, § 4º, fixa prazo máximo de quinze dias para o rol de testemunhas, permitindo prazo menor conforme a direção do processo; é legítima a fixação de dez dias e a preclusão pela inércia da parte. O indeferimento fundamentado da prova não configura cerceamento de defesa.</w:t>
            </w:r>
          </w:p>
        </w:tc>
      </w:tr>
      <w:tr>
        <w:trPr>
          <w:cantSplit/>
        </w:trPr>
        <w:tc>
          <w:tcPr>
            <w:tcW w:type="dxa" w:w="2279"/>
          </w:tcPr>
          <w:p>
            <w:pPr>
              <w:pStyle w:val="Compact"/>
              <w:spacing w:line="276" w:lineRule="auto" w:before="40" w:after="40"/>
            </w:pPr>
            <w:r>
              <w:rPr>
                <w:rFonts w:ascii="Liberation Sans Narrow" w:hAnsi="Liberation Sans Narrow"/>
                <w:sz w:val="17"/>
              </w:rPr>
              <w:t xml:space="preserve">Caput — rol apresentado fora do prazo e prova surpresa</w:t>
            </w:r>
          </w:p>
        </w:tc>
        <w:tc>
          <w:tcPr>
            <w:tcW w:type="dxa" w:w="1655"/>
          </w:tcPr>
          <w:p>
            <w:pPr>
              <w:pStyle w:val="Compact"/>
              <w:spacing w:line="276" w:lineRule="auto" w:before="40" w:after="40"/>
            </w:pPr>
            <w:r>
              <w:rPr>
                <w:rFonts w:ascii="Liberation Sans Narrow" w:hAnsi="Liberation Sans Narrow"/>
                <w:sz w:val="17"/>
              </w:rPr>
              <w:t xml:space="preserve">STJ, REsp 2.272.635, Quarta Turma, relatora Min. Maria Isabel Gallotti, DJe de 25/09/2026</w:t>
            </w:r>
          </w:p>
        </w:tc>
        <w:tc>
          <w:tcPr>
            <w:tcW w:type="dxa" w:w="2279"/>
          </w:tcPr>
          <w:p>
            <w:pPr>
              <w:pStyle w:val="Compact"/>
              <w:spacing w:line="276" w:lineRule="auto" w:before="40" w:after="40"/>
            </w:pPr>
            <w:r>
              <w:rPr>
                <w:rFonts w:ascii="Liberation Sans Narrow" w:hAnsi="Liberation Sans Narrow"/>
                <w:sz w:val="17"/>
              </w:rPr>
              <w:t xml:space="preserve">A apresentação do rol de testemunhas após o prazo fixado pelo magistrado acarreta preclusão. Não há preclusão, contudo, quando as testemunhas cujos depoimentos foram considerados na sentença já constavam do rol apresentado com a petição inicial, inexistindo prova surpresa ou descumprimento do prazo.</w:t>
            </w:r>
          </w:p>
        </w:tc>
      </w:tr>
      <w:tr>
        <w:trPr>
          <w:cantSplit/>
        </w:trPr>
        <w:tc>
          <w:tcPr>
            <w:tcW w:type="dxa" w:w="2279"/>
          </w:tcPr>
          <w:p>
            <w:pPr>
              <w:pStyle w:val="Compact"/>
              <w:spacing w:line="276" w:lineRule="auto" w:before="40" w:after="40"/>
            </w:pPr>
            <w:r>
              <w:rPr>
                <w:rFonts w:ascii="Liberation Sans Narrow" w:hAnsi="Liberation Sans Narrow"/>
                <w:sz w:val="17"/>
              </w:rPr>
              <w:t xml:space="preserve">Caput — intempestividade do rol e reexame da preclusão</w:t>
            </w:r>
          </w:p>
        </w:tc>
        <w:tc>
          <w:tcPr>
            <w:tcW w:type="dxa" w:w="1655"/>
          </w:tcPr>
          <w:p>
            <w:pPr>
              <w:pStyle w:val="Compact"/>
              <w:spacing w:line="276" w:lineRule="auto" w:before="40" w:after="40"/>
            </w:pPr>
            <w:r>
              <w:rPr>
                <w:rFonts w:ascii="Liberation Sans Narrow" w:hAnsi="Liberation Sans Narrow"/>
                <w:sz w:val="17"/>
              </w:rPr>
              <w:t xml:space="preserve">STJ, REsp 2.251.512, Quarta Turma, relator Min. João Otávio de Noronha, julgado em 30/06/2026, DJEN de 06/07/2026</w:t>
            </w:r>
          </w:p>
        </w:tc>
        <w:tc>
          <w:tcPr>
            <w:tcW w:type="dxa" w:w="2279"/>
          </w:tcPr>
          <w:p>
            <w:pPr>
              <w:pStyle w:val="Compact"/>
              <w:spacing w:line="276" w:lineRule="auto" w:before="40" w:after="40"/>
            </w:pPr>
            <w:r>
              <w:rPr>
                <w:rFonts w:ascii="Liberation Sans Narrow" w:hAnsi="Liberation Sans Narrow"/>
                <w:sz w:val="17"/>
              </w:rPr>
              <w:t xml:space="preserve">Reconhecida na origem a intempestividade do rol à luz do art. 357, § 4º, com indeferimento da prova, a revisão desse acerto e do contexto probatório esbarra na Súmula 7/STJ.</w:t>
            </w:r>
          </w:p>
        </w:tc>
      </w:tr>
    </w:tbl>
    <w:bookmarkEnd w:id="176"/>
    <w:bookmarkStart w:id="177" w:name="art.-451"/>
    <w:p>
      <w:pPr>
        <w:pStyle w:val="Heading6"/>
        <w:pBdr>
          <w:left w:val="single" w:sz="36" w:space="4" w:color="2E75B6"/>
        </w:pBdr>
        <w:shd w:val="clear" w:color="auto" w:fill="E3EEF9"/>
        <w:spacing w:before="120" w:after="60"/>
        <w:ind w:left="85"/>
      </w:pPr>
      <w:r>
        <w:rPr>
          <w:i w:val="0"/>
          <w:color w:val="1F3A5F"/>
          <w:sz w:val="22"/>
        </w:rPr>
        <w:t xml:space="preserve">Art. 451</w:t>
      </w:r>
    </w:p>
    <w:p>
      <w:pPr>
        <w:pStyle w:val="FirstParagraph"/>
        <w:spacing w:after="60"/>
        <w:jc w:val="both"/>
      </w:pPr>
      <w:r>
        <w:rPr>
          <w:b/>
          <w:bCs/>
        </w:rPr>
        <w:t xml:space="preserve">Art. 451.</w:t>
      </w:r>
      <w:r>
        <w:t xml:space="preserve"> </w:t>
      </w:r>
      <w:r>
        <w:t xml:space="preserve">Depois de apresentado o rol de que tratam os §§ 4º e 5º do art. 357, a parte só pode substituir a testemunha:</w:t>
      </w:r>
    </w:p>
    <w:p>
      <w:pPr>
        <w:pStyle w:val="BodyText"/>
        <w:spacing w:after="60"/>
        <w:jc w:val="both"/>
      </w:pPr>
      <w:r>
        <w:t xml:space="preserve">I - que falecer;</w:t>
      </w:r>
    </w:p>
    <w:p>
      <w:pPr>
        <w:pStyle w:val="BodyText"/>
        <w:spacing w:after="60"/>
        <w:jc w:val="both"/>
      </w:pPr>
      <w:r>
        <w:t xml:space="preserve">II - que, por enfermidade, não estiver em condições de depor;</w:t>
      </w:r>
    </w:p>
    <w:p>
      <w:pPr>
        <w:pStyle w:val="BodyText"/>
        <w:keepNext/>
        <w:spacing w:after="60"/>
        <w:jc w:val="both"/>
      </w:pPr>
      <w:r>
        <w:t xml:space="preserve">III - que, tendo mudado de residência ou de local de trabalho, não for encontrada.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530"/>
        <w:gridCol w:w="2279"/>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III — substituição da testemunha que mudou de residência e não for encontrada</w:t>
            </w:r>
          </w:p>
        </w:tc>
        <w:tc>
          <w:tcPr>
            <w:tcW w:type="dxa" w:w="1531"/>
          </w:tcPr>
          <w:p>
            <w:pPr>
              <w:pStyle w:val="Compact"/>
              <w:spacing w:line="276" w:lineRule="auto" w:before="40" w:after="40"/>
            </w:pPr>
            <w:r>
              <w:rPr>
                <w:rFonts w:ascii="Liberation Sans Narrow" w:hAnsi="Liberation Sans Narrow"/>
                <w:sz w:val="17"/>
              </w:rPr>
              <w:t xml:space="preserve">STJ, AgRg no AREsp 2.460.440, Sexta Turma, relator Min. Og Fernandes, julgado em 03/03/2026</w:t>
            </w:r>
          </w:p>
        </w:tc>
        <w:tc>
          <w:tcPr>
            <w:tcW w:type="dxa" w:w="2279"/>
          </w:tcPr>
          <w:p>
            <w:pPr>
              <w:pStyle w:val="Compact"/>
              <w:spacing w:line="276" w:lineRule="auto" w:before="40" w:after="40"/>
            </w:pPr>
            <w:r>
              <w:rPr>
                <w:rFonts w:ascii="Liberation Sans Narrow" w:hAnsi="Liberation Sans Narrow"/>
                <w:sz w:val="17"/>
              </w:rPr>
              <w:t xml:space="preserve">Diante do silêncio do Código de Processo Penal sobre a substituição de testemunha não localizada, aplica-se subsidiariamente o art. 451, III, do CPC, que autoriza a substituição da testemunha que, tendo mudado de residência, não for encontrada; o indeferimento da substituição de testemunha não localizada, cuja oitiva havia sido deferida, configura cerceamento de defesa.</w:t>
            </w:r>
          </w:p>
        </w:tc>
      </w:tr>
    </w:tbl>
    <w:bookmarkEnd w:id="177"/>
    <w:bookmarkStart w:id="178" w:name="art.-452"/>
    <w:p>
      <w:pPr>
        <w:pStyle w:val="Heading6"/>
        <w:pBdr>
          <w:left w:val="single" w:sz="36" w:space="4" w:color="2E75B6"/>
        </w:pBdr>
        <w:shd w:val="clear" w:color="auto" w:fill="E3EEF9"/>
        <w:spacing w:before="120" w:after="60"/>
        <w:ind w:left="85"/>
      </w:pPr>
      <w:r>
        <w:rPr>
          <w:i w:val="0"/>
          <w:color w:val="1F3A5F"/>
          <w:sz w:val="22"/>
        </w:rPr>
        <w:t xml:space="preserve">Art. 452</w:t>
      </w:r>
    </w:p>
    <w:p>
      <w:pPr>
        <w:pStyle w:val="FirstParagraph"/>
        <w:spacing w:after="60"/>
        <w:jc w:val="both"/>
      </w:pPr>
      <w:r>
        <w:rPr>
          <w:b/>
          <w:bCs/>
        </w:rPr>
        <w:t xml:space="preserve">Art. 452.</w:t>
      </w:r>
      <w:r>
        <w:t xml:space="preserve"> </w:t>
      </w:r>
      <w:r>
        <w:t xml:space="preserve">Quando for arrolado como testemunha, o juiz da causa:</w:t>
      </w:r>
    </w:p>
    <w:p>
      <w:pPr>
        <w:pStyle w:val="BodyText"/>
        <w:spacing w:after="60"/>
        <w:jc w:val="both"/>
      </w:pPr>
      <w:r>
        <w:t xml:space="preserve">I - declarar-se-á impedido, se tiver conhecimento de fatos que possam influir na decisão, caso em que será vedado à parte que o incluiu no rol desistir de seu depoimento;</w:t>
      </w:r>
    </w:p>
    <w:p>
      <w:pPr>
        <w:pStyle w:val="BodyText"/>
        <w:spacing w:after="60"/>
        <w:jc w:val="both"/>
      </w:pPr>
      <w:r>
        <w:t xml:space="preserve">II - se nada souber, mandará excluir o seu nome.</w:t>
      </w:r>
    </w:p>
    <w:bookmarkEnd w:id="178"/>
    <w:bookmarkStart w:id="179" w:name="art.-453"/>
    <w:p>
      <w:pPr>
        <w:pStyle w:val="Heading6"/>
        <w:pBdr>
          <w:left w:val="single" w:sz="36" w:space="4" w:color="2E75B6"/>
        </w:pBdr>
        <w:shd w:val="clear" w:color="auto" w:fill="E3EEF9"/>
        <w:spacing w:before="120" w:after="60"/>
        <w:ind w:left="85"/>
      </w:pPr>
      <w:r>
        <w:rPr>
          <w:i w:val="0"/>
          <w:color w:val="1F3A5F"/>
          <w:sz w:val="22"/>
        </w:rPr>
        <w:t xml:space="preserve">Art. 453</w:t>
      </w:r>
    </w:p>
    <w:p>
      <w:pPr>
        <w:pStyle w:val="FirstParagraph"/>
        <w:spacing w:after="60"/>
        <w:jc w:val="both"/>
      </w:pPr>
      <w:r>
        <w:rPr>
          <w:b/>
          <w:bCs/>
        </w:rPr>
        <w:t xml:space="preserve">Art. 453.</w:t>
      </w:r>
      <w:r>
        <w:t xml:space="preserve"> </w:t>
      </w:r>
      <w:r>
        <w:t xml:space="preserve">As testemunhas depõem, na audiência de instrução e julgamento, perante o juiz da causa, exceto:</w:t>
      </w:r>
    </w:p>
    <w:p>
      <w:pPr>
        <w:pStyle w:val="BodyText"/>
        <w:spacing w:after="60"/>
        <w:jc w:val="both"/>
      </w:pPr>
      <w:r>
        <w:t xml:space="preserve">I - as que prestam depoimento antecipadamente;</w:t>
      </w:r>
    </w:p>
    <w:p>
      <w:pPr>
        <w:pStyle w:val="BodyText"/>
        <w:spacing w:after="60"/>
        <w:jc w:val="both"/>
      </w:pPr>
      <w:r>
        <w:t xml:space="preserve">II - as que são inquiridas por carta.</w:t>
      </w:r>
    </w:p>
    <w:p>
      <w:pPr>
        <w:pStyle w:val="BodyText"/>
        <w:keepNext/>
        <w:spacing w:after="60"/>
        <w:jc w:val="both"/>
      </w:pPr>
      <w:r>
        <w:t xml:space="preserve">§ 1º A oitiva de testemunha que residir em comarca, seção ou subseção judiciária diversa daquela onde tramita o processo poderá ser realizada por meio de videoconferência ou outro recurso tecnológico de transmissão e recepção de sons e imagens em tempo real, o que poderá ocorrer, inclusive, durante a audiência de instrução e julgamento.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404"/>
        <w:gridCol w:w="1530"/>
        <w:gridCol w:w="2404"/>
      </w:tblGrid>
      <w:tr>
        <w:trPr>
          <w:tblHeader w:val="on"/>
          <w:cantSplit/>
          <w:tblHeader/>
        </w:trPr>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404"/>
          </w:tcPr>
          <w:p>
            <w:pPr>
              <w:pStyle w:val="Compact"/>
              <w:spacing w:line="276" w:lineRule="auto" w:before="40" w:after="40"/>
            </w:pPr>
            <w:r>
              <w:rPr>
                <w:rFonts w:ascii="Liberation Sans Narrow" w:hAnsi="Liberation Sans Narrow"/>
                <w:sz w:val="17"/>
              </w:rPr>
              <w:t xml:space="preserve">§ 1º — oitiva de testemunha que reside em outra comarca, por videoconferência, e carta precatória</w:t>
            </w:r>
          </w:p>
        </w:tc>
        <w:tc>
          <w:tcPr>
            <w:tcW w:type="dxa" w:w="1531"/>
          </w:tcPr>
          <w:p>
            <w:pPr>
              <w:pStyle w:val="Compact"/>
              <w:spacing w:line="276" w:lineRule="auto" w:before="40" w:after="40"/>
            </w:pPr>
            <w:r>
              <w:rPr>
                <w:rFonts w:ascii="Liberation Sans Narrow" w:hAnsi="Liberation Sans Narrow"/>
                <w:sz w:val="17"/>
              </w:rPr>
              <w:t xml:space="preserve">STJ, CC 211.882, Segunda Seção, relatora Min. Daniela Teixeira, DJe de 24/06/2025</w:t>
            </w:r>
          </w:p>
        </w:tc>
        <w:tc>
          <w:tcPr>
            <w:tcW w:type="dxa" w:w="2404"/>
          </w:tcPr>
          <w:p>
            <w:pPr>
              <w:pStyle w:val="Compact"/>
              <w:spacing w:line="276" w:lineRule="auto" w:before="40" w:after="40"/>
            </w:pPr>
            <w:r>
              <w:rPr>
                <w:rFonts w:ascii="Liberation Sans Narrow" w:hAnsi="Liberation Sans Narrow"/>
                <w:sz w:val="17"/>
              </w:rPr>
              <w:t xml:space="preserve">A prática de atos processuais por videoconferência é faculdade do juízo deprecante, não competindo ao juízo deprecado impor forma diversa de realização da audiência. O juízo deprecado só pode devolver a carta precatória nas hipóteses taxativas do art. 267, não sendo legítima a recusa fundada na possibilidade de a oitiva da testemunha ser feita por videoconferência.</w:t>
            </w:r>
          </w:p>
        </w:tc>
      </w:tr>
    </w:tbl>
    <w:p>
      <w:pPr>
        <w:pStyle w:val="BodyText"/>
        <w:spacing w:after="60"/>
        <w:jc w:val="both"/>
      </w:pPr>
      <w:r>
        <w:t xml:space="preserve">§ 2º Os juízos deverão manter equipamento para a transmissão e recepção de sons e imagens a que se refere o § 1º.</w:t>
      </w:r>
    </w:p>
    <w:bookmarkEnd w:id="179"/>
    <w:bookmarkStart w:id="180" w:name="art.-454"/>
    <w:p>
      <w:pPr>
        <w:pStyle w:val="Heading6"/>
        <w:pBdr>
          <w:left w:val="single" w:sz="36" w:space="4" w:color="2E75B6"/>
        </w:pBdr>
        <w:shd w:val="clear" w:color="auto" w:fill="E3EEF9"/>
        <w:spacing w:before="120" w:after="60"/>
        <w:ind w:left="85"/>
      </w:pPr>
      <w:r>
        <w:rPr>
          <w:i w:val="0"/>
          <w:color w:val="1F3A5F"/>
          <w:sz w:val="22"/>
        </w:rPr>
        <w:t xml:space="preserve">Art. 454</w:t>
      </w:r>
    </w:p>
    <w:p>
      <w:pPr>
        <w:pStyle w:val="FirstParagraph"/>
        <w:spacing w:after="60"/>
        <w:jc w:val="both"/>
      </w:pPr>
      <w:r>
        <w:rPr>
          <w:b/>
          <w:bCs/>
        </w:rPr>
        <w:t xml:space="preserve">Art. 454.</w:t>
      </w:r>
      <w:r>
        <w:t xml:space="preserve"> </w:t>
      </w:r>
      <w:r>
        <w:t xml:space="preserve">São inquiridos em sua residência ou onde exercem sua função:</w:t>
      </w:r>
    </w:p>
    <w:p>
      <w:pPr>
        <w:pStyle w:val="BodyText"/>
        <w:spacing w:after="60"/>
        <w:jc w:val="both"/>
      </w:pPr>
      <w:r>
        <w:t xml:space="preserve">I - o presidente e o vice-presidente da República;</w:t>
      </w:r>
    </w:p>
    <w:p>
      <w:pPr>
        <w:pStyle w:val="BodyText"/>
        <w:spacing w:after="60"/>
        <w:jc w:val="both"/>
      </w:pPr>
      <w:r>
        <w:t xml:space="preserve">II - os ministros de Estado;</w:t>
      </w:r>
    </w:p>
    <w:p>
      <w:pPr>
        <w:pStyle w:val="BodyText"/>
        <w:spacing w:after="60"/>
        <w:jc w:val="both"/>
      </w:pPr>
      <w:r>
        <w:t xml:space="preserve">III - os ministros do Supremo Tribunal Federal, os conselheiros do Conselho Nacional de Justiça e os ministros do Superior Tribunal de Justiça, do Superior Tribunal Militar, do Tribunal Superior Eleitoral, do Tribunal Superior do Trabalho e do Tribunal de Contas da União;</w:t>
      </w:r>
    </w:p>
    <w:p>
      <w:pPr>
        <w:pStyle w:val="BodyText"/>
        <w:spacing w:after="60"/>
        <w:jc w:val="both"/>
      </w:pPr>
      <w:r>
        <w:t xml:space="preserve">IV - o procurador-geral da República e os conselheiros do Conselho Nacional do Ministério Público;</w:t>
      </w:r>
    </w:p>
    <w:p>
      <w:pPr>
        <w:pStyle w:val="BodyText"/>
        <w:spacing w:after="60"/>
        <w:jc w:val="both"/>
      </w:pPr>
      <w:r>
        <w:t xml:space="preserve">V - o advogado-geral da União, o procurador-geral do Estado, o procurador-geral do Município, o defensor público-geral federal e o defensor público-geral do Estado;</w:t>
      </w:r>
    </w:p>
    <w:p>
      <w:pPr>
        <w:pStyle w:val="BodyText"/>
        <w:spacing w:after="60"/>
        <w:jc w:val="both"/>
      </w:pPr>
      <w:r>
        <w:t xml:space="preserve">VI - os senadores e os deputados federais;</w:t>
      </w:r>
    </w:p>
    <w:p>
      <w:pPr>
        <w:pStyle w:val="BodyText"/>
        <w:spacing w:after="60"/>
        <w:jc w:val="both"/>
      </w:pPr>
      <w:r>
        <w:t xml:space="preserve">VII - os governadores dos Estados e do Distrito Federal;</w:t>
      </w:r>
    </w:p>
    <w:p>
      <w:pPr>
        <w:pStyle w:val="BodyText"/>
        <w:spacing w:after="60"/>
        <w:jc w:val="both"/>
      </w:pPr>
      <w:r>
        <w:t xml:space="preserve">VIII - o prefeito;</w:t>
      </w:r>
    </w:p>
    <w:p>
      <w:pPr>
        <w:pStyle w:val="BodyText"/>
        <w:spacing w:after="60"/>
        <w:jc w:val="both"/>
      </w:pPr>
      <w:r>
        <w:t xml:space="preserve">IX - os deputados estaduais e distritais;</w:t>
      </w:r>
    </w:p>
    <w:p>
      <w:pPr>
        <w:pStyle w:val="BodyText"/>
        <w:spacing w:after="60"/>
        <w:jc w:val="both"/>
      </w:pPr>
      <w:r>
        <w:t xml:space="preserve">X - os desembargadores dos Tribunais de Justiça, dos Tribunais Regionais Federais, dos Tribunais Regionais do Trabalho e dos Tribunais Regionais Eleitorais e os conselheiros dos Tribunais de Contas dos Estados e do Distrito Federal;</w:t>
      </w:r>
    </w:p>
    <w:p>
      <w:pPr>
        <w:pStyle w:val="BodyText"/>
        <w:spacing w:after="60"/>
        <w:jc w:val="both"/>
      </w:pPr>
      <w:r>
        <w:t xml:space="preserve">XI - o procurador-geral de justiça;</w:t>
      </w:r>
    </w:p>
    <w:p>
      <w:pPr>
        <w:pStyle w:val="BodyText"/>
        <w:spacing w:after="60"/>
        <w:jc w:val="both"/>
      </w:pPr>
      <w:r>
        <w:t xml:space="preserve">XII - o embaixador de país que, por lei ou tratado, concede idêntica prerrogativa a agente diplomático do Brasil.</w:t>
      </w:r>
    </w:p>
    <w:p>
      <w:pPr>
        <w:pStyle w:val="BodyText"/>
        <w:spacing w:after="60"/>
        <w:jc w:val="both"/>
      </w:pPr>
      <w:r>
        <w:t xml:space="preserve">§ 1º O juiz solicitará à autoridade que indique dia, hora e local a fim de ser inquirida, remetendo-lhe cópia da petição inicial ou da defesa oferecida pela parte que a arrolou como testemunha.</w:t>
      </w:r>
    </w:p>
    <w:p>
      <w:pPr>
        <w:pStyle w:val="BodyText"/>
        <w:spacing w:after="60"/>
        <w:jc w:val="both"/>
      </w:pPr>
      <w:r>
        <w:t xml:space="preserve">§ 2º Passado 1 (um) mês sem manifestação da autoridade, o juiz designará dia, hora e local para o depoimento, preferencialmente na sede do juízo.</w:t>
      </w:r>
    </w:p>
    <w:p>
      <w:pPr>
        <w:pStyle w:val="BodyText"/>
        <w:spacing w:after="60"/>
        <w:jc w:val="both"/>
      </w:pPr>
      <w:r>
        <w:t xml:space="preserve">§ 3º O juiz também designará dia, hora e local para o depoimento, quando a autoridade não comparecer, injustificadamente, à sessão agendada para a colheita de seu testemunho no dia, hora e local por ela mesma indicados.</w:t>
      </w:r>
    </w:p>
    <w:bookmarkEnd w:id="180"/>
    <w:bookmarkStart w:id="181" w:name="art.-455"/>
    <w:p>
      <w:pPr>
        <w:pStyle w:val="Heading6"/>
        <w:pBdr>
          <w:left w:val="single" w:sz="36" w:space="4" w:color="2E75B6"/>
        </w:pBdr>
        <w:shd w:val="clear" w:color="auto" w:fill="E3EEF9"/>
        <w:spacing w:before="120" w:after="60"/>
        <w:ind w:left="85"/>
      </w:pPr>
      <w:r>
        <w:rPr>
          <w:i w:val="0"/>
          <w:color w:val="1F3A5F"/>
          <w:sz w:val="22"/>
        </w:rPr>
        <w:t xml:space="preserve">Art. 455</w:t>
      </w:r>
    </w:p>
    <w:p>
      <w:pPr>
        <w:pStyle w:val="FirstParagraph"/>
        <w:spacing w:after="60"/>
        <w:jc w:val="both"/>
      </w:pPr>
      <w:r>
        <w:rPr>
          <w:b/>
          <w:bCs/>
        </w:rPr>
        <w:t xml:space="preserve">Art. 455.</w:t>
      </w:r>
      <w:r>
        <w:t xml:space="preserve"> </w:t>
      </w:r>
      <w:r>
        <w:t xml:space="preserve">Cabe ao advogado da parte informar ou intimar a testemunha por ele arrolada do dia, da hora e do local da audiência designada, dispensando-se a intimação do juízo.</w:t>
      </w:r>
    </w:p>
    <w:p>
      <w:pPr>
        <w:pStyle w:val="BodyText"/>
        <w:spacing w:after="60"/>
        <w:jc w:val="both"/>
      </w:pPr>
      <w:r>
        <w:t xml:space="preserve">§ 1º A intimação deverá ser realizada por carta com aviso de recebimento, cumprindo ao advogado juntar aos autos, com antecedência de pelo menos 3 (três) dias da data da audiência, cópia da correspondência de intimação e do comprovante de recebimento.</w:t>
      </w:r>
    </w:p>
    <w:p>
      <w:pPr>
        <w:pStyle w:val="BodyText"/>
        <w:spacing w:after="60"/>
        <w:jc w:val="both"/>
      </w:pPr>
      <w:r>
        <w:t xml:space="preserve">§ 2º A parte pode comprometer-se a levar a testemunha à audiência, independentemente da intimação de que trata o § 1º, presumindo-se, caso a testemunha não compareça, que a parte desistiu de sua inquirição.</w:t>
      </w:r>
    </w:p>
    <w:p>
      <w:pPr>
        <w:pStyle w:val="BodyText"/>
        <w:spacing w:after="60"/>
        <w:jc w:val="both"/>
      </w:pPr>
      <w:r>
        <w:t xml:space="preserve">§ 3º A inércia na realização da intimação a que se refere o § 1º importa desistência da inquirição da testemunha.</w:t>
      </w:r>
    </w:p>
    <w:p>
      <w:pPr>
        <w:pStyle w:val="BodyText"/>
        <w:spacing w:after="60"/>
        <w:jc w:val="both"/>
      </w:pPr>
      <w:r>
        <w:t xml:space="preserve">§ 4º A intimação será feita pela via judicial quando:</w:t>
      </w:r>
    </w:p>
    <w:p>
      <w:pPr>
        <w:pStyle w:val="BodyText"/>
        <w:spacing w:after="60"/>
        <w:jc w:val="both"/>
      </w:pPr>
      <w:r>
        <w:t xml:space="preserve">I - for frustrada a intimação prevista no § 1º deste artigo;</w:t>
      </w:r>
    </w:p>
    <w:p>
      <w:pPr>
        <w:pStyle w:val="BodyText"/>
        <w:spacing w:after="60"/>
        <w:jc w:val="both"/>
      </w:pPr>
      <w:r>
        <w:t xml:space="preserve">II - sua necessidade for devidamente demonstrada pela parte ao juiz;</w:t>
      </w:r>
    </w:p>
    <w:p>
      <w:pPr>
        <w:pStyle w:val="BodyText"/>
        <w:spacing w:after="60"/>
        <w:jc w:val="both"/>
      </w:pPr>
      <w:r>
        <w:t xml:space="preserve">III - figurar no rol de testemunhas servidor público ou militar, hipótese em que o juiz o requisitará ao chefe da repartição ou ao comando do corpo em que servir;</w:t>
      </w:r>
    </w:p>
    <w:p>
      <w:pPr>
        <w:pStyle w:val="BodyText"/>
        <w:spacing w:after="60"/>
        <w:jc w:val="both"/>
      </w:pPr>
      <w:r>
        <w:t xml:space="preserve">IV - a testemunha houver sido arrolada pelo Ministério Público ou pela Defensoria Pública;</w:t>
      </w:r>
    </w:p>
    <w:p>
      <w:pPr>
        <w:pStyle w:val="BodyText"/>
        <w:spacing w:after="60"/>
        <w:jc w:val="both"/>
      </w:pPr>
      <w:r>
        <w:t xml:space="preserve">V - a testemunha for uma daquelas previstas no art. 454.</w:t>
      </w:r>
    </w:p>
    <w:p>
      <w:pPr>
        <w:pStyle w:val="BodyText"/>
        <w:spacing w:after="60"/>
        <w:jc w:val="both"/>
      </w:pPr>
      <w:r>
        <w:t xml:space="preserve">§ 5º A testemunha que, intimada na forma do § 1º ou do § 4º, deixar de comparecer sem motivo justificado será conduzida e responderá pelas despesas do adiamento.</w:t>
      </w:r>
    </w:p>
    <w:bookmarkEnd w:id="181"/>
    <w:bookmarkStart w:id="182" w:name="art.-456"/>
    <w:p>
      <w:pPr>
        <w:pStyle w:val="Heading6"/>
        <w:pBdr>
          <w:left w:val="single" w:sz="36" w:space="4" w:color="2E75B6"/>
        </w:pBdr>
        <w:shd w:val="clear" w:color="auto" w:fill="E3EEF9"/>
        <w:spacing w:before="120" w:after="60"/>
        <w:ind w:left="85"/>
      </w:pPr>
      <w:r>
        <w:rPr>
          <w:i w:val="0"/>
          <w:color w:val="1F3A5F"/>
          <w:sz w:val="22"/>
        </w:rPr>
        <w:t xml:space="preserve">Art. 456</w:t>
      </w:r>
    </w:p>
    <w:p>
      <w:pPr>
        <w:pStyle w:val="FirstParagraph"/>
        <w:spacing w:after="60"/>
        <w:jc w:val="both"/>
      </w:pPr>
      <w:r>
        <w:rPr>
          <w:b/>
          <w:bCs/>
        </w:rPr>
        <w:t xml:space="preserve">Art. 456.</w:t>
      </w:r>
      <w:r>
        <w:t xml:space="preserve"> </w:t>
      </w:r>
      <w:r>
        <w:t xml:space="preserve">O juiz inquirirá as testemunhas separada e sucessivamente, primeiro as do autor e depois as do réu, e providenciará para que uma não ouça o depoimento das outras.</w:t>
      </w:r>
    </w:p>
    <w:p>
      <w:pPr>
        <w:pStyle w:val="BodyText"/>
        <w:spacing w:after="60"/>
        <w:jc w:val="both"/>
      </w:pPr>
      <w:r>
        <w:t xml:space="preserve">Parágrafo único. O juiz poderá alterar a ordem estabelecida no caput se as partes concordarem.</w:t>
      </w:r>
    </w:p>
    <w:bookmarkEnd w:id="182"/>
    <w:bookmarkStart w:id="183" w:name="art.-457"/>
    <w:p>
      <w:pPr>
        <w:pStyle w:val="Heading6"/>
        <w:pBdr>
          <w:left w:val="single" w:sz="36" w:space="4" w:color="2E75B6"/>
        </w:pBdr>
        <w:shd w:val="clear" w:color="auto" w:fill="E3EEF9"/>
        <w:spacing w:before="120" w:after="60"/>
        <w:ind w:left="85"/>
      </w:pPr>
      <w:r>
        <w:rPr>
          <w:i w:val="0"/>
          <w:color w:val="1F3A5F"/>
          <w:sz w:val="22"/>
        </w:rPr>
        <w:t xml:space="preserve">Art. 457</w:t>
      </w:r>
    </w:p>
    <w:p>
      <w:pPr>
        <w:pStyle w:val="FirstParagraph"/>
        <w:spacing w:after="60"/>
        <w:jc w:val="both"/>
      </w:pPr>
      <w:r>
        <w:rPr>
          <w:b/>
          <w:bCs/>
        </w:rPr>
        <w:t xml:space="preserve">Art. 457.</w:t>
      </w:r>
      <w:r>
        <w:t xml:space="preserve"> </w:t>
      </w:r>
      <w:r>
        <w:t xml:space="preserve">Antes de depor, a testemunha será qualificada, declarará ou confirmará seus dados e informará se tem relações de parentesco com a parte ou interesse no objeto do processo.</w:t>
      </w:r>
    </w:p>
    <w:p>
      <w:pPr>
        <w:pStyle w:val="BodyText"/>
        <w:keepNext/>
        <w:spacing w:after="60"/>
        <w:jc w:val="both"/>
      </w:pPr>
      <w:r>
        <w:t xml:space="preserve">§ 1º É lícito à parte contraditar a testemunha, arguindo-lhe a incapacidade, o impedimento ou a suspeição, bem como, caso a testemunha negue os fatos que lhe são imputados, provar a contradita com documentos ou com testemunhas, até 3 (três), apresentadas no ato e inquiridas em separado.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530"/>
        <w:gridCol w:w="2528"/>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52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 1º — contradita e indeferimento</w:t>
            </w:r>
          </w:p>
        </w:tc>
        <w:tc>
          <w:tcPr>
            <w:tcW w:type="dxa" w:w="1531"/>
          </w:tcPr>
          <w:p>
            <w:pPr>
              <w:pStyle w:val="Compact"/>
              <w:spacing w:line="276" w:lineRule="auto" w:before="40" w:after="40"/>
            </w:pPr>
            <w:r>
              <w:rPr>
                <w:rFonts w:ascii="Liberation Sans Narrow" w:hAnsi="Liberation Sans Narrow"/>
                <w:sz w:val="17"/>
              </w:rPr>
              <w:t xml:space="preserve">STJ, AREsp 3.155.087, Quarta Turma, relator Min. Raul Araújo, DJe de 30/04/2026</w:t>
            </w:r>
          </w:p>
        </w:tc>
        <w:tc>
          <w:tcPr>
            <w:tcW w:type="dxa" w:w="2529"/>
          </w:tcPr>
          <w:p>
            <w:pPr>
              <w:pStyle w:val="Compact"/>
              <w:spacing w:line="276" w:lineRule="auto" w:before="40" w:after="40"/>
            </w:pPr>
            <w:r>
              <w:rPr>
                <w:rFonts w:ascii="Liberation Sans Narrow" w:hAnsi="Liberation Sans Narrow"/>
                <w:sz w:val="17"/>
              </w:rPr>
              <w:t xml:space="preserve">A modificação da conclusão do tribunal de origem sobre as razões pelas quais indeferiu a contradita apresentada pela parte demandaria o revolvimento do suporte fático-probatório, inviável em recurso especial (Súmula 7/STJ).</w:t>
            </w:r>
          </w:p>
        </w:tc>
      </w:tr>
      <w:tr>
        <w:trPr>
          <w:cantSplit/>
        </w:trPr>
        <w:tc>
          <w:tcPr>
            <w:tcW w:type="dxa" w:w="1905"/>
          </w:tcPr>
          <w:p>
            <w:pPr>
              <w:pStyle w:val="Compact"/>
              <w:spacing w:line="276" w:lineRule="auto" w:before="40" w:after="40"/>
            </w:pPr>
            <w:r>
              <w:rPr>
                <w:rFonts w:ascii="Liberation Sans Narrow" w:hAnsi="Liberation Sans Narrow"/>
                <w:sz w:val="17"/>
              </w:rPr>
              <w:t xml:space="preserve">§ 1º — depoimento não contraditado e valoração</w:t>
            </w:r>
          </w:p>
        </w:tc>
        <w:tc>
          <w:tcPr>
            <w:tcW w:type="dxa" w:w="1531"/>
          </w:tcPr>
          <w:p>
            <w:pPr>
              <w:pStyle w:val="Compact"/>
              <w:spacing w:line="276" w:lineRule="auto" w:before="40" w:after="40"/>
            </w:pPr>
            <w:r>
              <w:rPr>
                <w:rFonts w:ascii="Liberation Sans Narrow" w:hAnsi="Liberation Sans Narrow"/>
                <w:sz w:val="17"/>
              </w:rPr>
              <w:t xml:space="preserve">STJ, AREsp 2.454.286, Quarta Turma, relator Min. João Otávio de Noronha, DJe de 22/12/2025</w:t>
            </w:r>
          </w:p>
        </w:tc>
        <w:tc>
          <w:tcPr>
            <w:tcW w:type="dxa" w:w="2529"/>
          </w:tcPr>
          <w:p>
            <w:pPr>
              <w:pStyle w:val="Compact"/>
              <w:spacing w:line="276" w:lineRule="auto" w:before="40" w:after="40"/>
            </w:pPr>
            <w:r>
              <w:rPr>
                <w:rFonts w:ascii="Liberation Sans Narrow" w:hAnsi="Liberation Sans Narrow"/>
                <w:sz w:val="17"/>
              </w:rPr>
              <w:t xml:space="preserve">A pretensão de alterar a valoração dos depoimentos e a conclusão sobre culpa demanda reexame do conjunto fático-probatório (Súmula 7); não há violação direta e específica do art. 457, § 1º, pela desconsideração de depoimento testemunhal não contraditado.</w:t>
            </w:r>
          </w:p>
        </w:tc>
      </w:tr>
    </w:tbl>
    <w:p>
      <w:pPr>
        <w:pStyle w:val="BodyText"/>
        <w:keepNext/>
        <w:spacing w:after="60"/>
        <w:jc w:val="both"/>
      </w:pPr>
      <w:r>
        <w:t xml:space="preserve">§ 2º Sendo provados ou confessados os fatos a que se refere o § 1º, o juiz dispensará a testemunha ou lhe tomará o depoimento como informante.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2029"/>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 2º — acolhida a contradita: oitiva como informante</w:t>
            </w:r>
          </w:p>
        </w:tc>
        <w:tc>
          <w:tcPr>
            <w:tcW w:type="dxa" w:w="1655"/>
          </w:tcPr>
          <w:p>
            <w:pPr>
              <w:pStyle w:val="Compact"/>
              <w:spacing w:line="276" w:lineRule="auto" w:before="40" w:after="40"/>
            </w:pPr>
            <w:r>
              <w:rPr>
                <w:rFonts w:ascii="Liberation Sans Narrow" w:hAnsi="Liberation Sans Narrow"/>
                <w:sz w:val="17"/>
              </w:rPr>
              <w:t xml:space="preserve">STJ, AgInt no AREsp 2.940.126, Quarta Turma, relatora Min. Maria Isabel Gallotti, julgado em 01/06/2026, DJEN de 08/06/2026</w:t>
            </w:r>
          </w:p>
        </w:tc>
        <w:tc>
          <w:tcPr>
            <w:tcW w:type="dxa" w:w="2030"/>
          </w:tcPr>
          <w:p>
            <w:pPr>
              <w:pStyle w:val="Compact"/>
              <w:spacing w:line="276" w:lineRule="auto" w:before="40" w:after="40"/>
            </w:pPr>
            <w:r>
              <w:rPr>
                <w:rFonts w:ascii="Liberation Sans Narrow" w:hAnsi="Liberation Sans Narrow"/>
                <w:sz w:val="17"/>
              </w:rPr>
              <w:t xml:space="preserve">Acolhida a contradita, o magistrado pode ouvir a representante como informante, sem compromisso, medida compatível com a ampla defesa e com o esclarecimento de pontos relevantes. Há cerceamento quando a improcedência se funda na ausência de prova cuja produção foi requerida e indeferida.</w:t>
            </w:r>
          </w:p>
        </w:tc>
      </w:tr>
    </w:tbl>
    <w:p>
      <w:pPr>
        <w:pStyle w:val="BodyText"/>
        <w:spacing w:after="60"/>
        <w:jc w:val="both"/>
      </w:pPr>
      <w:r>
        <w:t xml:space="preserve">§ 3º A testemunha pode requerer ao juiz que a escuse de depor, alegando os motivos previstos neste Código, decidindo o juiz de plano após ouvidas as partes.</w:t>
      </w:r>
    </w:p>
    <w:bookmarkEnd w:id="183"/>
    <w:bookmarkStart w:id="184" w:name="art.-458"/>
    <w:p>
      <w:pPr>
        <w:pStyle w:val="Heading6"/>
        <w:pBdr>
          <w:left w:val="single" w:sz="36" w:space="4" w:color="2E75B6"/>
        </w:pBdr>
        <w:shd w:val="clear" w:color="auto" w:fill="E3EEF9"/>
        <w:spacing w:before="120" w:after="60"/>
        <w:ind w:left="85"/>
      </w:pPr>
      <w:r>
        <w:rPr>
          <w:i w:val="0"/>
          <w:color w:val="1F3A5F"/>
          <w:sz w:val="22"/>
        </w:rPr>
        <w:t xml:space="preserve">Art. 458</w:t>
      </w:r>
    </w:p>
    <w:p>
      <w:pPr>
        <w:pStyle w:val="FirstParagraph"/>
        <w:spacing w:after="60"/>
        <w:jc w:val="both"/>
      </w:pPr>
      <w:r>
        <w:rPr>
          <w:b/>
          <w:bCs/>
        </w:rPr>
        <w:t xml:space="preserve">Art. 458.</w:t>
      </w:r>
      <w:r>
        <w:t xml:space="preserve"> </w:t>
      </w:r>
      <w:r>
        <w:t xml:space="preserve">Ao início da inquirição, a testemunha prestará o compromisso de dizer a verdade do que souber e lhe for perguntado.</w:t>
      </w:r>
    </w:p>
    <w:p>
      <w:pPr>
        <w:pStyle w:val="BodyText"/>
        <w:spacing w:after="60"/>
        <w:jc w:val="both"/>
      </w:pPr>
      <w:r>
        <w:t xml:space="preserve">Parágrafo único. O juiz advertirá à testemunha que incorre em sanção penal quem faz afirmação falsa, cala ou oculta a verdade.</w:t>
      </w:r>
    </w:p>
    <w:bookmarkEnd w:id="184"/>
    <w:bookmarkStart w:id="185" w:name="art.-459"/>
    <w:p>
      <w:pPr>
        <w:pStyle w:val="Heading6"/>
        <w:pBdr>
          <w:left w:val="single" w:sz="36" w:space="4" w:color="2E75B6"/>
        </w:pBdr>
        <w:shd w:val="clear" w:color="auto" w:fill="E3EEF9"/>
        <w:spacing w:before="120" w:after="60"/>
        <w:ind w:left="85"/>
      </w:pPr>
      <w:r>
        <w:rPr>
          <w:i w:val="0"/>
          <w:color w:val="1F3A5F"/>
          <w:sz w:val="22"/>
        </w:rPr>
        <w:t xml:space="preserve">Art. 459</w:t>
      </w:r>
    </w:p>
    <w:p>
      <w:pPr>
        <w:pStyle w:val="FirstParagraph"/>
        <w:spacing w:after="60"/>
        <w:jc w:val="both"/>
      </w:pPr>
      <w:r>
        <w:rPr>
          <w:b/>
          <w:bCs/>
        </w:rPr>
        <w:t xml:space="preserve">Art. 459.</w:t>
      </w:r>
      <w:r>
        <w:t xml:space="preserve"> </w:t>
      </w:r>
      <w:r>
        <w:t xml:space="preserve">As perguntas serão formuladas pelas partes diretamente à testemunha, começando pela que a arrolou, não admitindo o juiz aquelas que puderem induzir a resposta, não tiverem relação com as questões de fato objeto da atividade probatória ou importarem repetição de outra já respondida.</w:t>
      </w:r>
    </w:p>
    <w:p>
      <w:pPr>
        <w:pStyle w:val="BodyText"/>
        <w:spacing w:after="60"/>
        <w:jc w:val="both"/>
      </w:pPr>
      <w:r>
        <w:t xml:space="preserve">§ 1º O juiz poderá inquirir a testemunha tanto antes quanto depois da inquirição feita pelas partes.</w:t>
      </w:r>
    </w:p>
    <w:p>
      <w:pPr>
        <w:pStyle w:val="BodyText"/>
        <w:spacing w:after="60"/>
        <w:jc w:val="both"/>
      </w:pPr>
      <w:r>
        <w:t xml:space="preserve">§ 2º As testemunhas devem ser tratadas com urbanidade, não se lhes fazendo perguntas ou considerações impertinentes, capciosas ou vexatórias.</w:t>
      </w:r>
    </w:p>
    <w:p>
      <w:pPr>
        <w:pStyle w:val="BodyText"/>
        <w:spacing w:after="60"/>
        <w:jc w:val="both"/>
      </w:pPr>
      <w:r>
        <w:t xml:space="preserve">§ 3º As perguntas que o juiz indeferir serão transcritas no termo, se a parte o requerer.</w:t>
      </w:r>
    </w:p>
    <w:bookmarkEnd w:id="185"/>
    <w:bookmarkStart w:id="186" w:name="art.-460"/>
    <w:p>
      <w:pPr>
        <w:pStyle w:val="Heading6"/>
        <w:pBdr>
          <w:left w:val="single" w:sz="36" w:space="4" w:color="2E75B6"/>
        </w:pBdr>
        <w:shd w:val="clear" w:color="auto" w:fill="E3EEF9"/>
        <w:spacing w:before="120" w:after="60"/>
        <w:ind w:left="85"/>
      </w:pPr>
      <w:r>
        <w:rPr>
          <w:i w:val="0"/>
          <w:color w:val="1F3A5F"/>
          <w:sz w:val="22"/>
        </w:rPr>
        <w:t xml:space="preserve">Art. 460</w:t>
      </w:r>
    </w:p>
    <w:p>
      <w:pPr>
        <w:pStyle w:val="FirstParagraph"/>
        <w:spacing w:after="60"/>
        <w:jc w:val="both"/>
      </w:pPr>
      <w:r>
        <w:rPr>
          <w:b/>
          <w:bCs/>
        </w:rPr>
        <w:t xml:space="preserve">Art. 460.</w:t>
      </w:r>
      <w:r>
        <w:t xml:space="preserve"> </w:t>
      </w:r>
      <w:r>
        <w:t xml:space="preserve">O depoimento poderá ser documentado por meio de gravação.</w:t>
      </w:r>
    </w:p>
    <w:p>
      <w:pPr>
        <w:pStyle w:val="BodyText"/>
        <w:spacing w:after="60"/>
        <w:jc w:val="both"/>
      </w:pPr>
      <w:r>
        <w:t xml:space="preserve">§ 1º Quando digitado ou registrado por taquigrafia, estenotipia ou outro método idôneo de documentação, o depoimento será assinado pelo juiz, pelo depoente e pelos procuradores.</w:t>
      </w:r>
    </w:p>
    <w:p>
      <w:pPr>
        <w:pStyle w:val="BodyText"/>
        <w:spacing w:after="60"/>
        <w:jc w:val="both"/>
      </w:pPr>
      <w:r>
        <w:t xml:space="preserve">§ 2º Se houver recurso em processo em autos não eletrônicos, o depoimento somente será digitado quando for impossível o envio de sua documentação eletrônica.</w:t>
      </w:r>
    </w:p>
    <w:p>
      <w:pPr>
        <w:pStyle w:val="BodyText"/>
        <w:spacing w:after="60"/>
        <w:jc w:val="both"/>
      </w:pPr>
      <w:r>
        <w:t xml:space="preserve">§ 3º Tratando-se de autos eletrônicos, observar-se-á o disposto neste Código e na legislação específica sobre a prática eletrônica de atos processuais.</w:t>
      </w:r>
    </w:p>
    <w:bookmarkEnd w:id="186"/>
    <w:bookmarkStart w:id="187" w:name="art.-461"/>
    <w:p>
      <w:pPr>
        <w:pStyle w:val="Heading6"/>
        <w:pBdr>
          <w:left w:val="single" w:sz="36" w:space="4" w:color="2E75B6"/>
        </w:pBdr>
        <w:shd w:val="clear" w:color="auto" w:fill="E3EEF9"/>
        <w:spacing w:before="120" w:after="60"/>
        <w:ind w:left="85"/>
      </w:pPr>
      <w:r>
        <w:rPr>
          <w:i w:val="0"/>
          <w:color w:val="1F3A5F"/>
          <w:sz w:val="22"/>
        </w:rPr>
        <w:t xml:space="preserve">Art. 461</w:t>
      </w:r>
    </w:p>
    <w:p>
      <w:pPr>
        <w:pStyle w:val="FirstParagraph"/>
        <w:spacing w:after="60"/>
        <w:jc w:val="both"/>
      </w:pPr>
      <w:r>
        <w:rPr>
          <w:b/>
          <w:bCs/>
        </w:rPr>
        <w:t xml:space="preserve">Art. 461.</w:t>
      </w:r>
      <w:r>
        <w:t xml:space="preserve"> </w:t>
      </w:r>
      <w:r>
        <w:t xml:space="preserve">O juiz pode ordenar, de ofício ou a requerimento da parte:</w:t>
      </w:r>
    </w:p>
    <w:p>
      <w:pPr>
        <w:pStyle w:val="BodyText"/>
        <w:spacing w:after="60"/>
        <w:jc w:val="both"/>
      </w:pPr>
      <w:r>
        <w:t xml:space="preserve">I - a inquirição de testemunhas referidas nas declarações da parte ou das testemunhas;</w:t>
      </w:r>
    </w:p>
    <w:p>
      <w:pPr>
        <w:pStyle w:val="BodyText"/>
        <w:spacing w:after="60"/>
        <w:jc w:val="both"/>
      </w:pPr>
      <w:r>
        <w:t xml:space="preserve">II - a acareação de 2 (duas) ou mais testemunhas ou de alguma delas com a parte, quando, sobre fato determinado que possa influir na decisão da causa, divergirem as suas declarações.</w:t>
      </w:r>
    </w:p>
    <w:p>
      <w:pPr>
        <w:pStyle w:val="BodyText"/>
        <w:spacing w:after="60"/>
        <w:jc w:val="both"/>
      </w:pPr>
      <w:r>
        <w:t xml:space="preserve">§ 1º Os acareados serão reperguntados para que expliquem os pontos de divergência, reduzindo-se a termo o ato de acareação.</w:t>
      </w:r>
    </w:p>
    <w:p>
      <w:pPr>
        <w:pStyle w:val="BodyText"/>
        <w:spacing w:after="60"/>
        <w:jc w:val="both"/>
      </w:pPr>
      <w:r>
        <w:t xml:space="preserve">§ 2º A acareação pode ser realizada por videoconferência ou por outro recurso tecnológico de transmissão de sons e imagens em tempo real.</w:t>
      </w:r>
    </w:p>
    <w:bookmarkEnd w:id="187"/>
    <w:bookmarkStart w:id="188" w:name="art.-462"/>
    <w:p>
      <w:pPr>
        <w:pStyle w:val="Heading6"/>
        <w:pBdr>
          <w:left w:val="single" w:sz="36" w:space="4" w:color="2E75B6"/>
        </w:pBdr>
        <w:shd w:val="clear" w:color="auto" w:fill="E3EEF9"/>
        <w:spacing w:before="120" w:after="60"/>
        <w:ind w:left="85"/>
      </w:pPr>
      <w:r>
        <w:rPr>
          <w:i w:val="0"/>
          <w:color w:val="1F3A5F"/>
          <w:sz w:val="22"/>
        </w:rPr>
        <w:t xml:space="preserve">Art. 462</w:t>
      </w:r>
    </w:p>
    <w:p>
      <w:pPr>
        <w:pStyle w:val="FirstParagraph"/>
        <w:spacing w:after="60"/>
        <w:jc w:val="both"/>
      </w:pPr>
      <w:r>
        <w:rPr>
          <w:b/>
          <w:bCs/>
        </w:rPr>
        <w:t xml:space="preserve">Art. 462.</w:t>
      </w:r>
      <w:r>
        <w:t xml:space="preserve"> </w:t>
      </w:r>
      <w:r>
        <w:t xml:space="preserve">A testemunha pode requerer ao juiz o pagamento da despesa que efetuou para comparecimento à audiência, devendo a parte pagá-la logo que arbitrada ou depositá-la em cartório dentro de 3 (três) dias.</w:t>
      </w:r>
    </w:p>
    <w:bookmarkEnd w:id="188"/>
    <w:bookmarkStart w:id="189" w:name="art.-463"/>
    <w:p>
      <w:pPr>
        <w:pStyle w:val="Heading6"/>
        <w:pBdr>
          <w:left w:val="single" w:sz="36" w:space="4" w:color="2E75B6"/>
        </w:pBdr>
        <w:shd w:val="clear" w:color="auto" w:fill="E3EEF9"/>
        <w:spacing w:before="120" w:after="60"/>
        <w:ind w:left="85"/>
      </w:pPr>
      <w:r>
        <w:rPr>
          <w:i w:val="0"/>
          <w:color w:val="1F3A5F"/>
          <w:sz w:val="22"/>
        </w:rPr>
        <w:t xml:space="preserve">Art. 463</w:t>
      </w:r>
    </w:p>
    <w:p>
      <w:pPr>
        <w:pStyle w:val="FirstParagraph"/>
        <w:spacing w:after="60"/>
        <w:jc w:val="both"/>
      </w:pPr>
      <w:r>
        <w:rPr>
          <w:b/>
          <w:bCs/>
        </w:rPr>
        <w:t xml:space="preserve">Art. 463.</w:t>
      </w:r>
      <w:r>
        <w:t xml:space="preserve"> </w:t>
      </w:r>
      <w:r>
        <w:t xml:space="preserve">O depoimento prestado em juízo é considerado serviço público.</w:t>
      </w:r>
    </w:p>
    <w:p>
      <w:pPr>
        <w:pStyle w:val="BodyText"/>
        <w:spacing w:after="60"/>
        <w:jc w:val="both"/>
      </w:pPr>
      <w:r>
        <w:t xml:space="preserve">Parágrafo único. A testemunha, quando sujeita ao regime da legislação trabalhista, não sofre, por comparecer à audiência, perda de salário nem desconto no tempo de serviço.</w:t>
      </w:r>
    </w:p>
    <w:bookmarkEnd w:id="189"/>
    <w:bookmarkEnd w:id="190"/>
    <w:bookmarkStart w:id="208" w:name="Xc9c2b88ef006ac8007399080ab3c5477f227ddf"/>
    <w:p>
      <w:pPr>
        <w:pStyle w:val="Heading5"/>
        <w:spacing w:before="60" w:after="20"/>
      </w:pPr>
      <w:r>
        <w:rPr>
          <w:i/>
          <w:color w:val="595959"/>
        </w:rPr>
        <w:t xml:space="preserve">Seção X: da prova pericial (arts. 464 a 480)</w:t>
      </w:r>
    </w:p>
    <w:bookmarkStart w:id="191" w:name="art.-464"/>
    <w:p>
      <w:pPr>
        <w:pStyle w:val="Heading6"/>
        <w:pBdr>
          <w:left w:val="single" w:sz="36" w:space="4" w:color="2E75B6"/>
        </w:pBdr>
        <w:shd w:val="clear" w:color="auto" w:fill="E3EEF9"/>
        <w:spacing w:before="120" w:after="60"/>
        <w:ind w:left="85"/>
      </w:pPr>
      <w:r>
        <w:rPr>
          <w:i w:val="0"/>
          <w:color w:val="1F3A5F"/>
          <w:sz w:val="22"/>
        </w:rPr>
        <w:t xml:space="preserve">Art. 464</w:t>
      </w:r>
    </w:p>
    <w:p>
      <w:pPr>
        <w:pStyle w:val="FirstParagraph"/>
        <w:keepNext/>
        <w:spacing w:after="60"/>
        <w:jc w:val="both"/>
      </w:pPr>
      <w:r>
        <w:rPr>
          <w:b/>
          <w:bCs/>
        </w:rPr>
        <w:t xml:space="preserve">Art. 464.</w:t>
      </w:r>
      <w:r>
        <w:t xml:space="preserve"> </w:t>
      </w:r>
      <w:r>
        <w:t xml:space="preserve">A prova pericial consiste em exame, vistoria ou avaliação.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530"/>
        <w:gridCol w:w="2528"/>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52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Art. 464 e art. 370, parágrafo único: indeferimento da perícia e julgamento antecipado</w:t>
            </w:r>
          </w:p>
        </w:tc>
        <w:tc>
          <w:tcPr>
            <w:tcW w:type="dxa" w:w="1531"/>
          </w:tcPr>
          <w:p>
            <w:pPr>
              <w:pStyle w:val="Compact"/>
              <w:spacing w:line="276" w:lineRule="auto" w:before="40" w:after="40"/>
            </w:pPr>
            <w:r>
              <w:rPr>
                <w:rFonts w:ascii="Liberation Sans Narrow" w:hAnsi="Liberation Sans Narrow"/>
                <w:sz w:val="17"/>
              </w:rPr>
              <w:t xml:space="preserve">STJ, AREsp 2.619.049, Terceira Turma, relator Min. Moura Ribeiro, DJe de 17/10/2025</w:t>
            </w:r>
          </w:p>
        </w:tc>
        <w:tc>
          <w:tcPr>
            <w:tcW w:type="dxa" w:w="2529"/>
          </w:tcPr>
          <w:p>
            <w:pPr>
              <w:pStyle w:val="Compact"/>
              <w:spacing w:line="276" w:lineRule="auto" w:before="40" w:after="40"/>
            </w:pPr>
            <w:r>
              <w:rPr>
                <w:rFonts w:ascii="Liberation Sans Narrow" w:hAnsi="Liberation Sans Narrow"/>
                <w:sz w:val="17"/>
              </w:rPr>
              <w:t xml:space="preserve">Não configura cerceamento de defesa o indeferimento da prova pericial quando o juiz entende que os autos estão suficientemente instruídos (art. 370, parágrafo único), cabendo-lhe avaliar a necessidade das provas; julgamento antecipado possível. Embargos à execução de taxas condominiais; rever a suficiência dos documentos esbarra na Súmula 7/STJ.</w:t>
            </w:r>
          </w:p>
        </w:tc>
      </w:tr>
      <w:tr>
        <w:trPr>
          <w:cantSplit/>
        </w:trPr>
        <w:tc>
          <w:tcPr>
            <w:tcW w:type="dxa" w:w="1905"/>
          </w:tcPr>
          <w:p>
            <w:pPr>
              <w:pStyle w:val="Compact"/>
              <w:spacing w:line="276" w:lineRule="auto" w:before="40" w:after="40"/>
            </w:pPr>
            <w:r>
              <w:rPr>
                <w:rFonts w:ascii="Liberation Sans Narrow" w:hAnsi="Liberation Sans Narrow"/>
                <w:sz w:val="17"/>
              </w:rPr>
              <w:t xml:space="preserve">Perícia dispensável diante das demais provas (relação de consumo)</w:t>
            </w:r>
          </w:p>
        </w:tc>
        <w:tc>
          <w:tcPr>
            <w:tcW w:type="dxa" w:w="1531"/>
          </w:tcPr>
          <w:p>
            <w:pPr>
              <w:pStyle w:val="Compact"/>
              <w:spacing w:line="276" w:lineRule="auto" w:before="40" w:after="40"/>
            </w:pPr>
            <w:r>
              <w:rPr>
                <w:rFonts w:ascii="Liberation Sans Narrow" w:hAnsi="Liberation Sans Narrow"/>
                <w:sz w:val="17"/>
              </w:rPr>
              <w:t xml:space="preserve">STJ, AgInt no AREsp 2.406.675, Quarta Turma, relatora Min. Maria Isabel Gallotti, DJe de 03/07/2024</w:t>
            </w:r>
          </w:p>
        </w:tc>
        <w:tc>
          <w:tcPr>
            <w:tcW w:type="dxa" w:w="2529"/>
          </w:tcPr>
          <w:p>
            <w:pPr>
              <w:pStyle w:val="Compact"/>
              <w:spacing w:line="276" w:lineRule="auto" w:before="40" w:after="40"/>
            </w:pPr>
            <w:r>
              <w:rPr>
                <w:rFonts w:ascii="Liberation Sans Narrow" w:hAnsi="Liberation Sans Narrow"/>
                <w:sz w:val="17"/>
              </w:rPr>
              <w:t xml:space="preserve">Persuasão racional (arts. 370 e 371): o juiz é livre para firmar a convicção com o conjunto probatório, desde que fundamente; a prevalência da prova técnica ou das demais é matéria fático-probatória (Súmula 7/STJ).</w:t>
            </w:r>
          </w:p>
        </w:tc>
      </w:tr>
      <w:tr>
        <w:trPr>
          <w:cantSplit/>
        </w:trPr>
        <w:tc>
          <w:tcPr>
            <w:tcW w:type="dxa" w:w="1905"/>
          </w:tcPr>
          <w:p>
            <w:pPr>
              <w:pStyle w:val="Compact"/>
              <w:spacing w:line="276" w:lineRule="auto" w:before="40" w:after="40"/>
            </w:pPr>
            <w:r>
              <w:rPr>
                <w:rFonts w:ascii="Liberation Sans Narrow" w:hAnsi="Liberation Sans Narrow"/>
                <w:sz w:val="17"/>
              </w:rPr>
              <w:t xml:space="preserve">Necessidade da perícia como reexame de prova</w:t>
            </w:r>
          </w:p>
        </w:tc>
        <w:tc>
          <w:tcPr>
            <w:tcW w:type="dxa" w:w="1531"/>
          </w:tcPr>
          <w:p>
            <w:pPr>
              <w:pStyle w:val="Compact"/>
              <w:spacing w:line="276" w:lineRule="auto" w:before="40" w:after="40"/>
            </w:pPr>
            <w:r>
              <w:rPr>
                <w:rFonts w:ascii="Liberation Sans Narrow" w:hAnsi="Liberation Sans Narrow"/>
                <w:sz w:val="17"/>
              </w:rPr>
              <w:t xml:space="preserve">STJ, AgInt no AREsp 2.129.483, Segunda Turma, relatora Min. Assusete Magalhães, DJe de 13/12/2022</w:t>
            </w:r>
          </w:p>
        </w:tc>
        <w:tc>
          <w:tcPr>
            <w:tcW w:type="dxa" w:w="2529"/>
          </w:tcPr>
          <w:p>
            <w:pPr>
              <w:pStyle w:val="Compact"/>
              <w:spacing w:line="276" w:lineRule="auto" w:before="40" w:after="40"/>
            </w:pPr>
            <w:r>
              <w:rPr>
                <w:rFonts w:ascii="Liberation Sans Narrow" w:hAnsi="Liberation Sans Narrow"/>
                <w:sz w:val="17"/>
              </w:rPr>
              <w:t xml:space="preserve">Cita o REsp 1.798.895/SP (Segunda Turma, 2019): o art. 370 consagra a persuasão racional; aferir a necessidade de determinada prova exige reexame do conjunto fático-probatório, vedado pela Súmula 7/STJ. Indeferimento de perícia em execução fiscal sem cerceamento.</w:t>
            </w:r>
          </w:p>
        </w:tc>
      </w:tr>
    </w:tbl>
    <w:p>
      <w:pPr>
        <w:pStyle w:val="BodyText"/>
        <w:spacing w:after="60"/>
        <w:jc w:val="both"/>
      </w:pPr>
      <w:r>
        <w:t xml:space="preserve">§ 1º O juiz indeferirá a perícia quando:</w:t>
      </w:r>
    </w:p>
    <w:p>
      <w:pPr>
        <w:pStyle w:val="BodyText"/>
        <w:spacing w:after="60"/>
        <w:jc w:val="both"/>
      </w:pPr>
      <w:r>
        <w:t xml:space="preserve">I - a prova do fato não depender de conhecimento especial de técnico;</w:t>
      </w:r>
    </w:p>
    <w:p>
      <w:pPr>
        <w:pStyle w:val="BodyText"/>
        <w:spacing w:after="60"/>
        <w:jc w:val="both"/>
      </w:pPr>
      <w:r>
        <w:t xml:space="preserve">II - for desnecessária em vista de outras provas produzidas;</w:t>
      </w:r>
    </w:p>
    <w:p>
      <w:pPr>
        <w:pStyle w:val="BodyText"/>
        <w:spacing w:after="60"/>
        <w:jc w:val="both"/>
      </w:pPr>
      <w:r>
        <w:t xml:space="preserve">III - a verificação for impraticável.</w:t>
      </w:r>
    </w:p>
    <w:p>
      <w:pPr>
        <w:pStyle w:val="BodyText"/>
        <w:spacing w:after="60"/>
        <w:jc w:val="both"/>
      </w:pPr>
      <w:r>
        <w:t xml:space="preserve">§ 2º De ofício ou a requerimento das partes, o juiz poderá, em substituição à perícia, determinar a produção de prova técnica simplificada, quando o ponto controvertido for de menor complexidade.</w:t>
      </w:r>
    </w:p>
    <w:p>
      <w:pPr>
        <w:pStyle w:val="BodyText"/>
        <w:spacing w:after="60"/>
        <w:jc w:val="both"/>
      </w:pPr>
      <w:r>
        <w:t xml:space="preserve">§ 3º A prova técnica simplificada consistirá apenas na inquirição de especialista, pelo juiz, sobre ponto controvertido da causa que demande especial conhecimento científico ou técnico.</w:t>
      </w:r>
    </w:p>
    <w:p>
      <w:pPr>
        <w:pStyle w:val="BodyText"/>
        <w:spacing w:after="60"/>
        <w:jc w:val="both"/>
      </w:pPr>
      <w:r>
        <w:t xml:space="preserve">§ 4 o Durante a arguição, o especialista, que deverá ter formação acadêmica específica na área objeto de seu depoimento, poderá valer-se de qualquer recurso tecnológico de transmissão de sons e imagens com o fim de esclarecer os pontos controvertidos da causa.</w:t>
      </w:r>
    </w:p>
    <w:bookmarkEnd w:id="191"/>
    <w:bookmarkStart w:id="192" w:name="art.-465"/>
    <w:p>
      <w:pPr>
        <w:pStyle w:val="Heading6"/>
        <w:pBdr>
          <w:left w:val="single" w:sz="36" w:space="4" w:color="2E75B6"/>
        </w:pBdr>
        <w:shd w:val="clear" w:color="auto" w:fill="E3EEF9"/>
        <w:spacing w:before="120" w:after="60"/>
        <w:ind w:left="85"/>
      </w:pPr>
      <w:r>
        <w:rPr>
          <w:i w:val="0"/>
          <w:color w:val="1F3A5F"/>
          <w:sz w:val="22"/>
        </w:rPr>
        <w:t xml:space="preserve">Art. 465</w:t>
      </w:r>
    </w:p>
    <w:p>
      <w:pPr>
        <w:pStyle w:val="FirstParagraph"/>
        <w:keepNext/>
        <w:spacing w:after="60"/>
        <w:jc w:val="both"/>
      </w:pPr>
      <w:r>
        <w:rPr>
          <w:b/>
          <w:bCs/>
        </w:rPr>
        <w:t xml:space="preserve">Art. 465.</w:t>
      </w:r>
      <w:r>
        <w:t xml:space="preserve"> </w:t>
      </w:r>
      <w:r>
        <w:t xml:space="preserve">O juiz nomeará perito especializado no objeto da perícia e fixará de imediato o prazo para a entrega do laudo.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154"/>
        <w:gridCol w:w="1780"/>
        <w:gridCol w:w="2528"/>
      </w:tblGrid>
      <w:tr>
        <w:trPr>
          <w:tblHeader w:val="on"/>
          <w:cantSplit/>
          <w:tblHeader/>
        </w:trPr>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52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154"/>
          </w:tcPr>
          <w:p>
            <w:pPr>
              <w:pStyle w:val="Compact"/>
              <w:spacing w:line="276" w:lineRule="auto" w:before="40" w:after="40"/>
            </w:pPr>
            <w:r>
              <w:rPr>
                <w:rFonts w:ascii="Liberation Sans Narrow" w:hAnsi="Liberation Sans Narrow"/>
                <w:sz w:val="17"/>
              </w:rPr>
              <w:t xml:space="preserve">Recorribilidade da decisão que fixa honorários periciais</w:t>
            </w:r>
          </w:p>
        </w:tc>
        <w:tc>
          <w:tcPr>
            <w:tcW w:type="dxa" w:w="1780"/>
          </w:tcPr>
          <w:p>
            <w:pPr>
              <w:pStyle w:val="Compact"/>
              <w:spacing w:line="276" w:lineRule="auto" w:before="40" w:after="40"/>
            </w:pPr>
            <w:r>
              <w:rPr>
                <w:rFonts w:ascii="Liberation Sans Narrow" w:hAnsi="Liberation Sans Narrow"/>
                <w:sz w:val="17"/>
              </w:rPr>
              <w:t xml:space="preserve">STJ, AgInt no AREsp 1.636.832, Corte Especial, relator Min. Raul Araújo, DJe de 25/06/2021</w:t>
            </w:r>
          </w:p>
        </w:tc>
        <w:tc>
          <w:tcPr>
            <w:tcW w:type="dxa" w:w="2529"/>
          </w:tcPr>
          <w:p>
            <w:pPr>
              <w:pStyle w:val="Compact"/>
              <w:spacing w:line="276" w:lineRule="auto" w:before="40" w:after="40"/>
            </w:pPr>
            <w:r>
              <w:rPr>
                <w:rFonts w:ascii="Liberation Sans Narrow" w:hAnsi="Liberation Sans Narrow"/>
                <w:sz w:val="17"/>
              </w:rPr>
              <w:t xml:space="preserve">Aplica o Tema 988/STJ (taxatividade mitigada do art. 1.015): é cabível agravo de instrumento contra a decisão que fixa honorários periciais alegadamente exorbitantes, por urgência decorrente da inutilidade do julgamento só na apelação. Agravo interno e recurso especial providos.</w:t>
            </w:r>
          </w:p>
        </w:tc>
      </w:tr>
      <w:tr>
        <w:trPr>
          <w:cantSplit/>
        </w:trPr>
        <w:tc>
          <w:tcPr>
            <w:tcW w:type="dxa" w:w="2154"/>
          </w:tcPr>
          <w:p>
            <w:pPr>
              <w:pStyle w:val="Compact"/>
              <w:spacing w:line="276" w:lineRule="auto" w:before="40" w:after="40"/>
            </w:pPr>
            <w:r>
              <w:rPr>
                <w:rFonts w:ascii="Liberation Sans Narrow" w:hAnsi="Liberation Sans Narrow"/>
                <w:sz w:val="17"/>
              </w:rPr>
              <w:t xml:space="preserve">Art. 465, caput: qualificação do perito</w:t>
            </w:r>
          </w:p>
        </w:tc>
        <w:tc>
          <w:tcPr>
            <w:tcW w:type="dxa" w:w="1780"/>
          </w:tcPr>
          <w:p>
            <w:pPr>
              <w:pStyle w:val="Compact"/>
              <w:spacing w:line="276" w:lineRule="auto" w:before="40" w:after="40"/>
            </w:pPr>
            <w:r>
              <w:rPr>
                <w:rFonts w:ascii="Liberation Sans Narrow" w:hAnsi="Liberation Sans Narrow"/>
                <w:sz w:val="17"/>
              </w:rPr>
              <w:t xml:space="preserve">STJ, AREsp 3.078.178, Terceira Turma, relator Min. Ricardo Villas Bôas Cueva, julgado em 15/06/2026, DJEN de 18/06/2026</w:t>
            </w:r>
          </w:p>
        </w:tc>
        <w:tc>
          <w:tcPr>
            <w:tcW w:type="dxa" w:w="2529"/>
          </w:tcPr>
          <w:p>
            <w:pPr>
              <w:pStyle w:val="Compact"/>
              <w:spacing w:line="276" w:lineRule="auto" w:before="40" w:after="40"/>
            </w:pPr>
            <w:r>
              <w:rPr>
                <w:rFonts w:ascii="Liberation Sans Narrow" w:hAnsi="Liberation Sans Narrow"/>
                <w:sz w:val="17"/>
              </w:rPr>
              <w:t xml:space="preserve">A especialidade médica, em regra, não é requisito de validade da prova pericial; basta que o perito tenha conhecimento técnico-científico adequado (art. 465), de modo que não há nulidade nem necessidade de substituição (art. 468). Rever a capacidade técnica do perito exige reexame de provas (Súmula 7/STJ).</w:t>
            </w:r>
          </w:p>
        </w:tc>
      </w:tr>
      <w:tr>
        <w:trPr>
          <w:cantSplit/>
        </w:trPr>
        <w:tc>
          <w:tcPr>
            <w:tcW w:type="dxa" w:w="2154"/>
          </w:tcPr>
          <w:p>
            <w:pPr>
              <w:pStyle w:val="Compact"/>
              <w:spacing w:line="276" w:lineRule="auto" w:before="40" w:after="40"/>
            </w:pPr>
            <w:r>
              <w:rPr>
                <w:rFonts w:ascii="Liberation Sans Narrow" w:hAnsi="Liberation Sans Narrow"/>
                <w:sz w:val="17"/>
              </w:rPr>
              <w:t xml:space="preserve">Honorários periciais: rateio em perícia de ofício (art. 95)</w:t>
            </w:r>
          </w:p>
        </w:tc>
        <w:tc>
          <w:tcPr>
            <w:tcW w:type="dxa" w:w="1780"/>
          </w:tcPr>
          <w:p>
            <w:pPr>
              <w:pStyle w:val="Compact"/>
              <w:spacing w:line="276" w:lineRule="auto" w:before="40" w:after="40"/>
            </w:pPr>
            <w:r>
              <w:rPr>
                <w:rFonts w:ascii="Liberation Sans Narrow" w:hAnsi="Liberation Sans Narrow"/>
                <w:sz w:val="17"/>
              </w:rPr>
              <w:t xml:space="preserve">STJ, AgInt no REsp 1.776.415, Quarta Turma, relator Min. Raul Araújo, julgado em 13/04/2026, DJEN de 22/04/2026</w:t>
            </w:r>
          </w:p>
        </w:tc>
        <w:tc>
          <w:tcPr>
            <w:tcW w:type="dxa" w:w="2529"/>
          </w:tcPr>
          <w:p>
            <w:pPr>
              <w:pStyle w:val="Compact"/>
              <w:spacing w:line="276" w:lineRule="auto" w:before="40" w:after="40"/>
            </w:pPr>
            <w:r>
              <w:rPr>
                <w:rFonts w:ascii="Liberation Sans Narrow" w:hAnsi="Liberation Sans Narrow"/>
                <w:sz w:val="17"/>
              </w:rPr>
              <w:t xml:space="preserve">Determinada de ofício a perícia na segunda fase da ação de exigir contas, a remuneração do perito é rateada entre as partes, mesmo que o réu tenha sido condenado nos ônus sucumbenciais da primeira fase.</w:t>
            </w:r>
          </w:p>
        </w:tc>
      </w:tr>
      <w:tr>
        <w:trPr>
          <w:cantSplit/>
        </w:trPr>
        <w:tc>
          <w:tcPr>
            <w:tcW w:type="dxa" w:w="2154"/>
          </w:tcPr>
          <w:p>
            <w:pPr>
              <w:pStyle w:val="Compact"/>
              <w:spacing w:line="276" w:lineRule="auto" w:before="40" w:after="40"/>
            </w:pPr>
            <w:r>
              <w:rPr>
                <w:rFonts w:ascii="Liberation Sans Narrow" w:hAnsi="Liberation Sans Narrow"/>
                <w:sz w:val="17"/>
              </w:rPr>
              <w:t xml:space="preserve">Prescrição da execução de honorários periciais</w:t>
            </w:r>
          </w:p>
        </w:tc>
        <w:tc>
          <w:tcPr>
            <w:tcW w:type="dxa" w:w="1780"/>
          </w:tcPr>
          <w:p>
            <w:pPr>
              <w:pStyle w:val="Compact"/>
              <w:spacing w:line="276" w:lineRule="auto" w:before="40" w:after="40"/>
            </w:pPr>
            <w:r>
              <w:rPr>
                <w:rFonts w:ascii="Liberation Sans Narrow" w:hAnsi="Liberation Sans Narrow"/>
                <w:sz w:val="17"/>
              </w:rPr>
              <w:t xml:space="preserve">STJ, REsp 1.916.316, Terceira Turma, relator Min. Paulo de Tarso Sanseverino, julgado em 08/11/2022, DJe de 16/11/2022</w:t>
            </w:r>
          </w:p>
        </w:tc>
        <w:tc>
          <w:tcPr>
            <w:tcW w:type="dxa" w:w="2529"/>
          </w:tcPr>
          <w:p>
            <w:pPr>
              <w:pStyle w:val="Compact"/>
              <w:spacing w:line="276" w:lineRule="auto" w:before="40" w:after="40"/>
            </w:pPr>
            <w:r>
              <w:rPr>
                <w:rFonts w:ascii="Liberation Sans Narrow" w:hAnsi="Liberation Sans Narrow"/>
                <w:sz w:val="17"/>
              </w:rPr>
              <w:t xml:space="preserve">Na execução de honorários periciais em autos digitalizados e sem cadastramento do perito para intimações, o prazo prescricional começa com a ciência inequívoca do trânsito em julgado da decisão que os fixou (actio nata); prescrição não ocorrida.</w:t>
            </w:r>
          </w:p>
        </w:tc>
      </w:tr>
    </w:tbl>
    <w:p>
      <w:pPr>
        <w:pStyle w:val="BodyText"/>
        <w:keepNext/>
        <w:spacing w:after="60"/>
        <w:jc w:val="both"/>
      </w:pPr>
      <w:r>
        <w:t xml:space="preserve">§ 1º Incumbe às partes, dentro de 15 (quinze) dias contados da intimação do despacho de nomeação do perito: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528"/>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52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Art. 465, § 1º: impugnação do perito e preclusão</w:t>
            </w:r>
          </w:p>
        </w:tc>
        <w:tc>
          <w:tcPr>
            <w:tcW w:type="dxa" w:w="1655"/>
          </w:tcPr>
          <w:p>
            <w:pPr>
              <w:pStyle w:val="Compact"/>
              <w:spacing w:line="276" w:lineRule="auto" w:before="40" w:after="40"/>
            </w:pPr>
            <w:r>
              <w:rPr>
                <w:rFonts w:ascii="Liberation Sans Narrow" w:hAnsi="Liberation Sans Narrow"/>
                <w:sz w:val="17"/>
              </w:rPr>
              <w:t xml:space="preserve">STJ, REsp 2.200.621, Quarta Turma, relator Min. João Otávio de Noronha, julgado em 22/04/2026, DJEN de 27/04/2026</w:t>
            </w:r>
          </w:p>
        </w:tc>
        <w:tc>
          <w:tcPr>
            <w:tcW w:type="dxa" w:w="2529"/>
          </w:tcPr>
          <w:p>
            <w:pPr>
              <w:pStyle w:val="Compact"/>
              <w:spacing w:line="276" w:lineRule="auto" w:before="40" w:after="40"/>
            </w:pPr>
            <w:r>
              <w:rPr>
                <w:rFonts w:ascii="Liberation Sans Narrow" w:hAnsi="Liberation Sans Narrow"/>
                <w:sz w:val="17"/>
              </w:rPr>
              <w:t xml:space="preserve">A impugnação à qualificação técnico-científica do perito, apresentada só após o laudo, está precluída (arts. 465, § 1º, e 507 do CPC); a especialidade médica específica não é requisito de validade da perícia. Recurso especial não conhecido.</w:t>
            </w:r>
          </w:p>
        </w:tc>
      </w:tr>
    </w:tbl>
    <w:p>
      <w:pPr>
        <w:pStyle w:val="BodyText"/>
        <w:spacing w:after="60"/>
        <w:jc w:val="both"/>
      </w:pPr>
      <w:r>
        <w:t xml:space="preserve">I - arguir o impedimento ou a suspeição do perito, se for o caso;</w:t>
      </w:r>
    </w:p>
    <w:p>
      <w:pPr>
        <w:pStyle w:val="BodyText"/>
        <w:spacing w:after="60"/>
        <w:jc w:val="both"/>
      </w:pPr>
      <w:r>
        <w:t xml:space="preserve">II - indicar assistente técnico;</w:t>
      </w:r>
    </w:p>
    <w:p>
      <w:pPr>
        <w:pStyle w:val="BodyText"/>
        <w:spacing w:after="60"/>
        <w:jc w:val="both"/>
      </w:pPr>
      <w:r>
        <w:t xml:space="preserve">III - apresentar quesitos.</w:t>
      </w:r>
    </w:p>
    <w:p>
      <w:pPr>
        <w:pStyle w:val="BodyText"/>
        <w:spacing w:after="60"/>
        <w:jc w:val="both"/>
      </w:pPr>
      <w:r>
        <w:t xml:space="preserve">§ 2º Ciente da nomeação, o perito apresentará em 5 (cinco) dias:</w:t>
      </w:r>
    </w:p>
    <w:p>
      <w:pPr>
        <w:pStyle w:val="BodyText"/>
        <w:spacing w:after="60"/>
        <w:jc w:val="both"/>
      </w:pPr>
      <w:r>
        <w:t xml:space="preserve">I - proposta de honorários;</w:t>
      </w:r>
    </w:p>
    <w:p>
      <w:pPr>
        <w:pStyle w:val="BodyText"/>
        <w:spacing w:after="60"/>
        <w:jc w:val="both"/>
      </w:pPr>
      <w:r>
        <w:t xml:space="preserve">II - currículo, com comprovação de especialização;</w:t>
      </w:r>
    </w:p>
    <w:p>
      <w:pPr>
        <w:pStyle w:val="BodyText"/>
        <w:spacing w:after="60"/>
        <w:jc w:val="both"/>
      </w:pPr>
      <w:r>
        <w:t xml:space="preserve">III - contatos profissionais, em especial o endereço eletrônico, para onde serão dirigidas as intimações pessoais.</w:t>
      </w:r>
    </w:p>
    <w:p>
      <w:pPr>
        <w:pStyle w:val="BodyText"/>
        <w:spacing w:after="60"/>
        <w:jc w:val="both"/>
      </w:pPr>
      <w:r>
        <w:t xml:space="preserve">§ 3º As partes serão intimadas da proposta de honorários para, querendo, manifestar-se no prazo comum de 5 (cinco) dias, após o que o juiz arbitrará o valor, intimando-se as partes para os fins do art. 95.</w:t>
      </w:r>
    </w:p>
    <w:p>
      <w:pPr>
        <w:pStyle w:val="BodyText"/>
        <w:spacing w:after="60"/>
        <w:jc w:val="both"/>
      </w:pPr>
      <w:r>
        <w:t xml:space="preserve">§ 4º O juiz poderá autorizar o pagamento de até cinquenta por cento dos honorários arbitrados a favor do perito no início dos trabalhos, devendo o remanescente ser pago apenas ao final, depois de entregue o laudo e prestados todos os esclarecimentos necessários.</w:t>
      </w:r>
    </w:p>
    <w:p>
      <w:pPr>
        <w:pStyle w:val="BodyText"/>
        <w:spacing w:after="60"/>
        <w:jc w:val="both"/>
      </w:pPr>
      <w:r>
        <w:t xml:space="preserve">§ 5º Quando a perícia for inconclusiva ou deficiente, o juiz poderá reduzir a remuneração inicialmente arbitrada para o trabalho.</w:t>
      </w:r>
    </w:p>
    <w:p>
      <w:pPr>
        <w:pStyle w:val="BodyText"/>
        <w:spacing w:after="60"/>
        <w:jc w:val="both"/>
      </w:pPr>
      <w:r>
        <w:t xml:space="preserve">§ 6º Quando tiver de realizar-se por carta, poder-se-á proceder à nomeação de perito e à indicação de assistentes técnicos no juízo ao qual se requisitar a perícia.</w:t>
      </w:r>
    </w:p>
    <w:bookmarkEnd w:id="192"/>
    <w:bookmarkStart w:id="193" w:name="art.-466"/>
    <w:p>
      <w:pPr>
        <w:pStyle w:val="Heading6"/>
        <w:pBdr>
          <w:left w:val="single" w:sz="36" w:space="4" w:color="2E75B6"/>
        </w:pBdr>
        <w:shd w:val="clear" w:color="auto" w:fill="E3EEF9"/>
        <w:spacing w:before="120" w:after="60"/>
        <w:ind w:left="85"/>
      </w:pPr>
      <w:r>
        <w:rPr>
          <w:i w:val="0"/>
          <w:color w:val="1F3A5F"/>
          <w:sz w:val="22"/>
        </w:rPr>
        <w:t xml:space="preserve">Art. 466</w:t>
      </w:r>
    </w:p>
    <w:p>
      <w:pPr>
        <w:pStyle w:val="FirstParagraph"/>
        <w:spacing w:after="60"/>
        <w:jc w:val="both"/>
      </w:pPr>
      <w:r>
        <w:rPr>
          <w:b/>
          <w:bCs/>
        </w:rPr>
        <w:t xml:space="preserve">Art. 466.</w:t>
      </w:r>
      <w:r>
        <w:t xml:space="preserve"> </w:t>
      </w:r>
      <w:r>
        <w:t xml:space="preserve">O perito cumprirá escrupulosamente o encargo que lhe foi cometido, independentemente de termo de compromisso.</w:t>
      </w:r>
    </w:p>
    <w:p>
      <w:pPr>
        <w:pStyle w:val="BodyText"/>
        <w:keepNext/>
        <w:spacing w:after="60"/>
        <w:jc w:val="both"/>
      </w:pPr>
      <w:r>
        <w:t xml:space="preserve">§ 1º Os assistentes técnicos são de confiança da parte e não estão sujeitos a impedimento ou suspeição.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 1º — assistente técnico é de confiança da parte</w:t>
            </w:r>
          </w:p>
        </w:tc>
        <w:tc>
          <w:tcPr>
            <w:tcW w:type="dxa" w:w="1655"/>
          </w:tcPr>
          <w:p>
            <w:pPr>
              <w:pStyle w:val="Compact"/>
              <w:spacing w:line="276" w:lineRule="auto" w:before="40" w:after="40"/>
            </w:pPr>
            <w:r>
              <w:rPr>
                <w:rFonts w:ascii="Liberation Sans Narrow" w:hAnsi="Liberation Sans Narrow"/>
                <w:sz w:val="17"/>
              </w:rPr>
              <w:t xml:space="preserve">STJ, REsp 2.120.455, Quarta Turma, relator Min. Antonio Carlos Ferreira, julgado em 11/05/2026, DJEN de 18/05/2026</w:t>
            </w:r>
          </w:p>
        </w:tc>
        <w:tc>
          <w:tcPr>
            <w:tcW w:type="dxa" w:w="1905"/>
          </w:tcPr>
          <w:p>
            <w:pPr>
              <w:pStyle w:val="Compact"/>
              <w:spacing w:line="276" w:lineRule="auto" w:before="40" w:after="40"/>
            </w:pPr>
            <w:r>
              <w:rPr>
                <w:rFonts w:ascii="Liberation Sans Narrow" w:hAnsi="Liberation Sans Narrow"/>
                <w:sz w:val="17"/>
              </w:rPr>
              <w:t xml:space="preserve">Os arts. 84 e 95 do CPC restringem o dever de ressarcimento do vencido às despesas estritamente processuais, entre elas a remuneração do assistente técnico atuante no processo, verbas que não se confundem com a remuneração de profissional contratado pela parte (no caso, contador particular).</w:t>
            </w:r>
          </w:p>
        </w:tc>
      </w:tr>
    </w:tbl>
    <w:p>
      <w:pPr>
        <w:pStyle w:val="BodyText"/>
        <w:spacing w:after="60"/>
        <w:jc w:val="both"/>
      </w:pPr>
      <w:r>
        <w:t xml:space="preserve">§ 2º O perito deve assegurar aos assistentes das partes o acesso e o acompanhamento das diligências e dos exames que realizar, com prévia comunicação, comprovada nos autos, com antecedência mínima de 5 (cinco) dias.</w:t>
      </w:r>
    </w:p>
    <w:bookmarkEnd w:id="193"/>
    <w:bookmarkStart w:id="194" w:name="art.-467"/>
    <w:p>
      <w:pPr>
        <w:pStyle w:val="Heading6"/>
        <w:pBdr>
          <w:left w:val="single" w:sz="36" w:space="4" w:color="2E75B6"/>
        </w:pBdr>
        <w:shd w:val="clear" w:color="auto" w:fill="E3EEF9"/>
        <w:spacing w:before="120" w:after="60"/>
        <w:ind w:left="85"/>
      </w:pPr>
      <w:r>
        <w:rPr>
          <w:i w:val="0"/>
          <w:color w:val="1F3A5F"/>
          <w:sz w:val="22"/>
        </w:rPr>
        <w:t xml:space="preserve">Art. 467</w:t>
      </w:r>
    </w:p>
    <w:p>
      <w:pPr>
        <w:pStyle w:val="FirstParagraph"/>
        <w:keepNext/>
        <w:spacing w:after="60"/>
        <w:jc w:val="both"/>
      </w:pPr>
      <w:r>
        <w:rPr>
          <w:b/>
          <w:bCs/>
        </w:rPr>
        <w:t xml:space="preserve">Art. 467.</w:t>
      </w:r>
      <w:r>
        <w:t xml:space="preserve"> </w:t>
      </w:r>
      <w:r>
        <w:t xml:space="preserve">O perito pode escusar-se ou ser recusado por impedimento ou suspeição.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27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suspeição do perito e reexame</w:t>
            </w:r>
          </w:p>
        </w:tc>
        <w:tc>
          <w:tcPr>
            <w:tcW w:type="dxa" w:w="1531"/>
          </w:tcPr>
          <w:p>
            <w:pPr>
              <w:pStyle w:val="Compact"/>
              <w:spacing w:line="276" w:lineRule="auto" w:before="40" w:after="40"/>
            </w:pPr>
            <w:r>
              <w:rPr>
                <w:rFonts w:ascii="Liberation Sans Narrow" w:hAnsi="Liberation Sans Narrow"/>
                <w:sz w:val="17"/>
              </w:rPr>
              <w:t xml:space="preserve">STJ, AgInt no AREsp 2.566.952, Quarta Turma, relator Min. Raul Araújo, DJe de 02/09/2024</w:t>
            </w:r>
          </w:p>
        </w:tc>
        <w:tc>
          <w:tcPr>
            <w:tcW w:type="dxa" w:w="2279"/>
          </w:tcPr>
          <w:p>
            <w:pPr>
              <w:pStyle w:val="Compact"/>
              <w:spacing w:line="276" w:lineRule="auto" w:before="40" w:after="40"/>
            </w:pPr>
            <w:r>
              <w:rPr>
                <w:rFonts w:ascii="Liberation Sans Narrow" w:hAnsi="Liberation Sans Narrow"/>
                <w:sz w:val="17"/>
              </w:rPr>
              <w:t xml:space="preserve">Reconhecida na origem a inexistência de suspeição do perito — a manifestação apontada como parcial ocorreu em sede de esclarecimentos, motivada pela própria parte —, a reforma desse entendimento demanda reexame das provas (Súmula 7/STJ).</w:t>
            </w:r>
          </w:p>
        </w:tc>
      </w:tr>
    </w:tbl>
    <w:p>
      <w:pPr>
        <w:pStyle w:val="BodyText"/>
        <w:spacing w:after="60"/>
        <w:jc w:val="both"/>
      </w:pPr>
      <w:r>
        <w:t xml:space="preserve">Parágrafo único. O juiz, ao aceitar a escusa ou ao julgar procedente a impugnação, nomeará novo perito.</w:t>
      </w:r>
    </w:p>
    <w:bookmarkEnd w:id="194"/>
    <w:bookmarkStart w:id="195" w:name="art.-468"/>
    <w:p>
      <w:pPr>
        <w:pStyle w:val="Heading6"/>
        <w:pBdr>
          <w:left w:val="single" w:sz="36" w:space="4" w:color="2E75B6"/>
        </w:pBdr>
        <w:shd w:val="clear" w:color="auto" w:fill="E3EEF9"/>
        <w:spacing w:before="120" w:after="60"/>
        <w:ind w:left="85"/>
      </w:pPr>
      <w:r>
        <w:rPr>
          <w:i w:val="0"/>
          <w:color w:val="1F3A5F"/>
          <w:sz w:val="22"/>
        </w:rPr>
        <w:t xml:space="preserve">Art. 468</w:t>
      </w:r>
    </w:p>
    <w:p>
      <w:pPr>
        <w:pStyle w:val="FirstParagraph"/>
        <w:keepNext/>
        <w:spacing w:after="60"/>
        <w:jc w:val="both"/>
      </w:pPr>
      <w:r>
        <w:rPr>
          <w:b/>
          <w:bCs/>
        </w:rPr>
        <w:t xml:space="preserve">Art. 468.</w:t>
      </w:r>
      <w:r>
        <w:t xml:space="preserve"> </w:t>
      </w:r>
      <w:r>
        <w:t xml:space="preserve">O perito pode ser substituído quando: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154"/>
        <w:gridCol w:w="1655"/>
        <w:gridCol w:w="2404"/>
      </w:tblGrid>
      <w:tr>
        <w:trPr>
          <w:tblHeader w:val="on"/>
          <w:cantSplit/>
          <w:tblHeader/>
        </w:trPr>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154"/>
          </w:tcPr>
          <w:p>
            <w:pPr>
              <w:pStyle w:val="Compact"/>
              <w:spacing w:line="276" w:lineRule="auto" w:before="40" w:after="40"/>
            </w:pPr>
            <w:r>
              <w:rPr>
                <w:rFonts w:ascii="Liberation Sans Narrow" w:hAnsi="Liberation Sans Narrow"/>
                <w:sz w:val="17"/>
              </w:rPr>
              <w:t xml:space="preserve">Caput — substituição por incapacidade técnica ou comprometimento da imparcialidade</w:t>
            </w:r>
          </w:p>
        </w:tc>
        <w:tc>
          <w:tcPr>
            <w:tcW w:type="dxa" w:w="1655"/>
          </w:tcPr>
          <w:p>
            <w:pPr>
              <w:pStyle w:val="Compact"/>
              <w:spacing w:line="276" w:lineRule="auto" w:before="40" w:after="40"/>
            </w:pPr>
            <w:r>
              <w:rPr>
                <w:rFonts w:ascii="Liberation Sans Narrow" w:hAnsi="Liberation Sans Narrow"/>
                <w:sz w:val="17"/>
              </w:rPr>
              <w:t xml:space="preserve">STJ, REsp 2.150.255, Quarta Turma, relatora Min. Maria Isabel Gallotti, julgado em 30/06/2026, DJEN de 03/07/2026</w:t>
            </w:r>
          </w:p>
        </w:tc>
        <w:tc>
          <w:tcPr>
            <w:tcW w:type="dxa" w:w="2404"/>
          </w:tcPr>
          <w:p>
            <w:pPr>
              <w:pStyle w:val="Compact"/>
              <w:spacing w:line="276" w:lineRule="auto" w:before="40" w:after="40"/>
            </w:pPr>
            <w:r>
              <w:rPr>
                <w:rFonts w:ascii="Liberation Sans Narrow" w:hAnsi="Liberation Sans Narrow"/>
                <w:sz w:val="17"/>
              </w:rPr>
              <w:t xml:space="preserve">É possível a substituição do perito quando verificada incapacidade técnica ou comprometimento da imparcialidade, incumbindo ao julgador avaliar a viabilidade da prova produzida; o juiz, destinatário da prova, pode determinar motivadamente nova perícia quando a questão não estiver suficientemente esclarecida (art. 480). A revisão do acerto dessa avaliação exige reexame de fatos e provas (Súmula 7/STJ).</w:t>
            </w:r>
          </w:p>
        </w:tc>
      </w:tr>
      <w:tr>
        <w:trPr>
          <w:cantSplit/>
        </w:trPr>
        <w:tc>
          <w:tcPr>
            <w:tcW w:type="dxa" w:w="2154"/>
          </w:tcPr>
          <w:p>
            <w:pPr>
              <w:pStyle w:val="Compact"/>
              <w:spacing w:line="276" w:lineRule="auto" w:before="40" w:after="40"/>
            </w:pPr>
            <w:r>
              <w:rPr>
                <w:rFonts w:ascii="Liberation Sans Narrow" w:hAnsi="Liberation Sans Narrow"/>
                <w:sz w:val="17"/>
              </w:rPr>
              <w:t xml:space="preserve">Caput — suficiência da qualificação técnica do perito nomeado</w:t>
            </w:r>
          </w:p>
        </w:tc>
        <w:tc>
          <w:tcPr>
            <w:tcW w:type="dxa" w:w="1655"/>
          </w:tcPr>
          <w:p>
            <w:pPr>
              <w:pStyle w:val="Compact"/>
              <w:spacing w:line="276" w:lineRule="auto" w:before="40" w:after="40"/>
            </w:pPr>
            <w:r>
              <w:rPr>
                <w:rFonts w:ascii="Liberation Sans Narrow" w:hAnsi="Liberation Sans Narrow"/>
                <w:sz w:val="17"/>
              </w:rPr>
              <w:t xml:space="preserve">STJ, AREsp 3.101.329, Quarta Turma, relator Min. João Otávio de Noronha, DJe de 27/04/2026</w:t>
            </w:r>
          </w:p>
        </w:tc>
        <w:tc>
          <w:tcPr>
            <w:tcW w:type="dxa" w:w="2404"/>
          </w:tcPr>
          <w:p>
            <w:pPr>
              <w:pStyle w:val="Compact"/>
              <w:spacing w:line="276" w:lineRule="auto" w:before="40" w:after="40"/>
            </w:pPr>
            <w:r>
              <w:rPr>
                <w:rFonts w:ascii="Liberation Sans Narrow" w:hAnsi="Liberation Sans Narrow"/>
                <w:sz w:val="17"/>
              </w:rPr>
              <w:t xml:space="preserve">Afastada na origem a violação do art. 468, por reconhecidas a suficiência da qualificação técnica do perito e a ausência dos requisitos para a substituição, a pretensão recursal demanda reexame de matéria fático-probatória (Súmula 7/STJ).</w:t>
            </w:r>
          </w:p>
        </w:tc>
      </w:tr>
    </w:tbl>
    <w:p>
      <w:pPr>
        <w:pStyle w:val="BodyText"/>
        <w:spacing w:after="60"/>
        <w:jc w:val="both"/>
      </w:pPr>
      <w:r>
        <w:t xml:space="preserve">I - faltar-lhe conhecimento técnico ou científico;</w:t>
      </w:r>
    </w:p>
    <w:p>
      <w:pPr>
        <w:pStyle w:val="BodyText"/>
        <w:spacing w:after="60"/>
        <w:jc w:val="both"/>
      </w:pPr>
      <w:r>
        <w:t xml:space="preserve">II - sem motivo legítimo, deixar de cumprir o encargo no prazo que lhe foi assinado.</w:t>
      </w:r>
    </w:p>
    <w:p>
      <w:pPr>
        <w:pStyle w:val="BodyText"/>
        <w:spacing w:after="60"/>
        <w:jc w:val="both"/>
      </w:pPr>
      <w:r>
        <w:t xml:space="preserve">§ 1º No caso previsto no inciso II, o juiz comunicará a ocorrência à corporação profissional respectiva, podendo, ainda, impor multa ao perito, fixada tendo em vista o valor da causa e o possível prejuízo decorrente do atraso no processo.</w:t>
      </w:r>
    </w:p>
    <w:p>
      <w:pPr>
        <w:pStyle w:val="BodyText"/>
        <w:spacing w:after="60"/>
        <w:jc w:val="both"/>
      </w:pPr>
      <w:r>
        <w:t xml:space="preserve">§ 2º O perito substituído restituirá, no prazo de 15 (quinze) dias, os valores recebidos pelo trabalho não realizado, sob pena de ficar impedido de atuar como perito judicial pelo prazo de 5 (cinco) anos.</w:t>
      </w:r>
    </w:p>
    <w:p>
      <w:pPr>
        <w:pStyle w:val="BodyText"/>
        <w:spacing w:after="60"/>
        <w:jc w:val="both"/>
      </w:pPr>
      <w:r>
        <w:t xml:space="preserve">§ 3º Não ocorrendo a restituição voluntária de que trata o § 2º, a parte que tiver realizado o adiantamento dos honorários poderá promover execução contra o perito, na forma dos arts. 513 e seguintes deste Código, com fundamento na decisão que determinar a devolução do numerário.</w:t>
      </w:r>
    </w:p>
    <w:bookmarkEnd w:id="195"/>
    <w:bookmarkStart w:id="196" w:name="art.-469"/>
    <w:p>
      <w:pPr>
        <w:pStyle w:val="Heading6"/>
        <w:pBdr>
          <w:left w:val="single" w:sz="36" w:space="4" w:color="2E75B6"/>
        </w:pBdr>
        <w:shd w:val="clear" w:color="auto" w:fill="E3EEF9"/>
        <w:spacing w:before="120" w:after="60"/>
        <w:ind w:left="85"/>
      </w:pPr>
      <w:r>
        <w:rPr>
          <w:i w:val="0"/>
          <w:color w:val="1F3A5F"/>
          <w:sz w:val="22"/>
        </w:rPr>
        <w:t xml:space="preserve">Art. 469</w:t>
      </w:r>
    </w:p>
    <w:p>
      <w:pPr>
        <w:pStyle w:val="FirstParagraph"/>
        <w:keepNext/>
        <w:spacing w:after="60"/>
        <w:jc w:val="both"/>
      </w:pPr>
      <w:r>
        <w:rPr>
          <w:b/>
          <w:bCs/>
        </w:rPr>
        <w:t xml:space="preserve">Art. 469.</w:t>
      </w:r>
      <w:r>
        <w:t xml:space="preserve"> </w:t>
      </w:r>
      <w:r>
        <w:t xml:space="preserve">As partes poderão apresentar quesitos suplementares durante a diligência, que poderão ser respondidos pelo perito previamente ou na audiência de instrução e julgamento.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2528"/>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52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Caput — apresentação de quesitos suplementares e limites da revisão</w:t>
            </w:r>
          </w:p>
        </w:tc>
        <w:tc>
          <w:tcPr>
            <w:tcW w:type="dxa" w:w="1655"/>
          </w:tcPr>
          <w:p>
            <w:pPr>
              <w:pStyle w:val="Compact"/>
              <w:spacing w:line="276" w:lineRule="auto" w:before="40" w:after="40"/>
            </w:pPr>
            <w:r>
              <w:rPr>
                <w:rFonts w:ascii="Liberation Sans Narrow" w:hAnsi="Liberation Sans Narrow"/>
                <w:sz w:val="17"/>
              </w:rPr>
              <w:t xml:space="preserve">STJ, REsp 1.976.506, Quarta Turma, relatora Min. Maria Isabel Gallotti, julgado em 04/05/2026, DJEN de 07/05/2026</w:t>
            </w:r>
          </w:p>
        </w:tc>
        <w:tc>
          <w:tcPr>
            <w:tcW w:type="dxa" w:w="2529"/>
          </w:tcPr>
          <w:p>
            <w:pPr>
              <w:pStyle w:val="Compact"/>
              <w:spacing w:line="276" w:lineRule="auto" w:before="40" w:after="40"/>
            </w:pPr>
            <w:r>
              <w:rPr>
                <w:rFonts w:ascii="Liberation Sans Narrow" w:hAnsi="Liberation Sans Narrow"/>
                <w:sz w:val="17"/>
              </w:rPr>
              <w:t xml:space="preserve">As faculdades previstas no art. 477 do CPC permitem às partes a apresentação de quesitos suplementares e o requerimento de esclarecimentos ao perito independentemente da indicação de assistente técnico; a aferição da pertinência dos quesitos, da suficiência do laudo e dos critérios técnicos empregados é matéria fático-probatória, insuscetível de revisão em recurso especial (Súmula 7/STJ).</w:t>
            </w:r>
          </w:p>
        </w:tc>
      </w:tr>
      <w:tr>
        <w:trPr>
          <w:cantSplit/>
        </w:trPr>
        <w:tc>
          <w:tcPr>
            <w:tcW w:type="dxa" w:w="1905"/>
          </w:tcPr>
          <w:p>
            <w:pPr>
              <w:pStyle w:val="Compact"/>
              <w:spacing w:line="276" w:lineRule="auto" w:before="40" w:after="40"/>
            </w:pPr>
            <w:r>
              <w:rPr>
                <w:rFonts w:ascii="Liberation Sans Narrow" w:hAnsi="Liberation Sans Narrow"/>
                <w:sz w:val="17"/>
              </w:rPr>
              <w:t xml:space="preserve">Caput — quesitos suplementares após o laudo</w:t>
            </w:r>
          </w:p>
        </w:tc>
        <w:tc>
          <w:tcPr>
            <w:tcW w:type="dxa" w:w="1655"/>
          </w:tcPr>
          <w:p>
            <w:pPr>
              <w:pStyle w:val="Compact"/>
              <w:spacing w:line="276" w:lineRule="auto" w:before="40" w:after="40"/>
            </w:pPr>
            <w:r>
              <w:rPr>
                <w:rFonts w:ascii="Liberation Sans Narrow" w:hAnsi="Liberation Sans Narrow"/>
                <w:sz w:val="17"/>
              </w:rPr>
              <w:t xml:space="preserve">STJ, AgInt no AREsp 2.180.053, Segunda Turma, relator Min. Herman Benjamin, DJe de 04/04/2023</w:t>
            </w:r>
          </w:p>
        </w:tc>
        <w:tc>
          <w:tcPr>
            <w:tcW w:type="dxa" w:w="2529"/>
          </w:tcPr>
          <w:p>
            <w:pPr>
              <w:pStyle w:val="Compact"/>
              <w:spacing w:line="276" w:lineRule="auto" w:before="40" w:after="40"/>
            </w:pPr>
            <w:r>
              <w:rPr>
                <w:rFonts w:ascii="Liberation Sans Narrow" w:hAnsi="Liberation Sans Narrow"/>
                <w:sz w:val="17"/>
              </w:rPr>
              <w:t xml:space="preserve">Reconhecido na origem que os quesitos suplementares foram formulados somente após o protocolo do laudo e dos esclarecimentos, para ampliar indevidamente o objeto da perícia e rediscutir a prova técnica desfavorável, e que as informações do laudo eram suficientes, a conclusão diversa exigiria reexame do contexto fático-probatório (Súmula 7/STJ). Cabe ao juiz, destinatário da prova, deferir ou indeferir as solicitações das partes.</w:t>
            </w:r>
          </w:p>
        </w:tc>
      </w:tr>
    </w:tbl>
    <w:p>
      <w:pPr>
        <w:pStyle w:val="BodyText"/>
        <w:spacing w:after="60"/>
        <w:jc w:val="both"/>
      </w:pPr>
      <w:r>
        <w:t xml:space="preserve">Parágrafo único. O escrivão dará à parte contrária ciência da juntada dos quesitos aos autos.</w:t>
      </w:r>
    </w:p>
    <w:bookmarkEnd w:id="196"/>
    <w:bookmarkStart w:id="197" w:name="art.-470"/>
    <w:p>
      <w:pPr>
        <w:pStyle w:val="Heading6"/>
        <w:pBdr>
          <w:left w:val="single" w:sz="36" w:space="4" w:color="2E75B6"/>
        </w:pBdr>
        <w:shd w:val="clear" w:color="auto" w:fill="E3EEF9"/>
        <w:spacing w:before="120" w:after="60"/>
        <w:ind w:left="85"/>
      </w:pPr>
      <w:r>
        <w:rPr>
          <w:i w:val="0"/>
          <w:color w:val="1F3A5F"/>
          <w:sz w:val="22"/>
        </w:rPr>
        <w:t xml:space="preserve">Art. 470</w:t>
      </w:r>
    </w:p>
    <w:p>
      <w:pPr>
        <w:pStyle w:val="FirstParagraph"/>
        <w:spacing w:after="60"/>
        <w:jc w:val="both"/>
      </w:pPr>
      <w:r>
        <w:rPr>
          <w:b/>
          <w:bCs/>
        </w:rPr>
        <w:t xml:space="preserve">Art. 470.</w:t>
      </w:r>
      <w:r>
        <w:t xml:space="preserve"> </w:t>
      </w:r>
      <w:r>
        <w:t xml:space="preserve">Incumbe ao juiz:</w:t>
      </w:r>
    </w:p>
    <w:p>
      <w:pPr>
        <w:pStyle w:val="BodyText"/>
        <w:keepNext/>
        <w:spacing w:after="60"/>
        <w:jc w:val="both"/>
      </w:pPr>
      <w:r>
        <w:t xml:space="preserve">I - indeferir quesitos impertinentes;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2404"/>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I — indeferimento de quesitos</w:t>
            </w:r>
          </w:p>
        </w:tc>
        <w:tc>
          <w:tcPr>
            <w:tcW w:type="dxa" w:w="1655"/>
          </w:tcPr>
          <w:p>
            <w:pPr>
              <w:pStyle w:val="Compact"/>
              <w:spacing w:line="276" w:lineRule="auto" w:before="40" w:after="40"/>
            </w:pPr>
            <w:r>
              <w:rPr>
                <w:rFonts w:ascii="Liberation Sans Narrow" w:hAnsi="Liberation Sans Narrow"/>
                <w:sz w:val="17"/>
              </w:rPr>
              <w:t xml:space="preserve">STJ, REsp 1.976.506, Quarta Turma, relatora Min. Maria Isabel Gallotti, julgado em 04/05/2026, DJEN de 07/05/2026</w:t>
            </w:r>
          </w:p>
        </w:tc>
        <w:tc>
          <w:tcPr>
            <w:tcW w:type="dxa" w:w="2404"/>
          </w:tcPr>
          <w:p>
            <w:pPr>
              <w:pStyle w:val="Compact"/>
              <w:spacing w:line="276" w:lineRule="auto" w:before="40" w:after="40"/>
            </w:pPr>
            <w:r>
              <w:rPr>
                <w:rFonts w:ascii="Liberation Sans Narrow" w:hAnsi="Liberation Sans Narrow"/>
                <w:sz w:val="17"/>
              </w:rPr>
              <w:t xml:space="preserve">O magistrado pode indeferir, de ofício ou a requerimento da parte, a formulação de quesitos suplementares quando o laudo pericial apresentado for considerado suficiente para a solução da controvérsia. O juiz é o destinatário final das provas, e o indeferimento fundamentado não configura cerceamento de defesa.</w:t>
            </w:r>
          </w:p>
        </w:tc>
      </w:tr>
      <w:tr>
        <w:trPr>
          <w:cantSplit/>
        </w:trPr>
        <w:tc>
          <w:tcPr>
            <w:tcW w:type="dxa" w:w="1905"/>
          </w:tcPr>
          <w:p>
            <w:pPr>
              <w:pStyle w:val="Compact"/>
              <w:spacing w:line="276" w:lineRule="auto" w:before="40" w:after="40"/>
            </w:pPr>
            <w:r>
              <w:rPr>
                <w:rFonts w:ascii="Liberation Sans Narrow" w:hAnsi="Liberation Sans Narrow"/>
                <w:sz w:val="17"/>
              </w:rPr>
              <w:t xml:space="preserve">I — deferimento e indeferimento das solicitações das partes</w:t>
            </w:r>
          </w:p>
        </w:tc>
        <w:tc>
          <w:tcPr>
            <w:tcW w:type="dxa" w:w="1655"/>
          </w:tcPr>
          <w:p>
            <w:pPr>
              <w:pStyle w:val="Compact"/>
              <w:spacing w:line="276" w:lineRule="auto" w:before="40" w:after="40"/>
            </w:pPr>
            <w:r>
              <w:rPr>
                <w:rFonts w:ascii="Liberation Sans Narrow" w:hAnsi="Liberation Sans Narrow"/>
                <w:sz w:val="17"/>
              </w:rPr>
              <w:t xml:space="preserve">STJ, AgInt no AREsp 2.180.053, Segunda Turma, relator Min. Herman Benjamin, DJe de 04/04/2023</w:t>
            </w:r>
          </w:p>
        </w:tc>
        <w:tc>
          <w:tcPr>
            <w:tcW w:type="dxa" w:w="2404"/>
          </w:tcPr>
          <w:p>
            <w:pPr>
              <w:pStyle w:val="Compact"/>
              <w:spacing w:line="276" w:lineRule="auto" w:before="40" w:after="40"/>
            </w:pPr>
            <w:r>
              <w:rPr>
                <w:rFonts w:ascii="Liberation Sans Narrow" w:hAnsi="Liberation Sans Narrow"/>
                <w:sz w:val="17"/>
              </w:rPr>
              <w:t xml:space="preserve">Cabe ao juiz, como destinatário da prova, a competência para deferir ou indeferir as solicitações das partes; a conclusão diversa sobre a suficiência do laudo exigiria reexame do contexto fático-probatório (Súmula 7/STJ).</w:t>
            </w:r>
          </w:p>
        </w:tc>
      </w:tr>
    </w:tbl>
    <w:p>
      <w:pPr>
        <w:pStyle w:val="BodyText"/>
        <w:spacing w:after="60"/>
        <w:jc w:val="both"/>
      </w:pPr>
      <w:r>
        <w:t xml:space="preserve">II - formular os quesitos que entender necessários ao esclarecimento da causa.</w:t>
      </w:r>
    </w:p>
    <w:bookmarkEnd w:id="197"/>
    <w:bookmarkStart w:id="198" w:name="art.-471"/>
    <w:p>
      <w:pPr>
        <w:pStyle w:val="Heading6"/>
        <w:pBdr>
          <w:left w:val="single" w:sz="36" w:space="4" w:color="2E75B6"/>
        </w:pBdr>
        <w:shd w:val="clear" w:color="auto" w:fill="E3EEF9"/>
        <w:spacing w:before="120" w:after="60"/>
        <w:ind w:left="85"/>
      </w:pPr>
      <w:r>
        <w:rPr>
          <w:i w:val="0"/>
          <w:color w:val="1F3A5F"/>
          <w:sz w:val="22"/>
        </w:rPr>
        <w:t xml:space="preserve">Art. 471</w:t>
      </w:r>
    </w:p>
    <w:p>
      <w:pPr>
        <w:pStyle w:val="FirstParagraph"/>
        <w:keepNext/>
        <w:spacing w:after="60"/>
        <w:jc w:val="both"/>
      </w:pPr>
      <w:r>
        <w:rPr>
          <w:b/>
          <w:bCs/>
        </w:rPr>
        <w:t xml:space="preserve">Art. 471.</w:t>
      </w:r>
      <w:r>
        <w:t xml:space="preserve"> </w:t>
      </w:r>
      <w:r>
        <w:t xml:space="preserve">As partes podem, de comum acordo, escolher o perito, indicando-o mediante requerimento, desde que: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2154"/>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Perícia consensual: escolha do perito de comum acordo</w:t>
            </w:r>
          </w:p>
        </w:tc>
        <w:tc>
          <w:tcPr>
            <w:tcW w:type="dxa" w:w="1655"/>
          </w:tcPr>
          <w:p>
            <w:pPr>
              <w:pStyle w:val="Compact"/>
              <w:spacing w:line="276" w:lineRule="auto" w:before="40" w:after="40"/>
            </w:pPr>
            <w:r>
              <w:rPr>
                <w:rFonts w:ascii="Liberation Sans Narrow" w:hAnsi="Liberation Sans Narrow"/>
                <w:sz w:val="17"/>
              </w:rPr>
              <w:t xml:space="preserve">STJ, REsp 1.924.452, Terceira Turma, relator Min. Ricardo Villas Bôas Cueva, julgado em 04/10/2022, DJe de 10/10/2022</w:t>
            </w:r>
          </w:p>
        </w:tc>
        <w:tc>
          <w:tcPr>
            <w:tcW w:type="dxa" w:w="2154"/>
          </w:tcPr>
          <w:p>
            <w:pPr>
              <w:pStyle w:val="Compact"/>
              <w:spacing w:line="276" w:lineRule="auto" w:before="40" w:after="40"/>
            </w:pPr>
            <w:r>
              <w:rPr>
                <w:rFonts w:ascii="Liberation Sans Narrow" w:hAnsi="Liberation Sans Narrow"/>
                <w:sz w:val="17"/>
              </w:rPr>
              <w:t xml:space="preserve">As partes podem escolher o perito de comum acordo, desde que plenamente capazes e a causa admita autocomposição. Sem consenso, o profissional indicado por uma parte e rejeitado pela outra não pode realizar a perícia; a ausência de suspeição ou a possibilidade de assistente técnico não bastam para dispensar o acordo prévio.</w:t>
            </w:r>
          </w:p>
        </w:tc>
      </w:tr>
    </w:tbl>
    <w:p>
      <w:pPr>
        <w:pStyle w:val="BodyText"/>
        <w:spacing w:after="60"/>
        <w:jc w:val="both"/>
      </w:pPr>
      <w:r>
        <w:t xml:space="preserve">I - sejam plenamente capazes;</w:t>
      </w:r>
    </w:p>
    <w:p>
      <w:pPr>
        <w:pStyle w:val="BodyText"/>
        <w:spacing w:after="60"/>
        <w:jc w:val="both"/>
      </w:pPr>
      <w:r>
        <w:t xml:space="preserve">II - a causa possa ser resolvida por autocomposição.</w:t>
      </w:r>
    </w:p>
    <w:p>
      <w:pPr>
        <w:pStyle w:val="BodyText"/>
        <w:spacing w:after="60"/>
        <w:jc w:val="both"/>
      </w:pPr>
      <w:r>
        <w:t xml:space="preserve">§ 1º As partes, ao escolher o perito, já devem indicar os respectivos assistentes técnicos para acompanhar a realização da perícia, que se realizará em data e local previamente anunciados.</w:t>
      </w:r>
    </w:p>
    <w:p>
      <w:pPr>
        <w:pStyle w:val="BodyText"/>
        <w:spacing w:after="60"/>
        <w:jc w:val="both"/>
      </w:pPr>
      <w:r>
        <w:t xml:space="preserve">§ 2º O perito e os assistentes técnicos devem entregar, respectivamente, laudo e pareceres em prazo fixado pelo juiz.</w:t>
      </w:r>
    </w:p>
    <w:p>
      <w:pPr>
        <w:pStyle w:val="BodyText"/>
        <w:spacing w:after="60"/>
        <w:jc w:val="both"/>
      </w:pPr>
      <w:r>
        <w:t xml:space="preserve">§ 3º A perícia consensual substitui, para todos os efeitos, a que seria realizada por perito nomeado pelo juiz.</w:t>
      </w:r>
    </w:p>
    <w:bookmarkEnd w:id="198"/>
    <w:bookmarkStart w:id="199" w:name="art.-472"/>
    <w:p>
      <w:pPr>
        <w:pStyle w:val="Heading6"/>
        <w:pBdr>
          <w:left w:val="single" w:sz="36" w:space="4" w:color="2E75B6"/>
        </w:pBdr>
        <w:shd w:val="clear" w:color="auto" w:fill="E3EEF9"/>
        <w:spacing w:before="120" w:after="60"/>
        <w:ind w:left="85"/>
      </w:pPr>
      <w:r>
        <w:rPr>
          <w:i w:val="0"/>
          <w:color w:val="1F3A5F"/>
          <w:sz w:val="22"/>
        </w:rPr>
        <w:t xml:space="preserve">Art. 472</w:t>
      </w:r>
    </w:p>
    <w:p>
      <w:pPr>
        <w:pStyle w:val="FirstParagraph"/>
        <w:keepNext/>
        <w:spacing w:after="60"/>
        <w:jc w:val="both"/>
      </w:pPr>
      <w:r>
        <w:rPr>
          <w:b/>
          <w:bCs/>
        </w:rPr>
        <w:t xml:space="preserve">Art. 472.</w:t>
      </w:r>
      <w:r>
        <w:t xml:space="preserve"> </w:t>
      </w:r>
      <w:r>
        <w:t xml:space="preserve">O juiz poderá dispensar prova pericial quando as partes, na inicial e na contestação, apresentarem, sobre as questões de fato, pareceres técnicos ou documentos elucidativos que considerar suficientes.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530"/>
        <w:gridCol w:w="2404"/>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Caput — desnecessidade da perícia e impugnação genérica</w:t>
            </w:r>
          </w:p>
        </w:tc>
        <w:tc>
          <w:tcPr>
            <w:tcW w:type="dxa" w:w="1531"/>
          </w:tcPr>
          <w:p>
            <w:pPr>
              <w:pStyle w:val="Compact"/>
              <w:spacing w:line="276" w:lineRule="auto" w:before="40" w:after="40"/>
            </w:pPr>
            <w:r>
              <w:rPr>
                <w:rFonts w:ascii="Liberation Sans Narrow" w:hAnsi="Liberation Sans Narrow"/>
                <w:sz w:val="17"/>
              </w:rPr>
              <w:t xml:space="preserve">STJ, AgInt no AREsp 3.023.137, Quarta Turma, relator Min. Raul Araújo, DJe de 08/04/2026</w:t>
            </w:r>
          </w:p>
        </w:tc>
        <w:tc>
          <w:tcPr>
            <w:tcW w:type="dxa" w:w="2404"/>
          </w:tcPr>
          <w:p>
            <w:pPr>
              <w:pStyle w:val="Compact"/>
              <w:spacing w:line="276" w:lineRule="auto" w:before="40" w:after="40"/>
            </w:pPr>
            <w:r>
              <w:rPr>
                <w:rFonts w:ascii="Liberation Sans Narrow" w:hAnsi="Liberation Sans Narrow"/>
                <w:sz w:val="17"/>
              </w:rPr>
              <w:t xml:space="preserve">Reconhecidos na origem que a planilha do juízo estava em consonância com o contrato, que a impugnação dos cálculos era genérica e que era desnecessário o envio dos autos à contadoria, a pretensão de alterar tal entendimento demanda revolvimento do conjunto fático-probatório (Súmula 7/STJ); a realização de nova perícia é faculdade do juiz.</w:t>
            </w:r>
          </w:p>
        </w:tc>
      </w:tr>
      <w:tr>
        <w:trPr>
          <w:cantSplit/>
        </w:trPr>
        <w:tc>
          <w:tcPr>
            <w:tcW w:type="dxa" w:w="2030"/>
          </w:tcPr>
          <w:p>
            <w:pPr>
              <w:pStyle w:val="Compact"/>
              <w:spacing w:line="276" w:lineRule="auto" w:before="40" w:after="40"/>
            </w:pPr>
            <w:r>
              <w:rPr>
                <w:rFonts w:ascii="Liberation Sans Narrow" w:hAnsi="Liberation Sans Narrow"/>
                <w:sz w:val="17"/>
              </w:rPr>
              <w:t xml:space="preserve">Caput — suficiência da prova documental para dispensar a perícia</w:t>
            </w:r>
          </w:p>
        </w:tc>
        <w:tc>
          <w:tcPr>
            <w:tcW w:type="dxa" w:w="1531"/>
          </w:tcPr>
          <w:p>
            <w:pPr>
              <w:pStyle w:val="Compact"/>
              <w:spacing w:line="276" w:lineRule="auto" w:before="40" w:after="40"/>
            </w:pPr>
            <w:r>
              <w:rPr>
                <w:rFonts w:ascii="Liberation Sans Narrow" w:hAnsi="Liberation Sans Narrow"/>
                <w:sz w:val="17"/>
              </w:rPr>
              <w:t xml:space="preserve">STJ, AgInt no REsp 2.163.154, Segunda Turma, relatora Min. Maria Thereza de Assis Moura, DJe de 26/11/2025</w:t>
            </w:r>
          </w:p>
        </w:tc>
        <w:tc>
          <w:tcPr>
            <w:tcW w:type="dxa" w:w="2404"/>
          </w:tcPr>
          <w:p>
            <w:pPr>
              <w:pStyle w:val="Compact"/>
              <w:spacing w:line="276" w:lineRule="auto" w:before="40" w:after="40"/>
            </w:pPr>
            <w:r>
              <w:rPr>
                <w:rFonts w:ascii="Liberation Sans Narrow" w:hAnsi="Liberation Sans Narrow"/>
                <w:sz w:val="17"/>
              </w:rPr>
              <w:t xml:space="preserve">O tribunal de origem assentou a existência de provas documentais suficientes (laudos e processo administrativo fiscal) para formar a convicção do magistrado sobre a desnecessidade da perícia, nos termos do art. 464; a conclusão pela insuficiência dessa prova para comprovar o direito alegado decorreu da análise do mérito da documentação existente, e a revisão exige reexame do contexto fático-probatório (Súmula 7/STJ).</w:t>
            </w:r>
          </w:p>
        </w:tc>
      </w:tr>
    </w:tbl>
    <w:bookmarkEnd w:id="199"/>
    <w:bookmarkStart w:id="200" w:name="art.-473"/>
    <w:p>
      <w:pPr>
        <w:pStyle w:val="Heading6"/>
        <w:pBdr>
          <w:left w:val="single" w:sz="36" w:space="4" w:color="2E75B6"/>
        </w:pBdr>
        <w:shd w:val="clear" w:color="auto" w:fill="E3EEF9"/>
        <w:spacing w:before="120" w:after="60"/>
        <w:ind w:left="85"/>
      </w:pPr>
      <w:r>
        <w:rPr>
          <w:i w:val="0"/>
          <w:color w:val="1F3A5F"/>
          <w:sz w:val="22"/>
        </w:rPr>
        <w:t xml:space="preserve">Art. 473</w:t>
      </w:r>
    </w:p>
    <w:p>
      <w:pPr>
        <w:pStyle w:val="FirstParagraph"/>
        <w:keepNext/>
        <w:spacing w:after="60"/>
        <w:jc w:val="both"/>
      </w:pPr>
      <w:r>
        <w:rPr>
          <w:b/>
          <w:bCs/>
        </w:rPr>
        <w:t xml:space="preserve">Art. 473.</w:t>
      </w:r>
      <w:r>
        <w:t xml:space="preserve"> </w:t>
      </w:r>
      <w:r>
        <w:t xml:space="preserve">O laudo pericial deverá conter: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530"/>
        <w:gridCol w:w="2154"/>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Caput — observância dos requisitos técnicos e procedimentais do laudo</w:t>
            </w:r>
          </w:p>
        </w:tc>
        <w:tc>
          <w:tcPr>
            <w:tcW w:type="dxa" w:w="1531"/>
          </w:tcPr>
          <w:p>
            <w:pPr>
              <w:pStyle w:val="Compact"/>
              <w:spacing w:line="276" w:lineRule="auto" w:before="40" w:after="40"/>
            </w:pPr>
            <w:r>
              <w:rPr>
                <w:rFonts w:ascii="Liberation Sans Narrow" w:hAnsi="Liberation Sans Narrow"/>
                <w:sz w:val="17"/>
              </w:rPr>
              <w:t xml:space="preserve">STJ, AgInt no AREsp 2.959.518, Quarta Turma, relator Min. João Otávio de Noronha, DJe de 24/10/2025</w:t>
            </w:r>
          </w:p>
        </w:tc>
        <w:tc>
          <w:tcPr>
            <w:tcW w:type="dxa" w:w="2154"/>
          </w:tcPr>
          <w:p>
            <w:pPr>
              <w:pStyle w:val="Compact"/>
              <w:spacing w:line="276" w:lineRule="auto" w:before="40" w:after="40"/>
            </w:pPr>
            <w:r>
              <w:rPr>
                <w:rFonts w:ascii="Liberation Sans Narrow" w:hAnsi="Liberation Sans Narrow"/>
                <w:sz w:val="17"/>
              </w:rPr>
              <w:t xml:space="preserve">Alegada violação do art. 473 porque o laudo não teria observado requisitos técnicos e procedimentais, e do art. 480 pelo indeferimento de nova perícia: a revisão das conclusões do laudo e do indeferimento da nova perícia demanda reexame de provas (Súmula 7/STJ).</w:t>
            </w:r>
          </w:p>
        </w:tc>
      </w:tr>
    </w:tbl>
    <w:p>
      <w:pPr>
        <w:pStyle w:val="BodyText"/>
        <w:spacing w:after="60"/>
        <w:jc w:val="both"/>
      </w:pPr>
      <w:r>
        <w:t xml:space="preserve">I - a exposição do objeto da perícia;</w:t>
      </w:r>
    </w:p>
    <w:p>
      <w:pPr>
        <w:pStyle w:val="BodyText"/>
        <w:spacing w:after="60"/>
        <w:jc w:val="both"/>
      </w:pPr>
      <w:r>
        <w:t xml:space="preserve">II - a análise técnica ou científica realizada pelo perito;</w:t>
      </w:r>
    </w:p>
    <w:p>
      <w:pPr>
        <w:pStyle w:val="BodyText"/>
        <w:spacing w:after="60"/>
        <w:jc w:val="both"/>
      </w:pPr>
      <w:r>
        <w:t xml:space="preserve">III - a indicação do método utilizado, esclarecendo-o e demonstrando ser predominantemente aceito pelos especialistas da área do conhecimento da qual se originou;</w:t>
      </w:r>
    </w:p>
    <w:p>
      <w:pPr>
        <w:pStyle w:val="BodyText"/>
        <w:spacing w:after="60"/>
        <w:jc w:val="both"/>
      </w:pPr>
      <w:r>
        <w:t xml:space="preserve">IV - resposta conclusiva a todos os quesitos apresentados pelo juiz, pelas partes e pelo órgão do Ministério Público.</w:t>
      </w:r>
    </w:p>
    <w:p>
      <w:pPr>
        <w:pStyle w:val="BodyText"/>
        <w:spacing w:after="60"/>
        <w:jc w:val="both"/>
      </w:pPr>
      <w:r>
        <w:t xml:space="preserve">§ 1º No laudo, o perito deve apresentar sua fundamentação em linguagem simples e com coerência lógica, indicando como alcançou suas conclusões.</w:t>
      </w:r>
    </w:p>
    <w:p>
      <w:pPr>
        <w:pStyle w:val="BodyText"/>
        <w:spacing w:after="60"/>
        <w:jc w:val="both"/>
      </w:pPr>
      <w:r>
        <w:t xml:space="preserve">§ 2º É vedado ao perito ultrapassar os limites de sua designação, bem como emitir opiniões pessoais que excedam o exame técnico ou científico do objeto da perícia.</w:t>
      </w:r>
    </w:p>
    <w:p>
      <w:pPr>
        <w:pStyle w:val="BodyText"/>
        <w:spacing w:after="60"/>
        <w:jc w:val="both"/>
      </w:pPr>
      <w:r>
        <w:t xml:space="preserve">§ 3º Para o desempenho de sua função, o perito e os assistentes técnicos podem valer-se de todos os meios necessários, ouvindo testemunhas, obtendo informações, solicitando documentos que estejam em poder da parte, de terceiros ou em repartições públicas, bem como instruir o laudo com planilhas, mapas, plantas, desenhos, fotografias ou outros elementos necessários ao esclarecimento do objeto da perícia.</w:t>
      </w:r>
    </w:p>
    <w:bookmarkEnd w:id="200"/>
    <w:bookmarkStart w:id="201" w:name="art.-474"/>
    <w:p>
      <w:pPr>
        <w:pStyle w:val="Heading6"/>
        <w:pBdr>
          <w:left w:val="single" w:sz="36" w:space="4" w:color="2E75B6"/>
        </w:pBdr>
        <w:shd w:val="clear" w:color="auto" w:fill="E3EEF9"/>
        <w:spacing w:before="120" w:after="60"/>
        <w:ind w:left="85"/>
      </w:pPr>
      <w:r>
        <w:rPr>
          <w:i w:val="0"/>
          <w:color w:val="1F3A5F"/>
          <w:sz w:val="22"/>
        </w:rPr>
        <w:t xml:space="preserve">Art. 474</w:t>
      </w:r>
    </w:p>
    <w:p>
      <w:pPr>
        <w:pStyle w:val="FirstParagraph"/>
        <w:spacing w:after="60"/>
        <w:jc w:val="both"/>
      </w:pPr>
      <w:r>
        <w:rPr>
          <w:b/>
          <w:bCs/>
        </w:rPr>
        <w:t xml:space="preserve">Art. 474.</w:t>
      </w:r>
      <w:r>
        <w:t xml:space="preserve"> </w:t>
      </w:r>
      <w:r>
        <w:t xml:space="preserve">As partes terão ciência da data e do local designados pelo juiz ou indicados pelo perito para ter início a produção da prova.</w:t>
      </w:r>
    </w:p>
    <w:bookmarkEnd w:id="201"/>
    <w:bookmarkStart w:id="202" w:name="art.-475"/>
    <w:p>
      <w:pPr>
        <w:pStyle w:val="Heading6"/>
        <w:pBdr>
          <w:left w:val="single" w:sz="36" w:space="4" w:color="2E75B6"/>
        </w:pBdr>
        <w:shd w:val="clear" w:color="auto" w:fill="E3EEF9"/>
        <w:spacing w:before="120" w:after="60"/>
        <w:ind w:left="85"/>
      </w:pPr>
      <w:r>
        <w:rPr>
          <w:i w:val="0"/>
          <w:color w:val="1F3A5F"/>
          <w:sz w:val="22"/>
        </w:rPr>
        <w:t xml:space="preserve">Art. 475</w:t>
      </w:r>
    </w:p>
    <w:p>
      <w:pPr>
        <w:pStyle w:val="FirstParagraph"/>
        <w:spacing w:after="60"/>
        <w:jc w:val="both"/>
      </w:pPr>
      <w:r>
        <w:rPr>
          <w:b/>
          <w:bCs/>
        </w:rPr>
        <w:t xml:space="preserve">Art. 475.</w:t>
      </w:r>
      <w:r>
        <w:t xml:space="preserve"> </w:t>
      </w:r>
      <w:r>
        <w:t xml:space="preserve">Tratando-se de perícia complexa que abranja mais de uma área de conhecimento especializado, o juiz poderá nomear mais de um perito, e a parte, indicar mais de um assistente técnico.</w:t>
      </w:r>
    </w:p>
    <w:bookmarkEnd w:id="202"/>
    <w:bookmarkStart w:id="203" w:name="art.-476"/>
    <w:p>
      <w:pPr>
        <w:pStyle w:val="Heading6"/>
        <w:pBdr>
          <w:left w:val="single" w:sz="36" w:space="4" w:color="2E75B6"/>
        </w:pBdr>
        <w:shd w:val="clear" w:color="auto" w:fill="E3EEF9"/>
        <w:spacing w:before="120" w:after="60"/>
        <w:ind w:left="85"/>
      </w:pPr>
      <w:r>
        <w:rPr>
          <w:i w:val="0"/>
          <w:color w:val="1F3A5F"/>
          <w:sz w:val="22"/>
        </w:rPr>
        <w:t xml:space="preserve">Art. 476</w:t>
      </w:r>
    </w:p>
    <w:p>
      <w:pPr>
        <w:pStyle w:val="FirstParagraph"/>
        <w:spacing w:after="60"/>
        <w:jc w:val="both"/>
      </w:pPr>
      <w:r>
        <w:rPr>
          <w:b/>
          <w:bCs/>
        </w:rPr>
        <w:t xml:space="preserve">Art. 476.</w:t>
      </w:r>
      <w:r>
        <w:t xml:space="preserve"> </w:t>
      </w:r>
      <w:r>
        <w:t xml:space="preserve">Se o perito, por motivo justificado, não puder apresentar o laudo dentro do prazo, o juiz poderá conceder-lhe, por uma vez, prorrogação pela metade do prazo originalmente fixado.</w:t>
      </w:r>
    </w:p>
    <w:bookmarkEnd w:id="203"/>
    <w:bookmarkStart w:id="204" w:name="art.-477"/>
    <w:p>
      <w:pPr>
        <w:pStyle w:val="Heading6"/>
        <w:pBdr>
          <w:left w:val="single" w:sz="36" w:space="4" w:color="2E75B6"/>
        </w:pBdr>
        <w:shd w:val="clear" w:color="auto" w:fill="E3EEF9"/>
        <w:spacing w:before="120" w:after="60"/>
        <w:ind w:left="85"/>
      </w:pPr>
      <w:r>
        <w:rPr>
          <w:i w:val="0"/>
          <w:color w:val="1F3A5F"/>
          <w:sz w:val="22"/>
        </w:rPr>
        <w:t xml:space="preserve">Art. 477</w:t>
      </w:r>
    </w:p>
    <w:p>
      <w:pPr>
        <w:pStyle w:val="FirstParagraph"/>
        <w:spacing w:after="60"/>
        <w:jc w:val="both"/>
      </w:pPr>
      <w:r>
        <w:rPr>
          <w:b/>
          <w:bCs/>
        </w:rPr>
        <w:t xml:space="preserve">Art. 477.</w:t>
      </w:r>
      <w:r>
        <w:t xml:space="preserve"> </w:t>
      </w:r>
      <w:r>
        <w:t xml:space="preserve">O perito protocolará o laudo em juízo, no prazo fixado pelo juiz, pelo menos 20 (vinte) dias antes da audiência de instrução e julgamento.</w:t>
      </w:r>
    </w:p>
    <w:p>
      <w:pPr>
        <w:pStyle w:val="BodyText"/>
        <w:spacing w:after="60"/>
        <w:jc w:val="both"/>
      </w:pPr>
      <w:r>
        <w:t xml:space="preserve">§ 1º As partes serão intimadas para, querendo, manifestar-se sobre o laudo do perito do juízo no prazo comum de 15 (quinze) dias, podendo o assistente técnico de cada uma das partes, em igual prazo, apresentar seu respectivo parecer.</w:t>
      </w:r>
    </w:p>
    <w:p>
      <w:pPr>
        <w:pStyle w:val="BodyText"/>
        <w:keepNext/>
        <w:spacing w:after="60"/>
        <w:jc w:val="both"/>
      </w:pPr>
      <w:r>
        <w:t xml:space="preserve">§ 2º O perito do juízo tem o dever de, no prazo de 15 (quinze) dias, esclarecer ponto: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154"/>
        <w:gridCol w:w="1530"/>
        <w:gridCol w:w="2528"/>
      </w:tblGrid>
      <w:tr>
        <w:trPr>
          <w:tblHeader w:val="on"/>
          <w:cantSplit/>
          <w:tblHeader/>
        </w:trPr>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52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154"/>
          </w:tcPr>
          <w:p>
            <w:pPr>
              <w:pStyle w:val="Compact"/>
              <w:spacing w:line="276" w:lineRule="auto" w:before="40" w:after="40"/>
            </w:pPr>
            <w:r>
              <w:rPr>
                <w:rFonts w:ascii="Liberation Sans Narrow" w:hAnsi="Liberation Sans Narrow"/>
                <w:sz w:val="17"/>
              </w:rPr>
              <w:t xml:space="preserve">§ 2º — dever de esclarecimento e necessidade de pedido específico</w:t>
            </w:r>
          </w:p>
        </w:tc>
        <w:tc>
          <w:tcPr>
            <w:tcW w:type="dxa" w:w="1531"/>
          </w:tcPr>
          <w:p>
            <w:pPr>
              <w:pStyle w:val="Compact"/>
              <w:spacing w:line="276" w:lineRule="auto" w:before="40" w:after="40"/>
            </w:pPr>
            <w:r>
              <w:rPr>
                <w:rFonts w:ascii="Liberation Sans Narrow" w:hAnsi="Liberation Sans Narrow"/>
                <w:sz w:val="17"/>
              </w:rPr>
              <w:t xml:space="preserve">STJ, AREsp 3.005.471, Terceira Turma, relator Min. Moura Ribeiro, DJe de 16/12/2025</w:t>
            </w:r>
          </w:p>
        </w:tc>
        <w:tc>
          <w:tcPr>
            <w:tcW w:type="dxa" w:w="2529"/>
          </w:tcPr>
          <w:p>
            <w:pPr>
              <w:pStyle w:val="Compact"/>
              <w:spacing w:line="276" w:lineRule="auto" w:before="40" w:after="40"/>
            </w:pPr>
            <w:r>
              <w:rPr>
                <w:rFonts w:ascii="Liberation Sans Narrow" w:hAnsi="Liberation Sans Narrow"/>
                <w:sz w:val="17"/>
              </w:rPr>
              <w:t xml:space="preserve">Não há cerceamento de defesa por ausência de esclarecimentos periciais quando a parte optou pelo julgamento imediato, não formulou pedido específico de esclarecimentos e indicou assistente técnico intempestivamente; a pretensão esbarra nas Súmulas 5 e 7 do STJ.</w:t>
            </w:r>
          </w:p>
        </w:tc>
      </w:tr>
      <w:tr>
        <w:trPr>
          <w:cantSplit/>
        </w:trPr>
        <w:tc>
          <w:tcPr>
            <w:tcW w:type="dxa" w:w="2154"/>
          </w:tcPr>
          <w:p>
            <w:pPr>
              <w:pStyle w:val="Compact"/>
              <w:spacing w:line="276" w:lineRule="auto" w:before="40" w:after="40"/>
            </w:pPr>
            <w:r>
              <w:rPr>
                <w:rFonts w:ascii="Liberation Sans Narrow" w:hAnsi="Liberation Sans Narrow"/>
                <w:sz w:val="17"/>
              </w:rPr>
              <w:t xml:space="preserve">§ 2º — esclarecimentos prestados e reexame</w:t>
            </w:r>
          </w:p>
        </w:tc>
        <w:tc>
          <w:tcPr>
            <w:tcW w:type="dxa" w:w="1531"/>
          </w:tcPr>
          <w:p>
            <w:pPr>
              <w:pStyle w:val="Compact"/>
              <w:spacing w:line="276" w:lineRule="auto" w:before="40" w:after="40"/>
            </w:pPr>
            <w:r>
              <w:rPr>
                <w:rFonts w:ascii="Liberation Sans Narrow" w:hAnsi="Liberation Sans Narrow"/>
                <w:sz w:val="17"/>
              </w:rPr>
              <w:t xml:space="preserve">STJ, AgInt no AREsp 2.648.107, Quarta Turma, relator Min. Raul Araújo, DJe de 09/12/2025</w:t>
            </w:r>
          </w:p>
        </w:tc>
        <w:tc>
          <w:tcPr>
            <w:tcW w:type="dxa" w:w="2529"/>
          </w:tcPr>
          <w:p>
            <w:pPr>
              <w:pStyle w:val="Compact"/>
              <w:spacing w:line="276" w:lineRule="auto" w:before="40" w:after="40"/>
            </w:pPr>
            <w:r>
              <w:rPr>
                <w:rFonts w:ascii="Liberation Sans Narrow" w:hAnsi="Liberation Sans Narrow"/>
                <w:sz w:val="17"/>
              </w:rPr>
              <w:t xml:space="preserve">Intimado o perito para prestar esclarecimentos sobre a periodicidade dos juros na liquidação, e prestados, a pretensão de rever a conclusão do laudo homologado demanda reexame de provas (Súmula 7/STJ).</w:t>
            </w:r>
          </w:p>
        </w:tc>
      </w:tr>
    </w:tbl>
    <w:p>
      <w:pPr>
        <w:pStyle w:val="BodyText"/>
        <w:spacing w:after="60"/>
        <w:jc w:val="both"/>
      </w:pPr>
      <w:r>
        <w:t xml:space="preserve">I - sobre o qual exista divergência ou dúvida de qualquer das partes, do juiz ou do órgão do Ministério Público;</w:t>
      </w:r>
    </w:p>
    <w:p>
      <w:pPr>
        <w:pStyle w:val="BodyText"/>
        <w:spacing w:after="60"/>
        <w:jc w:val="both"/>
      </w:pPr>
      <w:r>
        <w:t xml:space="preserve">II - divergente apresentado no parecer do assistente técnico da parte.</w:t>
      </w:r>
    </w:p>
    <w:p>
      <w:pPr>
        <w:pStyle w:val="BodyText"/>
        <w:spacing w:after="60"/>
        <w:jc w:val="both"/>
      </w:pPr>
      <w:r>
        <w:t xml:space="preserve">§ 3º Se ainda houver necessidade de esclarecimentos, a parte requererá ao juiz que mande intimar o perito ou o assistente técnico a comparecer à audiência de instrução e julgamento, formulando, desde logo, as perguntas, sob forma de quesitos.</w:t>
      </w:r>
    </w:p>
    <w:p>
      <w:pPr>
        <w:pStyle w:val="BodyText"/>
        <w:spacing w:after="60"/>
        <w:jc w:val="both"/>
      </w:pPr>
      <w:r>
        <w:t xml:space="preserve">§ 4º O perito ou o assistente técnico será intimado por meio eletrônico, com pelo menos 10 (dez) dias de antecedência da audiência.</w:t>
      </w:r>
    </w:p>
    <w:bookmarkEnd w:id="204"/>
    <w:bookmarkStart w:id="205" w:name="art.-478"/>
    <w:p>
      <w:pPr>
        <w:pStyle w:val="Heading6"/>
        <w:pBdr>
          <w:left w:val="single" w:sz="36" w:space="4" w:color="2E75B6"/>
        </w:pBdr>
        <w:shd w:val="clear" w:color="auto" w:fill="E3EEF9"/>
        <w:spacing w:before="120" w:after="60"/>
        <w:ind w:left="85"/>
      </w:pPr>
      <w:r>
        <w:rPr>
          <w:i w:val="0"/>
          <w:color w:val="1F3A5F"/>
          <w:sz w:val="22"/>
        </w:rPr>
        <w:t xml:space="preserve">Art. 478</w:t>
      </w:r>
    </w:p>
    <w:p>
      <w:pPr>
        <w:pStyle w:val="FirstParagraph"/>
        <w:spacing w:after="60"/>
        <w:jc w:val="both"/>
      </w:pPr>
      <w:r>
        <w:rPr>
          <w:b/>
          <w:bCs/>
        </w:rPr>
        <w:t xml:space="preserve">Art. 478.</w:t>
      </w:r>
      <w:r>
        <w:t xml:space="preserve"> </w:t>
      </w:r>
      <w:r>
        <w:t xml:space="preserve">Quando o exame tiver por objeto a autenticidade ou a falsidade de documento ou for de natureza médico-legal, o perito será escolhido, de preferência, entre os técnicos dos estabelecimentos oficiais especializados, a cujos diretores o juiz autorizará a remessa dos autos, bem como do material sujeito a exame.</w:t>
      </w:r>
    </w:p>
    <w:p>
      <w:pPr>
        <w:pStyle w:val="BodyText"/>
        <w:spacing w:after="60"/>
        <w:jc w:val="both"/>
      </w:pPr>
      <w:r>
        <w:t xml:space="preserve">§ 1º Nas hipóteses de gratuidade de justiça, os órgãos e as repartições oficiais deverão cumprir a determinação judicial com preferência, no prazo estabelecido.</w:t>
      </w:r>
    </w:p>
    <w:p>
      <w:pPr>
        <w:pStyle w:val="BodyText"/>
        <w:spacing w:after="60"/>
        <w:jc w:val="both"/>
      </w:pPr>
      <w:r>
        <w:t xml:space="preserve">§ 2º A prorrogação do prazo referido no § 1º pode ser requerida motivadamente.</w:t>
      </w:r>
    </w:p>
    <w:p>
      <w:pPr>
        <w:pStyle w:val="BodyText"/>
        <w:spacing w:after="60"/>
        <w:jc w:val="both"/>
      </w:pPr>
      <w:r>
        <w:t xml:space="preserve">§ 3º Quando o exame tiver por objeto a autenticidade da letra e da firma, o perito poderá requisitar, para efeito de comparação, documentos existentes em repartições públicas e, na falta destes, poderá requerer ao juiz que a pessoa a quem se atribuir a autoria do documento lance em folha de papel, por cópia ou sob ditado, dizeres diferentes, para fins de comparação.</w:t>
      </w:r>
    </w:p>
    <w:bookmarkEnd w:id="205"/>
    <w:bookmarkStart w:id="206" w:name="art.-479"/>
    <w:p>
      <w:pPr>
        <w:pStyle w:val="Heading6"/>
        <w:pBdr>
          <w:left w:val="single" w:sz="36" w:space="4" w:color="2E75B6"/>
        </w:pBdr>
        <w:shd w:val="clear" w:color="auto" w:fill="E3EEF9"/>
        <w:spacing w:before="120" w:after="60"/>
        <w:ind w:left="85"/>
      </w:pPr>
      <w:r>
        <w:rPr>
          <w:i w:val="0"/>
          <w:color w:val="1F3A5F"/>
          <w:sz w:val="22"/>
        </w:rPr>
        <w:t xml:space="preserve">Art. 479</w:t>
      </w:r>
    </w:p>
    <w:p>
      <w:pPr>
        <w:pStyle w:val="FirstParagraph"/>
        <w:keepNext/>
        <w:spacing w:after="60"/>
        <w:jc w:val="both"/>
      </w:pPr>
      <w:r>
        <w:rPr>
          <w:b/>
          <w:bCs/>
        </w:rPr>
        <w:t xml:space="preserve">Art. 479.</w:t>
      </w:r>
      <w:r>
        <w:t xml:space="preserve"> </w:t>
      </w:r>
      <w:r>
        <w:t xml:space="preserve">O juiz apreciará a prova pericial de acordo com o disposto no art. 371, indicando na sentença os motivos que o levaram a considerar ou a deixar de considerar as conclusões do laudo, levando em conta o método utilizado pelo perito.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655"/>
        <w:gridCol w:w="2154"/>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Afastamento motivado do laudo por erro de cálculo do perito</w:t>
            </w:r>
          </w:p>
        </w:tc>
        <w:tc>
          <w:tcPr>
            <w:tcW w:type="dxa" w:w="1655"/>
          </w:tcPr>
          <w:p>
            <w:pPr>
              <w:pStyle w:val="Compact"/>
              <w:spacing w:line="276" w:lineRule="auto" w:before="40" w:after="40"/>
            </w:pPr>
            <w:r>
              <w:rPr>
                <w:rFonts w:ascii="Liberation Sans Narrow" w:hAnsi="Liberation Sans Narrow"/>
                <w:sz w:val="17"/>
              </w:rPr>
              <w:t xml:space="preserve">STJ, AgInt no AREsp 2.951.852, Segunda Turma, relator Min. Afrânio Vilela, julgado em 19/08/2026, DJEN de 24/08/2026</w:t>
            </w:r>
          </w:p>
        </w:tc>
        <w:tc>
          <w:tcPr>
            <w:tcW w:type="dxa" w:w="2154"/>
          </w:tcPr>
          <w:p>
            <w:pPr>
              <w:pStyle w:val="Compact"/>
              <w:spacing w:line="276" w:lineRule="auto" w:before="40" w:after="40"/>
            </w:pPr>
            <w:r>
              <w:rPr>
                <w:rFonts w:ascii="Liberation Sans Narrow" w:hAnsi="Liberation Sans Narrow"/>
                <w:sz w:val="17"/>
              </w:rPr>
              <w:t xml:space="preserve">O acórdão de origem afastou o laudo com motivação técnica, apontando o erro do perito ao duplicar o componente de reserva; a revaloração exige reanálise de cálculos, documentos e conclusões periciais (Súmula 7/STJ).</w:t>
            </w:r>
          </w:p>
        </w:tc>
      </w:tr>
      <w:tr>
        <w:trPr>
          <w:cantSplit/>
        </w:trPr>
        <w:tc>
          <w:tcPr>
            <w:tcW w:type="dxa" w:w="2030"/>
          </w:tcPr>
          <w:p>
            <w:pPr>
              <w:pStyle w:val="Compact"/>
              <w:spacing w:line="276" w:lineRule="auto" w:before="40" w:after="40"/>
            </w:pPr>
            <w:r>
              <w:rPr>
                <w:rFonts w:ascii="Liberation Sans Narrow" w:hAnsi="Liberation Sans Narrow"/>
                <w:sz w:val="17"/>
              </w:rPr>
              <w:t xml:space="preserve">Livre convencimento motivado e laudo médico-forense</w:t>
            </w:r>
          </w:p>
        </w:tc>
        <w:tc>
          <w:tcPr>
            <w:tcW w:type="dxa" w:w="1655"/>
          </w:tcPr>
          <w:p>
            <w:pPr>
              <w:pStyle w:val="Compact"/>
              <w:spacing w:line="276" w:lineRule="auto" w:before="40" w:after="40"/>
            </w:pPr>
            <w:r>
              <w:rPr>
                <w:rFonts w:ascii="Liberation Sans Narrow" w:hAnsi="Liberation Sans Narrow"/>
                <w:sz w:val="17"/>
              </w:rPr>
              <w:t xml:space="preserve">STJ, AREsp 3.137.546, Quarta Turma, relator Min. Raul Araújo, julgado em 15/06/2026, DJEN de 19/06/2026</w:t>
            </w:r>
          </w:p>
        </w:tc>
        <w:tc>
          <w:tcPr>
            <w:tcW w:type="dxa" w:w="2154"/>
          </w:tcPr>
          <w:p>
            <w:pPr>
              <w:pStyle w:val="Compact"/>
              <w:spacing w:line="276" w:lineRule="auto" w:before="40" w:after="40"/>
            </w:pPr>
            <w:r>
              <w:rPr>
                <w:rFonts w:ascii="Liberation Sans Narrow" w:hAnsi="Liberation Sans Narrow"/>
                <w:sz w:val="17"/>
              </w:rPr>
              <w:t xml:space="preserve">A corte estadual não desconsiderou o laudo por impressão subjetiva; indicou documentos clínicos contemporâneos e a escritura pública, justificando a insuficiência da conclusão pericial (arts. 371 e 479). Substituir essa valoração esbarra na Súmula 7/STJ.</w:t>
            </w:r>
          </w:p>
        </w:tc>
      </w:tr>
      <w:tr>
        <w:trPr>
          <w:cantSplit/>
        </w:trPr>
        <w:tc>
          <w:tcPr>
            <w:tcW w:type="dxa" w:w="2030"/>
          </w:tcPr>
          <w:p>
            <w:pPr>
              <w:pStyle w:val="Compact"/>
              <w:spacing w:line="276" w:lineRule="auto" w:before="40" w:after="40"/>
            </w:pPr>
            <w:r>
              <w:rPr>
                <w:rFonts w:ascii="Liberation Sans Narrow" w:hAnsi="Liberation Sans Narrow"/>
                <w:sz w:val="17"/>
              </w:rPr>
              <w:t xml:space="preserve">Art. 479: juiz formando convicção por outros elementos</w:t>
            </w:r>
          </w:p>
        </w:tc>
        <w:tc>
          <w:tcPr>
            <w:tcW w:type="dxa" w:w="1655"/>
          </w:tcPr>
          <w:p>
            <w:pPr>
              <w:pStyle w:val="Compact"/>
              <w:spacing w:line="276" w:lineRule="auto" w:before="40" w:after="40"/>
            </w:pPr>
            <w:r>
              <w:rPr>
                <w:rFonts w:ascii="Liberation Sans Narrow" w:hAnsi="Liberation Sans Narrow"/>
                <w:sz w:val="17"/>
              </w:rPr>
              <w:t xml:space="preserve">STJ, AgInt no REsp 2.102.610, Quarta Turma, relator Min. Raul Araújo, DJe de 02/05/2024</w:t>
            </w:r>
          </w:p>
        </w:tc>
        <w:tc>
          <w:tcPr>
            <w:tcW w:type="dxa" w:w="2154"/>
          </w:tcPr>
          <w:p>
            <w:pPr>
              <w:pStyle w:val="Compact"/>
              <w:spacing w:line="276" w:lineRule="auto" w:before="40" w:after="40"/>
            </w:pPr>
            <w:r>
              <w:rPr>
                <w:rFonts w:ascii="Liberation Sans Narrow" w:hAnsi="Liberation Sans Narrow"/>
                <w:sz w:val="17"/>
              </w:rPr>
              <w:t xml:space="preserve">O juiz não fica adstrito ao laudo pericial e pode formar a convicção com base em outros elementos provados nos autos; como destinatário final da prova, cabe-lhe interpretar a produção probatória. Foi desnecessária a intimação do perito para esclarecimentos quando a medida não contribuiria para o deslinde.</w:t>
            </w:r>
          </w:p>
        </w:tc>
      </w:tr>
      <w:tr>
        <w:trPr>
          <w:cantSplit/>
        </w:trPr>
        <w:tc>
          <w:tcPr>
            <w:tcW w:type="dxa" w:w="2030"/>
          </w:tcPr>
          <w:p>
            <w:pPr>
              <w:pStyle w:val="Compact"/>
              <w:spacing w:line="276" w:lineRule="auto" w:before="40" w:after="40"/>
            </w:pPr>
            <w:r>
              <w:rPr>
                <w:rFonts w:ascii="Liberation Sans Narrow" w:hAnsi="Liberation Sans Narrow"/>
                <w:sz w:val="17"/>
              </w:rPr>
              <w:t xml:space="preserve">Art. 479: matéria tributária</w:t>
            </w:r>
          </w:p>
        </w:tc>
        <w:tc>
          <w:tcPr>
            <w:tcW w:type="dxa" w:w="1655"/>
          </w:tcPr>
          <w:p>
            <w:pPr>
              <w:pStyle w:val="Compact"/>
              <w:spacing w:line="276" w:lineRule="auto" w:before="40" w:after="40"/>
            </w:pPr>
            <w:r>
              <w:rPr>
                <w:rFonts w:ascii="Liberation Sans Narrow" w:hAnsi="Liberation Sans Narrow"/>
                <w:sz w:val="17"/>
              </w:rPr>
              <w:t xml:space="preserve">STJ, AgInt no AREsp 2.336.619, Segunda Turma, relator Min. Herman Benjamin, DJe de 02/05/2024</w:t>
            </w:r>
          </w:p>
        </w:tc>
        <w:tc>
          <w:tcPr>
            <w:tcW w:type="dxa" w:w="2154"/>
          </w:tcPr>
          <w:p>
            <w:pPr>
              <w:pStyle w:val="Compact"/>
              <w:spacing w:line="276" w:lineRule="auto" w:before="40" w:after="40"/>
            </w:pPr>
            <w:r>
              <w:rPr>
                <w:rFonts w:ascii="Liberation Sans Narrow" w:hAnsi="Liberation Sans Narrow"/>
                <w:sz w:val="17"/>
              </w:rPr>
              <w:t xml:space="preserve">Inexiste vinculação do magistrado ao laudo do perito oficial; o tribunal de origem deixou de considerar o laudo, favorável à autora, ao cotejá-lo com os demais elementos de prova.</w:t>
            </w:r>
          </w:p>
        </w:tc>
      </w:tr>
    </w:tbl>
    <w:bookmarkEnd w:id="206"/>
    <w:bookmarkStart w:id="207" w:name="art.-480"/>
    <w:p>
      <w:pPr>
        <w:pStyle w:val="Heading6"/>
        <w:pBdr>
          <w:left w:val="single" w:sz="36" w:space="4" w:color="2E75B6"/>
        </w:pBdr>
        <w:shd w:val="clear" w:color="auto" w:fill="E3EEF9"/>
        <w:spacing w:before="120" w:after="60"/>
        <w:ind w:left="85"/>
      </w:pPr>
      <w:r>
        <w:rPr>
          <w:i w:val="0"/>
          <w:color w:val="1F3A5F"/>
          <w:sz w:val="22"/>
        </w:rPr>
        <w:t xml:space="preserve">Art. 480</w:t>
      </w:r>
    </w:p>
    <w:p>
      <w:pPr>
        <w:pStyle w:val="FirstParagraph"/>
        <w:keepNext/>
        <w:spacing w:after="60"/>
        <w:jc w:val="both"/>
      </w:pPr>
      <w:r>
        <w:rPr>
          <w:b/>
          <w:bCs/>
        </w:rPr>
        <w:t xml:space="preserve">Art. 480.</w:t>
      </w:r>
      <w:r>
        <w:t xml:space="preserve"> </w:t>
      </w:r>
      <w:r>
        <w:t xml:space="preserve">O juiz determinará, de ofício ou a requerimento da parte, a realização de nova perícia quando a matéria não estiver suficientemente esclarecida.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2154"/>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Caput — indeferimento da nova perícia e ausência de fato novo</w:t>
            </w:r>
          </w:p>
        </w:tc>
        <w:tc>
          <w:tcPr>
            <w:tcW w:type="dxa" w:w="1655"/>
          </w:tcPr>
          <w:p>
            <w:pPr>
              <w:pStyle w:val="Compact"/>
              <w:spacing w:line="276" w:lineRule="auto" w:before="40" w:after="40"/>
            </w:pPr>
            <w:r>
              <w:rPr>
                <w:rFonts w:ascii="Liberation Sans Narrow" w:hAnsi="Liberation Sans Narrow"/>
                <w:sz w:val="17"/>
              </w:rPr>
              <w:t xml:space="preserve">STJ, AREsp 3.160.766, Quarta Turma, relator Min. João Otávio de Noronha, julgado em 24/08/2026, DJEN de 27/08/2026</w:t>
            </w:r>
          </w:p>
        </w:tc>
        <w:tc>
          <w:tcPr>
            <w:tcW w:type="dxa" w:w="2154"/>
          </w:tcPr>
          <w:p>
            <w:pPr>
              <w:pStyle w:val="Compact"/>
              <w:spacing w:line="276" w:lineRule="auto" w:before="40" w:after="40"/>
            </w:pPr>
            <w:r>
              <w:rPr>
                <w:rFonts w:ascii="Liberation Sans Narrow" w:hAnsi="Liberation Sans Narrow"/>
                <w:sz w:val="17"/>
              </w:rPr>
              <w:t xml:space="preserve">Reconhecidas na origem a admissibilidade da prova emprestada (art. 372) e a desnecessidade de nova perícia por ausência de fato novo, a revisão do indeferimento esbarra nas Súmulas 7 e 83 do STJ.</w:t>
            </w:r>
          </w:p>
        </w:tc>
      </w:tr>
      <w:tr>
        <w:trPr>
          <w:cantSplit/>
        </w:trPr>
        <w:tc>
          <w:tcPr>
            <w:tcW w:type="dxa" w:w="1905"/>
          </w:tcPr>
          <w:p>
            <w:pPr>
              <w:pStyle w:val="Compact"/>
              <w:spacing w:line="276" w:lineRule="auto" w:before="40" w:after="40"/>
            </w:pPr>
            <w:r>
              <w:rPr>
                <w:rFonts w:ascii="Liberation Sans Narrow" w:hAnsi="Liberation Sans Narrow"/>
                <w:sz w:val="17"/>
              </w:rPr>
              <w:t xml:space="preserve">Caput — cabimento da nova perícia</w:t>
            </w:r>
          </w:p>
        </w:tc>
        <w:tc>
          <w:tcPr>
            <w:tcW w:type="dxa" w:w="1655"/>
          </w:tcPr>
          <w:p>
            <w:pPr>
              <w:pStyle w:val="Compact"/>
              <w:spacing w:line="276" w:lineRule="auto" w:before="40" w:after="40"/>
            </w:pPr>
            <w:r>
              <w:rPr>
                <w:rFonts w:ascii="Liberation Sans Narrow" w:hAnsi="Liberation Sans Narrow"/>
                <w:sz w:val="17"/>
              </w:rPr>
              <w:t xml:space="preserve">STJ, REsp 2.150.255, Quarta Turma, relatora Min. Maria Isabel Gallotti, julgado em 30/06/2026, DJEN de 03/07/2026</w:t>
            </w:r>
          </w:p>
        </w:tc>
        <w:tc>
          <w:tcPr>
            <w:tcW w:type="dxa" w:w="2154"/>
          </w:tcPr>
          <w:p>
            <w:pPr>
              <w:pStyle w:val="Compact"/>
              <w:spacing w:line="276" w:lineRule="auto" w:before="40" w:after="40"/>
            </w:pPr>
            <w:r>
              <w:rPr>
                <w:rFonts w:ascii="Liberation Sans Narrow" w:hAnsi="Liberation Sans Narrow"/>
                <w:sz w:val="17"/>
              </w:rPr>
              <w:t xml:space="preserve">O juiz, como destinatário da prova, pode determinar, motivadamente, a realização de nova perícia quando a questão não estiver suficientemente esclarecida (art. 480); a revisão do acerto dessa avaliação demanda reexame de fatos e provas (Súmula 7/STJ).</w:t>
            </w:r>
          </w:p>
        </w:tc>
      </w:tr>
      <w:tr>
        <w:trPr>
          <w:cantSplit/>
        </w:trPr>
        <w:tc>
          <w:tcPr>
            <w:tcW w:type="dxa" w:w="1905"/>
          </w:tcPr>
          <w:p>
            <w:pPr>
              <w:pStyle w:val="Compact"/>
              <w:spacing w:line="276" w:lineRule="auto" w:before="40" w:after="40"/>
            </w:pPr>
            <w:r>
              <w:rPr>
                <w:rFonts w:ascii="Liberation Sans Narrow" w:hAnsi="Liberation Sans Narrow"/>
                <w:sz w:val="17"/>
              </w:rPr>
              <w:t xml:space="preserve">Nova perícia: pressupostos</w:t>
            </w:r>
          </w:p>
        </w:tc>
        <w:tc>
          <w:tcPr>
            <w:tcW w:type="dxa" w:w="1655"/>
          </w:tcPr>
          <w:p>
            <w:pPr>
              <w:pStyle w:val="Compact"/>
              <w:spacing w:line="276" w:lineRule="auto" w:before="40" w:after="40"/>
            </w:pPr>
            <w:r>
              <w:rPr>
                <w:rFonts w:ascii="Liberation Sans Narrow" w:hAnsi="Liberation Sans Narrow"/>
                <w:sz w:val="17"/>
              </w:rPr>
              <w:t xml:space="preserve">STJ, REsp 1.782.516, Terceira Turma, relator Min. Marco Aurélio Bellizze, julgado em 04/06/2024, DJe de 06/06/2024</w:t>
            </w:r>
          </w:p>
        </w:tc>
        <w:tc>
          <w:tcPr>
            <w:tcW w:type="dxa" w:w="2154"/>
          </w:tcPr>
          <w:p>
            <w:pPr>
              <w:pStyle w:val="Compact"/>
              <w:spacing w:line="276" w:lineRule="auto" w:before="40" w:after="40"/>
            </w:pPr>
            <w:r>
              <w:rPr>
                <w:rFonts w:ascii="Liberation Sans Narrow" w:hAnsi="Liberation Sans Narrow"/>
                <w:sz w:val="17"/>
              </w:rPr>
              <w:t xml:space="preserve">A perícia pressupõe demonstração mínima do direito ou da defesa; produzida a prova, a nova perícia exige, além disso, a insuficiência do primeiro laudo (art. 480). Comprovada a falsidade do único documento juntado pelo autor, não há fundamento para perícia complementar.</w:t>
            </w:r>
          </w:p>
        </w:tc>
      </w:tr>
    </w:tbl>
    <w:p>
      <w:pPr>
        <w:pStyle w:val="BodyText"/>
        <w:spacing w:after="60"/>
        <w:jc w:val="both"/>
      </w:pPr>
      <w:r>
        <w:t xml:space="preserve">§ 1º A segunda perícia tem por objeto os mesmos fatos sobre os quais recaiu a primeira e destina-se a corrigir eventual omissão ou inexatidão dos resultados a que esta conduziu.</w:t>
      </w:r>
    </w:p>
    <w:p>
      <w:pPr>
        <w:pStyle w:val="BodyText"/>
        <w:spacing w:after="60"/>
        <w:jc w:val="both"/>
      </w:pPr>
      <w:r>
        <w:t xml:space="preserve">§ 2º A segunda perícia rege-se pelas disposições estabelecidas para a primeira.</w:t>
      </w:r>
    </w:p>
    <w:p>
      <w:pPr>
        <w:pStyle w:val="BodyText"/>
        <w:spacing w:after="60"/>
        <w:jc w:val="both"/>
      </w:pPr>
      <w:r>
        <w:t xml:space="preserve">§ 3º A segunda perícia não substitui a primeira, cabendo ao juiz apreciar o valor de uma e de outra.</w:t>
      </w:r>
    </w:p>
    <w:bookmarkEnd w:id="207"/>
    <w:bookmarkEnd w:id="208"/>
    <w:bookmarkStart w:id="213" w:name="Xcb39001a8d30ff1dc33e2c08891c658afb502c8"/>
    <w:p>
      <w:pPr>
        <w:pStyle w:val="Heading5"/>
        <w:spacing w:before="60" w:after="20"/>
      </w:pPr>
      <w:r>
        <w:rPr>
          <w:i/>
          <w:color w:val="595959"/>
        </w:rPr>
        <w:t xml:space="preserve">Seção XI: da inspeção judicial (arts. 481 a 484)</w:t>
      </w:r>
    </w:p>
    <w:bookmarkStart w:id="209" w:name="art.-481"/>
    <w:p>
      <w:pPr>
        <w:pStyle w:val="Heading6"/>
        <w:pBdr>
          <w:left w:val="single" w:sz="36" w:space="4" w:color="2E75B6"/>
        </w:pBdr>
        <w:shd w:val="clear" w:color="auto" w:fill="E3EEF9"/>
        <w:spacing w:before="120" w:after="60"/>
        <w:ind w:left="85"/>
      </w:pPr>
      <w:r>
        <w:rPr>
          <w:i w:val="0"/>
          <w:color w:val="1F3A5F"/>
          <w:sz w:val="22"/>
        </w:rPr>
        <w:t xml:space="preserve">Art. 481</w:t>
      </w:r>
    </w:p>
    <w:p>
      <w:pPr>
        <w:pStyle w:val="FirstParagraph"/>
        <w:keepNext/>
        <w:spacing w:after="60"/>
        <w:jc w:val="both"/>
      </w:pPr>
      <w:r>
        <w:rPr>
          <w:b/>
          <w:bCs/>
        </w:rPr>
        <w:t xml:space="preserve">Art. 481.</w:t>
      </w:r>
      <w:r>
        <w:t xml:space="preserve"> </w:t>
      </w:r>
      <w:r>
        <w:t xml:space="preserve">O juiz, de ofício ou a requerimento da parte, pode, em qualquer fase do processo, inspecionar pessoas ou coisas, a fim de se esclarecer sobre fato que interesse à decisão da causa.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27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inspeção judicial como prova suficiente</w:t>
            </w:r>
          </w:p>
        </w:tc>
        <w:tc>
          <w:tcPr>
            <w:tcW w:type="dxa" w:w="1655"/>
          </w:tcPr>
          <w:p>
            <w:pPr>
              <w:pStyle w:val="Compact"/>
              <w:spacing w:line="276" w:lineRule="auto" w:before="40" w:after="40"/>
            </w:pPr>
            <w:r>
              <w:rPr>
                <w:rFonts w:ascii="Liberation Sans Narrow" w:hAnsi="Liberation Sans Narrow"/>
                <w:sz w:val="17"/>
              </w:rPr>
              <w:t xml:space="preserve">STJ, AgInt no REsp 2.158.677, Quarta Turma, relatora Min. Maria Isabel Gallotti, julgado em 15/06/2026, DJEN de 22/06/2026</w:t>
            </w:r>
          </w:p>
        </w:tc>
        <w:tc>
          <w:tcPr>
            <w:tcW w:type="dxa" w:w="2279"/>
          </w:tcPr>
          <w:p>
            <w:pPr>
              <w:pStyle w:val="Compact"/>
              <w:spacing w:line="276" w:lineRule="auto" w:before="40" w:after="40"/>
            </w:pPr>
            <w:r>
              <w:rPr>
                <w:rFonts w:ascii="Liberation Sans Narrow" w:hAnsi="Liberation Sans Narrow"/>
                <w:sz w:val="17"/>
              </w:rPr>
              <w:t xml:space="preserve">Não cabe reexaminar em recurso especial a necessidade de prova pericial quando as instâncias ordinárias, soberanas na análise dos fatos, concluíram pela suficiência das provas produzidas, notadamente a inspeção judicial; a alteração desse entendimento demanda reexame do conjunto probatório (Súmula 7/STJ).</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inspeção realizada sem perito e sem prévia intimação</w:t>
            </w:r>
          </w:p>
        </w:tc>
        <w:tc>
          <w:tcPr>
            <w:tcW w:type="dxa" w:w="1655"/>
          </w:tcPr>
          <w:p>
            <w:pPr>
              <w:pStyle w:val="Compact"/>
              <w:spacing w:line="276" w:lineRule="auto" w:before="40" w:after="40"/>
            </w:pPr>
            <w:r>
              <w:rPr>
                <w:rFonts w:ascii="Liberation Sans Narrow" w:hAnsi="Liberation Sans Narrow"/>
                <w:sz w:val="17"/>
              </w:rPr>
              <w:t xml:space="preserve">STJ, AgInt no AREsp 2.038.411, Quarta Turma, relatora Min. Maria Isabel Gallotti, DJe de 13/12/2024</w:t>
            </w:r>
          </w:p>
        </w:tc>
        <w:tc>
          <w:tcPr>
            <w:tcW w:type="dxa" w:w="2279"/>
          </w:tcPr>
          <w:p>
            <w:pPr>
              <w:pStyle w:val="Compact"/>
              <w:spacing w:line="276" w:lineRule="auto" w:before="40" w:after="40"/>
            </w:pPr>
            <w:r>
              <w:rPr>
                <w:rFonts w:ascii="Liberation Sans Narrow" w:hAnsi="Liberation Sans Narrow"/>
                <w:sz w:val="17"/>
              </w:rPr>
              <w:t xml:space="preserve">Diante de controvérsia sobre a área litigada, o juízo não poderia realizar inspeção judicial sem a assistência de perito especialista; a inspeção demanda prévia intimação das partes quanto ao dia, hora e local e a posterior confecção de auto circunstanciado, sob pena de cerceamento de defesa (arts. 483, parágrafo único, e 484).</w:t>
            </w:r>
          </w:p>
        </w:tc>
      </w:tr>
    </w:tbl>
    <w:bookmarkEnd w:id="209"/>
    <w:bookmarkStart w:id="210" w:name="art.-482"/>
    <w:p>
      <w:pPr>
        <w:pStyle w:val="Heading6"/>
        <w:pBdr>
          <w:left w:val="single" w:sz="36" w:space="4" w:color="2E75B6"/>
        </w:pBdr>
        <w:shd w:val="clear" w:color="auto" w:fill="E3EEF9"/>
        <w:spacing w:before="120" w:after="60"/>
        <w:ind w:left="85"/>
      </w:pPr>
      <w:r>
        <w:rPr>
          <w:i w:val="0"/>
          <w:color w:val="1F3A5F"/>
          <w:sz w:val="22"/>
        </w:rPr>
        <w:t xml:space="preserve">Art. 482</w:t>
      </w:r>
    </w:p>
    <w:p>
      <w:pPr>
        <w:pStyle w:val="FirstParagraph"/>
        <w:keepNext/>
        <w:spacing w:after="60"/>
        <w:jc w:val="both"/>
      </w:pPr>
      <w:r>
        <w:rPr>
          <w:b/>
          <w:bCs/>
        </w:rPr>
        <w:t xml:space="preserve">Art. 482.</w:t>
      </w:r>
      <w:r>
        <w:t xml:space="preserve"> </w:t>
      </w:r>
      <w:r>
        <w:t xml:space="preserve">Ao realizar a inspeção, o juiz poderá ser assistido por um ou mais peritos.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2279"/>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necessidade de perito na inspeção</w:t>
            </w:r>
          </w:p>
        </w:tc>
        <w:tc>
          <w:tcPr>
            <w:tcW w:type="dxa" w:w="1531"/>
          </w:tcPr>
          <w:p>
            <w:pPr>
              <w:pStyle w:val="Compact"/>
              <w:spacing w:line="276" w:lineRule="auto" w:before="40" w:after="40"/>
            </w:pPr>
            <w:r>
              <w:rPr>
                <w:rFonts w:ascii="Liberation Sans Narrow" w:hAnsi="Liberation Sans Narrow"/>
                <w:sz w:val="17"/>
              </w:rPr>
              <w:t xml:space="preserve">STJ, AgInt no AREsp 2.038.411, Quarta Turma, relatora Min. Maria Isabel Gallotti, DJe de 13/12/2024</w:t>
            </w:r>
          </w:p>
        </w:tc>
        <w:tc>
          <w:tcPr>
            <w:tcW w:type="dxa" w:w="2279"/>
          </w:tcPr>
          <w:p>
            <w:pPr>
              <w:pStyle w:val="Compact"/>
              <w:spacing w:line="276" w:lineRule="auto" w:before="40" w:after="40"/>
            </w:pPr>
            <w:r>
              <w:rPr>
                <w:rFonts w:ascii="Liberation Sans Narrow" w:hAnsi="Liberation Sans Narrow"/>
                <w:sz w:val="17"/>
              </w:rPr>
              <w:t xml:space="preserve">Em ação de reintegração de posse com controvérsia sobre a área litigada, o juízo de primeiro grau não poderia realizar inspeção judicial sem a assistência de perito especialista; a inspeção demanda prévia intimação das partes e auto circunstanciado, sob pena de cerceamento de defesa.</w:t>
            </w:r>
          </w:p>
        </w:tc>
      </w:tr>
    </w:tbl>
    <w:bookmarkEnd w:id="210"/>
    <w:bookmarkStart w:id="211" w:name="art.-483"/>
    <w:p>
      <w:pPr>
        <w:pStyle w:val="Heading6"/>
        <w:pBdr>
          <w:left w:val="single" w:sz="36" w:space="4" w:color="2E75B6"/>
        </w:pBdr>
        <w:shd w:val="clear" w:color="auto" w:fill="E3EEF9"/>
        <w:spacing w:before="120" w:after="60"/>
        <w:ind w:left="85"/>
      </w:pPr>
      <w:r>
        <w:rPr>
          <w:i w:val="0"/>
          <w:color w:val="1F3A5F"/>
          <w:sz w:val="22"/>
        </w:rPr>
        <w:t xml:space="preserve">Art. 483</w:t>
      </w:r>
    </w:p>
    <w:p>
      <w:pPr>
        <w:pStyle w:val="FirstParagraph"/>
        <w:spacing w:after="60"/>
        <w:jc w:val="both"/>
      </w:pPr>
      <w:r>
        <w:rPr>
          <w:b/>
          <w:bCs/>
        </w:rPr>
        <w:t xml:space="preserve">Art. 483.</w:t>
      </w:r>
      <w:r>
        <w:t xml:space="preserve"> </w:t>
      </w:r>
      <w:r>
        <w:t xml:space="preserve">O juiz irá ao local onde se encontre a pessoa ou a coisa quando:</w:t>
      </w:r>
    </w:p>
    <w:p>
      <w:pPr>
        <w:pStyle w:val="BodyText"/>
        <w:spacing w:after="60"/>
        <w:jc w:val="both"/>
      </w:pPr>
      <w:r>
        <w:t xml:space="preserve">I - julgar necessário para a melhor verificação ou interpretação dos fatos que deva observar;</w:t>
      </w:r>
    </w:p>
    <w:p>
      <w:pPr>
        <w:pStyle w:val="BodyText"/>
        <w:spacing w:after="60"/>
        <w:jc w:val="both"/>
      </w:pPr>
      <w:r>
        <w:t xml:space="preserve">II - a coisa não puder ser apresentada em juízo sem consideráveis despesas ou graves dificuldades;</w:t>
      </w:r>
    </w:p>
    <w:p>
      <w:pPr>
        <w:pStyle w:val="BodyText"/>
        <w:spacing w:after="60"/>
        <w:jc w:val="both"/>
      </w:pPr>
      <w:r>
        <w:t xml:space="preserve">III - determinar a reconstituição dos fatos.</w:t>
      </w:r>
    </w:p>
    <w:p>
      <w:pPr>
        <w:pStyle w:val="BodyText"/>
        <w:keepNext/>
        <w:spacing w:after="60"/>
        <w:jc w:val="both"/>
      </w:pPr>
      <w:r>
        <w:t xml:space="preserve">Parágrafo único. As partes têm sempre direito a assistir à inspeção, prestando esclarecimentos e fazendo observações que considerem de interesse para a causa.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154"/>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Parágrafo único — direito das partes de assistir à inspeção</w:t>
            </w:r>
          </w:p>
        </w:tc>
        <w:tc>
          <w:tcPr>
            <w:tcW w:type="dxa" w:w="1531"/>
          </w:tcPr>
          <w:p>
            <w:pPr>
              <w:pStyle w:val="Compact"/>
              <w:spacing w:line="276" w:lineRule="auto" w:before="40" w:after="40"/>
            </w:pPr>
            <w:r>
              <w:rPr>
                <w:rFonts w:ascii="Liberation Sans Narrow" w:hAnsi="Liberation Sans Narrow"/>
                <w:sz w:val="17"/>
              </w:rPr>
              <w:t xml:space="preserve">STJ, AgInt no AREsp 2.038.411, Quarta Turma, relatora Min. Maria Isabel Gallotti, DJe de 13/12/2024</w:t>
            </w:r>
          </w:p>
        </w:tc>
        <w:tc>
          <w:tcPr>
            <w:tcW w:type="dxa" w:w="2154"/>
          </w:tcPr>
          <w:p>
            <w:pPr>
              <w:pStyle w:val="Compact"/>
              <w:spacing w:line="276" w:lineRule="auto" w:before="40" w:after="40"/>
            </w:pPr>
            <w:r>
              <w:rPr>
                <w:rFonts w:ascii="Liberation Sans Narrow" w:hAnsi="Liberation Sans Narrow"/>
                <w:sz w:val="17"/>
              </w:rPr>
              <w:t xml:space="preserve">A realização de inspeção judicial demanda prévia intimação das partes quanto ao dia, hora e local em que a prova será realizada, e a posterior confecção de auto circunstanciado para eventual impugnação, sob pena de cerceamento de defesa e violação aos arts. 483, parágrafo único, e 484 do CPC.</w:t>
            </w:r>
          </w:p>
        </w:tc>
      </w:tr>
    </w:tbl>
    <w:bookmarkEnd w:id="211"/>
    <w:bookmarkStart w:id="212" w:name="art.-484"/>
    <w:p>
      <w:pPr>
        <w:pStyle w:val="Heading6"/>
        <w:pBdr>
          <w:left w:val="single" w:sz="36" w:space="4" w:color="2E75B6"/>
        </w:pBdr>
        <w:shd w:val="clear" w:color="auto" w:fill="E3EEF9"/>
        <w:spacing w:before="120" w:after="60"/>
        <w:ind w:left="85"/>
      </w:pPr>
      <w:r>
        <w:rPr>
          <w:i w:val="0"/>
          <w:color w:val="1F3A5F"/>
          <w:sz w:val="22"/>
        </w:rPr>
        <w:t xml:space="preserve">Art. 484</w:t>
      </w:r>
    </w:p>
    <w:p>
      <w:pPr>
        <w:pStyle w:val="FirstParagraph"/>
        <w:keepNext/>
        <w:spacing w:after="60"/>
        <w:jc w:val="both"/>
      </w:pPr>
      <w:r>
        <w:rPr>
          <w:b/>
          <w:bCs/>
        </w:rPr>
        <w:t xml:space="preserve">Art. 484.</w:t>
      </w:r>
      <w:r>
        <w:t xml:space="preserve"> </w:t>
      </w:r>
      <w:r>
        <w:t xml:space="preserve">Concluída a diligência, o juiz mandará lavrar auto circunstanciado, mencionando nele tudo quanto for útil ao julgamento da causa.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154"/>
        <w:gridCol w:w="1530"/>
        <w:gridCol w:w="2279"/>
      </w:tblGrid>
      <w:tr>
        <w:trPr>
          <w:tblHeader w:val="on"/>
          <w:cantSplit/>
          <w:tblHeader/>
        </w:trPr>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154"/>
          </w:tcPr>
          <w:p>
            <w:pPr>
              <w:pStyle w:val="Compact"/>
              <w:spacing w:line="276" w:lineRule="auto" w:before="40" w:after="40"/>
            </w:pPr>
            <w:r>
              <w:rPr>
                <w:rFonts w:ascii="Liberation Sans Narrow" w:hAnsi="Liberation Sans Narrow"/>
                <w:sz w:val="17"/>
              </w:rPr>
              <w:t xml:space="preserve">Caput — exigência do auto circunstanciado</w:t>
            </w:r>
          </w:p>
        </w:tc>
        <w:tc>
          <w:tcPr>
            <w:tcW w:type="dxa" w:w="1531"/>
          </w:tcPr>
          <w:p>
            <w:pPr>
              <w:pStyle w:val="Compact"/>
              <w:spacing w:line="276" w:lineRule="auto" w:before="40" w:after="40"/>
            </w:pPr>
            <w:r>
              <w:rPr>
                <w:rFonts w:ascii="Liberation Sans Narrow" w:hAnsi="Liberation Sans Narrow"/>
                <w:sz w:val="17"/>
              </w:rPr>
              <w:t xml:space="preserve">STJ, AgInt no AREsp 2.038.411, Quarta Turma, relatora Min. Maria Isabel Gallotti, DJe de 13/12/2024</w:t>
            </w:r>
          </w:p>
        </w:tc>
        <w:tc>
          <w:tcPr>
            <w:tcW w:type="dxa" w:w="2279"/>
          </w:tcPr>
          <w:p>
            <w:pPr>
              <w:pStyle w:val="Compact"/>
              <w:spacing w:line="276" w:lineRule="auto" w:before="40" w:after="40"/>
            </w:pPr>
            <w:r>
              <w:rPr>
                <w:rFonts w:ascii="Liberation Sans Narrow" w:hAnsi="Liberation Sans Narrow"/>
                <w:sz w:val="17"/>
              </w:rPr>
              <w:t xml:space="preserve">A inspeção judicial exige prévia intimação das partes e a posterior confecção de auto circunstanciado, para eventual impugnação das partes; a falta desses requisitos configura cerceamento de defesa e violação aos arts. 483, parágrafo único, e 484 do CPC.</w:t>
            </w:r>
          </w:p>
        </w:tc>
      </w:tr>
    </w:tbl>
    <w:p>
      <w:pPr>
        <w:pStyle w:val="BodyText"/>
        <w:spacing w:after="60"/>
        <w:jc w:val="both"/>
      </w:pPr>
      <w:r>
        <w:t xml:space="preserve">Parágrafo único. O auto poderá ser instruído com desenho, gráfico ou fotografia.</w:t>
      </w:r>
    </w:p>
    <w:bookmarkEnd w:id="212"/>
    <w:bookmarkEnd w:id="213"/>
    <w:bookmarkEnd w:id="214"/>
    <w:bookmarkStart w:id="244" w:name="Xa86d21adf44ba604786af024b0e968624384c09"/>
    <w:p>
      <w:pPr>
        <w:pStyle w:val="Heading4"/>
        <w:spacing w:before="80" w:after="40"/>
      </w:pPr>
      <w:r>
        <w:rPr>
          <w:smallCaps/>
          <w:color w:val="2E75B6"/>
        </w:rPr>
        <w:t xml:space="preserve">Capítulo XIII: da sentença e da coisa julgada (arts. 485 a 508)</w:t>
      </w:r>
    </w:p>
    <w:bookmarkStart w:id="219" w:name="Xec3d2446dbe5f522c803ba8a5417337f1d40af4"/>
    <w:p>
      <w:pPr>
        <w:pStyle w:val="Heading5"/>
        <w:spacing w:before="60" w:after="20"/>
      </w:pPr>
      <w:r>
        <w:rPr>
          <w:i/>
          <w:color w:val="595959"/>
        </w:rPr>
        <w:t xml:space="preserve">Seção I: disposições gerais (arts. 485 a 488)</w:t>
      </w:r>
    </w:p>
    <w:bookmarkStart w:id="215" w:name="art.-485"/>
    <w:p>
      <w:pPr>
        <w:pStyle w:val="Heading6"/>
        <w:pBdr>
          <w:left w:val="single" w:sz="36" w:space="4" w:color="2E75B6"/>
        </w:pBdr>
        <w:shd w:val="clear" w:color="auto" w:fill="E3EEF9"/>
        <w:spacing w:before="120" w:after="60"/>
        <w:ind w:left="85"/>
      </w:pPr>
      <w:r>
        <w:rPr>
          <w:i w:val="0"/>
          <w:color w:val="1F3A5F"/>
          <w:sz w:val="22"/>
        </w:rPr>
        <w:t xml:space="preserve">Art. 485</w:t>
      </w:r>
    </w:p>
    <w:p>
      <w:pPr>
        <w:pStyle w:val="FirstParagraph"/>
        <w:spacing w:after="60"/>
        <w:jc w:val="both"/>
      </w:pPr>
      <w:r>
        <w:rPr>
          <w:b/>
          <w:bCs/>
        </w:rPr>
        <w:t xml:space="preserve">Art. 485.</w:t>
      </w:r>
      <w:r>
        <w:t xml:space="preserve"> </w:t>
      </w:r>
      <w:r>
        <w:t xml:space="preserve">O juiz não resolverá o mérito quando:</w:t>
      </w:r>
    </w:p>
    <w:p>
      <w:pPr>
        <w:pStyle w:val="BodyText"/>
        <w:spacing w:after="60"/>
        <w:jc w:val="both"/>
      </w:pPr>
      <w:r>
        <w:t xml:space="preserve">I - indeferir a petição inicial;</w:t>
      </w:r>
    </w:p>
    <w:p>
      <w:pPr>
        <w:pStyle w:val="BodyText"/>
        <w:spacing w:after="60"/>
        <w:jc w:val="both"/>
      </w:pPr>
      <w:r>
        <w:t xml:space="preserve">II - o processo ficar parado durante mais de 1 (um) ano por negligência das partes;</w:t>
      </w:r>
    </w:p>
    <w:p>
      <w:pPr>
        <w:pStyle w:val="BodyText"/>
        <w:spacing w:after="60"/>
        <w:jc w:val="both"/>
      </w:pPr>
      <w:r>
        <w:t xml:space="preserve">III - por não promover os atos e as diligências que lhe incumbir, o autor abandonar a causa por mais de 30 (trinta) dias;</w:t>
      </w:r>
    </w:p>
    <w:p>
      <w:pPr>
        <w:pStyle w:val="BodyText"/>
        <w:spacing w:after="60"/>
        <w:jc w:val="both"/>
      </w:pPr>
      <w:r>
        <w:t xml:space="preserve">IV - verificar a ausência de pressupostos de constituição e de desenvolvimento válido e regular do processo;</w:t>
      </w:r>
    </w:p>
    <w:p>
      <w:pPr>
        <w:pStyle w:val="BodyText"/>
        <w:spacing w:after="60"/>
        <w:jc w:val="both"/>
      </w:pPr>
      <w:r>
        <w:t xml:space="preserve">V - reconhecer a existência de perempção, de litispendência ou de coisa julgada;</w:t>
      </w:r>
    </w:p>
    <w:p>
      <w:pPr>
        <w:pStyle w:val="BodyText"/>
        <w:spacing w:after="60"/>
        <w:jc w:val="both"/>
      </w:pPr>
      <w:r>
        <w:t xml:space="preserve">VI - verificar ausência de legitimidade ou de interesse processual;</w:t>
      </w:r>
    </w:p>
    <w:p>
      <w:pPr>
        <w:pStyle w:val="BodyText"/>
        <w:spacing w:after="60"/>
        <w:jc w:val="both"/>
      </w:pPr>
      <w:r>
        <w:t xml:space="preserve">VII - acolher a alegação de existência de convenção de arbitragem ou quando o juízo arbitral reconhecer sua competência;</w:t>
      </w:r>
    </w:p>
    <w:p>
      <w:pPr>
        <w:pStyle w:val="BodyText"/>
        <w:spacing w:after="60"/>
        <w:jc w:val="both"/>
      </w:pPr>
      <w:r>
        <w:t xml:space="preserve">VIII - homologar a desistência da ação;</w:t>
      </w:r>
    </w:p>
    <w:p>
      <w:pPr>
        <w:pStyle w:val="BodyText"/>
        <w:spacing w:after="60"/>
        <w:jc w:val="both"/>
      </w:pPr>
      <w:r>
        <w:t xml:space="preserve">IX - em caso de morte da parte, a ação for considerada intransmissível por disposição legal; e</w:t>
      </w:r>
    </w:p>
    <w:p>
      <w:pPr>
        <w:pStyle w:val="BodyText"/>
        <w:spacing w:after="60"/>
        <w:jc w:val="both"/>
      </w:pPr>
      <w:r>
        <w:t xml:space="preserve">X - nos demais casos prescritos neste Código.</w:t>
      </w:r>
    </w:p>
    <w:p>
      <w:pPr>
        <w:pStyle w:val="BodyText"/>
        <w:keepNext/>
        <w:spacing w:after="60"/>
        <w:jc w:val="both"/>
      </w:pPr>
      <w:r>
        <w:t xml:space="preserve">§ 1º Nas hipóteses descritas nos incisos II e III, a parte será intimada pessoalmente para suprir a falta no prazo de 5 (cinco) dias.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780"/>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Inciso III e § 1º: abandono da causa e intimação pessoal (custas de diligência do oficial)</w:t>
            </w:r>
          </w:p>
        </w:tc>
        <w:tc>
          <w:tcPr>
            <w:tcW w:type="dxa" w:w="1655"/>
          </w:tcPr>
          <w:p>
            <w:pPr>
              <w:pStyle w:val="Compact"/>
              <w:spacing w:line="276" w:lineRule="auto" w:before="40" w:after="40"/>
            </w:pPr>
            <w:r>
              <w:rPr>
                <w:rFonts w:ascii="Liberation Sans Narrow" w:hAnsi="Liberation Sans Narrow"/>
                <w:sz w:val="17"/>
              </w:rPr>
              <w:t xml:space="preserve">STJ, REsp 2.194.521, Terceira Turma, relatora Min. Nancy Andrighi, julgado em 16/10/2025, DJEN de 23/10/2025</w:t>
            </w:r>
          </w:p>
        </w:tc>
        <w:tc>
          <w:tcPr>
            <w:tcW w:type="dxa" w:w="1780"/>
          </w:tcPr>
          <w:p>
            <w:pPr>
              <w:pStyle w:val="Compact"/>
              <w:spacing w:line="276" w:lineRule="auto" w:before="40" w:after="40"/>
            </w:pPr>
            <w:r>
              <w:rPr>
                <w:rFonts w:ascii="Liberation Sans Narrow" w:hAnsi="Liberation Sans Narrow"/>
                <w:sz w:val="17"/>
              </w:rPr>
              <w:t xml:space="preserve">A falta de recolhimento das custas da diligência do oficial de justiça, depois de cumpridos outros atos, não é ausência de pressuposto processual: configura possível abandono da causa, que exige desídia por mais de 30 dias e intimação pessoal da parte para suprir a falta (§ 1º). A intimação do advogado não basta.</w:t>
            </w:r>
          </w:p>
        </w:tc>
      </w:tr>
      <w:tr>
        <w:trPr>
          <w:cantSplit/>
        </w:trPr>
        <w:tc>
          <w:tcPr>
            <w:tcW w:type="dxa" w:w="1531"/>
          </w:tcPr>
          <w:p>
            <w:pPr>
              <w:pStyle w:val="Compact"/>
              <w:spacing w:line="276" w:lineRule="auto" w:before="40" w:after="40"/>
            </w:pPr>
            <w:r>
              <w:rPr>
                <w:rFonts w:ascii="Liberation Sans Narrow" w:hAnsi="Liberation Sans Narrow"/>
                <w:sz w:val="17"/>
              </w:rPr>
              <w:t xml:space="preserve">Inciso III e § 1º: intimação pessoal por correio, oficial de justiça e edital</w:t>
            </w:r>
          </w:p>
        </w:tc>
        <w:tc>
          <w:tcPr>
            <w:tcW w:type="dxa" w:w="1655"/>
          </w:tcPr>
          <w:p>
            <w:pPr>
              <w:pStyle w:val="Compact"/>
              <w:spacing w:line="276" w:lineRule="auto" w:before="40" w:after="40"/>
            </w:pPr>
            <w:r>
              <w:rPr>
                <w:rFonts w:ascii="Liberation Sans Narrow" w:hAnsi="Liberation Sans Narrow"/>
                <w:sz w:val="17"/>
              </w:rPr>
              <w:t xml:space="preserve">STJ, REsp 2.089.756, Terceira Turma, relatora Min. Nancy Andrighi, julgado em 05/03/2024, DJe de 07/03/2024</w:t>
            </w:r>
          </w:p>
        </w:tc>
        <w:tc>
          <w:tcPr>
            <w:tcW w:type="dxa" w:w="1780"/>
          </w:tcPr>
          <w:p>
            <w:pPr>
              <w:pStyle w:val="Compact"/>
              <w:spacing w:line="276" w:lineRule="auto" w:before="40" w:after="40"/>
            </w:pPr>
            <w:r>
              <w:rPr>
                <w:rFonts w:ascii="Liberation Sans Narrow" w:hAnsi="Liberation Sans Narrow"/>
                <w:sz w:val="17"/>
              </w:rPr>
              <w:t xml:space="preserve">A intimação pessoal do autor antes da extinção por abandono deve ser feita por carta com aviso de recebimento; se não for cumprida porque o endereço não foi encontrado, deve-se usar o oficial de justiça e, em último caso, o edital. O aviso que informa endereço insuficiente não gera a presunção de validade do art. 274, parágrafo único, e não é plausível extinguir o feito se o autor praticou atos depois dos 30 dias.</w:t>
            </w:r>
          </w:p>
        </w:tc>
      </w:tr>
    </w:tbl>
    <w:p>
      <w:pPr>
        <w:pStyle w:val="BodyText"/>
        <w:spacing w:after="60"/>
        <w:jc w:val="both"/>
      </w:pPr>
      <w:r>
        <w:t xml:space="preserve">§ 2º No caso do § 1º, quanto ao inciso II, as partes pagarão proporcionalmente as custas, e, quanto ao inciso III, o autor será condenado ao pagamento das despesas e dos honorários de advogado.</w:t>
      </w:r>
    </w:p>
    <w:p>
      <w:pPr>
        <w:pStyle w:val="BodyText"/>
        <w:spacing w:after="60"/>
        <w:jc w:val="both"/>
      </w:pPr>
      <w:r>
        <w:t xml:space="preserve">§ 3º O juiz conhecerá de ofício da matéria constante dos incisos IV, V, VI e IX, em qualquer tempo e grau de jurisdição, enquanto não ocorrer o trânsito em julgado.</w:t>
      </w:r>
    </w:p>
    <w:p>
      <w:pPr>
        <w:pStyle w:val="BodyText"/>
        <w:spacing w:after="60"/>
        <w:jc w:val="both"/>
      </w:pPr>
      <w:r>
        <w:t xml:space="preserve">§ 4º Oferecida a contestação, o autor não poderá, sem o consentimento do réu, desistir da ação.</w:t>
      </w:r>
    </w:p>
    <w:p>
      <w:pPr>
        <w:pStyle w:val="BodyText"/>
        <w:spacing w:after="60"/>
        <w:jc w:val="both"/>
      </w:pPr>
      <w:r>
        <w:t xml:space="preserve">§ 5º A desistência da ação pode ser apresentada até a sentença.</w:t>
      </w:r>
    </w:p>
    <w:p>
      <w:pPr>
        <w:pStyle w:val="BodyText"/>
        <w:spacing w:after="60"/>
        <w:jc w:val="both"/>
      </w:pPr>
      <w:r>
        <w:t xml:space="preserve">§ 6º Oferecida a contestação, a extinção do processo por abandono da causa pelo autor depende de requerimento do réu.</w:t>
      </w:r>
    </w:p>
    <w:p>
      <w:pPr>
        <w:pStyle w:val="BodyText"/>
        <w:spacing w:after="60"/>
        <w:jc w:val="both"/>
      </w:pPr>
      <w:r>
        <w:t xml:space="preserve">§ 7º Interposta a apelação em qualquer dos casos de que tratam os incisos deste artigo, o juiz terá 5 (cinco) dias para retratar-se.</w:t>
      </w:r>
    </w:p>
    <w:bookmarkEnd w:id="215"/>
    <w:bookmarkStart w:id="216" w:name="art.-486"/>
    <w:p>
      <w:pPr>
        <w:pStyle w:val="Heading6"/>
        <w:pBdr>
          <w:left w:val="single" w:sz="36" w:space="4" w:color="2E75B6"/>
        </w:pBdr>
        <w:shd w:val="clear" w:color="auto" w:fill="E3EEF9"/>
        <w:spacing w:before="120" w:after="60"/>
        <w:ind w:left="85"/>
      </w:pPr>
      <w:r>
        <w:rPr>
          <w:i w:val="0"/>
          <w:color w:val="1F3A5F"/>
          <w:sz w:val="22"/>
        </w:rPr>
        <w:t xml:space="preserve">Art. 486</w:t>
      </w:r>
    </w:p>
    <w:p>
      <w:pPr>
        <w:pStyle w:val="FirstParagraph"/>
        <w:spacing w:after="60"/>
        <w:jc w:val="both"/>
      </w:pPr>
      <w:r>
        <w:rPr>
          <w:b/>
          <w:bCs/>
        </w:rPr>
        <w:t xml:space="preserve">Art. 486.</w:t>
      </w:r>
      <w:r>
        <w:t xml:space="preserve"> </w:t>
      </w:r>
      <w:r>
        <w:t xml:space="preserve">O pronunciamento judicial que não resolve o mérito não obsta a que a parte proponha de novo a ação.</w:t>
      </w:r>
    </w:p>
    <w:p>
      <w:pPr>
        <w:pStyle w:val="BodyText"/>
        <w:spacing w:after="60"/>
        <w:jc w:val="both"/>
      </w:pPr>
      <w:r>
        <w:t xml:space="preserve">§ 1º No caso de extinção em razão de litispendência e nos casos dos incisos I, IV, VI e VII do art. 485, a propositura da nova ação depende da correção do vício que levou à sentença sem resolução do mérito.</w:t>
      </w:r>
    </w:p>
    <w:p>
      <w:pPr>
        <w:pStyle w:val="BodyText"/>
        <w:spacing w:after="60"/>
        <w:jc w:val="both"/>
      </w:pPr>
      <w:r>
        <w:t xml:space="preserve">§ 2º A petição inicial, todavia, não será despachada sem a prova do pagamento ou do depósito das custas e dos honorários de advogado.</w:t>
      </w:r>
    </w:p>
    <w:p>
      <w:pPr>
        <w:pStyle w:val="BodyText"/>
        <w:spacing w:after="60"/>
        <w:jc w:val="both"/>
      </w:pPr>
      <w:r>
        <w:t xml:space="preserve">§ 3º Se o autor der causa, por 3 (três) vezes, a sentença fundada em abandono da causa, não poderá propor nova ação contra o réu com o mesmo objeto, ficando-lhe ressalvada, entretanto, a possibilidade de alegar em defesa o seu direito.</w:t>
      </w:r>
    </w:p>
    <w:bookmarkEnd w:id="216"/>
    <w:bookmarkStart w:id="217" w:name="art.-487"/>
    <w:p>
      <w:pPr>
        <w:pStyle w:val="Heading6"/>
        <w:pBdr>
          <w:left w:val="single" w:sz="36" w:space="4" w:color="2E75B6"/>
        </w:pBdr>
        <w:shd w:val="clear" w:color="auto" w:fill="E3EEF9"/>
        <w:spacing w:before="120" w:after="60"/>
        <w:ind w:left="85"/>
      </w:pPr>
      <w:r>
        <w:rPr>
          <w:i w:val="0"/>
          <w:color w:val="1F3A5F"/>
          <w:sz w:val="22"/>
        </w:rPr>
        <w:t xml:space="preserve">Art. 487</w:t>
      </w:r>
    </w:p>
    <w:p>
      <w:pPr>
        <w:pStyle w:val="FirstParagraph"/>
        <w:spacing w:after="60"/>
        <w:jc w:val="both"/>
      </w:pPr>
      <w:r>
        <w:rPr>
          <w:b/>
          <w:bCs/>
        </w:rPr>
        <w:t xml:space="preserve">Art. 487.</w:t>
      </w:r>
      <w:r>
        <w:t xml:space="preserve"> </w:t>
      </w:r>
      <w:r>
        <w:t xml:space="preserve">Haverá resolução de mérito quando o juiz:</w:t>
      </w:r>
    </w:p>
    <w:p>
      <w:pPr>
        <w:pStyle w:val="BodyText"/>
        <w:spacing w:after="60"/>
        <w:jc w:val="both"/>
      </w:pPr>
      <w:r>
        <w:t xml:space="preserve">I - acolher ou rejeitar o pedido formulado na ação ou na reconvenção;</w:t>
      </w:r>
    </w:p>
    <w:p>
      <w:pPr>
        <w:pStyle w:val="BodyText"/>
        <w:keepNext/>
        <w:spacing w:after="60"/>
        <w:jc w:val="both"/>
      </w:pPr>
      <w:r>
        <w:t xml:space="preserve">II - decidir, de ofício ou a requerimento, sobre a ocorrência de decadência ou prescrição;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780"/>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Inciso II: decisão que rejeita a decadência ou a prescrição</w:t>
            </w:r>
          </w:p>
        </w:tc>
        <w:tc>
          <w:tcPr>
            <w:tcW w:type="dxa" w:w="1655"/>
          </w:tcPr>
          <w:p>
            <w:pPr>
              <w:pStyle w:val="Compact"/>
              <w:spacing w:line="276" w:lineRule="auto" w:before="40" w:after="40"/>
            </w:pPr>
            <w:r>
              <w:rPr>
                <w:rFonts w:ascii="Liberation Sans Narrow" w:hAnsi="Liberation Sans Narrow"/>
                <w:sz w:val="17"/>
              </w:rPr>
              <w:t xml:space="preserve">STJ, REsp 2.246.924, Quarta Turma, relator Min. Antonio Carlos Ferreira, julgado em 22/04/2026, DJEN de 28/04/2026</w:t>
            </w:r>
          </w:p>
        </w:tc>
        <w:tc>
          <w:tcPr>
            <w:tcW w:type="dxa" w:w="1780"/>
          </w:tcPr>
          <w:p>
            <w:pPr>
              <w:pStyle w:val="Compact"/>
              <w:spacing w:line="276" w:lineRule="auto" w:before="40" w:after="40"/>
            </w:pPr>
            <w:r>
              <w:rPr>
                <w:rFonts w:ascii="Liberation Sans Narrow" w:hAnsi="Liberation Sans Narrow"/>
                <w:sz w:val="17"/>
              </w:rPr>
              <w:t xml:space="preserve">A decisão que reconhece ou rejeita a decadência ou a prescrição resolve o mérito (art. 487, II) e é impugnável por agravo de instrumento, nos termos do art. 1.015, II.</w:t>
            </w:r>
          </w:p>
        </w:tc>
      </w:tr>
    </w:tbl>
    <w:p>
      <w:pPr>
        <w:pStyle w:val="BodyText"/>
        <w:spacing w:after="60"/>
        <w:jc w:val="both"/>
      </w:pPr>
      <w:r>
        <w:t xml:space="preserve">III - homologar:</w:t>
      </w:r>
    </w:p>
    <w:p>
      <w:pPr>
        <w:pStyle w:val="BodyText"/>
        <w:spacing w:after="60"/>
        <w:jc w:val="both"/>
      </w:pPr>
      <w:r>
        <w:t xml:space="preserve">a) o reconhecimento da procedência do pedido formulado na ação ou na reconvenção;</w:t>
      </w:r>
    </w:p>
    <w:p>
      <w:pPr>
        <w:pStyle w:val="BodyText"/>
        <w:spacing w:after="60"/>
        <w:jc w:val="both"/>
      </w:pPr>
      <w:r>
        <w:t xml:space="preserve">b) a transação;</w:t>
      </w:r>
    </w:p>
    <w:p>
      <w:pPr>
        <w:pStyle w:val="BodyText"/>
        <w:spacing w:after="60"/>
        <w:jc w:val="both"/>
      </w:pPr>
      <w:r>
        <w:t xml:space="preserve">c) a renúncia à pretensão formulada na ação ou na reconvenção.</w:t>
      </w:r>
    </w:p>
    <w:p>
      <w:pPr>
        <w:pStyle w:val="BodyText"/>
        <w:spacing w:after="60"/>
        <w:jc w:val="both"/>
      </w:pPr>
      <w:r>
        <w:t xml:space="preserve">Parágrafo único. Ressalvada a hipótese do § 1º do art. 332, a prescrição e a decadência não serão reconhecidas sem que antes seja dada às partes oportunidade de manifestar-se.</w:t>
      </w:r>
    </w:p>
    <w:bookmarkEnd w:id="217"/>
    <w:bookmarkStart w:id="218" w:name="art.-488"/>
    <w:p>
      <w:pPr>
        <w:pStyle w:val="Heading6"/>
        <w:pBdr>
          <w:left w:val="single" w:sz="36" w:space="4" w:color="2E75B6"/>
        </w:pBdr>
        <w:shd w:val="clear" w:color="auto" w:fill="E3EEF9"/>
        <w:spacing w:before="120" w:after="60"/>
        <w:ind w:left="85"/>
      </w:pPr>
      <w:r>
        <w:rPr>
          <w:i w:val="0"/>
          <w:color w:val="1F3A5F"/>
          <w:sz w:val="22"/>
        </w:rPr>
        <w:t xml:space="preserve">Art. 488</w:t>
      </w:r>
    </w:p>
    <w:p>
      <w:pPr>
        <w:pStyle w:val="FirstParagraph"/>
        <w:spacing w:after="60"/>
        <w:jc w:val="both"/>
      </w:pPr>
      <w:r>
        <w:rPr>
          <w:b/>
          <w:bCs/>
        </w:rPr>
        <w:t xml:space="preserve">Art. 488.</w:t>
      </w:r>
      <w:r>
        <w:t xml:space="preserve"> </w:t>
      </w:r>
      <w:r>
        <w:t xml:space="preserve">Desde que possível, o juiz resolverá o mérito sempre que a decisão for favorável à parte a quem aproveitaria eventual pronunciamento nos termos do art. 485.</w:t>
      </w:r>
    </w:p>
    <w:bookmarkEnd w:id="218"/>
    <w:bookmarkEnd w:id="219"/>
    <w:bookmarkStart w:id="227" w:name="X3d849dab50ea502cbefe704d06500a27f939f3e"/>
    <w:p>
      <w:pPr>
        <w:pStyle w:val="Heading5"/>
        <w:spacing w:before="60" w:after="20"/>
      </w:pPr>
      <w:r>
        <w:rPr>
          <w:i/>
          <w:color w:val="595959"/>
        </w:rPr>
        <w:t xml:space="preserve">Seção II: dos elementos e dos efeitos da sentença (arts. 489 a 495)</w:t>
      </w:r>
    </w:p>
    <w:bookmarkStart w:id="220" w:name="art.-489"/>
    <w:p>
      <w:pPr>
        <w:pStyle w:val="Heading6"/>
        <w:pBdr>
          <w:left w:val="single" w:sz="36" w:space="4" w:color="2E75B6"/>
        </w:pBdr>
        <w:shd w:val="clear" w:color="auto" w:fill="E3EEF9"/>
        <w:spacing w:before="120" w:after="60"/>
        <w:ind w:left="85"/>
      </w:pPr>
      <w:r>
        <w:rPr>
          <w:i w:val="0"/>
          <w:color w:val="1F3A5F"/>
          <w:sz w:val="22"/>
        </w:rPr>
        <w:t xml:space="preserve">Art. 489</w:t>
      </w:r>
    </w:p>
    <w:p>
      <w:pPr>
        <w:pStyle w:val="FirstParagraph"/>
        <w:spacing w:after="60"/>
        <w:jc w:val="both"/>
      </w:pPr>
      <w:r>
        <w:rPr>
          <w:b/>
          <w:bCs/>
        </w:rPr>
        <w:t xml:space="preserve">Art. 489.</w:t>
      </w:r>
      <w:r>
        <w:t xml:space="preserve"> </w:t>
      </w:r>
      <w:r>
        <w:t xml:space="preserve">São elementos essenciais da sentença:</w:t>
      </w:r>
    </w:p>
    <w:p>
      <w:pPr>
        <w:pStyle w:val="BodyText"/>
        <w:spacing w:after="60"/>
        <w:jc w:val="both"/>
      </w:pPr>
      <w:r>
        <w:t xml:space="preserve">I - o relatório, que conterá os nomes das partes, a identificação do caso, com a suma do pedido e da contestação, e o registro das principais ocorrências havidas no andamento do processo;</w:t>
      </w:r>
    </w:p>
    <w:p>
      <w:pPr>
        <w:pStyle w:val="BodyText"/>
        <w:spacing w:after="60"/>
        <w:jc w:val="both"/>
      </w:pPr>
      <w:r>
        <w:t xml:space="preserve">II - os fundamentos, em que o juiz analisará as questões de fato e de direito;</w:t>
      </w:r>
    </w:p>
    <w:p>
      <w:pPr>
        <w:pStyle w:val="BodyText"/>
        <w:spacing w:after="60"/>
        <w:jc w:val="both"/>
      </w:pPr>
      <w:r>
        <w:t xml:space="preserve">III - o dispositivo, em que o juiz resolverá as questões principais que as partes lhe submeterem.</w:t>
      </w:r>
    </w:p>
    <w:p>
      <w:pPr>
        <w:pStyle w:val="BodyText"/>
        <w:keepNext/>
        <w:spacing w:after="60"/>
        <w:jc w:val="both"/>
      </w:pPr>
      <w:r>
        <w:t xml:space="preserve">§ 1º Não se considera fundamentada qualquer decisão judicial, seja ela interlocutória, sentença ou acórdão, que: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1905"/>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905"/>
          </w:tcPr>
          <w:p>
            <w:pPr>
              <w:pStyle w:val="Compact"/>
              <w:spacing w:line="276" w:lineRule="auto" w:before="40" w:after="40"/>
            </w:pPr>
            <w:r>
              <w:rPr>
                <w:rFonts w:ascii="Liberation Sans Narrow" w:hAnsi="Liberation Sans Narrow"/>
                <w:sz w:val="17"/>
              </w:rPr>
              <w:t xml:space="preserve">§ 1º: fundamentação per relationem e reprodução dos fundamentos da decisão agravada</w:t>
            </w:r>
          </w:p>
        </w:tc>
        <w:tc>
          <w:tcPr>
            <w:tcW w:type="dxa" w:w="1655"/>
          </w:tcPr>
          <w:p>
            <w:pPr>
              <w:pStyle w:val="Compact"/>
              <w:spacing w:line="276" w:lineRule="auto" w:before="40" w:after="40"/>
            </w:pPr>
            <w:r>
              <w:rPr>
                <w:rFonts w:ascii="Liberation Sans Narrow" w:hAnsi="Liberation Sans Narrow"/>
                <w:sz w:val="17"/>
              </w:rPr>
              <w:t xml:space="preserve">STJ, Tema Repetitivo 1306, REsp 2.148.059, Corte Especial, relator Min. Luis Felipe Salomão, julgado em 20/08/2025, DJEN de 05/09/2025</w:t>
            </w:r>
          </w:p>
        </w:tc>
        <w:tc>
          <w:tcPr>
            <w:tcW w:type="dxa" w:w="1905"/>
          </w:tcPr>
          <w:p>
            <w:pPr>
              <w:pStyle w:val="Compact"/>
              <w:spacing w:line="276" w:lineRule="auto" w:before="40" w:after="40"/>
            </w:pPr>
            <w:r>
              <w:rPr>
                <w:rFonts w:ascii="Liberation Sans Narrow" w:hAnsi="Liberation Sans Narrow"/>
                <w:sz w:val="17"/>
              </w:rPr>
              <w:t xml:space="preserve">1. A técnica da fundamentação por referência (per relationem) é permitida desde que o julgador, ao reproduzir trechos de decisão anterior (documentos e/ou pareceres) como razões de decidir, enfrente, ainda que de forma sucinta, as novas questões relevantes para o julgamento do processo, dispensada a análise pormenorizada de cada uma das alegações ou provas.2. O § 3º do artigo 1.021, do CPC não impede a reprodução dos fundamentos da decisão agravada como razões de decidir pela negativa de provimento de agravo interno quando a parte deixa de apresentar argumento novo para ser apreciado pelo colegiado.</w:t>
            </w:r>
          </w:p>
        </w:tc>
      </w:tr>
    </w:tbl>
    <w:p>
      <w:pPr>
        <w:pStyle w:val="BodyText"/>
        <w:spacing w:after="60"/>
        <w:jc w:val="both"/>
      </w:pPr>
      <w:r>
        <w:t xml:space="preserve">I - se limitar à indicação, à reprodução ou à paráfrase de ato normativo, sem explicar sua relação com a causa ou a questão decidida;</w:t>
      </w:r>
    </w:p>
    <w:p>
      <w:pPr>
        <w:pStyle w:val="BodyText"/>
        <w:spacing w:after="60"/>
        <w:jc w:val="both"/>
      </w:pPr>
      <w:r>
        <w:t xml:space="preserve">II - empregar conceitos jurídicos indeterminados, sem explicar o motivo concreto de sua incidência no caso;</w:t>
      </w:r>
    </w:p>
    <w:p>
      <w:pPr>
        <w:pStyle w:val="BodyText"/>
        <w:spacing w:after="60"/>
        <w:jc w:val="both"/>
      </w:pPr>
      <w:r>
        <w:t xml:space="preserve">III - invocar motivos que se prestariam a justificar qualquer outra decisão;</w:t>
      </w:r>
    </w:p>
    <w:p>
      <w:pPr>
        <w:pStyle w:val="BodyText"/>
        <w:spacing w:after="60"/>
        <w:jc w:val="both"/>
      </w:pPr>
      <w:r>
        <w:t xml:space="preserve">IV - não enfrentar todos os argumentos deduzidos no processo capazes de, em tese, infirmar a conclusão adotada pelo julgador;</w:t>
      </w:r>
    </w:p>
    <w:p>
      <w:pPr>
        <w:pStyle w:val="BodyText"/>
        <w:spacing w:after="60"/>
        <w:jc w:val="both"/>
      </w:pPr>
      <w:r>
        <w:t xml:space="preserve">V - se limitar a invocar precedente ou enunciado de súmula, sem identificar seus fundamentos determinantes nem demonstrar que o caso sob julgamento se ajusta àqueles fundamentos;</w:t>
      </w:r>
    </w:p>
    <w:p>
      <w:pPr>
        <w:pStyle w:val="BodyText"/>
        <w:spacing w:after="60"/>
        <w:jc w:val="both"/>
      </w:pPr>
      <w:r>
        <w:t xml:space="preserve">VI - deixar de seguir enunciado de súmula, jurisprudência ou precedente invocado pela parte, sem demonstrar a existência de distinção no caso em julgamento ou a superação do entendimento.</w:t>
      </w:r>
    </w:p>
    <w:p>
      <w:pPr>
        <w:pStyle w:val="BodyText"/>
        <w:spacing w:after="60"/>
        <w:jc w:val="both"/>
      </w:pPr>
      <w:r>
        <w:t xml:space="preserve">§ 2º No caso de colisão entre normas, o juiz deve justificar o objeto e os critérios gerais da ponderação efetuada, enunciando as razões que autorizam a interferência na norma afastada e as premissas fáticas que fundamentam a conclusão.</w:t>
      </w:r>
    </w:p>
    <w:p>
      <w:pPr>
        <w:pStyle w:val="BodyText"/>
        <w:spacing w:after="60"/>
        <w:jc w:val="both"/>
      </w:pPr>
      <w:r>
        <w:t xml:space="preserve">§ 3º A decisão judicial deve ser interpretada a partir da conjugação de todos os seus elementos e em conformidade com o princípio da boa-fé.</w:t>
      </w:r>
    </w:p>
    <w:bookmarkEnd w:id="220"/>
    <w:bookmarkStart w:id="221" w:name="art.-490"/>
    <w:p>
      <w:pPr>
        <w:pStyle w:val="Heading6"/>
        <w:pBdr>
          <w:left w:val="single" w:sz="36" w:space="4" w:color="2E75B6"/>
        </w:pBdr>
        <w:shd w:val="clear" w:color="auto" w:fill="E3EEF9"/>
        <w:spacing w:before="120" w:after="60"/>
        <w:ind w:left="85"/>
      </w:pPr>
      <w:r>
        <w:rPr>
          <w:i w:val="0"/>
          <w:color w:val="1F3A5F"/>
          <w:sz w:val="22"/>
        </w:rPr>
        <w:t xml:space="preserve">Art. 490</w:t>
      </w:r>
    </w:p>
    <w:p>
      <w:pPr>
        <w:pStyle w:val="FirstParagraph"/>
        <w:spacing w:after="60"/>
        <w:jc w:val="both"/>
      </w:pPr>
      <w:r>
        <w:rPr>
          <w:b/>
          <w:bCs/>
        </w:rPr>
        <w:t xml:space="preserve">Art. 490.</w:t>
      </w:r>
      <w:r>
        <w:t xml:space="preserve"> </w:t>
      </w:r>
      <w:r>
        <w:t xml:space="preserve">O juiz resolverá o mérito acolhendo ou rejeitando, no todo ou em parte, os pedidos formulados pelas partes.</w:t>
      </w:r>
    </w:p>
    <w:bookmarkEnd w:id="221"/>
    <w:bookmarkStart w:id="222" w:name="art.-491"/>
    <w:p>
      <w:pPr>
        <w:pStyle w:val="Heading6"/>
        <w:pBdr>
          <w:left w:val="single" w:sz="36" w:space="4" w:color="2E75B6"/>
        </w:pBdr>
        <w:shd w:val="clear" w:color="auto" w:fill="E3EEF9"/>
        <w:spacing w:before="120" w:after="60"/>
        <w:ind w:left="85"/>
      </w:pPr>
      <w:r>
        <w:rPr>
          <w:i w:val="0"/>
          <w:color w:val="1F3A5F"/>
          <w:sz w:val="22"/>
        </w:rPr>
        <w:t xml:space="preserve">Art. 491</w:t>
      </w:r>
    </w:p>
    <w:p>
      <w:pPr>
        <w:pStyle w:val="FirstParagraph"/>
        <w:keepNext/>
        <w:spacing w:after="60"/>
        <w:jc w:val="both"/>
      </w:pPr>
      <w:r>
        <w:rPr>
          <w:b/>
          <w:bCs/>
        </w:rPr>
        <w:t xml:space="preserve">Art. 491.</w:t>
      </w:r>
      <w:r>
        <w:t xml:space="preserve"> </w:t>
      </w:r>
      <w:r>
        <w:t xml:space="preserve">Na ação relativa à obrigação de pagar quantia, ainda que formulado pedido genérico, a decisão definirá desde logo a extensão da obrigação, o índice de correção monetária, a taxa de juros, o termo inicial de ambos e a periodicidade da capitalização dos juros, se for o caso, salvo quando: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2154"/>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Caput — consectários legais de ordem pública</w:t>
            </w:r>
          </w:p>
        </w:tc>
        <w:tc>
          <w:tcPr>
            <w:tcW w:type="dxa" w:w="1655"/>
          </w:tcPr>
          <w:p>
            <w:pPr>
              <w:pStyle w:val="Compact"/>
              <w:spacing w:line="276" w:lineRule="auto" w:before="40" w:after="40"/>
            </w:pPr>
            <w:r>
              <w:rPr>
                <w:rFonts w:ascii="Liberation Sans Narrow" w:hAnsi="Liberation Sans Narrow"/>
                <w:sz w:val="17"/>
              </w:rPr>
              <w:t xml:space="preserve">STJ, AgInt no AgInt no AREsp 2.507.194, Quarta Turma, relatora Min. Maria Isabel Gallotti, julgado em 01/06/2026, DJEN de 08/06/2026</w:t>
            </w:r>
          </w:p>
        </w:tc>
        <w:tc>
          <w:tcPr>
            <w:tcW w:type="dxa" w:w="2154"/>
          </w:tcPr>
          <w:p>
            <w:pPr>
              <w:pStyle w:val="Compact"/>
              <w:spacing w:line="276" w:lineRule="auto" w:before="40" w:after="40"/>
            </w:pPr>
            <w:r>
              <w:rPr>
                <w:rFonts w:ascii="Liberation Sans Narrow" w:hAnsi="Liberation Sans Narrow"/>
                <w:sz w:val="17"/>
              </w:rPr>
              <w:t xml:space="preserve">A correção monetária e os juros de mora são consectários legais da condenação principal, de ordem pública, e podem ser analisados até de ofício; a aplicação ou alteração e a modificação de seu termo inicial não configuram julgamento extra petita nem reformatio in pejus.</w:t>
            </w:r>
          </w:p>
        </w:tc>
      </w:tr>
      <w:tr>
        <w:trPr>
          <w:cantSplit/>
        </w:trPr>
        <w:tc>
          <w:tcPr>
            <w:tcW w:type="dxa" w:w="1780"/>
          </w:tcPr>
          <w:p>
            <w:pPr>
              <w:pStyle w:val="Compact"/>
              <w:spacing w:line="276" w:lineRule="auto" w:before="40" w:after="40"/>
            </w:pPr>
            <w:r>
              <w:rPr>
                <w:rFonts w:ascii="Liberation Sans Narrow" w:hAnsi="Liberation Sans Narrow"/>
                <w:sz w:val="17"/>
              </w:rPr>
              <w:t xml:space="preserve">Caput — extensão da obrigação e remessa à liquidação</w:t>
            </w:r>
          </w:p>
        </w:tc>
        <w:tc>
          <w:tcPr>
            <w:tcW w:type="dxa" w:w="1655"/>
          </w:tcPr>
          <w:p>
            <w:pPr>
              <w:pStyle w:val="Compact"/>
              <w:spacing w:line="276" w:lineRule="auto" w:before="40" w:after="40"/>
            </w:pPr>
            <w:r>
              <w:rPr>
                <w:rFonts w:ascii="Liberation Sans Narrow" w:hAnsi="Liberation Sans Narrow"/>
                <w:sz w:val="17"/>
              </w:rPr>
              <w:t xml:space="preserve">STJ, REsp 2.191.153, Quarta Turma, relatora Min. Maria Isabel Gallotti, julgado em 30/03/2026, DJEN de 07/04/2026</w:t>
            </w:r>
          </w:p>
        </w:tc>
        <w:tc>
          <w:tcPr>
            <w:tcW w:type="dxa" w:w="2154"/>
          </w:tcPr>
          <w:p>
            <w:pPr>
              <w:pStyle w:val="Compact"/>
              <w:spacing w:line="276" w:lineRule="auto" w:before="40" w:after="40"/>
            </w:pPr>
            <w:r>
              <w:rPr>
                <w:rFonts w:ascii="Liberation Sans Narrow" w:hAnsi="Liberation Sans Narrow"/>
                <w:sz w:val="17"/>
              </w:rPr>
              <w:t xml:space="preserve">A remessa da quantificação dos danos para a liquidação de sentença age em consonância com o art. 491 do CPC e não configura julgamento extra ou ultra petita; o dissídio jurisprudencial exige similitude fática e divergência de teses.</w:t>
            </w:r>
          </w:p>
        </w:tc>
      </w:tr>
    </w:tbl>
    <w:p>
      <w:pPr>
        <w:pStyle w:val="BodyText"/>
        <w:spacing w:after="60"/>
        <w:jc w:val="both"/>
      </w:pPr>
      <w:r>
        <w:t xml:space="preserve">I - não for possível determinar, de modo definitivo, o montante devido;</w:t>
      </w:r>
    </w:p>
    <w:p>
      <w:pPr>
        <w:pStyle w:val="BodyText"/>
        <w:spacing w:after="60"/>
        <w:jc w:val="both"/>
      </w:pPr>
      <w:r>
        <w:t xml:space="preserve">II - a apuração do valor devido depender da produção de prova de realização demorada ou excessivamente dispendiosa, assim reconhecida na sentença.</w:t>
      </w:r>
    </w:p>
    <w:p>
      <w:pPr>
        <w:pStyle w:val="BodyText"/>
        <w:spacing w:after="60"/>
        <w:jc w:val="both"/>
      </w:pPr>
      <w:r>
        <w:t xml:space="preserve">§ 1º Nos casos previstos neste artigo, seguir-se-á a apuração do valor devido por liquidação.</w:t>
      </w:r>
    </w:p>
    <w:p>
      <w:pPr>
        <w:pStyle w:val="BodyText"/>
        <w:spacing w:after="60"/>
        <w:jc w:val="both"/>
      </w:pPr>
      <w:r>
        <w:t xml:space="preserve">§ 2º O disposto no caput também se aplica quando o acórdão alterar a sentença.</w:t>
      </w:r>
    </w:p>
    <w:bookmarkEnd w:id="222"/>
    <w:bookmarkStart w:id="223" w:name="art.-492"/>
    <w:p>
      <w:pPr>
        <w:pStyle w:val="Heading6"/>
        <w:pBdr>
          <w:left w:val="single" w:sz="36" w:space="4" w:color="2E75B6"/>
        </w:pBdr>
        <w:shd w:val="clear" w:color="auto" w:fill="E3EEF9"/>
        <w:spacing w:before="120" w:after="60"/>
        <w:ind w:left="85"/>
      </w:pPr>
      <w:r>
        <w:rPr>
          <w:i w:val="0"/>
          <w:color w:val="1F3A5F"/>
          <w:sz w:val="22"/>
        </w:rPr>
        <w:t xml:space="preserve">Art. 492</w:t>
      </w:r>
    </w:p>
    <w:p>
      <w:pPr>
        <w:pStyle w:val="FirstParagraph"/>
        <w:spacing w:after="60"/>
        <w:jc w:val="both"/>
      </w:pPr>
      <w:r>
        <w:rPr>
          <w:b/>
          <w:bCs/>
        </w:rPr>
        <w:t xml:space="preserve">Art. 492.</w:t>
      </w:r>
      <w:r>
        <w:t xml:space="preserve"> </w:t>
      </w:r>
      <w:r>
        <w:t xml:space="preserve">É vedado ao juiz proferir decisão de natureza diversa da pedida, bem como condenar a parte em quantidade superior ou em objeto diverso do que lhe foi demandado.</w:t>
      </w:r>
    </w:p>
    <w:p>
      <w:pPr>
        <w:pStyle w:val="BodyText"/>
        <w:keepNext/>
        <w:spacing w:after="60"/>
        <w:jc w:val="both"/>
      </w:pPr>
      <w:r>
        <w:t xml:space="preserve">Parágrafo único. A decisão deve ser certa, ainda que resolva relação jurídica condicional.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2029"/>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Parágrafo único: decisão certa que resolve relação jurídica condicional (alimentos em parâmetros alternativos)</w:t>
            </w:r>
          </w:p>
        </w:tc>
        <w:tc>
          <w:tcPr>
            <w:tcW w:type="dxa" w:w="1655"/>
          </w:tcPr>
          <w:p>
            <w:pPr>
              <w:pStyle w:val="Compact"/>
              <w:spacing w:line="276" w:lineRule="auto" w:before="40" w:after="40"/>
            </w:pPr>
            <w:r>
              <w:rPr>
                <w:rFonts w:ascii="Liberation Sans Narrow" w:hAnsi="Liberation Sans Narrow"/>
                <w:sz w:val="17"/>
              </w:rPr>
              <w:t xml:space="preserve">STJ, REsp 2.219.394, Terceira Turma, relatora Min. Nancy Andrighi, julgado em 12/05/2026, DJEN de 28/05/2026</w:t>
            </w:r>
          </w:p>
        </w:tc>
        <w:tc>
          <w:tcPr>
            <w:tcW w:type="dxa" w:w="2030"/>
          </w:tcPr>
          <w:p>
            <w:pPr>
              <w:pStyle w:val="Compact"/>
              <w:spacing w:line="276" w:lineRule="auto" w:before="40" w:after="40"/>
            </w:pPr>
            <w:r>
              <w:rPr>
                <w:rFonts w:ascii="Liberation Sans Narrow" w:hAnsi="Liberation Sans Narrow"/>
                <w:sz w:val="17"/>
              </w:rPr>
              <w:t xml:space="preserve">Fixar alimentos em percentual do salário mínimo para a hipótese de desemprego ou trabalho informal do alimentante não é decisão condicional: é decisão certa, com eficácia variável, que se ajusta a circunstâncias objetivamente verificáveis.</w:t>
            </w:r>
          </w:p>
        </w:tc>
      </w:tr>
    </w:tbl>
    <w:bookmarkEnd w:id="223"/>
    <w:bookmarkStart w:id="224" w:name="art.-493"/>
    <w:p>
      <w:pPr>
        <w:pStyle w:val="Heading6"/>
        <w:pBdr>
          <w:left w:val="single" w:sz="36" w:space="4" w:color="2E75B6"/>
        </w:pBdr>
        <w:shd w:val="clear" w:color="auto" w:fill="E3EEF9"/>
        <w:spacing w:before="120" w:after="60"/>
        <w:ind w:left="85"/>
      </w:pPr>
      <w:r>
        <w:rPr>
          <w:i w:val="0"/>
          <w:color w:val="1F3A5F"/>
          <w:sz w:val="22"/>
        </w:rPr>
        <w:t xml:space="preserve">Art. 493</w:t>
      </w:r>
    </w:p>
    <w:p>
      <w:pPr>
        <w:pStyle w:val="FirstParagraph"/>
        <w:keepNext/>
        <w:spacing w:after="60"/>
        <w:jc w:val="both"/>
      </w:pPr>
      <w:r>
        <w:rPr>
          <w:b/>
          <w:bCs/>
        </w:rPr>
        <w:t xml:space="preserve">Art. 493.</w:t>
      </w:r>
      <w:r>
        <w:t xml:space="preserve"> </w:t>
      </w:r>
      <w:r>
        <w:t xml:space="preserve">Se, depois da propositura da ação, algum fato constitutivo, modificativo ou extintivo do direito influir no julgamento do mérito, caberá ao juiz tomá-lo em consideração, de ofício ou a requerimento da parte, no momento de proferir a decisão.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1905"/>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Caput — fato superveniente ao ajuizamento (art. 493)</w:t>
            </w:r>
          </w:p>
        </w:tc>
        <w:tc>
          <w:tcPr>
            <w:tcW w:type="dxa" w:w="1655"/>
          </w:tcPr>
          <w:p>
            <w:pPr>
              <w:pStyle w:val="Compact"/>
              <w:spacing w:line="276" w:lineRule="auto" w:before="40" w:after="40"/>
            </w:pPr>
            <w:r>
              <w:rPr>
                <w:rFonts w:ascii="Liberation Sans Narrow" w:hAnsi="Liberation Sans Narrow"/>
                <w:sz w:val="17"/>
              </w:rPr>
              <w:t xml:space="preserve">STJ, Tema Repetitivo 995, REsp 1.727.063, Primeira Seção, relator Min. Mauro Campbell Marques, julgado em 23/10/2019, DJe de 02/12/2019</w:t>
            </w:r>
          </w:p>
        </w:tc>
        <w:tc>
          <w:tcPr>
            <w:tcW w:type="dxa" w:w="1905"/>
          </w:tcPr>
          <w:p>
            <w:pPr>
              <w:pStyle w:val="Compact"/>
              <w:spacing w:line="276" w:lineRule="auto" w:before="40" w:after="40"/>
            </w:pPr>
            <w:r>
              <w:rPr>
                <w:rFonts w:ascii="Liberation Sans Narrow" w:hAnsi="Liberation Sans Narrow"/>
                <w:sz w:val="17"/>
              </w:rPr>
              <w:t xml:space="preserve">É possível a reafirmação da DER (Data de Entrada do Requerimento) para o momento em que implementados os requisitos para a concessão do benefício, mesmo que isso se dê no interstício entre o ajuizamento da ação e a entrega da prestação jurisdicional nas instâncias ordinárias, nos termos dos arts. 493 e 933 do CPC/2015, observada a causa de pedir.</w:t>
            </w:r>
          </w:p>
        </w:tc>
      </w:tr>
      <w:tr>
        <w:trPr>
          <w:cantSplit/>
        </w:trPr>
        <w:tc>
          <w:tcPr>
            <w:tcW w:type="dxa" w:w="1905"/>
          </w:tcPr>
          <w:p>
            <w:pPr>
              <w:pStyle w:val="Compact"/>
              <w:spacing w:line="276" w:lineRule="auto" w:before="40" w:after="40"/>
            </w:pPr>
            <w:r>
              <w:rPr>
                <w:rFonts w:ascii="Liberation Sans Narrow" w:hAnsi="Liberation Sans Narrow"/>
                <w:sz w:val="17"/>
              </w:rPr>
              <w:t xml:space="preserve">Caput — fato superveniente no julgamento do recurso</w:t>
            </w:r>
          </w:p>
        </w:tc>
        <w:tc>
          <w:tcPr>
            <w:tcW w:type="dxa" w:w="1655"/>
          </w:tcPr>
          <w:p>
            <w:pPr>
              <w:pStyle w:val="Compact"/>
              <w:spacing w:line="276" w:lineRule="auto" w:before="40" w:after="40"/>
            </w:pPr>
            <w:r>
              <w:rPr>
                <w:rFonts w:ascii="Liberation Sans Narrow" w:hAnsi="Liberation Sans Narrow"/>
                <w:sz w:val="17"/>
              </w:rPr>
              <w:t xml:space="preserve">STJ, REsp 1.871.763, Quarta Turma, relatora Min. Maria Isabel Gallotti, julgado em 25/05/2026</w:t>
            </w:r>
          </w:p>
        </w:tc>
        <w:tc>
          <w:tcPr>
            <w:tcW w:type="dxa" w:w="1905"/>
          </w:tcPr>
          <w:p>
            <w:pPr>
              <w:pStyle w:val="Compact"/>
              <w:spacing w:line="276" w:lineRule="auto" w:before="40" w:after="40"/>
            </w:pPr>
            <w:r>
              <w:rPr>
                <w:rFonts w:ascii="Liberation Sans Narrow" w:hAnsi="Liberation Sans Narrow"/>
                <w:sz w:val="17"/>
              </w:rPr>
              <w:t xml:space="preserve">O fato superveniente que altera o quadro jurídico deve ser considerado no julgamento da causa (art. 493), inclusive na fase do recurso especial, quando já superada a fase de conhecimento.</w:t>
            </w:r>
          </w:p>
        </w:tc>
      </w:tr>
    </w:tbl>
    <w:p>
      <w:pPr>
        <w:pStyle w:val="BodyText"/>
        <w:spacing w:after="60"/>
        <w:jc w:val="both"/>
      </w:pPr>
      <w:r>
        <w:t xml:space="preserve">Parágrafo único. Se constatar de ofício o fato novo, o juiz ouvirá as partes sobre ele antes de decidir.</w:t>
      </w:r>
    </w:p>
    <w:bookmarkEnd w:id="224"/>
    <w:bookmarkStart w:id="225" w:name="art.-494"/>
    <w:p>
      <w:pPr>
        <w:pStyle w:val="Heading6"/>
        <w:pBdr>
          <w:left w:val="single" w:sz="36" w:space="4" w:color="2E75B6"/>
        </w:pBdr>
        <w:shd w:val="clear" w:color="auto" w:fill="E3EEF9"/>
        <w:spacing w:before="120" w:after="60"/>
        <w:ind w:left="85"/>
      </w:pPr>
      <w:r>
        <w:rPr>
          <w:i w:val="0"/>
          <w:color w:val="1F3A5F"/>
          <w:sz w:val="22"/>
        </w:rPr>
        <w:t xml:space="preserve">Art. 494</w:t>
      </w:r>
    </w:p>
    <w:p>
      <w:pPr>
        <w:pStyle w:val="FirstParagraph"/>
        <w:keepNext/>
        <w:spacing w:after="60"/>
        <w:jc w:val="both"/>
      </w:pPr>
      <w:r>
        <w:rPr>
          <w:b/>
          <w:bCs/>
        </w:rPr>
        <w:t xml:space="preserve">Art. 494.</w:t>
      </w:r>
      <w:r>
        <w:t xml:space="preserve"> </w:t>
      </w:r>
      <w:r>
        <w:t xml:space="preserve">Publicada a sentença, o juiz só poderá alterá-la: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27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Alteração da sentença publicada: natureza do rol de hipóteses</w:t>
            </w:r>
          </w:p>
        </w:tc>
        <w:tc>
          <w:tcPr>
            <w:tcW w:type="dxa" w:w="1655"/>
          </w:tcPr>
          <w:p>
            <w:pPr>
              <w:pStyle w:val="Compact"/>
              <w:spacing w:line="276" w:lineRule="auto" w:before="40" w:after="40"/>
            </w:pPr>
            <w:r>
              <w:rPr>
                <w:rFonts w:ascii="Liberation Sans Narrow" w:hAnsi="Liberation Sans Narrow"/>
                <w:sz w:val="17"/>
              </w:rPr>
              <w:t xml:space="preserve">STJ, REsp 2.124.830, Terceira Turma, relator Min. Ricardo Villas Bôas Cueva, julgado em 14/05/2024, DJe de 16/05/2024</w:t>
            </w:r>
          </w:p>
        </w:tc>
        <w:tc>
          <w:tcPr>
            <w:tcW w:type="dxa" w:w="2279"/>
          </w:tcPr>
          <w:p>
            <w:pPr>
              <w:pStyle w:val="Compact"/>
              <w:spacing w:line="276" w:lineRule="auto" w:before="40" w:after="40"/>
            </w:pPr>
            <w:r>
              <w:rPr>
                <w:rFonts w:ascii="Liberation Sans Narrow" w:hAnsi="Liberation Sans Narrow"/>
                <w:sz w:val="17"/>
              </w:rPr>
              <w:t xml:space="preserve">O rol do art. 494, que excepciona o princípio da inalterabilidade da sentença, é meramente exemplificativo; o art. 139 impõe ao juiz o poder-dever de zelar pela regularidade do processo e de determinar o suprimento de pressupostos e o saneamento de vícios (inciso IX).</w:t>
            </w:r>
          </w:p>
        </w:tc>
      </w:tr>
    </w:tbl>
    <w:p>
      <w:pPr>
        <w:pStyle w:val="BodyText"/>
        <w:keepNext/>
        <w:spacing w:after="60"/>
        <w:jc w:val="both"/>
      </w:pPr>
      <w:r>
        <w:t xml:space="preserve">I - para corrigir-lhe, de ofício ou a requerimento da parte, inexatidões materiais ou erros de cálculo;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1905"/>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I — correção de ofício de inexatidões materiais e erros de cálculo</w:t>
            </w:r>
          </w:p>
        </w:tc>
        <w:tc>
          <w:tcPr>
            <w:tcW w:type="dxa" w:w="1531"/>
          </w:tcPr>
          <w:p>
            <w:pPr>
              <w:pStyle w:val="Compact"/>
              <w:spacing w:line="276" w:lineRule="auto" w:before="40" w:after="40"/>
            </w:pPr>
            <w:r>
              <w:rPr>
                <w:rFonts w:ascii="Liberation Sans Narrow" w:hAnsi="Liberation Sans Narrow"/>
                <w:sz w:val="17"/>
              </w:rPr>
              <w:t xml:space="preserve">STJ, AREsp 2.798.949, Terceira Turma, relator Min. Ricardo Villas Bôas Cueva, julgado em 22/04/2026</w:t>
            </w:r>
          </w:p>
        </w:tc>
        <w:tc>
          <w:tcPr>
            <w:tcW w:type="dxa" w:w="1905"/>
          </w:tcPr>
          <w:p>
            <w:pPr>
              <w:pStyle w:val="Compact"/>
              <w:spacing w:line="276" w:lineRule="auto" w:before="40" w:after="40"/>
            </w:pPr>
            <w:r>
              <w:rPr>
                <w:rFonts w:ascii="Liberation Sans Narrow" w:hAnsi="Liberation Sans Narrow"/>
                <w:sz w:val="17"/>
              </w:rPr>
              <w:t xml:space="preserve">A correção de erro material não se sujeita à preclusão nem à coisa julgada, por constituir matéria de ordem pública cognoscível de ofício pelo julgador; não há decisão surpresa quando o resultado da lide está previsto objetivamente no regime do instrumento processual utilizado.</w:t>
            </w:r>
          </w:p>
        </w:tc>
      </w:tr>
    </w:tbl>
    <w:p>
      <w:pPr>
        <w:pStyle w:val="BodyText"/>
        <w:spacing w:after="60"/>
        <w:jc w:val="both"/>
      </w:pPr>
      <w:r>
        <w:t xml:space="preserve">II - por meio de embargos de declaração.</w:t>
      </w:r>
    </w:p>
    <w:bookmarkEnd w:id="225"/>
    <w:bookmarkStart w:id="226" w:name="art.-495"/>
    <w:p>
      <w:pPr>
        <w:pStyle w:val="Heading6"/>
        <w:pBdr>
          <w:left w:val="single" w:sz="36" w:space="4" w:color="2E75B6"/>
        </w:pBdr>
        <w:shd w:val="clear" w:color="auto" w:fill="E3EEF9"/>
        <w:spacing w:before="120" w:after="60"/>
        <w:ind w:left="85"/>
      </w:pPr>
      <w:r>
        <w:rPr>
          <w:i w:val="0"/>
          <w:color w:val="1F3A5F"/>
          <w:sz w:val="22"/>
        </w:rPr>
        <w:t xml:space="preserve">Art. 495</w:t>
      </w:r>
    </w:p>
    <w:p>
      <w:pPr>
        <w:pStyle w:val="FirstParagraph"/>
        <w:keepNext/>
        <w:spacing w:after="60"/>
        <w:jc w:val="both"/>
      </w:pPr>
      <w:r>
        <w:rPr>
          <w:b/>
          <w:bCs/>
        </w:rPr>
        <w:t xml:space="preserve">Art. 495.</w:t>
      </w:r>
      <w:r>
        <w:t xml:space="preserve"> </w:t>
      </w:r>
      <w:r>
        <w:t xml:space="preserve">A decisão que condenar o réu ao pagamento de prestação consistente em dinheiro e a que determinar a conversão de prestação de fazer, de não fazer ou de dar coisa em prestação pecuniária valerão como título constitutivo de hipoteca judiciária.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530"/>
        <w:gridCol w:w="1655"/>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Caput — hipoteca judiciária como efeito da decisão condenatória</w:t>
            </w:r>
          </w:p>
        </w:tc>
        <w:tc>
          <w:tcPr>
            <w:tcW w:type="dxa" w:w="1531"/>
          </w:tcPr>
          <w:p>
            <w:pPr>
              <w:pStyle w:val="Compact"/>
              <w:spacing w:line="276" w:lineRule="auto" w:before="40" w:after="40"/>
            </w:pPr>
            <w:r>
              <w:rPr>
                <w:rFonts w:ascii="Liberation Sans Narrow" w:hAnsi="Liberation Sans Narrow"/>
                <w:sz w:val="17"/>
              </w:rPr>
              <w:t xml:space="preserve">STJ, AREsp 2.385.745, Terceira Turma, relator Min. Moura Ribeiro, julgado em 23/03/2026</w:t>
            </w:r>
          </w:p>
        </w:tc>
        <w:tc>
          <w:tcPr>
            <w:tcW w:type="dxa" w:w="1655"/>
          </w:tcPr>
          <w:p>
            <w:pPr>
              <w:pStyle w:val="Compact"/>
              <w:spacing w:line="276" w:lineRule="auto" w:before="40" w:after="40"/>
            </w:pPr>
            <w:r>
              <w:rPr>
                <w:rFonts w:ascii="Liberation Sans Narrow" w:hAnsi="Liberation Sans Narrow"/>
                <w:sz w:val="17"/>
              </w:rPr>
              <w:t xml:space="preserve">As hipotecas judiciais são regulares quando lastreadas no título e sem limitação temporal na lavratura, inexistindo prejuízo na comunicação e não sendo possível a alegação de direito alheio em nome próprio; a revisão dessa conclusão demandaria reexame fático (Súmula 7 do STJ).</w:t>
            </w:r>
          </w:p>
        </w:tc>
      </w:tr>
    </w:tbl>
    <w:p>
      <w:pPr>
        <w:pStyle w:val="BodyText"/>
        <w:spacing w:after="60"/>
        <w:jc w:val="both"/>
      </w:pPr>
      <w:r>
        <w:t xml:space="preserve">§ 1º A decisão produz a hipoteca judiciária:</w:t>
      </w:r>
    </w:p>
    <w:p>
      <w:pPr>
        <w:pStyle w:val="BodyText"/>
        <w:spacing w:after="60"/>
        <w:jc w:val="both"/>
      </w:pPr>
      <w:r>
        <w:t xml:space="preserve">I - embora a condenação seja genérica;</w:t>
      </w:r>
    </w:p>
    <w:p>
      <w:pPr>
        <w:pStyle w:val="BodyText"/>
        <w:spacing w:after="60"/>
        <w:jc w:val="both"/>
      </w:pPr>
      <w:r>
        <w:t xml:space="preserve">II - ainda que o credor possa promover o cumprimento provisório da sentença ou esteja pendente arresto sobre bem do devedor;</w:t>
      </w:r>
    </w:p>
    <w:p>
      <w:pPr>
        <w:pStyle w:val="BodyText"/>
        <w:spacing w:after="60"/>
        <w:jc w:val="both"/>
      </w:pPr>
      <w:r>
        <w:t xml:space="preserve">III - mesmo que impugnada por recurso dotado de efeito suspensivo.</w:t>
      </w:r>
    </w:p>
    <w:p>
      <w:pPr>
        <w:pStyle w:val="BodyText"/>
        <w:spacing w:after="60"/>
        <w:jc w:val="both"/>
      </w:pPr>
      <w:r>
        <w:t xml:space="preserve">§ 2º A hipoteca judiciária poderá ser realizada mediante apresentação de cópia da sentença perante o cartório de registro imobiliário, independentemente de ordem judicial, de declaração expressa do juiz ou de demonstração de urgência.</w:t>
      </w:r>
    </w:p>
    <w:p>
      <w:pPr>
        <w:pStyle w:val="BodyText"/>
        <w:spacing w:after="60"/>
        <w:jc w:val="both"/>
      </w:pPr>
      <w:r>
        <w:t xml:space="preserve">§ 3º No prazo de até 15 (quinze) dias da data de realização da hipoteca, a parte informá-la-á ao juízo da causa, que determinará a intimação da outra parte para que tome ciência do ato.</w:t>
      </w:r>
    </w:p>
    <w:p>
      <w:pPr>
        <w:pStyle w:val="BodyText"/>
        <w:spacing w:after="60"/>
        <w:jc w:val="both"/>
      </w:pPr>
      <w:r>
        <w:t xml:space="preserve">§ 4º A hipoteca judiciária, uma vez constituída, implicará, para o credor hipotecário, o direito de preferência, quanto ao pagamento, em relação a outros credores, observada a prioridade no registro.</w:t>
      </w:r>
    </w:p>
    <w:p>
      <w:pPr>
        <w:pStyle w:val="BodyText"/>
        <w:spacing w:after="60"/>
        <w:jc w:val="both"/>
      </w:pPr>
      <w:r>
        <w:t xml:space="preserve">§ 5º Sobrevindo a reforma ou a invalidação da decisão que impôs o pagamento de quantia, a parte responderá, independentemente de culpa, pelos danos que a outra parte tiver sofrido em razão da constituição da garantia, devendo o valor da indenização ser liquidado e executado nos próprios autos.</w:t>
      </w:r>
    </w:p>
    <w:bookmarkEnd w:id="226"/>
    <w:bookmarkEnd w:id="227"/>
    <w:bookmarkStart w:id="229" w:name="X75b5e8ed16615fb4485108464ada4878c7ee421"/>
    <w:p>
      <w:pPr>
        <w:pStyle w:val="Heading5"/>
        <w:spacing w:before="60" w:after="20"/>
      </w:pPr>
      <w:r>
        <w:rPr>
          <w:i/>
          <w:color w:val="595959"/>
        </w:rPr>
        <w:t xml:space="preserve">Seção III: da remessa necessária (arts. 496)</w:t>
      </w:r>
    </w:p>
    <w:bookmarkStart w:id="228" w:name="art.-496"/>
    <w:p>
      <w:pPr>
        <w:pStyle w:val="Heading6"/>
        <w:pBdr>
          <w:left w:val="single" w:sz="36" w:space="4" w:color="2E75B6"/>
        </w:pBdr>
        <w:shd w:val="clear" w:color="auto" w:fill="E3EEF9"/>
        <w:spacing w:before="120" w:after="60"/>
        <w:ind w:left="85"/>
      </w:pPr>
      <w:r>
        <w:rPr>
          <w:i w:val="0"/>
          <w:color w:val="1F3A5F"/>
          <w:sz w:val="22"/>
        </w:rPr>
        <w:t xml:space="preserve">Art. 496</w:t>
      </w:r>
    </w:p>
    <w:p>
      <w:pPr>
        <w:pStyle w:val="FirstParagraph"/>
        <w:spacing w:after="60"/>
        <w:jc w:val="both"/>
      </w:pPr>
      <w:r>
        <w:rPr>
          <w:b/>
          <w:bCs/>
        </w:rPr>
        <w:t xml:space="preserve">Art. 496.</w:t>
      </w:r>
      <w:r>
        <w:t xml:space="preserve"> </w:t>
      </w:r>
      <w:r>
        <w:t xml:space="preserve">Está sujeita ao duplo grau de jurisdição, não produzindo efeito senão depois de confirmada pelo tribunal, a sentença:</w:t>
      </w:r>
    </w:p>
    <w:p>
      <w:pPr>
        <w:pStyle w:val="BodyText"/>
        <w:spacing w:after="60"/>
        <w:jc w:val="both"/>
      </w:pPr>
      <w:r>
        <w:t xml:space="preserve">I - proferida contra a União, os Estados, o Distrito Federal, os Municípios e suas respectivas autarquias e fundações de direito público;</w:t>
      </w:r>
    </w:p>
    <w:p>
      <w:pPr>
        <w:pStyle w:val="BodyText"/>
        <w:spacing w:after="60"/>
        <w:jc w:val="both"/>
      </w:pPr>
      <w:r>
        <w:t xml:space="preserve">II - que julgar procedentes, no todo ou em parte, os embargos à execução fiscal.</w:t>
      </w:r>
    </w:p>
    <w:p>
      <w:pPr>
        <w:pStyle w:val="BodyText"/>
        <w:spacing w:after="60"/>
        <w:jc w:val="both"/>
      </w:pPr>
      <w:r>
        <w:t xml:space="preserve">§ 1º Nos casos previstos neste artigo, não interposta a apelação no prazo legal, o juiz ordenará a remessa dos autos ao tribunal, e, se não o fizer, o presidente do respectivo tribunal avocá-los-á.</w:t>
      </w:r>
    </w:p>
    <w:p>
      <w:pPr>
        <w:pStyle w:val="BodyText"/>
        <w:spacing w:after="60"/>
        <w:jc w:val="both"/>
      </w:pPr>
      <w:r>
        <w:t xml:space="preserve">§ 2º Em qualquer dos casos referidos no § 1º, o tribunal julgará a remessa necessária.</w:t>
      </w:r>
    </w:p>
    <w:p>
      <w:pPr>
        <w:pStyle w:val="BodyText"/>
        <w:spacing w:after="60"/>
        <w:jc w:val="both"/>
      </w:pPr>
      <w:r>
        <w:t xml:space="preserve">§ 3º Não se aplica o disposto neste artigo quando a condenação ou o proveito econômico obtido na causa for de valor certo e líquido inferior a:</w:t>
      </w:r>
    </w:p>
    <w:p>
      <w:pPr>
        <w:pStyle w:val="BodyText"/>
        <w:keepNext/>
        <w:spacing w:after="60"/>
        <w:jc w:val="both"/>
      </w:pPr>
      <w:r>
        <w:t xml:space="preserve">I - 1.000 (mil) salários-mínimos para a União e as respectivas autarquias e fundações de direito público;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655"/>
        <w:gridCol w:w="2029"/>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 3º, I: dispensa de remessa necessária em demanda previdenciária de valor aferível por cálculo</w:t>
            </w:r>
          </w:p>
        </w:tc>
        <w:tc>
          <w:tcPr>
            <w:tcW w:type="dxa" w:w="1655"/>
          </w:tcPr>
          <w:p>
            <w:pPr>
              <w:pStyle w:val="Compact"/>
              <w:spacing w:line="276" w:lineRule="auto" w:before="40" w:after="40"/>
            </w:pPr>
            <w:r>
              <w:rPr>
                <w:rFonts w:ascii="Liberation Sans Narrow" w:hAnsi="Liberation Sans Narrow"/>
                <w:sz w:val="17"/>
              </w:rPr>
              <w:t xml:space="preserve">STJ, Tema Repetitivo 1081, REsp 1.882.236, Corte Especial, relator Min. Og Fernandes, julgado em 04/02/2026, DJEN de 12/02/2026</w:t>
            </w:r>
          </w:p>
        </w:tc>
        <w:tc>
          <w:tcPr>
            <w:tcW w:type="dxa" w:w="2030"/>
          </w:tcPr>
          <w:p>
            <w:pPr>
              <w:pStyle w:val="Compact"/>
              <w:spacing w:line="276" w:lineRule="auto" w:before="40" w:after="40"/>
            </w:pPr>
            <w:r>
              <w:rPr>
                <w:rFonts w:ascii="Liberation Sans Narrow" w:hAnsi="Liberation Sans Narrow"/>
                <w:sz w:val="17"/>
              </w:rPr>
              <w:t xml:space="preserve">A demanda previdenciária cujo valor da condenação seja aferível por simples cálculos aritméticos, com base nos parâmetros fixados na sentença, deve ser dispensada da remessa necessária quando for possível estimar que não excederá o limite previsto no art. 496, § 3º, I, do Código de Processo Civil.</w:t>
            </w:r>
          </w:p>
        </w:tc>
      </w:tr>
    </w:tbl>
    <w:p>
      <w:pPr>
        <w:pStyle w:val="BodyText"/>
        <w:spacing w:after="60"/>
        <w:jc w:val="both"/>
      </w:pPr>
      <w:r>
        <w:t xml:space="preserve">II - 500 (quinhentos) salários-mínimos para os Estados, o Distrito Federal, as respectivas autarquias e fundações de direito público e os Municípios que constituam capitais dos Estados;</w:t>
      </w:r>
    </w:p>
    <w:p>
      <w:pPr>
        <w:pStyle w:val="BodyText"/>
        <w:spacing w:after="60"/>
        <w:jc w:val="both"/>
      </w:pPr>
      <w:r>
        <w:t xml:space="preserve">III - 100 (cem) salários-mínimos para todos os demais Municípios e respectivas autarquias e fundações de direito público.</w:t>
      </w:r>
    </w:p>
    <w:p>
      <w:pPr>
        <w:pStyle w:val="BodyText"/>
        <w:spacing w:after="60"/>
        <w:jc w:val="both"/>
      </w:pPr>
      <w:r>
        <w:t xml:space="preserve">§ 4º Também não se aplica o disposto neste artigo quando a sentença estiver fundada em:</w:t>
      </w:r>
    </w:p>
    <w:p>
      <w:pPr>
        <w:pStyle w:val="BodyText"/>
        <w:spacing w:after="60"/>
        <w:jc w:val="both"/>
      </w:pPr>
      <w:r>
        <w:t xml:space="preserve">I - súmula de tribunal superior;</w:t>
      </w:r>
    </w:p>
    <w:p>
      <w:pPr>
        <w:pStyle w:val="BodyText"/>
        <w:spacing w:after="60"/>
        <w:jc w:val="both"/>
      </w:pPr>
      <w:r>
        <w:t xml:space="preserve">II - acórdão proferido pelo Supremo Tribunal Federal ou pelo Superior Tribunal de Justiça em julgamento de recursos repetitivos;</w:t>
      </w:r>
    </w:p>
    <w:p>
      <w:pPr>
        <w:pStyle w:val="BodyText"/>
        <w:spacing w:after="60"/>
        <w:jc w:val="both"/>
      </w:pPr>
      <w:r>
        <w:t xml:space="preserve">III - entendimento firmado em incidente de resolução de demandas repetitivas ou de assunção de competência;</w:t>
      </w:r>
    </w:p>
    <w:p>
      <w:pPr>
        <w:pStyle w:val="BodyText"/>
        <w:spacing w:after="60"/>
        <w:jc w:val="both"/>
      </w:pPr>
      <w:r>
        <w:t xml:space="preserve">IV - entendimento coincidente com orientação vinculante firmada no âmbito administrativo do próprio ente público, consolidada em manifestação, parecer ou súmula administrativa.</w:t>
      </w:r>
    </w:p>
    <w:bookmarkEnd w:id="228"/>
    <w:bookmarkEnd w:id="229"/>
    <w:bookmarkStart w:id="235" w:name="X96e78b9ae6cdea425c4b4116f12758562315831"/>
    <w:p>
      <w:pPr>
        <w:pStyle w:val="Heading5"/>
        <w:spacing w:before="60" w:after="20"/>
      </w:pPr>
      <w:r>
        <w:rPr>
          <w:i/>
          <w:color w:val="595959"/>
        </w:rPr>
        <w:t xml:space="preserve">Seção IV: do julgamento das ações relativas às prestações de fazer, de não fazer e de entregar coisa (arts. 497 a 501)</w:t>
      </w:r>
    </w:p>
    <w:bookmarkStart w:id="230" w:name="art.-497"/>
    <w:p>
      <w:pPr>
        <w:pStyle w:val="Heading6"/>
        <w:pBdr>
          <w:left w:val="single" w:sz="36" w:space="4" w:color="2E75B6"/>
        </w:pBdr>
        <w:shd w:val="clear" w:color="auto" w:fill="E3EEF9"/>
        <w:spacing w:before="120" w:after="60"/>
        <w:ind w:left="85"/>
      </w:pPr>
      <w:r>
        <w:rPr>
          <w:i w:val="0"/>
          <w:color w:val="1F3A5F"/>
          <w:sz w:val="22"/>
        </w:rPr>
        <w:t xml:space="preserve">Art. 497</w:t>
      </w:r>
    </w:p>
    <w:p>
      <w:pPr>
        <w:pStyle w:val="FirstParagraph"/>
        <w:keepNext/>
        <w:spacing w:after="60"/>
        <w:jc w:val="both"/>
      </w:pPr>
      <w:r>
        <w:rPr>
          <w:b/>
          <w:bCs/>
        </w:rPr>
        <w:t xml:space="preserve">Art. 497.</w:t>
      </w:r>
      <w:r>
        <w:t xml:space="preserve"> </w:t>
      </w:r>
      <w:r>
        <w:t xml:space="preserve">Na ação que tenha por objeto a prestação de fazer ou de não fazer, o juiz, se procedente o pedido, concederá a tutela específica ou determinará providências que assegurem a obtenção de tutela pelo resultado prático equivalente.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1746"/>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46"/>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Arts. 497, 499, 500, 536 e 537: multa cominatória</w:t>
            </w:r>
          </w:p>
        </w:tc>
        <w:tc>
          <w:tcPr>
            <w:tcW w:type="dxa" w:w="1531"/>
          </w:tcPr>
          <w:p>
            <w:pPr>
              <w:pStyle w:val="Compact"/>
              <w:spacing w:line="276" w:lineRule="auto" w:before="40" w:after="40"/>
            </w:pPr>
            <w:r>
              <w:rPr>
                <w:rFonts w:ascii="Liberation Sans Narrow" w:hAnsi="Liberation Sans Narrow"/>
                <w:sz w:val="17"/>
              </w:rPr>
              <w:t xml:space="preserve">STJ, AgInt no AREsp 1.615.812, Quarta Turma, relatora Min. Maria Isabel Gallotti, DJe de 13/12/2024</w:t>
            </w:r>
          </w:p>
        </w:tc>
        <w:tc>
          <w:tcPr>
            <w:tcW w:type="dxa" w:w="1746"/>
          </w:tcPr>
          <w:p>
            <w:pPr>
              <w:pStyle w:val="Compact"/>
              <w:spacing w:line="276" w:lineRule="auto" w:before="40" w:after="40"/>
            </w:pPr>
            <w:r>
              <w:rPr>
                <w:rFonts w:ascii="Liberation Sans Narrow" w:hAnsi="Liberation Sans Narrow"/>
                <w:sz w:val="17"/>
              </w:rPr>
              <w:t xml:space="preserve">O valor da multa cominatória pode ser revisto a qualquer tempo (art. 537, § 1º), pois é fixado sob a cláusula</w:t>
            </w:r>
            <w:r>
              <w:rPr>
                <w:rFonts w:ascii="Liberation Sans Narrow" w:hAnsi="Liberation Sans Narrow"/>
                <w:sz w:val="17"/>
              </w:rPr>
              <w:t xml:space="preserve"> </w:t>
            </w:r>
            <w:r>
              <w:rPr>
                <w:rFonts w:ascii="Liberation Sans Narrow" w:hAnsi="Liberation Sans Narrow"/>
                <w:i/>
                <w:iCs/>
                <w:sz w:val="17"/>
              </w:rPr>
              <w:t xml:space="preserve">rebus sic stantibus</w:t>
            </w:r>
            <w:r>
              <w:rPr>
                <w:rFonts w:ascii="Liberation Sans Narrow" w:hAnsi="Liberation Sans Narrow"/>
                <w:sz w:val="17"/>
              </w:rPr>
              <w:t xml:space="preserve"> </w:t>
            </w:r>
            <w:r>
              <w:rPr>
                <w:rFonts w:ascii="Liberation Sans Narrow" w:hAnsi="Liberation Sans Narrow"/>
                <w:sz w:val="17"/>
              </w:rPr>
              <w:t xml:space="preserve">e não enseja preclusão nem coisa julgada. Em obrigação de pagar quantia certa, é descabida a multa diária como forma de compelir ao pagamento.</w:t>
            </w:r>
          </w:p>
        </w:tc>
      </w:tr>
    </w:tbl>
    <w:p>
      <w:pPr>
        <w:pStyle w:val="BodyText"/>
        <w:keepNext/>
        <w:spacing w:after="60"/>
        <w:jc w:val="both"/>
      </w:pPr>
      <w:r>
        <w:t xml:space="preserve">Parágrafo único. Para a concessão da tutela específica destinada a inibir a prática, a reiteração ou a continuação de um ilícito, ou a sua remoção, é irrelevante a demonstração da ocorrência de dano ou da existência de culpa ou dolo.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Art. 497, parágrafo único: tutela inibitória</w:t>
            </w:r>
          </w:p>
        </w:tc>
        <w:tc>
          <w:tcPr>
            <w:tcW w:type="dxa" w:w="1655"/>
          </w:tcPr>
          <w:p>
            <w:pPr>
              <w:pStyle w:val="Compact"/>
              <w:spacing w:line="276" w:lineRule="auto" w:before="40" w:after="40"/>
            </w:pPr>
            <w:r>
              <w:rPr>
                <w:rFonts w:ascii="Liberation Sans Narrow" w:hAnsi="Liberation Sans Narrow"/>
                <w:sz w:val="17"/>
              </w:rPr>
              <w:t xml:space="preserve">STJ, REsp 2.200.460, Terceira Turma, relator Min. Moura Ribeiro, julgado em 22/04/2026, DJEN de 28/04/2026</w:t>
            </w:r>
          </w:p>
        </w:tc>
        <w:tc>
          <w:tcPr>
            <w:tcW w:type="dxa" w:w="1905"/>
          </w:tcPr>
          <w:p>
            <w:pPr>
              <w:pStyle w:val="Compact"/>
              <w:spacing w:line="276" w:lineRule="auto" w:before="40" w:after="40"/>
            </w:pPr>
            <w:r>
              <w:rPr>
                <w:rFonts w:ascii="Liberation Sans Narrow" w:hAnsi="Liberation Sans Narrow"/>
                <w:sz w:val="17"/>
              </w:rPr>
              <w:t xml:space="preserve">A tutela inibitória do art. 497, parágrafo único, pressupõe pedido procedente; mantida a improcedência (paródia em propaganda eleitoral, art. 47 da Lei de Direitos Autorais), não há tutela específica nem se discute a irrelevância da prova do dano.</w:t>
            </w:r>
          </w:p>
        </w:tc>
      </w:tr>
    </w:tbl>
    <w:bookmarkEnd w:id="230"/>
    <w:bookmarkStart w:id="231" w:name="art.-498"/>
    <w:p>
      <w:pPr>
        <w:pStyle w:val="Heading6"/>
        <w:pBdr>
          <w:left w:val="single" w:sz="36" w:space="4" w:color="2E75B6"/>
        </w:pBdr>
        <w:shd w:val="clear" w:color="auto" w:fill="E3EEF9"/>
        <w:spacing w:before="120" w:after="60"/>
        <w:ind w:left="85"/>
      </w:pPr>
      <w:r>
        <w:rPr>
          <w:i w:val="0"/>
          <w:color w:val="1F3A5F"/>
          <w:sz w:val="22"/>
        </w:rPr>
        <w:t xml:space="preserve">Art. 498</w:t>
      </w:r>
    </w:p>
    <w:p>
      <w:pPr>
        <w:pStyle w:val="FirstParagraph"/>
        <w:spacing w:after="60"/>
        <w:jc w:val="both"/>
      </w:pPr>
      <w:r>
        <w:rPr>
          <w:b/>
          <w:bCs/>
        </w:rPr>
        <w:t xml:space="preserve">Art. 498.</w:t>
      </w:r>
      <w:r>
        <w:t xml:space="preserve"> </w:t>
      </w:r>
      <w:r>
        <w:t xml:space="preserve">Na ação que tenha por objeto a entrega de coisa, o juiz, ao conceder a tutela específica, fixará o prazo para o cumprimento da obrigação.</w:t>
      </w:r>
    </w:p>
    <w:p>
      <w:pPr>
        <w:pStyle w:val="BodyText"/>
        <w:spacing w:after="60"/>
        <w:jc w:val="both"/>
      </w:pPr>
      <w:r>
        <w:t xml:space="preserve">Parágrafo único. Tratando-se de entrega de coisa determinada pelo gênero e pela quantidade, o autor individualizá-la-á na petição inicial, se lhe couber a escolha, ou, se a escolha couber ao réu, este a entregará individualizada, no prazo fixado pelo juiz.</w:t>
      </w:r>
    </w:p>
    <w:bookmarkEnd w:id="231"/>
    <w:bookmarkStart w:id="232" w:name="art.-499"/>
    <w:p>
      <w:pPr>
        <w:pStyle w:val="Heading6"/>
        <w:pBdr>
          <w:left w:val="single" w:sz="36" w:space="4" w:color="2E75B6"/>
        </w:pBdr>
        <w:shd w:val="clear" w:color="auto" w:fill="E3EEF9"/>
        <w:spacing w:before="120" w:after="60"/>
        <w:ind w:left="85"/>
      </w:pPr>
      <w:r>
        <w:rPr>
          <w:i w:val="0"/>
          <w:color w:val="1F3A5F"/>
          <w:sz w:val="22"/>
        </w:rPr>
        <w:t xml:space="preserve">Art. 499</w:t>
      </w:r>
    </w:p>
    <w:p>
      <w:pPr>
        <w:pStyle w:val="FirstParagraph"/>
        <w:keepNext/>
        <w:spacing w:after="60"/>
        <w:jc w:val="both"/>
      </w:pPr>
      <w:r>
        <w:rPr>
          <w:b/>
          <w:bCs/>
        </w:rPr>
        <w:t xml:space="preserve">Art. 499.</w:t>
      </w:r>
      <w:r>
        <w:t xml:space="preserve"> </w:t>
      </w:r>
      <w:r>
        <w:t xml:space="preserve">A obrigação somente será convertida em perdas e danos se o autor o requerer ou se impossível a tutela específica ou a obtenção de tutela pelo resultado prático equivalente.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conversão em perdas e danos e astreintes</w:t>
            </w:r>
          </w:p>
        </w:tc>
        <w:tc>
          <w:tcPr>
            <w:tcW w:type="dxa" w:w="1655"/>
          </w:tcPr>
          <w:p>
            <w:pPr>
              <w:pStyle w:val="Compact"/>
              <w:spacing w:line="276" w:lineRule="auto" w:before="40" w:after="40"/>
            </w:pPr>
            <w:r>
              <w:rPr>
                <w:rFonts w:ascii="Liberation Sans Narrow" w:hAnsi="Liberation Sans Narrow"/>
                <w:sz w:val="17"/>
              </w:rPr>
              <w:t xml:space="preserve">STJ, AREsp 2.947.779, Quarta Turma, relator Min. Antonio Carlos Ferreira, julgado em 30/06/2026, DJEN de 03/07/2026</w:t>
            </w:r>
          </w:p>
        </w:tc>
        <w:tc>
          <w:tcPr>
            <w:tcW w:type="dxa" w:w="2030"/>
          </w:tcPr>
          <w:p>
            <w:pPr>
              <w:pStyle w:val="Compact"/>
              <w:spacing w:line="276" w:lineRule="auto" w:before="40" w:after="40"/>
            </w:pPr>
            <w:r>
              <w:rPr>
                <w:rFonts w:ascii="Liberation Sans Narrow" w:hAnsi="Liberation Sans Narrow"/>
                <w:sz w:val="17"/>
              </w:rPr>
              <w:t xml:space="preserve">A coexistência das astreintes com a possibilidade de conversão em perdas e danos pelo mesmo fato gerador — o inadimplemento — implica sobreposição de consequências jurídicas desprovida de respaldo sistêmico.</w:t>
            </w:r>
          </w:p>
        </w:tc>
      </w:tr>
    </w:tbl>
    <w:p>
      <w:pPr>
        <w:pStyle w:val="BodyText"/>
        <w:spacing w:after="60"/>
        <w:jc w:val="both"/>
      </w:pPr>
      <w:r>
        <w:t xml:space="preserve">Parágrafo único. Nas hipóteses de responsabilidade contratual previstas nos arts. 441, 618 e 757 da Lei nº 10.406, de 10 de janeiro de 2002 (Código Civil), e de responsabilidade subsidiária e solidária, se requerida a conversão da obrigação em perdas e danos, o juiz concederá, primeiramente, a faculdade para o cumprimento da tutela específica. (Incluído pela Lei nº 14.833, de 2024)</w:t>
      </w:r>
    </w:p>
    <w:bookmarkEnd w:id="232"/>
    <w:bookmarkStart w:id="233" w:name="art.-500"/>
    <w:p>
      <w:pPr>
        <w:pStyle w:val="Heading6"/>
        <w:pBdr>
          <w:left w:val="single" w:sz="36" w:space="4" w:color="2E75B6"/>
        </w:pBdr>
        <w:shd w:val="clear" w:color="auto" w:fill="E3EEF9"/>
        <w:spacing w:before="120" w:after="60"/>
        <w:ind w:left="85"/>
      </w:pPr>
      <w:r>
        <w:rPr>
          <w:i w:val="0"/>
          <w:color w:val="1F3A5F"/>
          <w:sz w:val="22"/>
        </w:rPr>
        <w:t xml:space="preserve">Art. 500</w:t>
      </w:r>
    </w:p>
    <w:p>
      <w:pPr>
        <w:pStyle w:val="FirstParagraph"/>
        <w:keepNext/>
        <w:spacing w:after="60"/>
        <w:jc w:val="both"/>
      </w:pPr>
      <w:r>
        <w:rPr>
          <w:b/>
          <w:bCs/>
        </w:rPr>
        <w:t xml:space="preserve">Art. 500.</w:t>
      </w:r>
      <w:r>
        <w:t xml:space="preserve"> </w:t>
      </w:r>
      <w:r>
        <w:t xml:space="preserve">A indenização por perdas e danos dar-se-á sem prejuízo da multa fixada periodicamente para compelir o réu ao cumprimento específico da obrigação.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530"/>
        <w:gridCol w:w="2154"/>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Caput — exigibilidade da multa até a conversão</w:t>
            </w:r>
          </w:p>
        </w:tc>
        <w:tc>
          <w:tcPr>
            <w:tcW w:type="dxa" w:w="1531"/>
          </w:tcPr>
          <w:p>
            <w:pPr>
              <w:pStyle w:val="Compact"/>
              <w:spacing w:line="276" w:lineRule="auto" w:before="40" w:after="40"/>
            </w:pPr>
            <w:r>
              <w:rPr>
                <w:rFonts w:ascii="Liberation Sans Narrow" w:hAnsi="Liberation Sans Narrow"/>
                <w:sz w:val="17"/>
              </w:rPr>
              <w:t xml:space="preserve">STJ, REsp 2.231.891, Quarta Turma, relator Min. Raul Araújo, DJe de 22/04/2026</w:t>
            </w:r>
          </w:p>
        </w:tc>
        <w:tc>
          <w:tcPr>
            <w:tcW w:type="dxa" w:w="2154"/>
          </w:tcPr>
          <w:p>
            <w:pPr>
              <w:pStyle w:val="Compact"/>
              <w:spacing w:line="276" w:lineRule="auto" w:before="40" w:after="40"/>
            </w:pPr>
            <w:r>
              <w:rPr>
                <w:rFonts w:ascii="Liberation Sans Narrow" w:hAnsi="Liberation Sans Narrow"/>
                <w:sz w:val="17"/>
              </w:rPr>
              <w:t xml:space="preserve">Impossibilitado materialmente o cumprimento da obrigação por fato alheio à vontade do obrigado, a multa cominatória é exigível até o momento em que determinada a conversão em perdas e danos, devendo ser proporcional e razoável, à luz do valor da obrigação principal e das circunstâncias do caso.</w:t>
            </w:r>
          </w:p>
        </w:tc>
      </w:tr>
    </w:tbl>
    <w:bookmarkEnd w:id="233"/>
    <w:bookmarkStart w:id="234" w:name="art.-501"/>
    <w:p>
      <w:pPr>
        <w:pStyle w:val="Heading6"/>
        <w:pBdr>
          <w:left w:val="single" w:sz="36" w:space="4" w:color="2E75B6"/>
        </w:pBdr>
        <w:shd w:val="clear" w:color="auto" w:fill="E3EEF9"/>
        <w:spacing w:before="120" w:after="60"/>
        <w:ind w:left="85"/>
      </w:pPr>
      <w:r>
        <w:rPr>
          <w:i w:val="0"/>
          <w:color w:val="1F3A5F"/>
          <w:sz w:val="22"/>
        </w:rPr>
        <w:t xml:space="preserve">Art. 501</w:t>
      </w:r>
    </w:p>
    <w:p>
      <w:pPr>
        <w:pStyle w:val="FirstParagraph"/>
        <w:keepNext/>
        <w:spacing w:after="60"/>
        <w:jc w:val="both"/>
      </w:pPr>
      <w:r>
        <w:rPr>
          <w:b/>
          <w:bCs/>
        </w:rPr>
        <w:t xml:space="preserve">Art. 501.</w:t>
      </w:r>
      <w:r>
        <w:t xml:space="preserve"> </w:t>
      </w:r>
      <w:r>
        <w:t xml:space="preserve">Na ação que tenha por objeto a emissão de declaração de vontade, a sentença que julgar procedente o pedido, uma vez transitada em julgado, produzirá todos os efeitos da declaração não emitida.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sentença que supre a declaração de vontade (aplicação narrada)</w:t>
            </w:r>
          </w:p>
        </w:tc>
        <w:tc>
          <w:tcPr>
            <w:tcW w:type="dxa" w:w="1531"/>
          </w:tcPr>
          <w:p>
            <w:pPr>
              <w:pStyle w:val="Compact"/>
              <w:spacing w:line="276" w:lineRule="auto" w:before="40" w:after="40"/>
            </w:pPr>
            <w:r>
              <w:rPr>
                <w:rFonts w:ascii="Liberation Sans Narrow" w:hAnsi="Liberation Sans Narrow"/>
                <w:sz w:val="17"/>
              </w:rPr>
              <w:t xml:space="preserve">STJ, REsp 2.239.347, Quarta Turma, relator Min. João Otávio de Noronha</w:t>
            </w:r>
          </w:p>
        </w:tc>
        <w:tc>
          <w:tcPr>
            <w:tcW w:type="dxa" w:w="1905"/>
          </w:tcPr>
          <w:p>
            <w:pPr>
              <w:pStyle w:val="Compact"/>
              <w:spacing w:line="276" w:lineRule="auto" w:before="40" w:after="40"/>
            </w:pPr>
            <w:r>
              <w:rPr>
                <w:rFonts w:ascii="Liberation Sans Narrow" w:hAnsi="Liberation Sans Narrow"/>
                <w:sz w:val="17"/>
              </w:rPr>
              <w:t xml:space="preserve">A sentença que julga procedente o pedido de emissão de declaração de vontade supre a manifestação não emitida e confere ao julgado eficácia de escritura definitiva, com a transferência do imóvel. Trecho: “Na sentença, o Juízo de primeiro grau supriu a declaração de vontade, conferiu à decisão eficácia de escritura definitiva e determinou a transferência do imóvel aos litigantes, em copropriedade igualitária”</w:t>
            </w:r>
          </w:p>
        </w:tc>
      </w:tr>
    </w:tbl>
    <w:bookmarkEnd w:id="234"/>
    <w:bookmarkEnd w:id="235"/>
    <w:bookmarkStart w:id="243" w:name="seção-v-da-coisa-julgada-arts.-502-a-508"/>
    <w:p>
      <w:pPr>
        <w:pStyle w:val="Heading5"/>
        <w:spacing w:before="60" w:after="20"/>
      </w:pPr>
      <w:r>
        <w:rPr>
          <w:i/>
          <w:color w:val="595959"/>
        </w:rPr>
        <w:t xml:space="preserve">Seção V: da coisa julgada (arts. 502 a 508)</w:t>
      </w:r>
    </w:p>
    <w:bookmarkStart w:id="236" w:name="art.-502"/>
    <w:p>
      <w:pPr>
        <w:pStyle w:val="Heading6"/>
        <w:pBdr>
          <w:left w:val="single" w:sz="36" w:space="4" w:color="2E75B6"/>
        </w:pBdr>
        <w:shd w:val="clear" w:color="auto" w:fill="E3EEF9"/>
        <w:spacing w:before="120" w:after="60"/>
        <w:ind w:left="85"/>
      </w:pPr>
      <w:r>
        <w:rPr>
          <w:i w:val="0"/>
          <w:color w:val="1F3A5F"/>
          <w:sz w:val="22"/>
        </w:rPr>
        <w:t xml:space="preserve">Art. 502</w:t>
      </w:r>
    </w:p>
    <w:p>
      <w:pPr>
        <w:pStyle w:val="FirstParagraph"/>
        <w:keepNext/>
        <w:spacing w:after="60"/>
        <w:jc w:val="both"/>
      </w:pPr>
      <w:r>
        <w:rPr>
          <w:b/>
          <w:bCs/>
        </w:rPr>
        <w:t xml:space="preserve">Art. 502.</w:t>
      </w:r>
      <w:r>
        <w:t xml:space="preserve"> </w:t>
      </w:r>
      <w:r>
        <w:t xml:space="preserve">Denomina-se coisa julgada material a autoridade que torna imutável e indiscutível a decisão de mérito não mais sujeita a recurso.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530"/>
        <w:gridCol w:w="1655"/>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Caput — imutabilidade da decisão de mérito</w:t>
            </w:r>
          </w:p>
        </w:tc>
        <w:tc>
          <w:tcPr>
            <w:tcW w:type="dxa" w:w="1531"/>
          </w:tcPr>
          <w:p>
            <w:pPr>
              <w:pStyle w:val="Compact"/>
              <w:spacing w:line="276" w:lineRule="auto" w:before="40" w:after="40"/>
            </w:pPr>
            <w:r>
              <w:rPr>
                <w:rFonts w:ascii="Liberation Sans Narrow" w:hAnsi="Liberation Sans Narrow"/>
                <w:sz w:val="17"/>
              </w:rPr>
              <w:t xml:space="preserve">STJ, REsp 2.184.115, Terceira Turma, relatora Min. Nancy Andrighi, julgado em 10/03/2026</w:t>
            </w:r>
          </w:p>
        </w:tc>
        <w:tc>
          <w:tcPr>
            <w:tcW w:type="dxa" w:w="1655"/>
          </w:tcPr>
          <w:p>
            <w:pPr>
              <w:pStyle w:val="Compact"/>
              <w:spacing w:line="276" w:lineRule="auto" w:before="40" w:after="40"/>
            </w:pPr>
            <w:r>
              <w:rPr>
                <w:rFonts w:ascii="Liberation Sans Narrow" w:hAnsi="Liberation Sans Narrow"/>
                <w:sz w:val="17"/>
              </w:rPr>
              <w:t xml:space="preserve">A tentativa de rediscutir, na fase de cumprimento de sentença, a natureza jurídica definida no título judicial transitado em julgado viola diretamente a eficácia preclusiva da coisa julgada material.</w:t>
            </w:r>
          </w:p>
        </w:tc>
      </w:tr>
    </w:tbl>
    <w:bookmarkEnd w:id="236"/>
    <w:bookmarkStart w:id="237" w:name="art.-503"/>
    <w:p>
      <w:pPr>
        <w:pStyle w:val="Heading6"/>
        <w:pBdr>
          <w:left w:val="single" w:sz="36" w:space="4" w:color="2E75B6"/>
        </w:pBdr>
        <w:shd w:val="clear" w:color="auto" w:fill="E3EEF9"/>
        <w:spacing w:before="120" w:after="60"/>
        <w:ind w:left="85"/>
      </w:pPr>
      <w:r>
        <w:rPr>
          <w:i w:val="0"/>
          <w:color w:val="1F3A5F"/>
          <w:sz w:val="22"/>
        </w:rPr>
        <w:t xml:space="preserve">Art. 503</w:t>
      </w:r>
    </w:p>
    <w:p>
      <w:pPr>
        <w:pStyle w:val="FirstParagraph"/>
        <w:spacing w:after="60"/>
        <w:jc w:val="both"/>
      </w:pPr>
      <w:r>
        <w:rPr>
          <w:b/>
          <w:bCs/>
        </w:rPr>
        <w:t xml:space="preserve">Art. 503.</w:t>
      </w:r>
      <w:r>
        <w:t xml:space="preserve"> </w:t>
      </w:r>
      <w:r>
        <w:t xml:space="preserve">A decisão que julgar total ou parcialmente o mérito tem força de lei nos limites da questão principal expressamente decidida.</w:t>
      </w:r>
    </w:p>
    <w:p>
      <w:pPr>
        <w:pStyle w:val="BodyText"/>
        <w:keepNext/>
        <w:spacing w:after="60"/>
        <w:jc w:val="both"/>
      </w:pPr>
      <w:r>
        <w:t xml:space="preserve">§ 1º O disposto no caput aplica-se à resolução de questão prejudicial, decidida expressa e incidentemente no processo, se: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2154"/>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 1º — extensão da coisa julgada à questão prejudicial decidida na execução</w:t>
            </w:r>
          </w:p>
        </w:tc>
        <w:tc>
          <w:tcPr>
            <w:tcW w:type="dxa" w:w="1655"/>
          </w:tcPr>
          <w:p>
            <w:pPr>
              <w:pStyle w:val="Compact"/>
              <w:spacing w:line="276" w:lineRule="auto" w:before="40" w:after="40"/>
            </w:pPr>
            <w:r>
              <w:rPr>
                <w:rFonts w:ascii="Liberation Sans Narrow" w:hAnsi="Liberation Sans Narrow"/>
                <w:sz w:val="17"/>
              </w:rPr>
              <w:t xml:space="preserve">STJ, AgInt no AREsp 3.062.885, Terceira Turma, relator Min. Humberto Martins, julgado em 15/06/2026, DJEN de 18/06/2026</w:t>
            </w:r>
          </w:p>
        </w:tc>
        <w:tc>
          <w:tcPr>
            <w:tcW w:type="dxa" w:w="2154"/>
          </w:tcPr>
          <w:p>
            <w:pPr>
              <w:pStyle w:val="Compact"/>
              <w:spacing w:line="276" w:lineRule="auto" w:before="40" w:after="40"/>
            </w:pPr>
            <w:r>
              <w:rPr>
                <w:rFonts w:ascii="Liberation Sans Narrow" w:hAnsi="Liberation Sans Narrow"/>
                <w:sz w:val="17"/>
              </w:rPr>
              <w:t xml:space="preserve">Os efeitos da coisa julgada material se estendem à questão prejudicial decidida expressa e incidentemente, conforme os requisitos do art. 503, § 1º; a revisão das premissas fáticas sobre a violação ao princípio da não surpresa exige reexame de provas (Súmula 7/STJ).</w:t>
            </w:r>
          </w:p>
        </w:tc>
      </w:tr>
      <w:tr>
        <w:trPr>
          <w:cantSplit/>
        </w:trPr>
        <w:tc>
          <w:tcPr>
            <w:tcW w:type="dxa" w:w="1780"/>
          </w:tcPr>
          <w:p>
            <w:pPr>
              <w:pStyle w:val="Compact"/>
              <w:spacing w:line="276" w:lineRule="auto" w:before="40" w:after="40"/>
            </w:pPr>
            <w:r>
              <w:rPr>
                <w:rFonts w:ascii="Liberation Sans Narrow" w:hAnsi="Liberation Sans Narrow"/>
                <w:sz w:val="17"/>
              </w:rPr>
              <w:t xml:space="preserve">§ 1º — coisa julgada sobre questão prejudicial: requisitos</w:t>
            </w:r>
          </w:p>
        </w:tc>
        <w:tc>
          <w:tcPr>
            <w:tcW w:type="dxa" w:w="1655"/>
          </w:tcPr>
          <w:p>
            <w:pPr>
              <w:pStyle w:val="Compact"/>
              <w:spacing w:line="276" w:lineRule="auto" w:before="40" w:after="40"/>
            </w:pPr>
            <w:r>
              <w:rPr>
                <w:rFonts w:ascii="Liberation Sans Narrow" w:hAnsi="Liberation Sans Narrow"/>
                <w:sz w:val="17"/>
              </w:rPr>
              <w:t xml:space="preserve">STJ, REsp 2.218.679, Quarta Turma, relator Min. Raul Araújo, julgado em 09/03/2026, DJEN de 16/03/2026</w:t>
            </w:r>
          </w:p>
        </w:tc>
        <w:tc>
          <w:tcPr>
            <w:tcW w:type="dxa" w:w="2154"/>
          </w:tcPr>
          <w:p>
            <w:pPr>
              <w:pStyle w:val="Compact"/>
              <w:spacing w:line="276" w:lineRule="auto" w:before="40" w:after="40"/>
            </w:pPr>
            <w:r>
              <w:rPr>
                <w:rFonts w:ascii="Liberation Sans Narrow" w:hAnsi="Liberation Sans Narrow"/>
                <w:sz w:val="17"/>
              </w:rPr>
              <w:t xml:space="preserve">A decisão anterior forma coisa julgada material sobre a questão prejudicial, nos termos do art. 503, § 1º, quando a questão foi decidida expressa e incidentemente, houve contraditório pleno entre as partes, a decisão foi essencial ao julgamento do mérito e transitou em julgado.</w:t>
            </w:r>
          </w:p>
        </w:tc>
      </w:tr>
    </w:tbl>
    <w:p>
      <w:pPr>
        <w:pStyle w:val="BodyText"/>
        <w:spacing w:after="60"/>
        <w:jc w:val="both"/>
      </w:pPr>
      <w:r>
        <w:t xml:space="preserve">I - dessa resolução depender o julgamento do mérito;</w:t>
      </w:r>
    </w:p>
    <w:p>
      <w:pPr>
        <w:pStyle w:val="BodyText"/>
        <w:spacing w:after="60"/>
        <w:jc w:val="both"/>
      </w:pPr>
      <w:r>
        <w:t xml:space="preserve">II - a seu respeito tiver havido contraditório prévio e efetivo, não se aplicando no caso de revelia;</w:t>
      </w:r>
    </w:p>
    <w:p>
      <w:pPr>
        <w:pStyle w:val="BodyText"/>
        <w:spacing w:after="60"/>
        <w:jc w:val="both"/>
      </w:pPr>
      <w:r>
        <w:t xml:space="preserve">III - o juízo tiver competência em razão da matéria e da pessoa para resolvê-la como questão principal.</w:t>
      </w:r>
    </w:p>
    <w:p>
      <w:pPr>
        <w:pStyle w:val="BodyText"/>
        <w:spacing w:after="60"/>
        <w:jc w:val="both"/>
      </w:pPr>
      <w:r>
        <w:t xml:space="preserve">§ 2º A hipótese do § 1º não se aplica se no processo houver restrições probatórias ou limitações à cognição que impeçam o aprofundamento da análise da questão prejudicial.</w:t>
      </w:r>
    </w:p>
    <w:bookmarkEnd w:id="237"/>
    <w:bookmarkStart w:id="238" w:name="art.-504"/>
    <w:p>
      <w:pPr>
        <w:pStyle w:val="Heading6"/>
        <w:pBdr>
          <w:left w:val="single" w:sz="36" w:space="4" w:color="2E75B6"/>
        </w:pBdr>
        <w:shd w:val="clear" w:color="auto" w:fill="E3EEF9"/>
        <w:spacing w:before="120" w:after="60"/>
        <w:ind w:left="85"/>
      </w:pPr>
      <w:r>
        <w:rPr>
          <w:i w:val="0"/>
          <w:color w:val="1F3A5F"/>
          <w:sz w:val="22"/>
        </w:rPr>
        <w:t xml:space="preserve">Art. 504</w:t>
      </w:r>
    </w:p>
    <w:p>
      <w:pPr>
        <w:pStyle w:val="FirstParagraph"/>
        <w:spacing w:after="60"/>
        <w:jc w:val="both"/>
      </w:pPr>
      <w:r>
        <w:rPr>
          <w:b/>
          <w:bCs/>
        </w:rPr>
        <w:t xml:space="preserve">Art. 504.</w:t>
      </w:r>
      <w:r>
        <w:t xml:space="preserve"> </w:t>
      </w:r>
      <w:r>
        <w:t xml:space="preserve">Não fazem coisa julgada:</w:t>
      </w:r>
    </w:p>
    <w:p>
      <w:pPr>
        <w:pStyle w:val="BodyText"/>
        <w:keepNext/>
        <w:spacing w:after="60"/>
        <w:jc w:val="both"/>
      </w:pPr>
      <w:r>
        <w:t xml:space="preserve">I - os motivos, ainda que importantes para determinar o alcance da parte dispositiva da sentença;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1905"/>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Incisos I e II: coisa julgada limitada ao dispositivo; obiter dictum; laudo sem contraditório</w:t>
            </w:r>
          </w:p>
        </w:tc>
        <w:tc>
          <w:tcPr>
            <w:tcW w:type="dxa" w:w="1655"/>
          </w:tcPr>
          <w:p>
            <w:pPr>
              <w:pStyle w:val="Compact"/>
              <w:spacing w:line="276" w:lineRule="auto" w:before="40" w:after="40"/>
            </w:pPr>
            <w:r>
              <w:rPr>
                <w:rFonts w:ascii="Liberation Sans Narrow" w:hAnsi="Liberation Sans Narrow"/>
                <w:sz w:val="17"/>
              </w:rPr>
              <w:t xml:space="preserve">STJ, REsp 2.173.008, Terceira Turma, relatora Min. Nancy Andrighi, julgado em 12/05/2026, DJEN de 06/07/2026</w:t>
            </w:r>
          </w:p>
        </w:tc>
        <w:tc>
          <w:tcPr>
            <w:tcW w:type="dxa" w:w="1905"/>
          </w:tcPr>
          <w:p>
            <w:pPr>
              <w:pStyle w:val="Compact"/>
              <w:spacing w:line="276" w:lineRule="auto" w:before="40" w:after="40"/>
            </w:pPr>
            <w:r>
              <w:rPr>
                <w:rFonts w:ascii="Liberation Sans Narrow" w:hAnsi="Liberation Sans Narrow"/>
                <w:sz w:val="17"/>
              </w:rPr>
              <w:t xml:space="preserve">A coisa julgada atinge só a parte dispositiva, não os motivos nem a verdade dos fatos (art. 504, I e II): a menção a parecer ou laudo na fundamentação é obiter dictum e não vincula a liquidação. Decidir com base em laudo contábil não submetido ao contraditório viola os arts. 9º e 10.</w:t>
            </w:r>
          </w:p>
        </w:tc>
      </w:tr>
    </w:tbl>
    <w:p>
      <w:pPr>
        <w:pStyle w:val="BodyText"/>
        <w:spacing w:after="60"/>
        <w:jc w:val="both"/>
      </w:pPr>
      <w:r>
        <w:t xml:space="preserve">II - a verdade dos fatos, estabelecida como fundamento da sentença.</w:t>
      </w:r>
    </w:p>
    <w:bookmarkEnd w:id="238"/>
    <w:bookmarkStart w:id="239" w:name="art.-505"/>
    <w:p>
      <w:pPr>
        <w:pStyle w:val="Heading6"/>
        <w:pBdr>
          <w:left w:val="single" w:sz="36" w:space="4" w:color="2E75B6"/>
        </w:pBdr>
        <w:shd w:val="clear" w:color="auto" w:fill="E3EEF9"/>
        <w:spacing w:before="120" w:after="60"/>
        <w:ind w:left="85"/>
      </w:pPr>
      <w:r>
        <w:rPr>
          <w:i w:val="0"/>
          <w:color w:val="1F3A5F"/>
          <w:sz w:val="22"/>
        </w:rPr>
        <w:t xml:space="preserve">Art. 505</w:t>
      </w:r>
    </w:p>
    <w:p>
      <w:pPr>
        <w:pStyle w:val="FirstParagraph"/>
        <w:spacing w:after="60"/>
        <w:jc w:val="both"/>
      </w:pPr>
      <w:r>
        <w:rPr>
          <w:b/>
          <w:bCs/>
        </w:rPr>
        <w:t xml:space="preserve">Art. 505.</w:t>
      </w:r>
      <w:r>
        <w:t xml:space="preserve"> </w:t>
      </w:r>
      <w:r>
        <w:t xml:space="preserve">Nenhum juiz decidirá novamente as questões já decididas relativas à mesma lide, salvo:</w:t>
      </w:r>
    </w:p>
    <w:p>
      <w:pPr>
        <w:pStyle w:val="BodyText"/>
        <w:keepNext/>
        <w:spacing w:after="60"/>
        <w:jc w:val="both"/>
      </w:pPr>
      <w:r>
        <w:t xml:space="preserve">I - se, tratando-se de relação jurídica de trato continuado, sobreveio modificação no estado de fato ou de direito, caso em que poderá a parte pedir a revisão do que foi estatuído na sentença;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780"/>
        <w:gridCol w:w="2404"/>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Inciso I: coisa julgada em relação tributária de trato sucessivo e decisão posterior do STF</w:t>
            </w:r>
          </w:p>
        </w:tc>
        <w:tc>
          <w:tcPr>
            <w:tcW w:type="dxa" w:w="1780"/>
          </w:tcPr>
          <w:p>
            <w:pPr>
              <w:pStyle w:val="Compact"/>
              <w:spacing w:line="276" w:lineRule="auto" w:before="40" w:after="40"/>
            </w:pPr>
            <w:r>
              <w:rPr>
                <w:rFonts w:ascii="Liberation Sans Narrow" w:hAnsi="Liberation Sans Narrow"/>
                <w:sz w:val="17"/>
              </w:rPr>
              <w:t xml:space="preserve">STF, Tema 881/STF (repercussão geral), RE 949.297, Tribunal Pleno, relator Min. Edson Fachin, julgado em 08/02/2023</w:t>
            </w:r>
            <w:r>
              <w:rPr>
                <w:rFonts w:ascii="Liberation Sans Narrow" w:hAnsi="Liberation Sans Narrow"/>
                <w:sz w:val="17"/>
              </w:rPr>
              <w:t xml:space="preserve"> </w:t>
            </w:r>
            <w:r>
              <w:rPr>
                <w:rFonts w:ascii="Liberation Sans Narrow" w:hAnsi="Liberation Sans Narrow"/>
                <w:b/>
                <w:bCs/>
                <w:sz w:val="17"/>
              </w:rPr>
              <w:t xml:space="preserve">[Repositório externo]</w:t>
            </w:r>
          </w:p>
        </w:tc>
        <w:tc>
          <w:tcPr>
            <w:tcW w:type="dxa" w:w="2404"/>
          </w:tcPr>
          <w:p>
            <w:pPr>
              <w:pStyle w:val="Compact"/>
              <w:spacing w:line="276" w:lineRule="auto" w:before="40" w:after="40"/>
            </w:pPr>
            <w:r>
              <w:rPr>
                <w:rFonts w:ascii="Liberation Sans Narrow" w:hAnsi="Liberation Sans Narrow"/>
                <w:sz w:val="17"/>
              </w:rPr>
              <w:t xml:space="preserve">Decisões do STF em controle incidental, anteriores ao regime de repercussão geral, não alteram automaticamente a coisa julgada formada, mesmo nas relações tributárias de trato sucessivo; já as proferidas em ação direta ou em repercussão geral interrompem automaticamente os efeitos temporais das decisões transitadas em julgado nessas relações, respeitadas a irretroatividade, a anterioridade anual e a noventena.</w:t>
            </w:r>
          </w:p>
        </w:tc>
      </w:tr>
      <w:tr>
        <w:trPr>
          <w:cantSplit/>
        </w:trPr>
        <w:tc>
          <w:tcPr>
            <w:tcW w:type="dxa" w:w="1531"/>
          </w:tcPr>
          <w:p>
            <w:pPr>
              <w:pStyle w:val="Compact"/>
              <w:spacing w:line="276" w:lineRule="auto" w:before="40" w:after="40"/>
            </w:pPr>
            <w:r>
              <w:rPr>
                <w:rFonts w:ascii="Liberation Sans Narrow" w:hAnsi="Liberation Sans Narrow"/>
                <w:sz w:val="17"/>
              </w:rPr>
              <w:t xml:space="preserve">Inciso I: coisa julgada em relação tributária de trato sucessivo e decisão posterior do STF</w:t>
            </w:r>
          </w:p>
        </w:tc>
        <w:tc>
          <w:tcPr>
            <w:tcW w:type="dxa" w:w="1780"/>
          </w:tcPr>
          <w:p>
            <w:pPr>
              <w:pStyle w:val="Compact"/>
              <w:spacing w:line="276" w:lineRule="auto" w:before="40" w:after="40"/>
            </w:pPr>
            <w:r>
              <w:rPr>
                <w:rFonts w:ascii="Liberation Sans Narrow" w:hAnsi="Liberation Sans Narrow"/>
                <w:sz w:val="17"/>
              </w:rPr>
              <w:t xml:space="preserve">STF, Tema 885/STF (repercussão geral), RE 955.227, Tribunal Pleno, relator Min. Luís Roberto Barroso, julgado em 08/02/2023</w:t>
            </w:r>
            <w:r>
              <w:rPr>
                <w:rFonts w:ascii="Liberation Sans Narrow" w:hAnsi="Liberation Sans Narrow"/>
                <w:sz w:val="17"/>
              </w:rPr>
              <w:t xml:space="preserve"> </w:t>
            </w:r>
            <w:r>
              <w:rPr>
                <w:rFonts w:ascii="Liberation Sans Narrow" w:hAnsi="Liberation Sans Narrow"/>
                <w:b/>
                <w:bCs/>
                <w:sz w:val="17"/>
              </w:rPr>
              <w:t xml:space="preserve">[Repositório externo]</w:t>
            </w:r>
          </w:p>
        </w:tc>
        <w:tc>
          <w:tcPr>
            <w:tcW w:type="dxa" w:w="2404"/>
          </w:tcPr>
          <w:p>
            <w:pPr>
              <w:pStyle w:val="Compact"/>
              <w:spacing w:line="276" w:lineRule="auto" w:before="40" w:after="40"/>
            </w:pPr>
            <w:r>
              <w:rPr>
                <w:rFonts w:ascii="Liberation Sans Narrow" w:hAnsi="Liberation Sans Narrow"/>
                <w:sz w:val="17"/>
              </w:rPr>
              <w:t xml:space="preserve">Decisões do STF em controle incidental, anteriores ao regime de repercussão geral, não alteram automaticamente a coisa julgada formada, mesmo nas relações tributárias de trato sucessivo; já as proferidas em ação direta ou em repercussão geral interrompem automaticamente os efeitos temporais das decisões transitadas em julgado nessas relações, respeitadas a irretroatividade, a anterioridade anual e a noventena.</w:t>
            </w:r>
          </w:p>
        </w:tc>
      </w:tr>
      <w:tr>
        <w:trPr>
          <w:cantSplit/>
        </w:trPr>
        <w:tc>
          <w:tcPr>
            <w:tcW w:type="dxa" w:w="1531"/>
          </w:tcPr>
          <w:p>
            <w:pPr>
              <w:pStyle w:val="Compact"/>
              <w:spacing w:line="276" w:lineRule="auto" w:before="40" w:after="40"/>
            </w:pPr>
            <w:r>
              <w:rPr>
                <w:rFonts w:ascii="Liberation Sans Narrow" w:hAnsi="Liberation Sans Narrow"/>
                <w:sz w:val="17"/>
              </w:rPr>
              <w:t xml:space="preserve">Inciso I: revisão da sentença em relação jurídica de trato sucessivo</w:t>
            </w:r>
          </w:p>
        </w:tc>
        <w:tc>
          <w:tcPr>
            <w:tcW w:type="dxa" w:w="1780"/>
          </w:tcPr>
          <w:p>
            <w:pPr>
              <w:pStyle w:val="Compact"/>
              <w:spacing w:line="276" w:lineRule="auto" w:before="40" w:after="40"/>
            </w:pPr>
            <w:r>
              <w:rPr>
                <w:rFonts w:ascii="Liberation Sans Narrow" w:hAnsi="Liberation Sans Narrow"/>
                <w:sz w:val="17"/>
              </w:rPr>
              <w:t xml:space="preserve">STJ, REsp 2.201.672, Quarta Turma, relator Min. Raul Araújo, julgado em 24/11/2025, DJEN de 03/12/2025</w:t>
            </w:r>
          </w:p>
        </w:tc>
        <w:tc>
          <w:tcPr>
            <w:tcW w:type="dxa" w:w="2404"/>
          </w:tcPr>
          <w:p>
            <w:pPr>
              <w:pStyle w:val="Compact"/>
              <w:spacing w:line="276" w:lineRule="auto" w:before="40" w:after="40"/>
            </w:pPr>
            <w:r>
              <w:rPr>
                <w:rFonts w:ascii="Liberation Sans Narrow" w:hAnsi="Liberation Sans Narrow"/>
                <w:sz w:val="17"/>
              </w:rPr>
              <w:t xml:space="preserve">A relação jurídica de trato sucessivo permite a revisão de sentença transitada em julgado quando muda o estado de fato ou de direito (art. 505, I); a cláusula rebus sic stantibus condiciona a manutenção do julgado à permanência das circunstâncias que o sustentaram.</w:t>
            </w:r>
          </w:p>
        </w:tc>
      </w:tr>
    </w:tbl>
    <w:p>
      <w:pPr>
        <w:pStyle w:val="BodyText"/>
        <w:spacing w:after="60"/>
        <w:jc w:val="both"/>
      </w:pPr>
      <w:r>
        <w:t xml:space="preserve">II - nos demais casos prescritos em lei.</w:t>
      </w:r>
    </w:p>
    <w:bookmarkEnd w:id="239"/>
    <w:bookmarkStart w:id="240" w:name="art.-506"/>
    <w:p>
      <w:pPr>
        <w:pStyle w:val="Heading6"/>
        <w:pBdr>
          <w:left w:val="single" w:sz="36" w:space="4" w:color="2E75B6"/>
        </w:pBdr>
        <w:shd w:val="clear" w:color="auto" w:fill="E3EEF9"/>
        <w:spacing w:before="120" w:after="60"/>
        <w:ind w:left="85"/>
      </w:pPr>
      <w:r>
        <w:rPr>
          <w:i w:val="0"/>
          <w:color w:val="1F3A5F"/>
          <w:sz w:val="22"/>
        </w:rPr>
        <w:t xml:space="preserve">Art. 506</w:t>
      </w:r>
    </w:p>
    <w:p>
      <w:pPr>
        <w:pStyle w:val="FirstParagraph"/>
        <w:keepNext/>
        <w:spacing w:after="60"/>
        <w:jc w:val="both"/>
      </w:pPr>
      <w:r>
        <w:rPr>
          <w:b/>
          <w:bCs/>
        </w:rPr>
        <w:t xml:space="preserve">Art. 506.</w:t>
      </w:r>
      <w:r>
        <w:t xml:space="preserve"> </w:t>
      </w:r>
      <w:r>
        <w:t xml:space="preserve">A sentença faz coisa julgada às partes entre as quais é dada, não prejudicando terceiros.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2404"/>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coisa julgada e integrantes da entidade familiar</w:t>
            </w:r>
          </w:p>
        </w:tc>
        <w:tc>
          <w:tcPr>
            <w:tcW w:type="dxa" w:w="1655"/>
          </w:tcPr>
          <w:p>
            <w:pPr>
              <w:pStyle w:val="Compact"/>
              <w:spacing w:line="276" w:lineRule="auto" w:before="40" w:after="40"/>
            </w:pPr>
            <w:r>
              <w:rPr>
                <w:rFonts w:ascii="Liberation Sans Narrow" w:hAnsi="Liberation Sans Narrow"/>
                <w:sz w:val="17"/>
              </w:rPr>
              <w:t xml:space="preserve">STJ, REsp 2.267.093, Quarta Turma, relator Min. João Otávio de Noronha, julgado em 30/06/2026, DJEN de 06/07/2026</w:t>
            </w:r>
          </w:p>
        </w:tc>
        <w:tc>
          <w:tcPr>
            <w:tcW w:type="dxa" w:w="2404"/>
          </w:tcPr>
          <w:p>
            <w:pPr>
              <w:pStyle w:val="Compact"/>
              <w:spacing w:line="276" w:lineRule="auto" w:before="40" w:after="40"/>
            </w:pPr>
            <w:r>
              <w:rPr>
                <w:rFonts w:ascii="Liberation Sans Narrow" w:hAnsi="Liberation Sans Narrow"/>
                <w:sz w:val="17"/>
              </w:rPr>
              <w:t xml:space="preserve">Os fundamentos da sentença, embora não integrem a coisa julgada, delimitam o alcance do dispositivo; a decisão transitada em julgado que afasta a impenhorabilidade do bem de família impede sua rediscussão por outros integrantes da entidade familiar, em embargos de terceiro.</w:t>
            </w:r>
          </w:p>
        </w:tc>
      </w:tr>
    </w:tbl>
    <w:bookmarkEnd w:id="240"/>
    <w:bookmarkStart w:id="241" w:name="art.-507"/>
    <w:p>
      <w:pPr>
        <w:pStyle w:val="Heading6"/>
        <w:pBdr>
          <w:left w:val="single" w:sz="36" w:space="4" w:color="2E75B6"/>
        </w:pBdr>
        <w:shd w:val="clear" w:color="auto" w:fill="E3EEF9"/>
        <w:spacing w:before="120" w:after="60"/>
        <w:ind w:left="85"/>
      </w:pPr>
      <w:r>
        <w:rPr>
          <w:i w:val="0"/>
          <w:color w:val="1F3A5F"/>
          <w:sz w:val="22"/>
        </w:rPr>
        <w:t xml:space="preserve">Art. 507</w:t>
      </w:r>
    </w:p>
    <w:p>
      <w:pPr>
        <w:pStyle w:val="FirstParagraph"/>
        <w:keepNext/>
        <w:spacing w:after="60"/>
        <w:jc w:val="both"/>
      </w:pPr>
      <w:r>
        <w:rPr>
          <w:b/>
          <w:bCs/>
        </w:rPr>
        <w:t xml:space="preserve">Art. 507.</w:t>
      </w:r>
      <w:r>
        <w:t xml:space="preserve"> </w:t>
      </w:r>
      <w:r>
        <w:t xml:space="preserve">É vedado à parte discutir no curso do processo as questões já decididas a cujo respeito se operou a preclusão.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2029"/>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Preclusão consumativa e agravo de instrumento prejudicado</w:t>
            </w:r>
          </w:p>
        </w:tc>
        <w:tc>
          <w:tcPr>
            <w:tcW w:type="dxa" w:w="1655"/>
          </w:tcPr>
          <w:p>
            <w:pPr>
              <w:pStyle w:val="Compact"/>
              <w:spacing w:line="276" w:lineRule="auto" w:before="40" w:after="40"/>
            </w:pPr>
            <w:r>
              <w:rPr>
                <w:rFonts w:ascii="Liberation Sans Narrow" w:hAnsi="Liberation Sans Narrow"/>
                <w:sz w:val="17"/>
              </w:rPr>
              <w:t xml:space="preserve">STJ, REsp 2.220.835, Terceira Turma, relatora Min. Nancy Andrighi, julgado em 03/03/2026, DJEN de 09/03/2026</w:t>
            </w:r>
          </w:p>
        </w:tc>
        <w:tc>
          <w:tcPr>
            <w:tcW w:type="dxa" w:w="2030"/>
          </w:tcPr>
          <w:p>
            <w:pPr>
              <w:pStyle w:val="Compact"/>
              <w:spacing w:line="276" w:lineRule="auto" w:before="40" w:after="40"/>
            </w:pPr>
            <w:r>
              <w:rPr>
                <w:rFonts w:ascii="Liberation Sans Narrow" w:hAnsi="Liberation Sans Narrow"/>
                <w:sz w:val="17"/>
              </w:rPr>
              <w:t xml:space="preserve">A preclusão consumativa exige efetivo pronunciamento judicial sobre a questão (</w:t>
            </w:r>
            <w:r>
              <w:rPr>
                <w:rFonts w:ascii="Liberation Sans Narrow" w:hAnsi="Liberation Sans Narrow"/>
                <w:sz w:val="17"/>
              </w:rPr>
              <w:t xml:space="preserve">“questões já decididas”</w:t>
            </w:r>
            <w:r>
              <w:rPr>
                <w:rFonts w:ascii="Liberation Sans Narrow" w:hAnsi="Liberation Sans Narrow"/>
                <w:sz w:val="17"/>
              </w:rPr>
              <w:t xml:space="preserve">, arts. 505 e 507). Interposto agravo de instrumento, a preclusão depende do julgamento da matéria recorrida; se o recurso é julgado prejudicado, não há preclusão.</w:t>
            </w:r>
          </w:p>
        </w:tc>
      </w:tr>
    </w:tbl>
    <w:bookmarkEnd w:id="241"/>
    <w:bookmarkStart w:id="242" w:name="art.-508"/>
    <w:p>
      <w:pPr>
        <w:pStyle w:val="Heading6"/>
        <w:pBdr>
          <w:left w:val="single" w:sz="36" w:space="4" w:color="2E75B6"/>
        </w:pBdr>
        <w:shd w:val="clear" w:color="auto" w:fill="E3EEF9"/>
        <w:spacing w:before="120" w:after="60"/>
        <w:ind w:left="85"/>
      </w:pPr>
      <w:r>
        <w:rPr>
          <w:i w:val="0"/>
          <w:color w:val="1F3A5F"/>
          <w:sz w:val="22"/>
        </w:rPr>
        <w:t xml:space="preserve">Art. 508</w:t>
      </w:r>
    </w:p>
    <w:p>
      <w:pPr>
        <w:pStyle w:val="FirstParagraph"/>
        <w:keepNext/>
        <w:spacing w:after="60"/>
        <w:jc w:val="both"/>
      </w:pPr>
      <w:r>
        <w:rPr>
          <w:b/>
          <w:bCs/>
        </w:rPr>
        <w:t xml:space="preserve">Art. 508.</w:t>
      </w:r>
      <w:r>
        <w:t xml:space="preserve"> </w:t>
      </w:r>
      <w:r>
        <w:t xml:space="preserve">Transitada em julgado a decisão de mérito, considerar-se-ão deduzidas e repelidas todas as alegações e as defesas que a parte poderia opor tanto ao acolhimento quanto à rejeição do pedido.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154"/>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dedução das alegações e juros não pedidos</w:t>
            </w:r>
          </w:p>
        </w:tc>
        <w:tc>
          <w:tcPr>
            <w:tcW w:type="dxa" w:w="1531"/>
          </w:tcPr>
          <w:p>
            <w:pPr>
              <w:pStyle w:val="Compact"/>
              <w:spacing w:line="276" w:lineRule="auto" w:before="40" w:after="40"/>
            </w:pPr>
            <w:r>
              <w:rPr>
                <w:rFonts w:ascii="Liberation Sans Narrow" w:hAnsi="Liberation Sans Narrow"/>
                <w:sz w:val="17"/>
              </w:rPr>
              <w:t xml:space="preserve">STJ, AgInt no EREsp 2.009.491, Segunda Seção, relator Min. Raul Araújo, DJe de 18/09/2026</w:t>
            </w:r>
          </w:p>
        </w:tc>
        <w:tc>
          <w:tcPr>
            <w:tcW w:type="dxa" w:w="2154"/>
          </w:tcPr>
          <w:p>
            <w:pPr>
              <w:pStyle w:val="Compact"/>
              <w:spacing w:line="276" w:lineRule="auto" w:before="40" w:after="40"/>
            </w:pPr>
            <w:r>
              <w:rPr>
                <w:rFonts w:ascii="Liberation Sans Narrow" w:hAnsi="Liberation Sans Narrow"/>
                <w:sz w:val="17"/>
              </w:rPr>
              <w:t xml:space="preserve">A coisa julgada formada em demanda anterior não alcança os juros remuneratórios quando não houve pedido nem decisão expressa sobre eles; a identidade temática e o julgamento superveniente de tema repetitivo não suprem a ausência originária do requisito de admissibilidade dos embargos de divergência.</w:t>
            </w:r>
          </w:p>
        </w:tc>
      </w:tr>
    </w:tbl>
    <w:bookmarkEnd w:id="242"/>
    <w:bookmarkEnd w:id="243"/>
    <w:bookmarkEnd w:id="244"/>
    <w:bookmarkStart w:id="249" w:name="Xc4e576c52e68e611206f197fbd975ed30d90cd5"/>
    <w:p>
      <w:pPr>
        <w:pStyle w:val="Heading4"/>
        <w:spacing w:before="80" w:after="40"/>
      </w:pPr>
      <w:r>
        <w:rPr>
          <w:smallCaps/>
          <w:color w:val="2E75B6"/>
        </w:rPr>
        <w:t xml:space="preserve">Capítulo XIV: da liquidação de sentença (arts. 509 a 512)</w:t>
      </w:r>
    </w:p>
    <w:bookmarkStart w:id="245" w:name="art.-509"/>
    <w:p>
      <w:pPr>
        <w:pStyle w:val="Heading6"/>
        <w:pBdr>
          <w:left w:val="single" w:sz="36" w:space="4" w:color="2E75B6"/>
        </w:pBdr>
        <w:shd w:val="clear" w:color="auto" w:fill="E3EEF9"/>
        <w:spacing w:before="120" w:after="60"/>
        <w:ind w:left="85"/>
      </w:pPr>
      <w:r>
        <w:rPr>
          <w:i w:val="0"/>
          <w:color w:val="1F3A5F"/>
          <w:sz w:val="22"/>
        </w:rPr>
        <w:t xml:space="preserve">Art. 509</w:t>
      </w:r>
    </w:p>
    <w:p>
      <w:pPr>
        <w:pStyle w:val="FirstParagraph"/>
        <w:keepNext/>
        <w:spacing w:after="60"/>
        <w:jc w:val="both"/>
      </w:pPr>
      <w:r>
        <w:rPr>
          <w:b/>
          <w:bCs/>
        </w:rPr>
        <w:t xml:space="preserve">Art. 509.</w:t>
      </w:r>
      <w:r>
        <w:t xml:space="preserve"> </w:t>
      </w:r>
      <w:r>
        <w:t xml:space="preserve">Quando a sentença condenar ao pagamento de quantia ilíquida, proceder-se-á à sua liquidação, a requerimento do credor ou do devedor: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2279"/>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655"/>
          </w:tcPr>
          <w:p>
            <w:pPr>
              <w:pStyle w:val="Compact"/>
              <w:spacing w:line="276" w:lineRule="auto" w:before="40" w:after="40"/>
            </w:pPr>
            <w:r>
              <w:rPr>
                <w:rFonts w:ascii="Liberation Sans Narrow" w:hAnsi="Liberation Sans Narrow"/>
                <w:sz w:val="17"/>
              </w:rPr>
              <w:t xml:space="preserve">Liquidação: execução individual de título coletivo sem prévia liquidação quando bastam cálculos aritméticos</w:t>
            </w:r>
          </w:p>
        </w:tc>
        <w:tc>
          <w:tcPr>
            <w:tcW w:type="dxa" w:w="1655"/>
          </w:tcPr>
          <w:p>
            <w:pPr>
              <w:pStyle w:val="Compact"/>
              <w:spacing w:line="276" w:lineRule="auto" w:before="40" w:after="40"/>
            </w:pPr>
            <w:r>
              <w:rPr>
                <w:rFonts w:ascii="Liberation Sans Narrow" w:hAnsi="Liberation Sans Narrow"/>
                <w:sz w:val="17"/>
              </w:rPr>
              <w:t xml:space="preserve">STJ, Tema Repetitivo 1169, REsp 1.978.629, Primeira Seção, relator Min. Benedito Gonçalves, julgado em 07/05/2026, DJEN de 01/06/2026</w:t>
            </w:r>
          </w:p>
        </w:tc>
        <w:tc>
          <w:tcPr>
            <w:tcW w:type="dxa" w:w="2279"/>
          </w:tcPr>
          <w:p>
            <w:pPr>
              <w:pStyle w:val="Compact"/>
              <w:spacing w:line="276" w:lineRule="auto" w:before="40" w:after="40"/>
            </w:pPr>
            <w:r>
              <w:rPr>
                <w:rFonts w:ascii="Liberation Sans Narrow" w:hAnsi="Liberation Sans Narrow"/>
                <w:sz w:val="17"/>
              </w:rPr>
              <w:t xml:space="preserve">(i) na execução individual do título formado em processo coletivo em favor de servidores públicos, sempre que demonstrado documentalmente que o exequente legitimado se encontre na situação estabelecida de forma genérica na sentença, a execução pode ocorrer sem a necessidade de prévia liquidação do julgado, quando for possível a apuração do crédito por simples cálculos aritméticos;(ii) cabe ao Juízo da execução, assegurado o contraditório ao executado, em sede de impugnação ao cumprimento de sentença, analisar, de forma concreta, se é necessária a prévia liquidação do julgado.</w:t>
            </w:r>
          </w:p>
        </w:tc>
      </w:tr>
    </w:tbl>
    <w:p>
      <w:pPr>
        <w:pStyle w:val="BodyText"/>
        <w:spacing w:after="60"/>
        <w:jc w:val="both"/>
      </w:pPr>
      <w:r>
        <w:t xml:space="preserve">I - por arbitramento, quando determinado pela sentença, convencionado pelas partes ou exigido pela natureza do objeto da liquidação;</w:t>
      </w:r>
    </w:p>
    <w:p>
      <w:pPr>
        <w:pStyle w:val="BodyText"/>
        <w:spacing w:after="60"/>
        <w:jc w:val="both"/>
      </w:pPr>
      <w:r>
        <w:t xml:space="preserve">II - pelo procedimento comum, quando houver necessidade de alegar e provar fato novo.</w:t>
      </w:r>
    </w:p>
    <w:p>
      <w:pPr>
        <w:pStyle w:val="BodyText"/>
        <w:spacing w:after="60"/>
        <w:jc w:val="both"/>
      </w:pPr>
      <w:r>
        <w:t xml:space="preserve">§ 1º Quando na sentença houver uma parte líquida e outra ilíquida, ao credor é lícito promover simultaneamente a execução daquela e, em autos apartados, a liquidação desta.</w:t>
      </w:r>
    </w:p>
    <w:p>
      <w:pPr>
        <w:pStyle w:val="BodyText"/>
        <w:spacing w:after="60"/>
        <w:jc w:val="both"/>
      </w:pPr>
      <w:r>
        <w:t xml:space="preserve">§ 2º Quando a apuração do valor depender apenas de cálculo aritmético, o credor poderá promover, desde logo, o cumprimento da sentença.</w:t>
      </w:r>
    </w:p>
    <w:p>
      <w:pPr>
        <w:pStyle w:val="BodyText"/>
        <w:spacing w:after="60"/>
        <w:jc w:val="both"/>
      </w:pPr>
      <w:r>
        <w:t xml:space="preserve">§ 3º O Conselho Nacional de Justiça desenvolverá e colocará à disposição dos interessados programa de atualização financeira.</w:t>
      </w:r>
    </w:p>
    <w:p>
      <w:pPr>
        <w:pStyle w:val="BodyText"/>
        <w:keepNext/>
        <w:spacing w:after="60"/>
        <w:jc w:val="both"/>
      </w:pPr>
      <w:r>
        <w:t xml:space="preserve">§ 4º Na liquidação é vedado discutir de novo a lide ou modificar a sentença que a julgou.</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871"/>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871"/>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 4º — vedação de rediscutir a lide ou modificar a sentença na liquidação</w:t>
            </w:r>
          </w:p>
        </w:tc>
        <w:tc>
          <w:tcPr>
            <w:tcW w:type="dxa" w:w="1531"/>
          </w:tcPr>
          <w:p>
            <w:pPr>
              <w:pStyle w:val="Compact"/>
              <w:spacing w:line="276" w:lineRule="auto" w:before="40" w:after="40"/>
            </w:pPr>
            <w:r>
              <w:rPr>
                <w:rFonts w:ascii="Liberation Sans Narrow" w:hAnsi="Liberation Sans Narrow"/>
                <w:sz w:val="17"/>
              </w:rPr>
              <w:t xml:space="preserve">STJ, AgInt no REsp 2.128.649, Quarta Turma, relator Min. Antonio Carlos Ferreira, julgado em 22/06/2026</w:t>
            </w:r>
          </w:p>
        </w:tc>
        <w:tc>
          <w:tcPr>
            <w:tcW w:type="dxa" w:w="1871"/>
          </w:tcPr>
          <w:p>
            <w:pPr>
              <w:pStyle w:val="Compact"/>
              <w:spacing w:line="276" w:lineRule="auto" w:before="40" w:after="40"/>
            </w:pPr>
            <w:r>
              <w:rPr>
                <w:rFonts w:ascii="Liberation Sans Narrow" w:hAnsi="Liberation Sans Narrow"/>
                <w:sz w:val="17"/>
              </w:rPr>
              <w:t xml:space="preserve">A liquidação de sentença e o cumprimento de sentença estão limitados ao exato comando estabelecido no título executivo, sob pena de violação aos princípios da fidelidade ao título e da coisa julgada.</w:t>
            </w:r>
          </w:p>
        </w:tc>
      </w:tr>
    </w:tbl>
    <w:bookmarkEnd w:id="245"/>
    <w:bookmarkStart w:id="246" w:name="art.-510"/>
    <w:p>
      <w:pPr>
        <w:pStyle w:val="Heading6"/>
        <w:pBdr>
          <w:left w:val="single" w:sz="36" w:space="4" w:color="2E75B6"/>
        </w:pBdr>
        <w:shd w:val="clear" w:color="auto" w:fill="E3EEF9"/>
        <w:spacing w:before="120" w:after="60"/>
        <w:ind w:left="85"/>
      </w:pPr>
      <w:r>
        <w:rPr>
          <w:i w:val="0"/>
          <w:color w:val="1F3A5F"/>
          <w:sz w:val="22"/>
        </w:rPr>
        <w:t xml:space="preserve">Art. 510</w:t>
      </w:r>
    </w:p>
    <w:p>
      <w:pPr>
        <w:pStyle w:val="FirstParagraph"/>
        <w:keepNext/>
        <w:spacing w:after="60"/>
        <w:jc w:val="both"/>
      </w:pPr>
      <w:r>
        <w:rPr>
          <w:b/>
          <w:bCs/>
        </w:rPr>
        <w:t xml:space="preserve">Art. 510.</w:t>
      </w:r>
      <w:r>
        <w:t xml:space="preserve"> </w:t>
      </w:r>
      <w:r>
        <w:t xml:space="preserve">Na liquidação por arbitramento, o juiz intimará as partes para a apresentação de pareceres ou documentos elucidativos, no prazo que fixar, e, caso não possa decidir de plano, nomeará perito, observando-se, no que couber, o procedimento da prova pericial.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530"/>
        <w:gridCol w:w="1905"/>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Caput — prazo para manifestação sobre os cálculos</w:t>
            </w:r>
          </w:p>
        </w:tc>
        <w:tc>
          <w:tcPr>
            <w:tcW w:type="dxa" w:w="1531"/>
          </w:tcPr>
          <w:p>
            <w:pPr>
              <w:pStyle w:val="Compact"/>
              <w:spacing w:line="276" w:lineRule="auto" w:before="40" w:after="40"/>
            </w:pPr>
            <w:r>
              <w:rPr>
                <w:rFonts w:ascii="Liberation Sans Narrow" w:hAnsi="Liberation Sans Narrow"/>
                <w:sz w:val="17"/>
              </w:rPr>
              <w:t xml:space="preserve">STJ, AgInt no REsp 1.687.186, Terceira Turma, relator Min. Moura Ribeiro, DJe de 18/06/2021</w:t>
            </w:r>
          </w:p>
        </w:tc>
        <w:tc>
          <w:tcPr>
            <w:tcW w:type="dxa" w:w="1905"/>
          </w:tcPr>
          <w:p>
            <w:pPr>
              <w:pStyle w:val="Compact"/>
              <w:spacing w:line="276" w:lineRule="auto" w:before="40" w:after="40"/>
            </w:pPr>
            <w:r>
              <w:rPr>
                <w:rFonts w:ascii="Liberation Sans Narrow" w:hAnsi="Liberation Sans Narrow"/>
                <w:sz w:val="17"/>
              </w:rPr>
              <w:t xml:space="preserve">O prazo assinalado pelo julgador para o executado se manifestar sobre os valores informados pelo autor, na liquidação por arbitramento, tem natureza dilatória e pode ser prorrogado, desde que o magistrado não tenha reconhecido os efeitos da preclusão e não haja comportamento desidioso do litigante (arts. 139, VI, e parágrafo único, e 510 do CPC).</w:t>
            </w:r>
          </w:p>
        </w:tc>
      </w:tr>
    </w:tbl>
    <w:bookmarkEnd w:id="246"/>
    <w:bookmarkStart w:id="247" w:name="art.-511"/>
    <w:p>
      <w:pPr>
        <w:pStyle w:val="Heading6"/>
        <w:pBdr>
          <w:left w:val="single" w:sz="36" w:space="4" w:color="2E75B6"/>
        </w:pBdr>
        <w:shd w:val="clear" w:color="auto" w:fill="E3EEF9"/>
        <w:spacing w:before="120" w:after="60"/>
        <w:ind w:left="85"/>
      </w:pPr>
      <w:r>
        <w:rPr>
          <w:i w:val="0"/>
          <w:color w:val="1F3A5F"/>
          <w:sz w:val="22"/>
        </w:rPr>
        <w:t xml:space="preserve">Art. 511</w:t>
      </w:r>
    </w:p>
    <w:p>
      <w:pPr>
        <w:pStyle w:val="FirstParagraph"/>
        <w:keepNext/>
        <w:spacing w:after="60"/>
        <w:jc w:val="both"/>
      </w:pPr>
      <w:r>
        <w:rPr>
          <w:b/>
          <w:bCs/>
        </w:rPr>
        <w:t xml:space="preserve">Art. 511.</w:t>
      </w:r>
      <w:r>
        <w:t xml:space="preserve"> </w:t>
      </w:r>
      <w:r>
        <w:t xml:space="preserve">Na liquidação pelo procedimento comum, o juiz determinará a intimação do requerido, na pessoa de seu advogado ou da sociedade de advogados a que estiver vinculado, para, querendo, apresentar contestação no prazo de 15 (quinze) dias, observando-se, a seguir, no que couber, o disposto no Livro I da Parte Especial deste Código.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404"/>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honorários na liquidação</w:t>
            </w:r>
          </w:p>
        </w:tc>
        <w:tc>
          <w:tcPr>
            <w:tcW w:type="dxa" w:w="1531"/>
          </w:tcPr>
          <w:p>
            <w:pPr>
              <w:pStyle w:val="Compact"/>
              <w:spacing w:line="276" w:lineRule="auto" w:before="40" w:after="40"/>
            </w:pPr>
            <w:r>
              <w:rPr>
                <w:rFonts w:ascii="Liberation Sans Narrow" w:hAnsi="Liberation Sans Narrow"/>
                <w:sz w:val="17"/>
              </w:rPr>
              <w:t xml:space="preserve">STJ, AgInt no REsp 1.940.884, Segunda Turma, relator Min. Francisco Falcão, DJe de 22/09/2021</w:t>
            </w:r>
          </w:p>
        </w:tc>
        <w:tc>
          <w:tcPr>
            <w:tcW w:type="dxa" w:w="2404"/>
          </w:tcPr>
          <w:p>
            <w:pPr>
              <w:pStyle w:val="Compact"/>
              <w:spacing w:line="276" w:lineRule="auto" w:before="40" w:after="40"/>
            </w:pPr>
            <w:r>
              <w:rPr>
                <w:rFonts w:ascii="Liberation Sans Narrow" w:hAnsi="Liberation Sans Narrow"/>
                <w:sz w:val="17"/>
              </w:rPr>
              <w:t xml:space="preserve">Cabem honorários advocatícios no cumprimento individual de sentença proferida contra a Fazenda Pública em ação coletiva, independentemente de ter sido ou não apresentada impugnação; a orientação foi firmada pela Corte Especial no REsp 1.648.238/RS.</w:t>
            </w:r>
          </w:p>
        </w:tc>
      </w:tr>
    </w:tbl>
    <w:bookmarkEnd w:id="247"/>
    <w:bookmarkStart w:id="248" w:name="art.-512"/>
    <w:p>
      <w:pPr>
        <w:pStyle w:val="Heading6"/>
        <w:pBdr>
          <w:left w:val="single" w:sz="36" w:space="4" w:color="2E75B6"/>
        </w:pBdr>
        <w:shd w:val="clear" w:color="auto" w:fill="E3EEF9"/>
        <w:spacing w:before="120" w:after="60"/>
        <w:ind w:left="85"/>
      </w:pPr>
      <w:r>
        <w:rPr>
          <w:i w:val="0"/>
          <w:color w:val="1F3A5F"/>
          <w:sz w:val="22"/>
        </w:rPr>
        <w:t xml:space="preserve">Art. 512</w:t>
      </w:r>
    </w:p>
    <w:p>
      <w:pPr>
        <w:pStyle w:val="FirstParagraph"/>
        <w:spacing w:after="60"/>
        <w:jc w:val="both"/>
      </w:pPr>
      <w:r>
        <w:rPr>
          <w:b/>
          <w:bCs/>
        </w:rPr>
        <w:t xml:space="preserve">Art. 512.</w:t>
      </w:r>
      <w:r>
        <w:t xml:space="preserve"> </w:t>
      </w:r>
      <w:r>
        <w:t xml:space="preserve">A liquidação poderá ser realizada na pendência de recurso, processando-se em autos apartados no juízo de origem, cumprindo ao liquidante instruir o pedido com cópias das peças processuais pertinentes.</w:t>
      </w:r>
    </w:p>
    <w:bookmarkEnd w:id="248"/>
    <w:bookmarkEnd w:id="249"/>
    <w:bookmarkEnd w:id="250"/>
    <w:bookmarkStart w:id="285" w:name="X3ec5025c2927365c2840220e432c4feaa7313e9"/>
    <w:p>
      <w:pPr>
        <w:pStyle w:val="Heading3"/>
        <w:pBdr>
          <w:bottom w:val="single" w:sz="8" w:space="2" w:color="2E75B6"/>
        </w:pBdr>
        <w:spacing w:before="120" w:after="60"/>
      </w:pPr>
      <w:r>
        <w:rPr>
          <w:sz w:val="22"/>
        </w:rPr>
        <w:t xml:space="preserve">Título II: do cumprimento da sentença (arts. 513 a 538)</w:t>
      </w:r>
    </w:p>
    <w:bookmarkStart w:id="258" w:name="Xd85571c001430b0bd2fb1e73a8509a1b2d1815f"/>
    <w:p>
      <w:pPr>
        <w:pStyle w:val="Heading4"/>
        <w:spacing w:before="80" w:after="40"/>
      </w:pPr>
      <w:r>
        <w:rPr>
          <w:smallCaps/>
          <w:color w:val="2E75B6"/>
        </w:rPr>
        <w:t xml:space="preserve">Capítulo I: disposições gerais (arts. 513 a 519)</w:t>
      </w:r>
    </w:p>
    <w:bookmarkStart w:id="251" w:name="art.-513"/>
    <w:p>
      <w:pPr>
        <w:pStyle w:val="Heading6"/>
        <w:pBdr>
          <w:left w:val="single" w:sz="36" w:space="4" w:color="2E75B6"/>
        </w:pBdr>
        <w:shd w:val="clear" w:color="auto" w:fill="E3EEF9"/>
        <w:spacing w:before="120" w:after="60"/>
        <w:ind w:left="85"/>
      </w:pPr>
      <w:r>
        <w:rPr>
          <w:i w:val="0"/>
          <w:color w:val="1F3A5F"/>
          <w:sz w:val="22"/>
        </w:rPr>
        <w:t xml:space="preserve">Art. 513</w:t>
      </w:r>
    </w:p>
    <w:p>
      <w:pPr>
        <w:pStyle w:val="FirstParagraph"/>
        <w:spacing w:after="60"/>
        <w:jc w:val="both"/>
      </w:pPr>
      <w:r>
        <w:rPr>
          <w:b/>
          <w:bCs/>
        </w:rPr>
        <w:t xml:space="preserve">Art. 513.</w:t>
      </w:r>
      <w:r>
        <w:t xml:space="preserve"> </w:t>
      </w:r>
      <w:r>
        <w:t xml:space="preserve">O cumprimento da sentença será feito segundo as regras deste Título, observando-se, no que couber e conforme a natureza da obrigação, o disposto no Livro II da Parte Especial deste Código.</w:t>
      </w:r>
    </w:p>
    <w:p>
      <w:pPr>
        <w:pStyle w:val="BodyText"/>
        <w:spacing w:after="60"/>
        <w:jc w:val="both"/>
      </w:pPr>
      <w:r>
        <w:t xml:space="preserve">§ 1º O cumprimento da sentença que reconhece o dever de pagar quantia, provisório ou definitivo, far-se-á a requerimento do exequente.</w:t>
      </w:r>
    </w:p>
    <w:p>
      <w:pPr>
        <w:pStyle w:val="BodyText"/>
        <w:spacing w:after="60"/>
        <w:jc w:val="both"/>
      </w:pPr>
      <w:r>
        <w:t xml:space="preserve">§ 2º O devedor será intimado para cumprir a sentença:</w:t>
      </w:r>
    </w:p>
    <w:p>
      <w:pPr>
        <w:pStyle w:val="BodyText"/>
        <w:spacing w:after="60"/>
        <w:jc w:val="both"/>
      </w:pPr>
      <w:r>
        <w:t xml:space="preserve">I - pelo Diário da Justiça, na pessoa de seu advogado constituído nos autos;</w:t>
      </w:r>
    </w:p>
    <w:p>
      <w:pPr>
        <w:pStyle w:val="BodyText"/>
        <w:spacing w:after="60"/>
        <w:jc w:val="both"/>
      </w:pPr>
      <w:r>
        <w:t xml:space="preserve">II - por carta com aviso de recebimento, quando representado pela Defensoria Pública ou quando não tiver procurador constituído nos autos, ressalvada a hipótese do inciso IV;</w:t>
      </w:r>
    </w:p>
    <w:p>
      <w:pPr>
        <w:pStyle w:val="BodyText"/>
        <w:spacing w:after="60"/>
        <w:jc w:val="both"/>
      </w:pPr>
      <w:r>
        <w:t xml:space="preserve">III - por meio eletrônico, quando, no caso do § 1º do art. 246, não tiver procurador constituído nos autos</w:t>
      </w:r>
    </w:p>
    <w:p>
      <w:pPr>
        <w:pStyle w:val="BodyText"/>
        <w:spacing w:after="60"/>
        <w:jc w:val="both"/>
      </w:pPr>
      <w:r>
        <w:t xml:space="preserve">IV - por edital, quando, citado na forma do art. 256, tiver sido revel na fase de conhecimento.</w:t>
      </w:r>
    </w:p>
    <w:p>
      <w:pPr>
        <w:pStyle w:val="BodyText"/>
        <w:spacing w:after="60"/>
        <w:jc w:val="both"/>
      </w:pPr>
      <w:r>
        <w:t xml:space="preserve">§ 3º Na hipótese do § 2º, incisos II e III, considera-se realizada a intimação quando o devedor houver mudado de endereço sem prévia comunicação ao juízo, observado o disposto no parágrafo único do art. 274.</w:t>
      </w:r>
    </w:p>
    <w:p>
      <w:pPr>
        <w:pStyle w:val="BodyText"/>
        <w:keepNext/>
        <w:spacing w:after="60"/>
        <w:jc w:val="both"/>
      </w:pPr>
      <w:r>
        <w:t xml:space="preserve">§ 4º Se o requerimento a que alude o § 1º for formulado após 1 (um) ano do trânsito em julgado da sentença, a intimação será feita na pessoa do devedor, por meio de carta com aviso de recebimento encaminhada ao endereço constante dos autos, observado o disposto no parágrafo único do art. 274 e no § 3º deste artigo.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1780"/>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 4º — intimação pessoal do executado</w:t>
            </w:r>
          </w:p>
        </w:tc>
        <w:tc>
          <w:tcPr>
            <w:tcW w:type="dxa" w:w="1655"/>
          </w:tcPr>
          <w:p>
            <w:pPr>
              <w:pStyle w:val="Compact"/>
              <w:spacing w:line="276" w:lineRule="auto" w:before="40" w:after="40"/>
            </w:pPr>
            <w:r>
              <w:rPr>
                <w:rFonts w:ascii="Liberation Sans Narrow" w:hAnsi="Liberation Sans Narrow"/>
                <w:sz w:val="17"/>
              </w:rPr>
              <w:t xml:space="preserve">STJ, AgInt no REsp 2.269.833, Quarta Turma, relatora Min. Maria Isabel Gallotti, DJe de 01/10/2026</w:t>
            </w:r>
          </w:p>
        </w:tc>
        <w:tc>
          <w:tcPr>
            <w:tcW w:type="dxa" w:w="1780"/>
          </w:tcPr>
          <w:p>
            <w:pPr>
              <w:pStyle w:val="Compact"/>
              <w:spacing w:line="276" w:lineRule="auto" w:before="40" w:after="40"/>
            </w:pPr>
            <w:r>
              <w:rPr>
                <w:rFonts w:ascii="Liberation Sans Narrow" w:hAnsi="Liberation Sans Narrow"/>
                <w:sz w:val="17"/>
              </w:rPr>
              <w:t xml:space="preserve">É necessária a intimação pessoal do executado para o cumprimento da sentença, mesmo após o transcurso de prazo superior a um ano (art. 513, § 4º); a decretação de nulidade, porém, depende da demonstração efetiva de prejuízo.</w:t>
            </w:r>
          </w:p>
        </w:tc>
      </w:tr>
      <w:tr>
        <w:trPr>
          <w:cantSplit/>
        </w:trPr>
        <w:tc>
          <w:tcPr>
            <w:tcW w:type="dxa" w:w="1780"/>
          </w:tcPr>
          <w:p>
            <w:pPr>
              <w:pStyle w:val="Compact"/>
              <w:spacing w:line="276" w:lineRule="auto" w:before="40" w:after="40"/>
            </w:pPr>
            <w:r>
              <w:rPr>
                <w:rFonts w:ascii="Liberation Sans Narrow" w:hAnsi="Liberation Sans Narrow"/>
                <w:sz w:val="17"/>
              </w:rPr>
              <w:t xml:space="preserve">§ 4º: intimação pessoal do executado quando o requerimento vem após mais de um ano do trânsito em julgado</w:t>
            </w:r>
          </w:p>
        </w:tc>
        <w:tc>
          <w:tcPr>
            <w:tcW w:type="dxa" w:w="1655"/>
          </w:tcPr>
          <w:p>
            <w:pPr>
              <w:pStyle w:val="Compact"/>
              <w:spacing w:line="276" w:lineRule="auto" w:before="40" w:after="40"/>
            </w:pPr>
            <w:r>
              <w:rPr>
                <w:rFonts w:ascii="Liberation Sans Narrow" w:hAnsi="Liberation Sans Narrow"/>
                <w:sz w:val="17"/>
              </w:rPr>
              <w:t xml:space="preserve">STJ, AREsp 2.407.683, Quarta Turma, relator Min. Raul Araújo, julgado em 16/12/2025, DJEN de 19/12/2025</w:t>
            </w:r>
          </w:p>
        </w:tc>
        <w:tc>
          <w:tcPr>
            <w:tcW w:type="dxa" w:w="1780"/>
          </w:tcPr>
          <w:p>
            <w:pPr>
              <w:pStyle w:val="Compact"/>
              <w:spacing w:line="276" w:lineRule="auto" w:before="40" w:after="40"/>
            </w:pPr>
            <w:r>
              <w:rPr>
                <w:rFonts w:ascii="Liberation Sans Narrow" w:hAnsi="Liberation Sans Narrow"/>
                <w:sz w:val="17"/>
              </w:rPr>
              <w:t xml:space="preserve">É necessária a intimação pessoal do executado quando o cumprimento é requerido após mais de um ano do trânsito em julgado (art. 513, § 4º). Sem intimação válida, não corre o prazo de 15 dias da impugnação, que é tempestiva; a regularidade formal do procedimento não ofende a coisa julgada.</w:t>
            </w:r>
          </w:p>
        </w:tc>
      </w:tr>
    </w:tbl>
    <w:p>
      <w:pPr>
        <w:pStyle w:val="BodyText"/>
        <w:spacing w:after="60"/>
        <w:jc w:val="both"/>
      </w:pPr>
      <w:r>
        <w:t xml:space="preserve">§ 5º O cumprimento da sentença não poderá ser promovido em face do fiador, do coobrigado ou do corresponsável que não tiver participado da fase de conhecimento.</w:t>
      </w:r>
    </w:p>
    <w:bookmarkEnd w:id="251"/>
    <w:bookmarkStart w:id="252" w:name="art.-514"/>
    <w:p>
      <w:pPr>
        <w:pStyle w:val="Heading6"/>
        <w:pBdr>
          <w:left w:val="single" w:sz="36" w:space="4" w:color="2E75B6"/>
        </w:pBdr>
        <w:shd w:val="clear" w:color="auto" w:fill="E3EEF9"/>
        <w:spacing w:before="120" w:after="60"/>
        <w:ind w:left="85"/>
      </w:pPr>
      <w:r>
        <w:rPr>
          <w:i w:val="0"/>
          <w:color w:val="1F3A5F"/>
          <w:sz w:val="22"/>
        </w:rPr>
        <w:t xml:space="preserve">Art. 514</w:t>
      </w:r>
    </w:p>
    <w:p>
      <w:pPr>
        <w:pStyle w:val="FirstParagraph"/>
        <w:spacing w:after="60"/>
        <w:jc w:val="both"/>
      </w:pPr>
      <w:r>
        <w:rPr>
          <w:b/>
          <w:bCs/>
        </w:rPr>
        <w:t xml:space="preserve">Art. 514.</w:t>
      </w:r>
      <w:r>
        <w:t xml:space="preserve"> </w:t>
      </w:r>
      <w:r>
        <w:t xml:space="preserve">Quando o juiz decidir relação jurídica sujeita a condição ou termo, o cumprimento da sentença dependerá de demonstração de que se realizou a condição ou de que ocorreu o termo.</w:t>
      </w:r>
    </w:p>
    <w:bookmarkEnd w:id="252"/>
    <w:bookmarkStart w:id="253" w:name="art.-515"/>
    <w:p>
      <w:pPr>
        <w:pStyle w:val="Heading6"/>
        <w:pBdr>
          <w:left w:val="single" w:sz="36" w:space="4" w:color="2E75B6"/>
        </w:pBdr>
        <w:shd w:val="clear" w:color="auto" w:fill="E3EEF9"/>
        <w:spacing w:before="120" w:after="60"/>
        <w:ind w:left="85"/>
      </w:pPr>
      <w:r>
        <w:rPr>
          <w:i w:val="0"/>
          <w:color w:val="1F3A5F"/>
          <w:sz w:val="22"/>
        </w:rPr>
        <w:t xml:space="preserve">Art. 515</w:t>
      </w:r>
    </w:p>
    <w:p>
      <w:pPr>
        <w:pStyle w:val="FirstParagraph"/>
        <w:spacing w:after="60"/>
        <w:jc w:val="both"/>
      </w:pPr>
      <w:r>
        <w:rPr>
          <w:b/>
          <w:bCs/>
        </w:rPr>
        <w:t xml:space="preserve">Art. 515.</w:t>
      </w:r>
      <w:r>
        <w:t xml:space="preserve"> </w:t>
      </w:r>
      <w:r>
        <w:t xml:space="preserve">São títulos executivos judiciais, cujo cumprimento dar-se-á de acordo com os artigos previstos neste Título:</w:t>
      </w:r>
    </w:p>
    <w:p>
      <w:pPr>
        <w:pStyle w:val="BodyText"/>
        <w:keepNext/>
        <w:spacing w:after="60"/>
        <w:jc w:val="both"/>
      </w:pPr>
      <w:r>
        <w:t xml:space="preserve">I - as decisões proferidas no processo civil que reconheçam a exigibilidade de obrigação de pagar quantia, de fazer, de não fazer ou de entregar coisa;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655"/>
        <w:gridCol w:w="1905"/>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Inciso I: a sentença, de procedência ou improcedência, como título executivo judicial</w:t>
            </w:r>
          </w:p>
        </w:tc>
        <w:tc>
          <w:tcPr>
            <w:tcW w:type="dxa" w:w="1655"/>
          </w:tcPr>
          <w:p>
            <w:pPr>
              <w:pStyle w:val="Compact"/>
              <w:spacing w:line="276" w:lineRule="auto" w:before="40" w:after="40"/>
            </w:pPr>
            <w:r>
              <w:rPr>
                <w:rFonts w:ascii="Liberation Sans Narrow" w:hAnsi="Liberation Sans Narrow"/>
                <w:sz w:val="17"/>
              </w:rPr>
              <w:t xml:space="preserve">STJ, Tema Repetitivo 889, REsp 1.324.152, Corte Especial, relator Min. Luis Felipe Salomão, julgado em 04/05/2016, DJe de 15/06/2016</w:t>
            </w:r>
          </w:p>
        </w:tc>
        <w:tc>
          <w:tcPr>
            <w:tcW w:type="dxa" w:w="1905"/>
          </w:tcPr>
          <w:p>
            <w:pPr>
              <w:pStyle w:val="Compact"/>
              <w:spacing w:line="276" w:lineRule="auto" w:before="40" w:after="40"/>
            </w:pPr>
            <w:r>
              <w:rPr>
                <w:rFonts w:ascii="Liberation Sans Narrow" w:hAnsi="Liberation Sans Narrow"/>
                <w:sz w:val="17"/>
              </w:rPr>
              <w:t xml:space="preserve">A sentença, qualquer que seja sua natureza, de procedência ou improcedência do pedido, constitui título executivo judicial, desde que estabeleça obrigação de pagar quantia, de fazer, não fazer ou entregar coisa, admitida sua prévia liquidação e execução nos próprios autos.</w:t>
            </w:r>
          </w:p>
        </w:tc>
      </w:tr>
      <w:tr>
        <w:trPr>
          <w:cantSplit/>
        </w:trPr>
        <w:tc>
          <w:tcPr>
            <w:tcW w:type="dxa" w:w="2030"/>
          </w:tcPr>
          <w:p>
            <w:pPr>
              <w:pStyle w:val="Compact"/>
              <w:spacing w:line="276" w:lineRule="auto" w:before="40" w:after="40"/>
            </w:pPr>
            <w:r>
              <w:rPr>
                <w:rFonts w:ascii="Liberation Sans Narrow" w:hAnsi="Liberation Sans Narrow"/>
                <w:sz w:val="17"/>
              </w:rPr>
              <w:t xml:space="preserve">I — decisão que reconhece exigibilidade de obrigação de pagar</w:t>
            </w:r>
          </w:p>
        </w:tc>
        <w:tc>
          <w:tcPr>
            <w:tcW w:type="dxa" w:w="1655"/>
          </w:tcPr>
          <w:p>
            <w:pPr>
              <w:pStyle w:val="Compact"/>
              <w:spacing w:line="276" w:lineRule="auto" w:before="40" w:after="40"/>
            </w:pPr>
            <w:r>
              <w:rPr>
                <w:rFonts w:ascii="Liberation Sans Narrow" w:hAnsi="Liberation Sans Narrow"/>
                <w:sz w:val="17"/>
              </w:rPr>
              <w:t xml:space="preserve">STJ, REsp 2.199.837, Quarta Turma, relator Min. João Otávio de Noronha, julgado em 22/06/2026, DJEN de 26/06/2026</w:t>
            </w:r>
          </w:p>
        </w:tc>
        <w:tc>
          <w:tcPr>
            <w:tcW w:type="dxa" w:w="1905"/>
          </w:tcPr>
          <w:p>
            <w:pPr>
              <w:pStyle w:val="Compact"/>
              <w:spacing w:line="276" w:lineRule="auto" w:before="40" w:after="40"/>
            </w:pPr>
            <w:r>
              <w:rPr>
                <w:rFonts w:ascii="Liberation Sans Narrow" w:hAnsi="Liberation Sans Narrow"/>
                <w:sz w:val="17"/>
              </w:rPr>
              <w:t xml:space="preserve">É possível à instituição financeira promover o cumprimento de sentença, após a compensação, para apurar e satisfazer eventual saldo remanescente em seu favor, nos próprios autos.</w:t>
            </w:r>
          </w:p>
        </w:tc>
      </w:tr>
    </w:tbl>
    <w:p>
      <w:pPr>
        <w:pStyle w:val="BodyText"/>
        <w:spacing w:after="60"/>
        <w:jc w:val="both"/>
      </w:pPr>
      <w:r>
        <w:t xml:space="preserve">II - a decisão homologatória de autocomposição judicial;</w:t>
      </w:r>
    </w:p>
    <w:p>
      <w:pPr>
        <w:pStyle w:val="BodyText"/>
        <w:spacing w:after="60"/>
        <w:jc w:val="both"/>
      </w:pPr>
      <w:r>
        <w:t xml:space="preserve">III - a decisão homologatória de autocomposição extrajudicial de qualquer natureza;</w:t>
      </w:r>
    </w:p>
    <w:p>
      <w:pPr>
        <w:pStyle w:val="BodyText"/>
        <w:spacing w:after="60"/>
        <w:jc w:val="both"/>
      </w:pPr>
      <w:r>
        <w:t xml:space="preserve">IV - o formal e a certidão de partilha, exclusivamente em relação ao inventariante, aos herdeiros e aos sucessores a título singular ou universal;</w:t>
      </w:r>
    </w:p>
    <w:p>
      <w:pPr>
        <w:pStyle w:val="BodyText"/>
        <w:spacing w:after="60"/>
        <w:jc w:val="both"/>
      </w:pPr>
      <w:r>
        <w:t xml:space="preserve">V - o crédito de auxiliar da justiça, quando as custas, emolumentos ou honorários tiverem sido aprovados por decisão judicial;</w:t>
      </w:r>
    </w:p>
    <w:p>
      <w:pPr>
        <w:pStyle w:val="BodyText"/>
        <w:spacing w:after="60"/>
        <w:jc w:val="both"/>
      </w:pPr>
      <w:r>
        <w:t xml:space="preserve">VI - a sentença penal condenatória transitada em julgado;</w:t>
      </w:r>
    </w:p>
    <w:p>
      <w:pPr>
        <w:pStyle w:val="BodyText"/>
        <w:spacing w:after="60"/>
        <w:jc w:val="both"/>
      </w:pPr>
      <w:r>
        <w:t xml:space="preserve">VII - a sentença arbitral;</w:t>
      </w:r>
    </w:p>
    <w:p>
      <w:pPr>
        <w:pStyle w:val="BodyText"/>
        <w:spacing w:after="60"/>
        <w:jc w:val="both"/>
      </w:pPr>
      <w:r>
        <w:t xml:space="preserve">VIII - a sentença estrangeira homologada pelo Superior Tribunal de Justiça;</w:t>
      </w:r>
    </w:p>
    <w:p>
      <w:pPr>
        <w:pStyle w:val="BodyText"/>
        <w:spacing w:after="60"/>
        <w:jc w:val="both"/>
      </w:pPr>
      <w:r>
        <w:t xml:space="preserve">IX - a decisão interlocutória estrangeira, após a concessão do exequatur à carta rogatória pelo Superior Tribunal de Justiça;</w:t>
      </w:r>
    </w:p>
    <w:p>
      <w:pPr>
        <w:pStyle w:val="BodyText"/>
        <w:spacing w:after="60"/>
        <w:jc w:val="both"/>
      </w:pPr>
      <w:r>
        <w:t xml:space="preserve">X - (VETADO).</w:t>
      </w:r>
    </w:p>
    <w:p>
      <w:pPr>
        <w:pStyle w:val="BodyText"/>
        <w:spacing w:after="60"/>
        <w:jc w:val="both"/>
      </w:pPr>
      <w:r>
        <w:t xml:space="preserve">§ 1º Nos casos dos incisos VI a IX, o devedor será citado no juízo cível para o cumprimento da sentença ou para a liquidação no prazo de 15 (quinze) dias.</w:t>
      </w:r>
    </w:p>
    <w:p>
      <w:pPr>
        <w:pStyle w:val="BodyText"/>
        <w:spacing w:after="60"/>
        <w:jc w:val="both"/>
      </w:pPr>
      <w:r>
        <w:t xml:space="preserve">§ 2º A autocomposição judicial pode envolver sujeito estranho ao processo e versar sobre relação jurídica que não tenha sido deduzida em juízo.</w:t>
      </w:r>
    </w:p>
    <w:bookmarkEnd w:id="253"/>
    <w:bookmarkStart w:id="254" w:name="art.-516"/>
    <w:p>
      <w:pPr>
        <w:pStyle w:val="Heading6"/>
        <w:pBdr>
          <w:left w:val="single" w:sz="36" w:space="4" w:color="2E75B6"/>
        </w:pBdr>
        <w:shd w:val="clear" w:color="auto" w:fill="E3EEF9"/>
        <w:spacing w:before="120" w:after="60"/>
        <w:ind w:left="85"/>
      </w:pPr>
      <w:r>
        <w:rPr>
          <w:i w:val="0"/>
          <w:color w:val="1F3A5F"/>
          <w:sz w:val="22"/>
        </w:rPr>
        <w:t xml:space="preserve">Art. 516</w:t>
      </w:r>
    </w:p>
    <w:p>
      <w:pPr>
        <w:pStyle w:val="FirstParagraph"/>
        <w:keepNext/>
        <w:spacing w:after="60"/>
        <w:jc w:val="both"/>
      </w:pPr>
      <w:r>
        <w:rPr>
          <w:b/>
          <w:bCs/>
        </w:rPr>
        <w:t xml:space="preserve">Art. 516.</w:t>
      </w:r>
      <w:r>
        <w:t xml:space="preserve"> </w:t>
      </w:r>
      <w:r>
        <w:t xml:space="preserve">O cumprimento da sentença efetuar-se-á perante: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60"/>
        <w:gridCol w:w="1780"/>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60"/>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Competência para a execução de título formado em ação coletiva: Juizados Especiais da Fazenda Pública</w:t>
            </w:r>
          </w:p>
        </w:tc>
        <w:tc>
          <w:tcPr>
            <w:tcW w:type="dxa" w:w="1660"/>
          </w:tcPr>
          <w:p>
            <w:pPr>
              <w:pStyle w:val="Compact"/>
              <w:spacing w:line="276" w:lineRule="auto" w:before="40" w:after="40"/>
            </w:pPr>
            <w:r>
              <w:rPr>
                <w:rFonts w:ascii="Liberation Sans Narrow" w:hAnsi="Liberation Sans Narrow"/>
                <w:sz w:val="17"/>
              </w:rPr>
              <w:t xml:space="preserve">STJ, Tema Repetitivo 1029, REsp 1.804.186, Primeira Seção, relator Min. Herman Benjamin, julgado em 12/08/2020, DJe de 11/09/2020</w:t>
            </w:r>
          </w:p>
        </w:tc>
        <w:tc>
          <w:tcPr>
            <w:tcW w:type="dxa" w:w="1780"/>
          </w:tcPr>
          <w:p>
            <w:pPr>
              <w:pStyle w:val="Compact"/>
              <w:spacing w:line="276" w:lineRule="auto" w:before="40" w:after="40"/>
            </w:pPr>
            <w:r>
              <w:rPr>
                <w:rFonts w:ascii="Liberation Sans Narrow" w:hAnsi="Liberation Sans Narrow"/>
                <w:sz w:val="17"/>
              </w:rPr>
              <w:t xml:space="preserve">Não é possível propor nos Juizados Especiais da Fazenda Pública a execução de título executivo formado em Ação Coletiva que tramitou sob o rito ordinário, assim como impor o rito sumaríssimo da Lei 12.153/2009 ao juízo comum da execução.</w:t>
            </w:r>
          </w:p>
        </w:tc>
      </w:tr>
      <w:tr>
        <w:trPr>
          <w:cantSplit/>
        </w:trPr>
        <w:tc>
          <w:tcPr>
            <w:tcW w:type="dxa" w:w="1780"/>
          </w:tcPr>
          <w:p>
            <w:pPr>
              <w:pStyle w:val="Compact"/>
              <w:spacing w:line="276" w:lineRule="auto" w:before="40" w:after="40"/>
            </w:pPr>
            <w:r>
              <w:rPr>
                <w:rFonts w:ascii="Liberation Sans Narrow" w:hAnsi="Liberation Sans Narrow"/>
                <w:sz w:val="17"/>
              </w:rPr>
              <w:t xml:space="preserve">Competência para o cumprimento: juízo que decidiu a causa em primeiro grau (inciso II)</w:t>
            </w:r>
          </w:p>
        </w:tc>
        <w:tc>
          <w:tcPr>
            <w:tcW w:type="dxa" w:w="1660"/>
          </w:tcPr>
          <w:p>
            <w:pPr>
              <w:pStyle w:val="Compact"/>
              <w:spacing w:line="276" w:lineRule="auto" w:before="40" w:after="40"/>
            </w:pPr>
            <w:r>
              <w:rPr>
                <w:rFonts w:ascii="Liberation Sans Narrow" w:hAnsi="Liberation Sans Narrow"/>
                <w:sz w:val="17"/>
              </w:rPr>
              <w:t xml:space="preserve">STJ, CC 198.794, Primeira Seção, relator Min. Mauro Campbell Marques, julgado em 23/08/2023, DJe de 28/08/2023</w:t>
            </w:r>
          </w:p>
        </w:tc>
        <w:tc>
          <w:tcPr>
            <w:tcW w:type="dxa" w:w="1780"/>
          </w:tcPr>
          <w:p>
            <w:pPr>
              <w:pStyle w:val="Compact"/>
              <w:spacing w:line="276" w:lineRule="auto" w:before="40" w:after="40"/>
            </w:pPr>
            <w:r>
              <w:rPr>
                <w:rFonts w:ascii="Liberation Sans Narrow" w:hAnsi="Liberation Sans Narrow"/>
                <w:sz w:val="17"/>
              </w:rPr>
              <w:t xml:space="preserve">A execução do julgado compete ao juízo que decidiu a causa em primeiro grau (art. 516, II), inclusive no Juizado Especial Federal.</w:t>
            </w:r>
          </w:p>
        </w:tc>
      </w:tr>
      <w:tr>
        <w:trPr>
          <w:cantSplit/>
        </w:trPr>
        <w:tc>
          <w:tcPr>
            <w:tcW w:type="dxa" w:w="1780"/>
          </w:tcPr>
          <w:p>
            <w:pPr>
              <w:pStyle w:val="Compact"/>
              <w:spacing w:line="276" w:lineRule="auto" w:before="40" w:after="40"/>
            </w:pPr>
            <w:r>
              <w:rPr>
                <w:rFonts w:ascii="Liberation Sans Narrow" w:hAnsi="Liberation Sans Narrow"/>
                <w:sz w:val="17"/>
              </w:rPr>
              <w:t xml:space="preserve">Execução coletiva de sentença em ação civil pública: foro</w:t>
            </w:r>
          </w:p>
        </w:tc>
        <w:tc>
          <w:tcPr>
            <w:tcW w:type="dxa" w:w="1660"/>
          </w:tcPr>
          <w:p>
            <w:pPr>
              <w:pStyle w:val="Compact"/>
              <w:spacing w:line="276" w:lineRule="auto" w:before="40" w:after="40"/>
            </w:pPr>
            <w:r>
              <w:rPr>
                <w:rFonts w:ascii="Liberation Sans Narrow" w:hAnsi="Liberation Sans Narrow"/>
                <w:sz w:val="17"/>
              </w:rPr>
              <w:t xml:space="preserve">STJ, AgInt nos EDcl no CC 186.202, Segunda Seção, relator Min. Luis Felipe Salomão, julgado em 24/08/2022, DJe de 30/08/2022</w:t>
            </w:r>
          </w:p>
        </w:tc>
        <w:tc>
          <w:tcPr>
            <w:tcW w:type="dxa" w:w="1780"/>
          </w:tcPr>
          <w:p>
            <w:pPr>
              <w:pStyle w:val="Compact"/>
              <w:spacing w:line="276" w:lineRule="auto" w:before="40" w:after="40"/>
            </w:pPr>
            <w:r>
              <w:rPr>
                <w:rFonts w:ascii="Liberation Sans Narrow" w:hAnsi="Liberation Sans Narrow"/>
                <w:sz w:val="17"/>
              </w:rPr>
              <w:t xml:space="preserve">A execução de sentença proferida em ação civil pública não segue as regras comuns de competência do art. 516, porque não há interesse que justifique a prevenção do juízo da condenação; é vedada a escolha aleatória de foro, que deve ser o do domicílio do consumidor ou do réu, o de eleição ou o do local do cumprimento.</w:t>
            </w:r>
          </w:p>
        </w:tc>
      </w:tr>
    </w:tbl>
    <w:p>
      <w:pPr>
        <w:pStyle w:val="BodyText"/>
        <w:spacing w:after="60"/>
        <w:jc w:val="both"/>
      </w:pPr>
      <w:r>
        <w:t xml:space="preserve">I - os tribunais, nas causas de sua competência originária;</w:t>
      </w:r>
    </w:p>
    <w:p>
      <w:pPr>
        <w:pStyle w:val="BodyText"/>
        <w:keepNext/>
        <w:spacing w:after="60"/>
        <w:jc w:val="both"/>
      </w:pPr>
      <w:r>
        <w:t xml:space="preserve">II - o juízo que decidiu a causa no primeiro grau de jurisdição;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659"/>
        <w:gridCol w:w="2154"/>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9"/>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II — juízo que decidiu a causa em primeiro grau</w:t>
            </w:r>
          </w:p>
        </w:tc>
        <w:tc>
          <w:tcPr>
            <w:tcW w:type="dxa" w:w="1659"/>
          </w:tcPr>
          <w:p>
            <w:pPr>
              <w:pStyle w:val="Compact"/>
              <w:spacing w:line="276" w:lineRule="auto" w:before="40" w:after="40"/>
            </w:pPr>
            <w:r>
              <w:rPr>
                <w:rFonts w:ascii="Liberation Sans Narrow" w:hAnsi="Liberation Sans Narrow"/>
                <w:sz w:val="17"/>
              </w:rPr>
              <w:t xml:space="preserve">STJ, AgInt no CC 214.930, Primeira Seção, relatora Min. Maria Thereza de Assis Moura, julgado em 14/04/2026, DJEN de 17/04/2026</w:t>
            </w:r>
          </w:p>
        </w:tc>
        <w:tc>
          <w:tcPr>
            <w:tcW w:type="dxa" w:w="2154"/>
          </w:tcPr>
          <w:p>
            <w:pPr>
              <w:pStyle w:val="Compact"/>
              <w:spacing w:line="276" w:lineRule="auto" w:before="40" w:after="40"/>
            </w:pPr>
            <w:r>
              <w:rPr>
                <w:rFonts w:ascii="Liberation Sans Narrow" w:hAnsi="Liberation Sans Narrow"/>
                <w:sz w:val="17"/>
              </w:rPr>
              <w:t xml:space="preserve">A competência para o cumprimento de sentença é funcional e absoluta, do juízo que decidiu a causa em primeiro grau (art. 516, II), ainda que a execução se volte contra a União e envolva astreintes aplicadas pelo juízo estadual.</w:t>
            </w:r>
          </w:p>
        </w:tc>
      </w:tr>
      <w:tr>
        <w:trPr>
          <w:cantSplit/>
        </w:trPr>
        <w:tc>
          <w:tcPr>
            <w:tcW w:type="dxa" w:w="2030"/>
          </w:tcPr>
          <w:p>
            <w:pPr>
              <w:pStyle w:val="Compact"/>
              <w:spacing w:line="276" w:lineRule="auto" w:before="40" w:after="40"/>
            </w:pPr>
            <w:r>
              <w:rPr>
                <w:rFonts w:ascii="Liberation Sans Narrow" w:hAnsi="Liberation Sans Narrow"/>
                <w:sz w:val="17"/>
              </w:rPr>
              <w:t xml:space="preserve">Inciso II: perpetuatio jurisdictionis e honorários periciais</w:t>
            </w:r>
          </w:p>
        </w:tc>
        <w:tc>
          <w:tcPr>
            <w:tcW w:type="dxa" w:w="1659"/>
          </w:tcPr>
          <w:p>
            <w:pPr>
              <w:pStyle w:val="Compact"/>
              <w:spacing w:line="276" w:lineRule="auto" w:before="40" w:after="40"/>
            </w:pPr>
            <w:r>
              <w:rPr>
                <w:rFonts w:ascii="Liberation Sans Narrow" w:hAnsi="Liberation Sans Narrow"/>
                <w:sz w:val="17"/>
              </w:rPr>
              <w:t xml:space="preserve">STJ, CC 191.185, Primeira Seção, relator Min. Afrânio Vilela, julgado em 28/02/2024, DJe de 04/03/2024</w:t>
            </w:r>
          </w:p>
        </w:tc>
        <w:tc>
          <w:tcPr>
            <w:tcW w:type="dxa" w:w="2154"/>
          </w:tcPr>
          <w:p>
            <w:pPr>
              <w:pStyle w:val="Compact"/>
              <w:spacing w:line="276" w:lineRule="auto" w:before="40" w:after="40"/>
            </w:pPr>
            <w:r>
              <w:rPr>
                <w:rFonts w:ascii="Liberation Sans Narrow" w:hAnsi="Liberation Sans Narrow"/>
                <w:sz w:val="17"/>
              </w:rPr>
              <w:t xml:space="preserve">O juízo que decidiu a causa em primeiro grau é competente para o cumprimento de sentença (art. 516, II), em reafirmação do sincretismo processual e da perpetuatio jurisdictionis; o caso não se enquadra nas exceções à regra.</w:t>
            </w:r>
          </w:p>
        </w:tc>
      </w:tr>
    </w:tbl>
    <w:p>
      <w:pPr>
        <w:pStyle w:val="BodyText"/>
        <w:spacing w:after="60"/>
        <w:jc w:val="both"/>
      </w:pPr>
      <w:r>
        <w:t xml:space="preserve">III - o juízo cível competente, quando se tratar de sentença penal condenatória, de sentença arbitral, de sentença estrangeira ou de acórdão proferido pelo Tribunal Marítimo.</w:t>
      </w:r>
    </w:p>
    <w:p>
      <w:pPr>
        <w:pStyle w:val="BodyText"/>
        <w:spacing w:after="60"/>
        <w:jc w:val="both"/>
      </w:pPr>
      <w:r>
        <w:t xml:space="preserve">Parágrafo único. Nas hipóteses dos incisos II e III, o exequente poderá optar pelo juízo do atual domicílio do executado, pelo juízo do local onde se encontrem os bens sujeitos à execução ou pelo juízo do local onde deva ser executada a obrigação de fazer ou de não fazer, casos em que a remessa dos autos do processo será solicitada ao juízo de origem.</w:t>
      </w:r>
    </w:p>
    <w:bookmarkEnd w:id="254"/>
    <w:bookmarkStart w:id="255" w:name="art.-517"/>
    <w:p>
      <w:pPr>
        <w:pStyle w:val="Heading6"/>
        <w:pBdr>
          <w:left w:val="single" w:sz="36" w:space="4" w:color="2E75B6"/>
        </w:pBdr>
        <w:shd w:val="clear" w:color="auto" w:fill="E3EEF9"/>
        <w:spacing w:before="120" w:after="60"/>
        <w:ind w:left="85"/>
      </w:pPr>
      <w:r>
        <w:rPr>
          <w:i w:val="0"/>
          <w:color w:val="1F3A5F"/>
          <w:sz w:val="22"/>
        </w:rPr>
        <w:t xml:space="preserve">Art. 517</w:t>
      </w:r>
    </w:p>
    <w:p>
      <w:pPr>
        <w:pStyle w:val="FirstParagraph"/>
        <w:spacing w:after="60"/>
        <w:jc w:val="both"/>
      </w:pPr>
      <w:r>
        <w:rPr>
          <w:b/>
          <w:bCs/>
        </w:rPr>
        <w:t xml:space="preserve">Art. 517.</w:t>
      </w:r>
      <w:r>
        <w:t xml:space="preserve"> </w:t>
      </w:r>
      <w:r>
        <w:t xml:space="preserve">A decisão judicial transitada em julgado poderá ser levada a protesto, nos termos da lei, depois de transcorrido o prazo para pagamento voluntário previsto no art. 523.</w:t>
      </w:r>
    </w:p>
    <w:p>
      <w:pPr>
        <w:pStyle w:val="BodyText"/>
        <w:spacing w:after="60"/>
        <w:jc w:val="both"/>
      </w:pPr>
      <w:r>
        <w:t xml:space="preserve">§ 1º Para efetivar o protesto, incumbe ao exequente apresentar certidão de teor da decisão.</w:t>
      </w:r>
    </w:p>
    <w:p>
      <w:pPr>
        <w:pStyle w:val="BodyText"/>
        <w:spacing w:after="60"/>
        <w:jc w:val="both"/>
      </w:pPr>
      <w:r>
        <w:t xml:space="preserve">§ 2º A certidão de teor da decisão deverá ser fornecida no prazo de 3 (três) dias e indicará o nome e a qualificação do exequente e do executado, o número do processo, o valor da dívida e a data de decurso do prazo para pagamento voluntário.</w:t>
      </w:r>
    </w:p>
    <w:p>
      <w:pPr>
        <w:pStyle w:val="BodyText"/>
        <w:spacing w:after="60"/>
        <w:jc w:val="both"/>
      </w:pPr>
      <w:r>
        <w:t xml:space="preserve">§ 3º O executado que tiver proposto ação rescisória para impugnar a decisão exequenda pode requerer, a suas expensas e sob sua responsabilidade, a anotação da propositura da ação à margem do título protestado.</w:t>
      </w:r>
    </w:p>
    <w:p>
      <w:pPr>
        <w:pStyle w:val="BodyText"/>
        <w:spacing w:after="60"/>
        <w:jc w:val="both"/>
      </w:pPr>
      <w:r>
        <w:t xml:space="preserve">§ 4º A requerimento do executado, o protesto será cancelado por determinação do juiz, mediante ofício a ser expedido ao cartório, no prazo de 3 (três) dias, contado da data de protocolo do requerimento, desde que comprovada a satisfação integral da obrigação.</w:t>
      </w:r>
    </w:p>
    <w:bookmarkEnd w:id="255"/>
    <w:bookmarkStart w:id="256" w:name="art.-518"/>
    <w:p>
      <w:pPr>
        <w:pStyle w:val="Heading6"/>
        <w:pBdr>
          <w:left w:val="single" w:sz="36" w:space="4" w:color="2E75B6"/>
        </w:pBdr>
        <w:shd w:val="clear" w:color="auto" w:fill="E3EEF9"/>
        <w:spacing w:before="120" w:after="60"/>
        <w:ind w:left="85"/>
      </w:pPr>
      <w:r>
        <w:rPr>
          <w:i w:val="0"/>
          <w:color w:val="1F3A5F"/>
          <w:sz w:val="22"/>
        </w:rPr>
        <w:t xml:space="preserve">Art. 518</w:t>
      </w:r>
    </w:p>
    <w:p>
      <w:pPr>
        <w:pStyle w:val="FirstParagraph"/>
        <w:spacing w:after="60"/>
        <w:jc w:val="both"/>
      </w:pPr>
      <w:r>
        <w:rPr>
          <w:b/>
          <w:bCs/>
        </w:rPr>
        <w:t xml:space="preserve">Art. 518.</w:t>
      </w:r>
      <w:r>
        <w:t xml:space="preserve"> </w:t>
      </w:r>
      <w:r>
        <w:t xml:space="preserve">Todas as questões relativas à validade do procedimento de cumprimento da sentença e dos atos executivos subsequentes poderão ser arguidas pelo executado nos próprios autos e nestes serão decididas pelo juiz.</w:t>
      </w:r>
    </w:p>
    <w:bookmarkEnd w:id="256"/>
    <w:bookmarkStart w:id="257" w:name="art.-519"/>
    <w:p>
      <w:pPr>
        <w:pStyle w:val="Heading6"/>
        <w:pBdr>
          <w:left w:val="single" w:sz="36" w:space="4" w:color="2E75B6"/>
        </w:pBdr>
        <w:shd w:val="clear" w:color="auto" w:fill="E3EEF9"/>
        <w:spacing w:before="120" w:after="60"/>
        <w:ind w:left="85"/>
      </w:pPr>
      <w:r>
        <w:rPr>
          <w:i w:val="0"/>
          <w:color w:val="1F3A5F"/>
          <w:sz w:val="22"/>
        </w:rPr>
        <w:t xml:space="preserve">Art. 519</w:t>
      </w:r>
    </w:p>
    <w:p>
      <w:pPr>
        <w:pStyle w:val="FirstParagraph"/>
        <w:spacing w:after="60"/>
        <w:jc w:val="both"/>
      </w:pPr>
      <w:r>
        <w:rPr>
          <w:b/>
          <w:bCs/>
        </w:rPr>
        <w:t xml:space="preserve">Art. 519.</w:t>
      </w:r>
      <w:r>
        <w:t xml:space="preserve"> </w:t>
      </w:r>
      <w:r>
        <w:t xml:space="preserve">Aplicam-se as disposições relativas ao cumprimento da sentença, provisório ou definitivo, e à liquidação, no que couber, às decisões que concederem tutela provisória.</w:t>
      </w:r>
    </w:p>
    <w:bookmarkEnd w:id="257"/>
    <w:bookmarkEnd w:id="258"/>
    <w:bookmarkStart w:id="262" w:name="X6e3f4c34c95076495e165831abde2a0631ad0f2"/>
    <w:p>
      <w:pPr>
        <w:pStyle w:val="Heading4"/>
        <w:spacing w:before="80" w:after="40"/>
      </w:pPr>
      <w:r>
        <w:rPr>
          <w:smallCaps/>
          <w:color w:val="2E75B6"/>
        </w:rPr>
        <w:t xml:space="preserve">Capítulo II: do cumprimento provisório da sentença que reconhece a exigibilidade de obrigação de pagar quantia certa (arts. 520 a 522)</w:t>
      </w:r>
    </w:p>
    <w:bookmarkStart w:id="259" w:name="art.-520"/>
    <w:p>
      <w:pPr>
        <w:pStyle w:val="Heading6"/>
        <w:pBdr>
          <w:left w:val="single" w:sz="36" w:space="4" w:color="2E75B6"/>
        </w:pBdr>
        <w:shd w:val="clear" w:color="auto" w:fill="E3EEF9"/>
        <w:spacing w:before="120" w:after="60"/>
        <w:ind w:left="85"/>
      </w:pPr>
      <w:r>
        <w:rPr>
          <w:i w:val="0"/>
          <w:color w:val="1F3A5F"/>
          <w:sz w:val="22"/>
        </w:rPr>
        <w:t xml:space="preserve">Art. 520</w:t>
      </w:r>
    </w:p>
    <w:p>
      <w:pPr>
        <w:pStyle w:val="FirstParagraph"/>
        <w:spacing w:after="60"/>
        <w:jc w:val="both"/>
      </w:pPr>
      <w:r>
        <w:rPr>
          <w:b/>
          <w:bCs/>
        </w:rPr>
        <w:t xml:space="preserve">Art. 520.</w:t>
      </w:r>
      <w:r>
        <w:t xml:space="preserve"> </w:t>
      </w:r>
      <w:r>
        <w:t xml:space="preserve">O cumprimento provisório da sentença impugnada por recurso desprovido de efeito suspensivo será realizado da mesma forma que o cumprimento definitivo, sujeitando-se ao seguinte regime:</w:t>
      </w:r>
    </w:p>
    <w:p>
      <w:pPr>
        <w:pStyle w:val="BodyText"/>
        <w:spacing w:after="60"/>
        <w:jc w:val="both"/>
      </w:pPr>
      <w:r>
        <w:t xml:space="preserve">I - corre por iniciativa e responsabilidade do exequente, que se obriga, se a sentença for reformada, a reparar os danos que o executado haja sofrido;</w:t>
      </w:r>
    </w:p>
    <w:p>
      <w:pPr>
        <w:pStyle w:val="BodyText"/>
        <w:spacing w:after="60"/>
        <w:jc w:val="both"/>
      </w:pPr>
      <w:r>
        <w:t xml:space="preserve">II - fica sem efeito, sobrevindo decisão que modifique ou anule a sentença objeto da execução, restituindo-se as partes ao estado anterior e liquidando-se eventuais prejuízos nos mesmos autos;</w:t>
      </w:r>
    </w:p>
    <w:p>
      <w:pPr>
        <w:pStyle w:val="BodyText"/>
        <w:spacing w:after="60"/>
        <w:jc w:val="both"/>
      </w:pPr>
      <w:r>
        <w:t xml:space="preserve">III - se a sentença objeto de cumprimento provisório for modificada ou anulada apenas em parte, somente nesta ficará sem efeito a execução;</w:t>
      </w:r>
    </w:p>
    <w:p>
      <w:pPr>
        <w:pStyle w:val="BodyText"/>
        <w:keepNext/>
        <w:spacing w:after="60"/>
        <w:jc w:val="both"/>
      </w:pPr>
      <w:r>
        <w:t xml:space="preserve">IV - o levantamento de depósito em dinheiro e a prática de atos que importem transferência de posse ou alienação de propriedade ou de outro direito real, ou dos quais possa resultar grave dano ao executado, dependem de caução suficiente e idônea, arbitrada de plano pelo juiz e prestada nos próprios autos.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530"/>
        <w:gridCol w:w="1780"/>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IV — caução e levantamento de valores</w:t>
            </w:r>
          </w:p>
        </w:tc>
        <w:tc>
          <w:tcPr>
            <w:tcW w:type="dxa" w:w="1531"/>
          </w:tcPr>
          <w:p>
            <w:pPr>
              <w:pStyle w:val="Compact"/>
              <w:spacing w:line="276" w:lineRule="auto" w:before="40" w:after="40"/>
            </w:pPr>
            <w:r>
              <w:rPr>
                <w:rFonts w:ascii="Liberation Sans Narrow" w:hAnsi="Liberation Sans Narrow"/>
                <w:sz w:val="17"/>
              </w:rPr>
              <w:t xml:space="preserve">STJ, AgInt no REsp 2.254.607, Quarta Turma, relator Min. Raul Araújo, DJe de 25/09/2026</w:t>
            </w:r>
          </w:p>
        </w:tc>
        <w:tc>
          <w:tcPr>
            <w:tcW w:type="dxa" w:w="1780"/>
          </w:tcPr>
          <w:p>
            <w:pPr>
              <w:pStyle w:val="Compact"/>
              <w:spacing w:line="276" w:lineRule="auto" w:before="40" w:after="40"/>
            </w:pPr>
            <w:r>
              <w:rPr>
                <w:rFonts w:ascii="Liberation Sans Narrow" w:hAnsi="Liberation Sans Narrow"/>
                <w:sz w:val="17"/>
              </w:rPr>
              <w:t xml:space="preserve">O Tema 677/STJ — levantamento de depósito judicial condicionado à prestação de caução no cumprimento provisório — tem aplicação imediata aos processos em curso, inclusive quando o depósito foi efetuado sob o entendimento anterior, diante da ausência de modulação temporal.</w:t>
            </w:r>
          </w:p>
        </w:tc>
      </w:tr>
    </w:tbl>
    <w:p>
      <w:pPr>
        <w:pStyle w:val="BodyText"/>
        <w:spacing w:after="60"/>
        <w:jc w:val="both"/>
      </w:pPr>
      <w:r>
        <w:t xml:space="preserve">§ 1º No cumprimento provisório da sentença, o executado poderá apresentar impugnação, se quiser, nos termos do art. 525.</w:t>
      </w:r>
    </w:p>
    <w:p>
      <w:pPr>
        <w:pStyle w:val="BodyText"/>
        <w:spacing w:after="60"/>
        <w:jc w:val="both"/>
      </w:pPr>
      <w:r>
        <w:t xml:space="preserve">§ 2º A multa e os honorários a que se refere o § 1º do art. 523 são devidos no cumprimento provisório de sentença condenatória ao pagamento de quantia certa.</w:t>
      </w:r>
    </w:p>
    <w:p>
      <w:pPr>
        <w:pStyle w:val="BodyText"/>
        <w:spacing w:after="60"/>
        <w:jc w:val="both"/>
      </w:pPr>
      <w:r>
        <w:t xml:space="preserve">§ 3º Se o executado comparecer tempestivamente e depositar o valor, com a finalidade de isentar-se da multa, o ato não será havido como incompatível com o recurso por ele interposto.</w:t>
      </w:r>
    </w:p>
    <w:p>
      <w:pPr>
        <w:pStyle w:val="BodyText"/>
        <w:spacing w:after="60"/>
        <w:jc w:val="both"/>
      </w:pPr>
      <w:r>
        <w:t xml:space="preserve">§ 4º A restituição ao estado anterior a que se refere o inciso II não implica o desfazimento da transferência de posse ou da alienação de propriedade ou de outro direito real eventualmente já realizada, ressalvado, sempre, o direito à reparação dos prejuízos causados ao executado.</w:t>
      </w:r>
    </w:p>
    <w:p>
      <w:pPr>
        <w:pStyle w:val="BodyText"/>
        <w:spacing w:after="60"/>
        <w:jc w:val="both"/>
      </w:pPr>
      <w:r>
        <w:t xml:space="preserve">§ 5º Ao cumprimento provisório de sentença que reconheça obrigação de fazer, de não fazer ou de dar coisa aplica-se, no que couber, o disposto neste Capítulo.</w:t>
      </w:r>
    </w:p>
    <w:bookmarkEnd w:id="259"/>
    <w:bookmarkStart w:id="260" w:name="art.-521"/>
    <w:p>
      <w:pPr>
        <w:pStyle w:val="Heading6"/>
        <w:pBdr>
          <w:left w:val="single" w:sz="36" w:space="4" w:color="2E75B6"/>
        </w:pBdr>
        <w:shd w:val="clear" w:color="auto" w:fill="E3EEF9"/>
        <w:spacing w:before="120" w:after="60"/>
        <w:ind w:left="85"/>
      </w:pPr>
      <w:r>
        <w:rPr>
          <w:i w:val="0"/>
          <w:color w:val="1F3A5F"/>
          <w:sz w:val="22"/>
        </w:rPr>
        <w:t xml:space="preserve">Art. 521</w:t>
      </w:r>
    </w:p>
    <w:p>
      <w:pPr>
        <w:pStyle w:val="FirstParagraph"/>
        <w:keepNext/>
        <w:spacing w:after="60"/>
        <w:jc w:val="both"/>
      </w:pPr>
      <w:r>
        <w:rPr>
          <w:b/>
          <w:bCs/>
        </w:rPr>
        <w:t xml:space="preserve">Art. 521.</w:t>
      </w:r>
      <w:r>
        <w:t xml:space="preserve"> </w:t>
      </w:r>
      <w:r>
        <w:t xml:space="preserve">A caução prevista no inciso IV do art. 520 poderá ser dispensada nos casos em que: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655"/>
        <w:gridCol w:w="2528"/>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52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Cumprimento definitivo: levantamento de valores incontroversos sem caução</w:t>
            </w:r>
          </w:p>
        </w:tc>
        <w:tc>
          <w:tcPr>
            <w:tcW w:type="dxa" w:w="1655"/>
          </w:tcPr>
          <w:p>
            <w:pPr>
              <w:pStyle w:val="Compact"/>
              <w:spacing w:line="276" w:lineRule="auto" w:before="40" w:after="40"/>
            </w:pPr>
            <w:r>
              <w:rPr>
                <w:rFonts w:ascii="Liberation Sans Narrow" w:hAnsi="Liberation Sans Narrow"/>
                <w:sz w:val="17"/>
              </w:rPr>
              <w:t xml:space="preserve">STJ, REsp 2.100.037, Terceira Turma, relator Min. Humberto Martins, julgado em 13/10/2025, DJEN de 16/10/2025</w:t>
            </w:r>
          </w:p>
        </w:tc>
        <w:tc>
          <w:tcPr>
            <w:tcW w:type="dxa" w:w="2529"/>
          </w:tcPr>
          <w:p>
            <w:pPr>
              <w:pStyle w:val="Compact"/>
              <w:spacing w:line="276" w:lineRule="auto" w:before="40" w:after="40"/>
            </w:pPr>
            <w:r>
              <w:rPr>
                <w:rFonts w:ascii="Liberation Sans Narrow" w:hAnsi="Liberation Sans Narrow"/>
                <w:sz w:val="17"/>
              </w:rPr>
              <w:t xml:space="preserve">O cumprimento de sentença transitada em julgado é definitivo, ainda que pendente recurso contra a rejeição da impugnação ou da exceção de pré-executividade. A ausência de efeito suspensivo nos recursos especial e extraordinário não impede o levantamento de valores incontroversos, e a caução não é exigida no cumprimento definitivo.</w:t>
            </w:r>
          </w:p>
        </w:tc>
      </w:tr>
    </w:tbl>
    <w:p>
      <w:pPr>
        <w:pStyle w:val="BodyText"/>
        <w:spacing w:after="60"/>
        <w:jc w:val="both"/>
      </w:pPr>
      <w:r>
        <w:t xml:space="preserve">I - o crédito for de natureza alimentar, independentemente de sua origem;</w:t>
      </w:r>
    </w:p>
    <w:p>
      <w:pPr>
        <w:pStyle w:val="BodyText"/>
        <w:spacing w:after="60"/>
        <w:jc w:val="both"/>
      </w:pPr>
      <w:r>
        <w:t xml:space="preserve">II - o credor demonstrar situação de necessidade;</w:t>
      </w:r>
    </w:p>
    <w:p>
      <w:pPr>
        <w:pStyle w:val="BodyText"/>
        <w:spacing w:after="60"/>
        <w:jc w:val="both"/>
      </w:pPr>
      <w:r>
        <w:t xml:space="preserve">III – pender o agravo do art. 1.042; (Redação dada pela Lei nº 13.256, de 2016) (Vigência)</w:t>
      </w:r>
    </w:p>
    <w:p>
      <w:pPr>
        <w:pStyle w:val="BodyText"/>
        <w:spacing w:after="60"/>
        <w:jc w:val="both"/>
      </w:pPr>
      <w:r>
        <w:t xml:space="preserve">IV - a sentença a ser provisoriamente cumprida estiver em consonância com súmula da jurisprudência do Supremo Tribunal Federal ou do Superior Tribunal de Justiça ou em conformidade com acórdão proferido no julgamento de casos repetitivos.</w:t>
      </w:r>
    </w:p>
    <w:p>
      <w:pPr>
        <w:pStyle w:val="BodyText"/>
        <w:keepNext/>
        <w:spacing w:after="60"/>
        <w:jc w:val="both"/>
      </w:pPr>
      <w:r>
        <w:t xml:space="preserve">Parágrafo único. A exigência de caução será mantida quando da dispensa possa resultar manifesto risco de grave dano de difícil ou incerta reparação.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746"/>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46"/>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Parágrafo único — dispensa da caução e risco de dano</w:t>
            </w:r>
          </w:p>
        </w:tc>
        <w:tc>
          <w:tcPr>
            <w:tcW w:type="dxa" w:w="1655"/>
          </w:tcPr>
          <w:p>
            <w:pPr>
              <w:pStyle w:val="Compact"/>
              <w:spacing w:line="276" w:lineRule="auto" w:before="40" w:after="40"/>
            </w:pPr>
            <w:r>
              <w:rPr>
                <w:rFonts w:ascii="Liberation Sans Narrow" w:hAnsi="Liberation Sans Narrow"/>
                <w:sz w:val="17"/>
              </w:rPr>
              <w:t xml:space="preserve">STJ, AgInt na TutCautAnt 144, Terceira Turma, relator Min. Marco Aurélio Bellizze, julgado em 26/02/2024, DJe de 28/02/2024</w:t>
            </w:r>
          </w:p>
        </w:tc>
        <w:tc>
          <w:tcPr>
            <w:tcW w:type="dxa" w:w="1746"/>
          </w:tcPr>
          <w:p>
            <w:pPr>
              <w:pStyle w:val="Compact"/>
              <w:spacing w:line="276" w:lineRule="auto" w:before="40" w:after="40"/>
            </w:pPr>
            <w:r>
              <w:rPr>
                <w:rFonts w:ascii="Liberation Sans Narrow" w:hAnsi="Liberation Sans Narrow"/>
                <w:sz w:val="17"/>
              </w:rPr>
              <w:t xml:space="preserve">Ainda que presente hipótese de dispensa da caução do art. 521, a garantia será exigida quando a dispensa puder resultar manifesto risco de grave dano de difícil ou incerta reparação.</w:t>
            </w:r>
          </w:p>
        </w:tc>
      </w:tr>
    </w:tbl>
    <w:bookmarkEnd w:id="260"/>
    <w:bookmarkStart w:id="261" w:name="art.-522"/>
    <w:p>
      <w:pPr>
        <w:pStyle w:val="Heading6"/>
        <w:pBdr>
          <w:left w:val="single" w:sz="36" w:space="4" w:color="2E75B6"/>
        </w:pBdr>
        <w:shd w:val="clear" w:color="auto" w:fill="E3EEF9"/>
        <w:spacing w:before="120" w:after="60"/>
        <w:ind w:left="85"/>
      </w:pPr>
      <w:r>
        <w:rPr>
          <w:i w:val="0"/>
          <w:color w:val="1F3A5F"/>
          <w:sz w:val="22"/>
        </w:rPr>
        <w:t xml:space="preserve">Art. 522</w:t>
      </w:r>
    </w:p>
    <w:p>
      <w:pPr>
        <w:pStyle w:val="FirstParagraph"/>
        <w:spacing w:after="60"/>
        <w:jc w:val="both"/>
      </w:pPr>
      <w:r>
        <w:rPr>
          <w:b/>
          <w:bCs/>
        </w:rPr>
        <w:t xml:space="preserve">Art. 522.</w:t>
      </w:r>
      <w:r>
        <w:t xml:space="preserve"> </w:t>
      </w:r>
      <w:r>
        <w:t xml:space="preserve">O cumprimento provisório da sentença será requerido por petição dirigida ao juízo competente.</w:t>
      </w:r>
    </w:p>
    <w:p>
      <w:pPr>
        <w:pStyle w:val="BodyText"/>
        <w:spacing w:after="60"/>
        <w:jc w:val="both"/>
      </w:pPr>
      <w:r>
        <w:t xml:space="preserve">Parágrafo único. Não sendo eletrônicos os autos, a petição será acompanhada de cópias das seguintes peças do processo, cuja autenticidade poderá ser certificada pelo próprio advogado, sob sua responsabilidade pessoal:</w:t>
      </w:r>
    </w:p>
    <w:p>
      <w:pPr>
        <w:pStyle w:val="BodyText"/>
        <w:spacing w:after="60"/>
        <w:jc w:val="both"/>
      </w:pPr>
      <w:r>
        <w:t xml:space="preserve">I - decisão exequenda;</w:t>
      </w:r>
    </w:p>
    <w:p>
      <w:pPr>
        <w:pStyle w:val="BodyText"/>
        <w:spacing w:after="60"/>
        <w:jc w:val="both"/>
      </w:pPr>
      <w:r>
        <w:t xml:space="preserve">II - certidão de interposição do recurso não dotado de efeito suspensivo;</w:t>
      </w:r>
    </w:p>
    <w:p>
      <w:pPr>
        <w:pStyle w:val="BodyText"/>
        <w:spacing w:after="60"/>
        <w:jc w:val="both"/>
      </w:pPr>
      <w:r>
        <w:t xml:space="preserve">III - procurações outorgadas pelas partes;</w:t>
      </w:r>
    </w:p>
    <w:p>
      <w:pPr>
        <w:pStyle w:val="BodyText"/>
        <w:spacing w:after="60"/>
        <w:jc w:val="both"/>
      </w:pPr>
      <w:r>
        <w:t xml:space="preserve">IV - decisão de habilitação, se for o caso;</w:t>
      </w:r>
    </w:p>
    <w:p>
      <w:pPr>
        <w:pStyle w:val="BodyText"/>
        <w:spacing w:after="60"/>
        <w:jc w:val="both"/>
      </w:pPr>
      <w:r>
        <w:t xml:space="preserve">V - facultativamente, outras peças processuais consideradas necessárias para demonstrar a existência do crédito.</w:t>
      </w:r>
    </w:p>
    <w:bookmarkEnd w:id="261"/>
    <w:bookmarkEnd w:id="262"/>
    <w:bookmarkStart w:id="268" w:name="Xd2d9f3be43731ebec4fa4164bebdd26690bc534"/>
    <w:p>
      <w:pPr>
        <w:pStyle w:val="Heading4"/>
        <w:spacing w:before="80" w:after="40"/>
      </w:pPr>
      <w:r>
        <w:rPr>
          <w:smallCaps/>
          <w:color w:val="2E75B6"/>
        </w:rPr>
        <w:t xml:space="preserve">Capítulo III: do cumprimento definitivo da sentença que reconhece a exigibilidade de obrigação de pagar quantia certa (arts. 523 a 527)</w:t>
      </w:r>
    </w:p>
    <w:bookmarkStart w:id="263" w:name="art.-523"/>
    <w:p>
      <w:pPr>
        <w:pStyle w:val="Heading6"/>
        <w:pBdr>
          <w:left w:val="single" w:sz="36" w:space="4" w:color="2E75B6"/>
        </w:pBdr>
        <w:shd w:val="clear" w:color="auto" w:fill="E3EEF9"/>
        <w:spacing w:before="120" w:after="60"/>
        <w:ind w:left="85"/>
      </w:pPr>
      <w:r>
        <w:rPr>
          <w:i w:val="0"/>
          <w:color w:val="1F3A5F"/>
          <w:sz w:val="22"/>
        </w:rPr>
        <w:t xml:space="preserve">Art. 523</w:t>
      </w:r>
    </w:p>
    <w:p>
      <w:pPr>
        <w:pStyle w:val="FirstParagraph"/>
        <w:keepNext/>
        <w:spacing w:after="60"/>
        <w:jc w:val="both"/>
      </w:pPr>
      <w:r>
        <w:rPr>
          <w:b/>
          <w:bCs/>
        </w:rPr>
        <w:t xml:space="preserve">Art. 523.</w:t>
      </w:r>
      <w:r>
        <w:t xml:space="preserve"> </w:t>
      </w:r>
      <w:r>
        <w:t xml:space="preserve">No caso de condenação em quantia certa, ou já fixada em liquidação, e no caso de decisão sobre parcela incontroversa, o cumprimento definitivo da sentença far-se-á a requerimento do exequente, sendo o executado intimado para pagar o débito, no prazo de 15 (quinze) dias, acrescido de custas, se houver.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655"/>
        <w:gridCol w:w="2029"/>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Honorários no cumprimento de sentença proferida em mandado de segurança</w:t>
            </w:r>
          </w:p>
        </w:tc>
        <w:tc>
          <w:tcPr>
            <w:tcW w:type="dxa" w:w="1655"/>
          </w:tcPr>
          <w:p>
            <w:pPr>
              <w:pStyle w:val="Compact"/>
              <w:spacing w:line="276" w:lineRule="auto" w:before="40" w:after="40"/>
            </w:pPr>
            <w:r>
              <w:rPr>
                <w:rFonts w:ascii="Liberation Sans Narrow" w:hAnsi="Liberation Sans Narrow"/>
                <w:sz w:val="17"/>
              </w:rPr>
              <w:t xml:space="preserve">STJ, Tema Repetitivo 1232, REsp 2.053.306, Primeira Seção, relator Min. Sérgio Kukina, julgado em 27/11/2024, DJe de 04/12/2024</w:t>
            </w:r>
          </w:p>
        </w:tc>
        <w:tc>
          <w:tcPr>
            <w:tcW w:type="dxa" w:w="2030"/>
          </w:tcPr>
          <w:p>
            <w:pPr>
              <w:pStyle w:val="Compact"/>
              <w:spacing w:line="276" w:lineRule="auto" w:before="40" w:after="40"/>
            </w:pPr>
            <w:r>
              <w:rPr>
                <w:rFonts w:ascii="Liberation Sans Narrow" w:hAnsi="Liberation Sans Narrow"/>
                <w:sz w:val="17"/>
              </w:rPr>
              <w:t xml:space="preserve">Nos termos do art. 25 da Lei n. 12.016/2009, não se revela cabível a fixação de honorários de sucumbência em cumprimento de sentença proferida em mandado de segurança individual, ainda que dela resultem efeitos patrimoniais a serem saldados dentro dos mesmos autos.</w:t>
            </w:r>
          </w:p>
        </w:tc>
      </w:tr>
      <w:tr>
        <w:trPr>
          <w:cantSplit/>
        </w:trPr>
        <w:tc>
          <w:tcPr>
            <w:tcW w:type="dxa" w:w="2030"/>
          </w:tcPr>
          <w:p>
            <w:pPr>
              <w:pStyle w:val="Compact"/>
              <w:spacing w:line="276" w:lineRule="auto" w:before="40" w:after="40"/>
            </w:pPr>
            <w:r>
              <w:rPr>
                <w:rFonts w:ascii="Liberation Sans Narrow" w:hAnsi="Liberation Sans Narrow"/>
                <w:sz w:val="17"/>
              </w:rPr>
              <w:t xml:space="preserve">Cumprimento provisório convolado em definitivo: intimação do devedor</w:t>
            </w:r>
          </w:p>
        </w:tc>
        <w:tc>
          <w:tcPr>
            <w:tcW w:type="dxa" w:w="1655"/>
          </w:tcPr>
          <w:p>
            <w:pPr>
              <w:pStyle w:val="Compact"/>
              <w:spacing w:line="276" w:lineRule="auto" w:before="40" w:after="40"/>
            </w:pPr>
            <w:r>
              <w:rPr>
                <w:rFonts w:ascii="Liberation Sans Narrow" w:hAnsi="Liberation Sans Narrow"/>
                <w:sz w:val="17"/>
              </w:rPr>
              <w:t xml:space="preserve">STJ, REsp 1.997.512, Terceira Turma, relator Min. Ricardo Villas Bôas Cueva, julgado em 17/03/2026, DJEN de 20/03/2026</w:t>
            </w:r>
          </w:p>
        </w:tc>
        <w:tc>
          <w:tcPr>
            <w:tcW w:type="dxa" w:w="2030"/>
          </w:tcPr>
          <w:p>
            <w:pPr>
              <w:pStyle w:val="Compact"/>
              <w:spacing w:line="276" w:lineRule="auto" w:before="40" w:after="40"/>
            </w:pPr>
            <w:r>
              <w:rPr>
                <w:rFonts w:ascii="Liberation Sans Narrow" w:hAnsi="Liberation Sans Narrow"/>
                <w:sz w:val="17"/>
              </w:rPr>
              <w:t xml:space="preserve">Convolado o cumprimento provisório em definitivo, o devedor deve ser intimado para dar início ao prazo de 15 dias para pagar ou impugnar (art. 523, caput). Ainda que tenha havido intimação no cumprimento provisório, o cumprimento definitivo depende de iniciativa do credor após o trânsito em julgado.</w:t>
            </w:r>
          </w:p>
        </w:tc>
      </w:tr>
      <w:tr>
        <w:trPr>
          <w:cantSplit/>
        </w:trPr>
        <w:tc>
          <w:tcPr>
            <w:tcW w:type="dxa" w:w="2030"/>
          </w:tcPr>
          <w:p>
            <w:pPr>
              <w:pStyle w:val="Compact"/>
              <w:spacing w:line="276" w:lineRule="auto" w:before="40" w:after="40"/>
            </w:pPr>
            <w:r>
              <w:rPr>
                <w:rFonts w:ascii="Liberation Sans Narrow" w:hAnsi="Liberation Sans Narrow"/>
                <w:sz w:val="17"/>
              </w:rPr>
              <w:t xml:space="preserve">Caput: natureza do prazo de 15 dias para o pagamento voluntário</w:t>
            </w:r>
          </w:p>
        </w:tc>
        <w:tc>
          <w:tcPr>
            <w:tcW w:type="dxa" w:w="1655"/>
          </w:tcPr>
          <w:p>
            <w:pPr>
              <w:pStyle w:val="Compact"/>
              <w:spacing w:line="276" w:lineRule="auto" w:before="40" w:after="40"/>
            </w:pPr>
            <w:r>
              <w:rPr>
                <w:rFonts w:ascii="Liberation Sans Narrow" w:hAnsi="Liberation Sans Narrow"/>
                <w:sz w:val="17"/>
              </w:rPr>
              <w:t xml:space="preserve">STJ, REsp 1.708.348, Terceira Turma, relator Min. Marco Aurélio Bellizze, julgado em 25/06/2019, DJe de 01/08/2019</w:t>
            </w:r>
          </w:p>
        </w:tc>
        <w:tc>
          <w:tcPr>
            <w:tcW w:type="dxa" w:w="2030"/>
          </w:tcPr>
          <w:p>
            <w:pPr>
              <w:pStyle w:val="Compact"/>
              <w:spacing w:line="276" w:lineRule="auto" w:before="40" w:after="40"/>
            </w:pPr>
            <w:r>
              <w:rPr>
                <w:rFonts w:ascii="Liberation Sans Narrow" w:hAnsi="Liberation Sans Narrow"/>
                <w:sz w:val="17"/>
              </w:rPr>
              <w:t xml:space="preserve">O prazo de 15 dias do art. 523, caput, tem natureza processual e conta-se em dias úteis (art. 219). A intimação se faz, em regra, na pessoa do advogado (art. 513, § 2º, I), a quem cabe comunicar o cliente das consequências do não pagamento.</w:t>
            </w:r>
          </w:p>
        </w:tc>
      </w:tr>
      <w:tr>
        <w:trPr>
          <w:cantSplit/>
        </w:trPr>
        <w:tc>
          <w:tcPr>
            <w:tcW w:type="dxa" w:w="2030"/>
          </w:tcPr>
          <w:p>
            <w:pPr>
              <w:pStyle w:val="Compact"/>
              <w:spacing w:line="276" w:lineRule="auto" w:before="40" w:after="40"/>
            </w:pPr>
            <w:r>
              <w:rPr>
                <w:rFonts w:ascii="Liberation Sans Narrow" w:hAnsi="Liberation Sans Narrow"/>
                <w:sz w:val="17"/>
              </w:rPr>
              <w:t xml:space="preserve">Caput: prazo em dobro para litisconsortes com procuradores distintos (autos físicos)</w:t>
            </w:r>
          </w:p>
        </w:tc>
        <w:tc>
          <w:tcPr>
            <w:tcW w:type="dxa" w:w="1655"/>
          </w:tcPr>
          <w:p>
            <w:pPr>
              <w:pStyle w:val="Compact"/>
              <w:spacing w:line="276" w:lineRule="auto" w:before="40" w:after="40"/>
            </w:pPr>
            <w:r>
              <w:rPr>
                <w:rFonts w:ascii="Liberation Sans Narrow" w:hAnsi="Liberation Sans Narrow"/>
                <w:sz w:val="17"/>
              </w:rPr>
              <w:t xml:space="preserve">STJ, REsp 1.693.784, Quarta Turma, relator Min. Luis Felipe Salomão, julgado em 28/11/2017, DJe de 05/02/2018</w:t>
            </w:r>
          </w:p>
        </w:tc>
        <w:tc>
          <w:tcPr>
            <w:tcW w:type="dxa" w:w="2030"/>
          </w:tcPr>
          <w:p>
            <w:pPr>
              <w:pStyle w:val="Compact"/>
              <w:spacing w:line="276" w:lineRule="auto" w:before="40" w:after="40"/>
            </w:pPr>
            <w:r>
              <w:rPr>
                <w:rFonts w:ascii="Liberation Sans Narrow" w:hAnsi="Liberation Sans Narrow"/>
                <w:sz w:val="17"/>
              </w:rPr>
              <w:t xml:space="preserve">O prazo de 15 dias úteis para o pagamento voluntário é contado em dobro quando há litisconsortes com procuradores de escritórios distintos, em autos físicos (art. 229), pois a intimação se faz pelo advogado, a quem cabe avisar o devedor.</w:t>
            </w:r>
          </w:p>
        </w:tc>
      </w:tr>
    </w:tbl>
    <w:p>
      <w:pPr>
        <w:pStyle w:val="BodyText"/>
        <w:keepNext/>
        <w:spacing w:after="60"/>
        <w:jc w:val="both"/>
      </w:pPr>
      <w:r>
        <w:t xml:space="preserve">§ 1º Não ocorrendo pagamento voluntário no prazo do caput , o débito será acrescido de multa de dez por cento e, também, de honorários de advogado de dez por cento.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27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 1º — multa e pagamento voluntário</w:t>
            </w:r>
          </w:p>
        </w:tc>
        <w:tc>
          <w:tcPr>
            <w:tcW w:type="dxa" w:w="1655"/>
          </w:tcPr>
          <w:p>
            <w:pPr>
              <w:pStyle w:val="Compact"/>
              <w:spacing w:line="276" w:lineRule="auto" w:before="40" w:after="40"/>
            </w:pPr>
            <w:r>
              <w:rPr>
                <w:rFonts w:ascii="Liberation Sans Narrow" w:hAnsi="Liberation Sans Narrow"/>
                <w:sz w:val="17"/>
              </w:rPr>
              <w:t xml:space="preserve">STJ, AgInt no AREsp 3.049.826, Quarta Turma, relatora Min. Maria Isabel Gallotti, DJe de 18/09/2026</w:t>
            </w:r>
          </w:p>
        </w:tc>
        <w:tc>
          <w:tcPr>
            <w:tcW w:type="dxa" w:w="2279"/>
          </w:tcPr>
          <w:p>
            <w:pPr>
              <w:pStyle w:val="Compact"/>
              <w:spacing w:line="276" w:lineRule="auto" w:before="40" w:after="40"/>
            </w:pPr>
            <w:r>
              <w:rPr>
                <w:rFonts w:ascii="Liberation Sans Narrow" w:hAnsi="Liberation Sans Narrow"/>
                <w:sz w:val="17"/>
              </w:rPr>
              <w:t xml:space="preserve">O depósito judicial realizado como contracautela em ação cautelar de sustação de protesto não configura pagamento voluntário nem purga a mora, incidindo a multa do art. 523, § 1º, conforme o Tema 677/STJ.</w:t>
            </w:r>
          </w:p>
        </w:tc>
      </w:tr>
      <w:tr>
        <w:trPr>
          <w:cantSplit/>
        </w:trPr>
        <w:tc>
          <w:tcPr>
            <w:tcW w:type="dxa" w:w="1531"/>
          </w:tcPr>
          <w:p>
            <w:pPr>
              <w:pStyle w:val="Compact"/>
              <w:spacing w:line="276" w:lineRule="auto" w:before="40" w:after="40"/>
            </w:pPr>
            <w:r>
              <w:rPr>
                <w:rFonts w:ascii="Liberation Sans Narrow" w:hAnsi="Liberation Sans Narrow"/>
                <w:sz w:val="17"/>
              </w:rPr>
              <w:t xml:space="preserve">§ 1º: multa de 10% e depósito integral no prazo sem impugnação</w:t>
            </w:r>
          </w:p>
        </w:tc>
        <w:tc>
          <w:tcPr>
            <w:tcW w:type="dxa" w:w="1655"/>
          </w:tcPr>
          <w:p>
            <w:pPr>
              <w:pStyle w:val="Compact"/>
              <w:spacing w:line="276" w:lineRule="auto" w:before="40" w:after="40"/>
            </w:pPr>
            <w:r>
              <w:rPr>
                <w:rFonts w:ascii="Liberation Sans Narrow" w:hAnsi="Liberation Sans Narrow"/>
                <w:sz w:val="17"/>
              </w:rPr>
              <w:t xml:space="preserve">STJ, REsp 1.834.337, Terceira Turma, relatora Min. Nancy Andrighi, julgado em 03/12/2019, DJe de 05/12/2019</w:t>
            </w:r>
          </w:p>
        </w:tc>
        <w:tc>
          <w:tcPr>
            <w:tcW w:type="dxa" w:w="2279"/>
          </w:tcPr>
          <w:p>
            <w:pPr>
              <w:pStyle w:val="Compact"/>
              <w:spacing w:line="276" w:lineRule="auto" w:before="40" w:after="40"/>
            </w:pPr>
            <w:r>
              <w:rPr>
                <w:rFonts w:ascii="Liberation Sans Narrow" w:hAnsi="Liberation Sans Narrow"/>
                <w:sz w:val="17"/>
              </w:rPr>
              <w:t xml:space="preserve">A multa do art. 523, § 1º, depende da intempestividade do pagamento ou da resistência na fase de cumprimento. Não se aplica ao devedor que deposita integralmente a quantia no prazo legal e não impugna, pelo caráter coercitivo da multa.</w:t>
            </w:r>
          </w:p>
        </w:tc>
      </w:tr>
    </w:tbl>
    <w:p>
      <w:pPr>
        <w:pStyle w:val="BodyText"/>
        <w:spacing w:after="60"/>
        <w:jc w:val="both"/>
      </w:pPr>
      <w:r>
        <w:t xml:space="preserve">§ 2º Efetuado o pagamento parcial no prazo previsto no caput , a multa e os honorários previstos no § 1º incidirão sobre o restante.</w:t>
      </w:r>
    </w:p>
    <w:p>
      <w:pPr>
        <w:pStyle w:val="BodyText"/>
        <w:spacing w:after="60"/>
        <w:jc w:val="both"/>
      </w:pPr>
      <w:r>
        <w:t xml:space="preserve">§ 3º Não efetuado tempestivamente o pagamento voluntário, será expedido, desde logo, mandado de penhora e avaliação, seguindo-se os atos de expropriação.</w:t>
      </w:r>
    </w:p>
    <w:bookmarkEnd w:id="263"/>
    <w:bookmarkStart w:id="264" w:name="art.-524"/>
    <w:p>
      <w:pPr>
        <w:pStyle w:val="Heading6"/>
        <w:pBdr>
          <w:left w:val="single" w:sz="36" w:space="4" w:color="2E75B6"/>
        </w:pBdr>
        <w:shd w:val="clear" w:color="auto" w:fill="E3EEF9"/>
        <w:spacing w:before="120" w:after="60"/>
        <w:ind w:left="85"/>
      </w:pPr>
      <w:r>
        <w:rPr>
          <w:i w:val="0"/>
          <w:color w:val="1F3A5F"/>
          <w:sz w:val="22"/>
        </w:rPr>
        <w:t xml:space="preserve">Art. 524</w:t>
      </w:r>
    </w:p>
    <w:p>
      <w:pPr>
        <w:pStyle w:val="FirstParagraph"/>
        <w:keepNext/>
        <w:spacing w:after="60"/>
        <w:jc w:val="both"/>
      </w:pPr>
      <w:r>
        <w:rPr>
          <w:b/>
          <w:bCs/>
        </w:rPr>
        <w:t xml:space="preserve">Art. 524.</w:t>
      </w:r>
      <w:r>
        <w:t xml:space="preserve"> </w:t>
      </w:r>
      <w:r>
        <w:t xml:space="preserve">O requerimento previsto no art. 523 será instruído com demonstrativo discriminado e atualizado do crédito, devendo a petição conter: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530"/>
        <w:gridCol w:w="1905"/>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Caput — demonstrativo discriminado e atualizado do crédito (regularização antes da extinção)</w:t>
            </w:r>
          </w:p>
        </w:tc>
        <w:tc>
          <w:tcPr>
            <w:tcW w:type="dxa" w:w="1531"/>
          </w:tcPr>
          <w:p>
            <w:pPr>
              <w:pStyle w:val="Compact"/>
              <w:spacing w:line="276" w:lineRule="auto" w:before="40" w:after="40"/>
            </w:pPr>
            <w:r>
              <w:rPr>
                <w:rFonts w:ascii="Liberation Sans Narrow" w:hAnsi="Liberation Sans Narrow"/>
                <w:sz w:val="17"/>
              </w:rPr>
              <w:t xml:space="preserve">STJ, AgInt no AREsp 3.102.461, Segunda Turma, relator Min. Marco Aurélio Bellizze, julgado em 24/06/2026</w:t>
            </w:r>
          </w:p>
        </w:tc>
        <w:tc>
          <w:tcPr>
            <w:tcW w:type="dxa" w:w="1905"/>
          </w:tcPr>
          <w:p>
            <w:pPr>
              <w:pStyle w:val="Compact"/>
              <w:spacing w:line="276" w:lineRule="auto" w:before="40" w:after="40"/>
            </w:pPr>
            <w:r>
              <w:rPr>
                <w:rFonts w:ascii="Liberation Sans Narrow" w:hAnsi="Liberation Sans Narrow"/>
                <w:sz w:val="17"/>
              </w:rPr>
              <w:t xml:space="preserve">A ausência do demonstrativo do débito não autoriza a extinção imediata da execução: antes de extingui-la, o juiz deve intimar o exequente a fim de que regularize a deficiência do demonstrativo discriminado e atualizado exigido pelo art. 524.</w:t>
            </w:r>
          </w:p>
        </w:tc>
      </w:tr>
    </w:tbl>
    <w:p>
      <w:pPr>
        <w:pStyle w:val="BodyText"/>
        <w:spacing w:after="60"/>
        <w:jc w:val="both"/>
      </w:pPr>
      <w:r>
        <w:t xml:space="preserve">I - o nome completo, o número de inscrição no Cadastro de Pessoas Físicas ou no Cadastro Nacional da Pessoa Jurídica do exequente e do executado, observado o disposto no art. 319, §§ 1º a 3º;</w:t>
      </w:r>
    </w:p>
    <w:p>
      <w:pPr>
        <w:pStyle w:val="BodyText"/>
        <w:spacing w:after="60"/>
        <w:jc w:val="both"/>
      </w:pPr>
      <w:r>
        <w:t xml:space="preserve">II - o índice de correção monetária adotado;</w:t>
      </w:r>
    </w:p>
    <w:p>
      <w:pPr>
        <w:pStyle w:val="BodyText"/>
        <w:spacing w:after="60"/>
        <w:jc w:val="both"/>
      </w:pPr>
      <w:r>
        <w:t xml:space="preserve">III - os juros aplicados e as respectivas taxas;</w:t>
      </w:r>
    </w:p>
    <w:p>
      <w:pPr>
        <w:pStyle w:val="BodyText"/>
        <w:spacing w:after="60"/>
        <w:jc w:val="both"/>
      </w:pPr>
      <w:r>
        <w:t xml:space="preserve">IV - o termo inicial e o termo final dos juros e da correção monetária utilizados;</w:t>
      </w:r>
    </w:p>
    <w:p>
      <w:pPr>
        <w:pStyle w:val="BodyText"/>
        <w:spacing w:after="60"/>
        <w:jc w:val="both"/>
      </w:pPr>
      <w:r>
        <w:t xml:space="preserve">V - a periodicidade da capitalização dos juros, se for o caso;</w:t>
      </w:r>
    </w:p>
    <w:p>
      <w:pPr>
        <w:pStyle w:val="BodyText"/>
        <w:spacing w:after="60"/>
        <w:jc w:val="both"/>
      </w:pPr>
      <w:r>
        <w:t xml:space="preserve">VI - especificação dos eventuais descontos obrigatórios realizados;</w:t>
      </w:r>
    </w:p>
    <w:p>
      <w:pPr>
        <w:pStyle w:val="BodyText"/>
        <w:spacing w:after="60"/>
        <w:jc w:val="both"/>
      </w:pPr>
      <w:r>
        <w:t xml:space="preserve">VII - indicação dos bens passíveis de penhora, sempre que possível.</w:t>
      </w:r>
    </w:p>
    <w:p>
      <w:pPr>
        <w:pStyle w:val="BodyText"/>
        <w:spacing w:after="60"/>
        <w:jc w:val="both"/>
      </w:pPr>
      <w:r>
        <w:t xml:space="preserve">§ 1º Quando o valor apontado no demonstrativo aparentemente exceder os limites da condenação, a execução será iniciada pelo valor pretendido, mas a penhora terá por base a importância que o juiz entender adequada.</w:t>
      </w:r>
    </w:p>
    <w:p>
      <w:pPr>
        <w:pStyle w:val="BodyText"/>
        <w:spacing w:after="60"/>
        <w:jc w:val="both"/>
      </w:pPr>
      <w:r>
        <w:t xml:space="preserve">§ 2º Para a verificação dos cálculos, o juiz poderá valer-se de contabilista do juízo, que terá o prazo máximo de 30 (trinta) dias para efetuá-la, exceto se outro lhe for determinado.</w:t>
      </w:r>
    </w:p>
    <w:p>
      <w:pPr>
        <w:pStyle w:val="BodyText"/>
        <w:spacing w:after="60"/>
        <w:jc w:val="both"/>
      </w:pPr>
      <w:r>
        <w:t xml:space="preserve">§ 3º Quando a elaboração do demonstrativo depender de dados em poder de terceiros ou do executado, o juiz poderá requisitá-los, sob cominação do crime de desobediência.</w:t>
      </w:r>
    </w:p>
    <w:p>
      <w:pPr>
        <w:pStyle w:val="BodyText"/>
        <w:spacing w:after="60"/>
        <w:jc w:val="both"/>
      </w:pPr>
      <w:r>
        <w:t xml:space="preserve">§ 4º Quando a complementação do demonstrativo depender de dados adicionais em poder do executado, o juiz poderá, a requerimento do exequente, requisitá-los, fixando prazo de até 30 (trinta) dias para o cumprimento da diligência.</w:t>
      </w:r>
    </w:p>
    <w:p>
      <w:pPr>
        <w:pStyle w:val="BodyText"/>
        <w:spacing w:after="60"/>
        <w:jc w:val="both"/>
      </w:pPr>
      <w:r>
        <w:t xml:space="preserve">§ 5º Se os dados adicionais a que se refere o § 4º não forem apresentados pelo executado, sem justificativa, no prazo designado, reputar-se-ão corretos os cálculos apresentados pelo exequente apenas com base nos dados de que dispõe.</w:t>
      </w:r>
    </w:p>
    <w:bookmarkEnd w:id="264"/>
    <w:bookmarkStart w:id="265" w:name="art.-525"/>
    <w:p>
      <w:pPr>
        <w:pStyle w:val="Heading6"/>
        <w:pBdr>
          <w:left w:val="single" w:sz="36" w:space="4" w:color="2E75B6"/>
        </w:pBdr>
        <w:shd w:val="clear" w:color="auto" w:fill="E3EEF9"/>
        <w:spacing w:before="120" w:after="60"/>
        <w:ind w:left="85"/>
      </w:pPr>
      <w:r>
        <w:rPr>
          <w:i w:val="0"/>
          <w:color w:val="1F3A5F"/>
          <w:sz w:val="22"/>
        </w:rPr>
        <w:t xml:space="preserve">Art. 525</w:t>
      </w:r>
    </w:p>
    <w:p>
      <w:pPr>
        <w:pStyle w:val="FirstParagraph"/>
        <w:keepNext/>
        <w:spacing w:after="60"/>
        <w:jc w:val="both"/>
      </w:pPr>
      <w:r>
        <w:rPr>
          <w:b/>
          <w:bCs/>
        </w:rPr>
        <w:t xml:space="preserve">Art. 525.</w:t>
      </w:r>
      <w:r>
        <w:t xml:space="preserve"> </w:t>
      </w:r>
      <w:r>
        <w:t xml:space="preserve">Transcorrido o prazo previsto no art. 523 sem o pagamento voluntário, inicia-se o prazo de 15 (quinze) dias para que o executado, independentemente de penhora ou nova intimação, apresente, nos próprios autos, sua impugnação.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404"/>
        <w:gridCol w:w="1655"/>
        <w:gridCol w:w="2404"/>
      </w:tblGrid>
      <w:tr>
        <w:trPr>
          <w:tblHeader w:val="on"/>
          <w:cantSplit/>
          <w:tblHeader/>
        </w:trPr>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404"/>
          </w:tcPr>
          <w:p>
            <w:pPr>
              <w:pStyle w:val="Compact"/>
              <w:spacing w:line="276" w:lineRule="auto" w:before="40" w:after="40"/>
            </w:pPr>
            <w:r>
              <w:rPr>
                <w:rFonts w:ascii="Liberation Sans Narrow" w:hAnsi="Liberation Sans Narrow"/>
                <w:sz w:val="17"/>
              </w:rPr>
              <w:t xml:space="preserve">Impugnação ao cumprimento: impenhorabilidade de quantia até 40 salários mínimos não é matéria de ordem pública</w:t>
            </w:r>
          </w:p>
        </w:tc>
        <w:tc>
          <w:tcPr>
            <w:tcW w:type="dxa" w:w="1655"/>
          </w:tcPr>
          <w:p>
            <w:pPr>
              <w:pStyle w:val="Compact"/>
              <w:spacing w:line="276" w:lineRule="auto" w:before="40" w:after="40"/>
            </w:pPr>
            <w:r>
              <w:rPr>
                <w:rFonts w:ascii="Liberation Sans Narrow" w:hAnsi="Liberation Sans Narrow"/>
                <w:sz w:val="17"/>
              </w:rPr>
              <w:t xml:space="preserve">STJ, Tema Repetitivo 1235, REsp 2.061.973, Corte Especial, relatora Min. Nancy Andrighi, julgado em 02/10/2024, DJe de 07/10/2024</w:t>
            </w:r>
          </w:p>
        </w:tc>
        <w:tc>
          <w:tcPr>
            <w:tcW w:type="dxa" w:w="2404"/>
          </w:tcPr>
          <w:p>
            <w:pPr>
              <w:pStyle w:val="Compact"/>
              <w:spacing w:line="276" w:lineRule="auto" w:before="40" w:after="40"/>
            </w:pPr>
            <w:r>
              <w:rPr>
                <w:rFonts w:ascii="Liberation Sans Narrow" w:hAnsi="Liberation Sans Narrow"/>
                <w:sz w:val="17"/>
              </w:rPr>
              <w:t xml:space="preserve">A impenhorabilidade de quantia inferior a 40 salários mínimos (art. 833, X, do CPC) não é matéria de ordem pública e não pode ser reconhecida de ofício pelo juiz, devendo ser arguida pelo executado no primeiro momento em que lhe couber falar nos autos ou em sede de embargos à execução ou impugnação ao cumprimento de sentença, sob pena de preclusão.</w:t>
            </w:r>
          </w:p>
        </w:tc>
      </w:tr>
    </w:tbl>
    <w:p>
      <w:pPr>
        <w:pStyle w:val="BodyText"/>
        <w:keepNext/>
        <w:spacing w:after="60"/>
        <w:jc w:val="both"/>
      </w:pPr>
      <w:r>
        <w:t xml:space="preserve">§ 1º Na impugnação, o executado poderá alegar: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746"/>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46"/>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 1º e 6º: garantia do juízo não é requisito da impugnação nem altera o termo inicial do prazo</w:t>
            </w:r>
          </w:p>
        </w:tc>
        <w:tc>
          <w:tcPr>
            <w:tcW w:type="dxa" w:w="1655"/>
          </w:tcPr>
          <w:p>
            <w:pPr>
              <w:pStyle w:val="Compact"/>
              <w:spacing w:line="276" w:lineRule="auto" w:before="40" w:after="40"/>
            </w:pPr>
            <w:r>
              <w:rPr>
                <w:rFonts w:ascii="Liberation Sans Narrow" w:hAnsi="Liberation Sans Narrow"/>
                <w:sz w:val="17"/>
              </w:rPr>
              <w:t xml:space="preserve">STJ, REsp 1.761.068, Terceira Turma, relator Min. Ricardo Villas Bôas Cueva, julgado em 15/12/2020, DJe de 18/12/2020</w:t>
            </w:r>
          </w:p>
        </w:tc>
        <w:tc>
          <w:tcPr>
            <w:tcW w:type="dxa" w:w="1746"/>
          </w:tcPr>
          <w:p>
            <w:pPr>
              <w:pStyle w:val="Compact"/>
              <w:spacing w:line="276" w:lineRule="auto" w:before="40" w:after="40"/>
            </w:pPr>
            <w:r>
              <w:rPr>
                <w:rFonts w:ascii="Liberation Sans Narrow" w:hAnsi="Liberation Sans Narrow"/>
                <w:sz w:val="17"/>
              </w:rPr>
              <w:t xml:space="preserve">No CPC/2015 a garantia do juízo deixa de ser requisito da impugnação e passa a ser apenas condição para a suspensão dos atos executivos (§ 6º); por isso, o depósito feito durante o prazo de pagamento voluntário não modifica o termo inicial do prazo de 15 dias para impugnar.</w:t>
            </w:r>
          </w:p>
        </w:tc>
      </w:tr>
    </w:tbl>
    <w:p>
      <w:pPr>
        <w:pStyle w:val="BodyText"/>
        <w:spacing w:after="60"/>
        <w:jc w:val="both"/>
      </w:pPr>
      <w:r>
        <w:t xml:space="preserve">I - falta ou nulidade da citação se, na fase de conhecimento, o processo correu à revelia;</w:t>
      </w:r>
    </w:p>
    <w:p>
      <w:pPr>
        <w:pStyle w:val="BodyText"/>
        <w:spacing w:after="60"/>
        <w:jc w:val="both"/>
      </w:pPr>
      <w:r>
        <w:t xml:space="preserve">II - ilegitimidade de parte;</w:t>
      </w:r>
    </w:p>
    <w:p>
      <w:pPr>
        <w:pStyle w:val="BodyText"/>
        <w:spacing w:after="60"/>
        <w:jc w:val="both"/>
      </w:pPr>
      <w:r>
        <w:t xml:space="preserve">III - inexequibilidade do título ou inexigibilidade da obrigação;</w:t>
      </w:r>
    </w:p>
    <w:p>
      <w:pPr>
        <w:pStyle w:val="BodyText"/>
        <w:spacing w:after="60"/>
        <w:jc w:val="both"/>
      </w:pPr>
      <w:r>
        <w:t xml:space="preserve">IV - penhora incorreta ou avaliação errônea;</w:t>
      </w:r>
    </w:p>
    <w:p>
      <w:pPr>
        <w:pStyle w:val="BodyText"/>
        <w:spacing w:after="60"/>
        <w:jc w:val="both"/>
      </w:pPr>
      <w:r>
        <w:t xml:space="preserve">V - excesso de execução ou cumulação indevida de execuções;</w:t>
      </w:r>
    </w:p>
    <w:p>
      <w:pPr>
        <w:pStyle w:val="BodyText"/>
        <w:spacing w:after="60"/>
        <w:jc w:val="both"/>
      </w:pPr>
      <w:r>
        <w:t xml:space="preserve">VI - incompetência absoluta ou relativa do juízo da execução;</w:t>
      </w:r>
    </w:p>
    <w:p>
      <w:pPr>
        <w:pStyle w:val="BodyText"/>
        <w:spacing w:after="60"/>
        <w:jc w:val="both"/>
      </w:pPr>
      <w:r>
        <w:t xml:space="preserve">VII - qualquer causa modificativa ou extintiva da obrigação, como pagamento, novação, compensação, transação ou prescrição, desde que supervenientes à sentença.</w:t>
      </w:r>
    </w:p>
    <w:p>
      <w:pPr>
        <w:pStyle w:val="BodyText"/>
        <w:spacing w:after="60"/>
        <w:jc w:val="both"/>
      </w:pPr>
      <w:r>
        <w:t xml:space="preserve">§ 2º A alegação de impedimento ou suspeição observará o disposto nos arts. 146 e 148.</w:t>
      </w:r>
    </w:p>
    <w:p>
      <w:pPr>
        <w:pStyle w:val="BodyText"/>
        <w:spacing w:after="60"/>
        <w:jc w:val="both"/>
      </w:pPr>
      <w:r>
        <w:t xml:space="preserve">§ 3º Aplica-se à impugnação o disposto no art. 229.</w:t>
      </w:r>
    </w:p>
    <w:p>
      <w:pPr>
        <w:pStyle w:val="BodyText"/>
        <w:keepNext/>
        <w:spacing w:after="60"/>
        <w:jc w:val="both"/>
      </w:pPr>
      <w:r>
        <w:t xml:space="preserve">§ 4º Quando o executado alegar que o exequente, em excesso de execução, pleiteia quantia superior à resultante da sentença, cumprir-lhe-á declarar de imediato o valor que entende correto, apresentando demonstrativo discriminado e atualizado de seu cálculo.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530"/>
        <w:gridCol w:w="1905"/>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 4º — indicação do valor correto e demonstrativo na alegação de excesso de execução</w:t>
            </w:r>
          </w:p>
        </w:tc>
        <w:tc>
          <w:tcPr>
            <w:tcW w:type="dxa" w:w="1531"/>
          </w:tcPr>
          <w:p>
            <w:pPr>
              <w:pStyle w:val="Compact"/>
              <w:spacing w:line="276" w:lineRule="auto" w:before="40" w:after="40"/>
            </w:pPr>
            <w:r>
              <w:rPr>
                <w:rFonts w:ascii="Liberation Sans Narrow" w:hAnsi="Liberation Sans Narrow"/>
                <w:sz w:val="17"/>
              </w:rPr>
              <w:t xml:space="preserve">STJ, AREsp 2.708.360, Quarta Turma, relator Min. Raul Araújo, julgado em 09/03/2026</w:t>
            </w:r>
          </w:p>
        </w:tc>
        <w:tc>
          <w:tcPr>
            <w:tcW w:type="dxa" w:w="1905"/>
          </w:tcPr>
          <w:p>
            <w:pPr>
              <w:pStyle w:val="Compact"/>
              <w:spacing w:line="276" w:lineRule="auto" w:before="40" w:after="40"/>
            </w:pPr>
            <w:r>
              <w:rPr>
                <w:rFonts w:ascii="Liberation Sans Narrow" w:hAnsi="Liberation Sans Narrow"/>
                <w:sz w:val="17"/>
              </w:rPr>
              <w:t xml:space="preserve">A impugnação ao cumprimento de sentença fundada em excesso de execução exige a indicação do valor tido por correto e a apresentação de demonstrativo discriminado e atualizado do débito, sob pena de rejeição liminar.</w:t>
            </w:r>
          </w:p>
        </w:tc>
      </w:tr>
    </w:tbl>
    <w:p>
      <w:pPr>
        <w:pStyle w:val="BodyText"/>
        <w:spacing w:after="60"/>
        <w:jc w:val="both"/>
      </w:pPr>
      <w:r>
        <w:t xml:space="preserve">§ 5º Na hipótese do § 4º, não apontado o valor correto ou não apresentado o demonstrativo, a impugnação será liminarmente rejeitada, se o excesso de execução for o seu único fundamento, ou, se houver outro, a impugnação será processada, mas o juiz não examinará a alegação de excesso de execução.</w:t>
      </w:r>
    </w:p>
    <w:p>
      <w:pPr>
        <w:pStyle w:val="BodyText"/>
        <w:keepNext/>
        <w:spacing w:after="60"/>
        <w:jc w:val="both"/>
      </w:pPr>
      <w:r>
        <w:t xml:space="preserve">§ 6º A apresentação de impugnação não impede a prática dos atos executivos, inclusive os de expropriação, podendo o juiz, a requerimento do executado e desde que garantido o juízo com penhora, caução ou depósito suficientes, atribuir-lhe efeito suspensivo, se seus fundamentos forem relevantes e se o prosseguimento da execução for manifestamente suscetível de causar ao executado grave dano de difícil ou incerta reparação.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2029"/>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 6º: impugnação sem efeito suspensivo e execução da parte incontroversa</w:t>
            </w:r>
          </w:p>
        </w:tc>
        <w:tc>
          <w:tcPr>
            <w:tcW w:type="dxa" w:w="1655"/>
          </w:tcPr>
          <w:p>
            <w:pPr>
              <w:pStyle w:val="Compact"/>
              <w:spacing w:line="276" w:lineRule="auto" w:before="40" w:after="40"/>
            </w:pPr>
            <w:r>
              <w:rPr>
                <w:rFonts w:ascii="Liberation Sans Narrow" w:hAnsi="Liberation Sans Narrow"/>
                <w:sz w:val="17"/>
              </w:rPr>
              <w:t xml:space="preserve">STJ, REsp 2.077.121, Terceira Turma, relator Min. Marco Aurélio Bellizze, julgado em 08/08/2023, DJe de 15/08/2023</w:t>
            </w:r>
          </w:p>
        </w:tc>
        <w:tc>
          <w:tcPr>
            <w:tcW w:type="dxa" w:w="2030"/>
          </w:tcPr>
          <w:p>
            <w:pPr>
              <w:pStyle w:val="Compact"/>
              <w:spacing w:line="276" w:lineRule="auto" w:before="40" w:after="40"/>
            </w:pPr>
            <w:r>
              <w:rPr>
                <w:rFonts w:ascii="Liberation Sans Narrow" w:hAnsi="Liberation Sans Narrow"/>
                <w:sz w:val="17"/>
              </w:rPr>
              <w:t xml:space="preserve">A impugnação não tem, em regra, efeito suspensivo: nada impede os atos executivos, inclusive de expropriação, e o exequente tem direito à execução do valor incontroverso. O efeito suspensivo exige requerimento do executado, relevância dos fundamentos, risco de dano grave e garantia do juízo.</w:t>
            </w:r>
          </w:p>
        </w:tc>
      </w:tr>
    </w:tbl>
    <w:p>
      <w:pPr>
        <w:pStyle w:val="BodyText"/>
        <w:spacing w:after="60"/>
        <w:jc w:val="both"/>
      </w:pPr>
      <w:r>
        <w:t xml:space="preserve">§ 7º A concessão de efeito suspensivo a que se refere o § 6º não impedirá a efetivação dos atos de substituição, de reforço ou de redução da penhora e de avaliação dos bens</w:t>
      </w:r>
    </w:p>
    <w:p>
      <w:pPr>
        <w:pStyle w:val="BodyText"/>
        <w:spacing w:after="60"/>
        <w:jc w:val="both"/>
      </w:pPr>
      <w:r>
        <w:t xml:space="preserve">§ 8º Quando o efeito suspensivo atribuído à impugnação disser respeito apenas a parte do objeto da execução, esta prosseguirá quanto à parte restante.</w:t>
      </w:r>
    </w:p>
    <w:p>
      <w:pPr>
        <w:pStyle w:val="BodyText"/>
        <w:spacing w:after="60"/>
        <w:jc w:val="both"/>
      </w:pPr>
      <w:r>
        <w:t xml:space="preserve">§ 9º A concessão de efeito suspensivo à impugnação deduzida por um dos executados não suspenderá a execução contra os que não impugnaram, quando o respectivo fundamento disser respeito exclusivamente ao impugnante.</w:t>
      </w:r>
    </w:p>
    <w:p>
      <w:pPr>
        <w:pStyle w:val="BodyText"/>
        <w:spacing w:after="60"/>
        <w:jc w:val="both"/>
      </w:pPr>
      <w:r>
        <w:t xml:space="preserve">§ 10. Ainda que atribuído efeito suspensivo à impugnação, é lícito ao exequente requerer o prosseguimento da execução, oferecendo e prestando, nos próprios autos, caução suficiente e idônea a ser arbitrada pelo juiz.</w:t>
      </w:r>
    </w:p>
    <w:p>
      <w:pPr>
        <w:pStyle w:val="BodyText"/>
        <w:spacing w:after="60"/>
        <w:jc w:val="both"/>
      </w:pPr>
      <w:r>
        <w:t xml:space="preserve">§ 11. As questões relativas a fato superveniente ao término do prazo para apresentação da impugnação, assim como aquelas relativas à validade e à adequação da penhora, da avaliação e dos atos executivos subsequentes, podem ser arguidas por simples petição, tendo o executado, em qualquer dos casos, o prazo de 15 (quinze) dias para formular esta arguição, contado da comprovada ciência do fato ou da intimação do ato.</w:t>
      </w:r>
    </w:p>
    <w:p>
      <w:pPr>
        <w:pStyle w:val="BodyText"/>
        <w:spacing w:after="60"/>
        <w:jc w:val="both"/>
      </w:pPr>
      <w:r>
        <w:t xml:space="preserve">§ 12. Para efeito do disposto no inciso III do § 1º deste artigo, considera-se também inexigível a obrigação reconhecida em título executivo judicial fundado em lei ou ato normativo considerado inconstitucional pelo Supremo Tribunal Federal, ou fundado em aplicação ou interpretação da lei ou do ato normativo tido pelo Supremo Tribunal Federal como incompatível com a Constituição Federal, em controle de constitucionalidade concentrado ou difuso.</w:t>
      </w:r>
    </w:p>
    <w:p>
      <w:pPr>
        <w:pStyle w:val="BodyText"/>
        <w:spacing w:after="60"/>
        <w:jc w:val="both"/>
      </w:pPr>
      <w:r>
        <w:t xml:space="preserve">§ 13. No caso do § 12, os efeitos da decisão do Supremo Tribunal Federal poderão ser modulados no tempo, em atenção à segurança jurídica.</w:t>
      </w:r>
    </w:p>
    <w:p>
      <w:pPr>
        <w:pStyle w:val="BodyText"/>
        <w:spacing w:after="60"/>
        <w:jc w:val="both"/>
      </w:pPr>
      <w:r>
        <w:t xml:space="preserve">§ 14. A decisão do Supremo Tribunal Federal referida no § 12 deve ser anterior ao trânsito em julgado da decisão exequenda. (Vide AR 2876)</w:t>
      </w:r>
    </w:p>
    <w:p>
      <w:pPr>
        <w:pStyle w:val="BodyText"/>
        <w:keepNext/>
        <w:spacing w:after="60"/>
        <w:jc w:val="both"/>
      </w:pPr>
      <w:r>
        <w:t xml:space="preserve">§ 15. Se a decisão referida no § 12 for proferida após o trânsito em julgado da decisão exequenda, caberá ação rescisória, cujo prazo será contado do trânsito em julgado da decisão proferida pelo Supremo Tribunal Federal. (Vide AR 2876)</w:t>
      </w:r>
    </w:p>
    <w:tbl>
      <w:tblPr>
        <w:tblLook w:firstColumn="1" w:firstRow="1" w:lastColumn="0" w:lastRow="0" w:noHBand="0" w:noVBand="1" w:val="04A0"/>
        <w:tblW w:w="4932" w:type="dxa"/>
        <w:tblLayout w:type="fixed"/>
        <w:tblBorders>
          <w:top w:val="nil"/>
          <w:bottom w:val="nil"/>
          <w:right w:val="nil"/>
          <w:insideH w:val="nil"/>
          <w:insideV w:val="nil"/>
        </w:tblBorders>
      </w:tblPr>
      <w:tblGrid>
        <w:gridCol w:w="624"/>
        <w:gridCol w:w="4309"/>
      </w:tblGrid>
      <w:tr>
        <w:tc>
          <w:tcPr>
            <w:tcW w:type="dxa" w:w="624"/>
            <w:shd w:val="clear" w:color="auto" w:fill="FFF3D9"/>
            <w:tcBorders>
              <w:left w:val="single" w:sz="36" w:space="0" w:color="B26B00"/>
            </w:tcBorders>
            <w:vAlign w:val="center"/>
          </w:tcPr>
          <w:p>
            <w:pPr>
              <w:spacing w:before="80" w:after="80"/>
              <w:jc w:val="center"/>
            </w:pPr>
            <w:r>
              <w:rPr>
                <w:rFonts w:ascii="DejaVu Sans" w:hAnsi="DejaVu Sans" w:cs="DejaVu Sans" w:eastAsia="DejaVu Sans"/>
                <w:b/>
                <w:color w:val="B26B00"/>
                <w:sz w:val="52"/>
              </w:rPr>
              <w:t>⚠</w:t>
            </w:r>
          </w:p>
        </w:tc>
        <w:tc>
          <w:tcPr>
            <w:tcW w:type="dxa" w:w="4309"/>
            <w:shd w:val="clear" w:color="auto" w:fill="FFF3D9"/>
          </w:tcPr>
          <w:p>
            <w:pPr>
              <w:pStyle w:val="BodyText"/>
              <w:spacing w:before="100" w:after="100" w:line="276" w:lineRule="auto"/>
              <w:ind w:left="113" w:right="113"/>
              <w:jc w:val="both"/>
            </w:pPr>
            <w:r>
              <w:rPr>
                <w:b/>
                <w:bCs/>
                <w:sz w:val="22"/>
              </w:rPr>
              <w:t xml:space="preserve">Remissão do texto legal sem julgado localizado.</w:t>
            </w:r>
            <w:r>
              <w:rPr>
                <w:sz w:val="22"/>
              </w:rPr>
              <w:t xml:space="preserve"> </w:t>
            </w:r>
            <w:r>
              <w:rPr>
                <w:sz w:val="22"/>
              </w:rPr>
              <w:t xml:space="preserve">O texto dos §§ 14 e 15 do art. 525 remete à AR 2876. A consulta por número ao controle concentrado do STF (curadoria interna), à busca híbrida do STF e ao repositório externo (por classe e número) não a localizou; sem Tribunal, relator, data e tese confirmados nas fontes, o julgado não é citado nem resumido. Ver as pendências.</w:t>
            </w:r>
          </w:p>
        </w:tc>
      </w:tr>
    </w:tbl>
    <w:p>
      <w:pPr>
        <w:spacing w:after="40"/>
      </w:pPr>
    </w:p>
    <w:bookmarkEnd w:id="265"/>
    <w:bookmarkStart w:id="266" w:name="art.-526"/>
    <w:p>
      <w:pPr>
        <w:pStyle w:val="Heading6"/>
        <w:pBdr>
          <w:left w:val="single" w:sz="36" w:space="4" w:color="2E75B6"/>
        </w:pBdr>
        <w:shd w:val="clear" w:color="auto" w:fill="E3EEF9"/>
        <w:spacing w:before="120" w:after="60"/>
        <w:ind w:left="85"/>
      </w:pPr>
      <w:r>
        <w:rPr>
          <w:i w:val="0"/>
          <w:color w:val="1F3A5F"/>
          <w:sz w:val="22"/>
        </w:rPr>
        <w:t xml:space="preserve">Art. 526</w:t>
      </w:r>
    </w:p>
    <w:p>
      <w:pPr>
        <w:pStyle w:val="FirstParagraph"/>
        <w:keepNext/>
        <w:spacing w:after="60"/>
        <w:jc w:val="both"/>
      </w:pPr>
      <w:r>
        <w:rPr>
          <w:b/>
          <w:bCs/>
        </w:rPr>
        <w:t xml:space="preserve">Art. 526.</w:t>
      </w:r>
      <w:r>
        <w:t xml:space="preserve"> </w:t>
      </w:r>
      <w:r>
        <w:t xml:space="preserve">É lícito ao réu, antes de ser intimado para o cumprimento da sentença, comparecer em juízo e oferecer em pagamento o valor que entender devido, apresentando memória discriminada do cálculo.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530"/>
        <w:gridCol w:w="1780"/>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Depósito em garantia do juízo e consectários da mora</w:t>
            </w:r>
          </w:p>
        </w:tc>
        <w:tc>
          <w:tcPr>
            <w:tcW w:type="dxa" w:w="1531"/>
          </w:tcPr>
          <w:p>
            <w:pPr>
              <w:pStyle w:val="Compact"/>
              <w:spacing w:line="276" w:lineRule="auto" w:before="40" w:after="40"/>
            </w:pPr>
            <w:r>
              <w:rPr>
                <w:rFonts w:ascii="Liberation Sans Narrow" w:hAnsi="Liberation Sans Narrow"/>
                <w:sz w:val="17"/>
              </w:rPr>
              <w:t xml:space="preserve">STJ, Tema Repetitivo 677, REsp 1.820.963, Corte Especial, relatora Min. Nancy Andrighi, julgado em 19/10/2022</w:t>
            </w:r>
          </w:p>
        </w:tc>
        <w:tc>
          <w:tcPr>
            <w:tcW w:type="dxa" w:w="1780"/>
          </w:tcPr>
          <w:p>
            <w:pPr>
              <w:pStyle w:val="Compact"/>
              <w:spacing w:line="276" w:lineRule="auto" w:before="40" w:after="40"/>
            </w:pPr>
            <w:r>
              <w:rPr>
                <w:rFonts w:ascii="Liberation Sans Narrow" w:hAnsi="Liberation Sans Narrow"/>
                <w:sz w:val="17"/>
              </w:rPr>
              <w:t xml:space="preserve">Na execução, o depósito efetuado a título de garantia do juízo ou decorrente da penhora de ativos financeiros não isenta o devedor do pagamento dos consectários de sua mora, conforme previstos no título executivo, devendo-se, quando da efetiva entrega do dinheiro ao credor, deduzir do montante final devido o saldo da conta judicial.</w:t>
            </w:r>
          </w:p>
        </w:tc>
      </w:tr>
    </w:tbl>
    <w:p>
      <w:pPr>
        <w:pStyle w:val="BodyText"/>
        <w:spacing w:after="60"/>
        <w:jc w:val="both"/>
      </w:pPr>
      <w:r>
        <w:t xml:space="preserve">§ 1º O autor será ouvido no prazo de 5 (cinco) dias, podendo impugnar o valor depositado, sem prejuízo do levantamento do depósito a título de parcela incontroversa.</w:t>
      </w:r>
    </w:p>
    <w:p>
      <w:pPr>
        <w:pStyle w:val="BodyText"/>
        <w:spacing w:after="60"/>
        <w:jc w:val="both"/>
      </w:pPr>
      <w:r>
        <w:t xml:space="preserve">§ 2º Concluindo o juiz pela insuficiência do depósito, sobre a diferença incidirão multa de dez por cento e honorários advocatícios, também fixados em dez por cento, seguindo-se a execução com penhora e atos subsequentes.</w:t>
      </w:r>
    </w:p>
    <w:p>
      <w:pPr>
        <w:pStyle w:val="BodyText"/>
        <w:spacing w:after="60"/>
        <w:jc w:val="both"/>
      </w:pPr>
      <w:r>
        <w:t xml:space="preserve">§ 3º Se o autor não se opuser, o juiz declarará satisfeita a obrigação e extinguirá o processo.</w:t>
      </w:r>
    </w:p>
    <w:bookmarkEnd w:id="266"/>
    <w:bookmarkStart w:id="267" w:name="art.-527"/>
    <w:p>
      <w:pPr>
        <w:pStyle w:val="Heading6"/>
        <w:pBdr>
          <w:left w:val="single" w:sz="36" w:space="4" w:color="2E75B6"/>
        </w:pBdr>
        <w:shd w:val="clear" w:color="auto" w:fill="E3EEF9"/>
        <w:spacing w:before="120" w:after="60"/>
        <w:ind w:left="85"/>
      </w:pPr>
      <w:r>
        <w:rPr>
          <w:i w:val="0"/>
          <w:color w:val="1F3A5F"/>
          <w:sz w:val="22"/>
        </w:rPr>
        <w:t xml:space="preserve">Art. 527</w:t>
      </w:r>
    </w:p>
    <w:p>
      <w:pPr>
        <w:pStyle w:val="FirstParagraph"/>
        <w:keepNext/>
        <w:spacing w:after="60"/>
        <w:jc w:val="both"/>
      </w:pPr>
      <w:r>
        <w:rPr>
          <w:b/>
          <w:bCs/>
        </w:rPr>
        <w:t xml:space="preserve">Art. 527.</w:t>
      </w:r>
      <w:r>
        <w:t xml:space="preserve"> </w:t>
      </w:r>
      <w:r>
        <w:t xml:space="preserve">Aplicam-se as disposições deste Capítulo ao cumprimento provisório da sentença, no que couber.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2279"/>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alimentos provisórios e termo inicial</w:t>
            </w:r>
          </w:p>
        </w:tc>
        <w:tc>
          <w:tcPr>
            <w:tcW w:type="dxa" w:w="1655"/>
          </w:tcPr>
          <w:p>
            <w:pPr>
              <w:pStyle w:val="Compact"/>
              <w:spacing w:line="276" w:lineRule="auto" w:before="40" w:after="40"/>
            </w:pPr>
            <w:r>
              <w:rPr>
                <w:rFonts w:ascii="Liberation Sans Narrow" w:hAnsi="Liberation Sans Narrow"/>
                <w:sz w:val="17"/>
              </w:rPr>
              <w:t xml:space="preserve">STJ, REsp 2.235.890, Quarta Turma, relator Min. João Otávio de Noronha, julgado em 09/02/2026, DJEN de 13/02/2026</w:t>
            </w:r>
          </w:p>
        </w:tc>
        <w:tc>
          <w:tcPr>
            <w:tcW w:type="dxa" w:w="2279"/>
          </w:tcPr>
          <w:p>
            <w:pPr>
              <w:pStyle w:val="Compact"/>
              <w:spacing w:line="276" w:lineRule="auto" w:before="40" w:after="40"/>
            </w:pPr>
            <w:r>
              <w:rPr>
                <w:rFonts w:ascii="Liberation Sans Narrow" w:hAnsi="Liberation Sans Narrow"/>
                <w:sz w:val="17"/>
              </w:rPr>
              <w:t xml:space="preserve">A decisão que fixa ou altera alimentos provisórios retroage à data da citação, ainda que proferida incidentalmente, inclusive nas hipóteses de majoração ou redução do encargo, ressalvadas a irrepetibilidade dos valores pagos e a impossibilidade de compensar o excesso com prestações vincendas.</w:t>
            </w:r>
          </w:p>
        </w:tc>
      </w:tr>
    </w:tbl>
    <w:bookmarkEnd w:id="267"/>
    <w:bookmarkEnd w:id="268"/>
    <w:bookmarkStart w:id="275" w:name="X54881230a72dd68e5a1d36f5fc327b090f6a1f4"/>
    <w:p>
      <w:pPr>
        <w:pStyle w:val="Heading4"/>
        <w:spacing w:before="80" w:after="40"/>
      </w:pPr>
      <w:r>
        <w:rPr>
          <w:smallCaps/>
          <w:color w:val="2E75B6"/>
        </w:rPr>
        <w:t xml:space="preserve">Capítulo IV: do cumprimento de sentença que reconheça a exigibilidade de obrigação de prestar alimentos (arts. 528 a 533)</w:t>
      </w:r>
    </w:p>
    <w:bookmarkStart w:id="269" w:name="art.-528"/>
    <w:p>
      <w:pPr>
        <w:pStyle w:val="Heading6"/>
        <w:pBdr>
          <w:left w:val="single" w:sz="36" w:space="4" w:color="2E75B6"/>
        </w:pBdr>
        <w:shd w:val="clear" w:color="auto" w:fill="E3EEF9"/>
        <w:spacing w:before="120" w:after="60"/>
        <w:ind w:left="85"/>
      </w:pPr>
      <w:r>
        <w:rPr>
          <w:i w:val="0"/>
          <w:color w:val="1F3A5F"/>
          <w:sz w:val="22"/>
        </w:rPr>
        <w:t xml:space="preserve">Art. 528</w:t>
      </w:r>
    </w:p>
    <w:p>
      <w:pPr>
        <w:pStyle w:val="FirstParagraph"/>
        <w:keepNext/>
        <w:spacing w:after="60"/>
        <w:jc w:val="both"/>
      </w:pPr>
      <w:r>
        <w:rPr>
          <w:b/>
          <w:bCs/>
        </w:rPr>
        <w:t xml:space="preserve">Art. 528.</w:t>
      </w:r>
      <w:r>
        <w:t xml:space="preserve"> </w:t>
      </w:r>
      <w:r>
        <w:t xml:space="preserve">No cumprimento de sentença que condene ao pagamento de prestação alimentícia ou de decisão interlocutória que fixe alimentos, o juiz, a requerimento do exequente, mandará intimar o executado pessoalmente para, em 3 (três) dias, pagar o débito, provar que o fez ou justificar a impossibilidade de efetuá-lo.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2835"/>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83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Prisão civil suspensa na pandemia: constrição patrimonial sem conversão do rito</w:t>
            </w:r>
          </w:p>
        </w:tc>
        <w:tc>
          <w:tcPr>
            <w:tcW w:type="dxa" w:w="1655"/>
          </w:tcPr>
          <w:p>
            <w:pPr>
              <w:pStyle w:val="Compact"/>
              <w:spacing w:line="276" w:lineRule="auto" w:before="40" w:after="40"/>
            </w:pPr>
            <w:r>
              <w:rPr>
                <w:rFonts w:ascii="Liberation Sans Narrow" w:hAnsi="Liberation Sans Narrow"/>
                <w:sz w:val="17"/>
              </w:rPr>
              <w:t xml:space="preserve">STJ, REsp 1.914.052, Terceira Turma, relator Min. Marco Aurélio Bellizze, julgado em 22/06/2021, DJe de 28/06/2021</w:t>
            </w:r>
          </w:p>
        </w:tc>
        <w:tc>
          <w:tcPr>
            <w:tcW w:type="dxa" w:w="2835"/>
          </w:tcPr>
          <w:p>
            <w:pPr>
              <w:pStyle w:val="Compact"/>
              <w:spacing w:line="276" w:lineRule="auto" w:before="40" w:after="40"/>
            </w:pPr>
            <w:r>
              <w:rPr>
                <w:rFonts w:ascii="Liberation Sans Narrow" w:hAnsi="Liberation Sans Narrow"/>
                <w:sz w:val="17"/>
              </w:rPr>
              <w:t xml:space="preserve">No contexto da suspensão de todas as prisões civis por alimentos durante a pandemia, admitiu-se a constrição patrimonial do devedor sem converter o rito da prisão, em interpretação sistemático-teleológica para equilibrar a relação entre as partes. Em regra, quem opta pelo rito da prisão só alcança a penhora se o devedor não pagar mesmo depois da prisão (art. 530).</w:t>
            </w:r>
          </w:p>
        </w:tc>
      </w:tr>
    </w:tbl>
    <w:p>
      <w:pPr>
        <w:pStyle w:val="BodyText"/>
        <w:spacing w:after="60"/>
        <w:jc w:val="both"/>
      </w:pPr>
      <w:r>
        <w:t xml:space="preserve">§ 1º Caso o executado, no prazo referido no caput , não efetue o pagamento, não prove que o efetuou ou não apresente justificativa da impossibilidade de efetuá-lo, o juiz mandará protestar o pronunciamento judicial, aplicando-se, no que couber, o disposto no art. 517 .</w:t>
      </w:r>
    </w:p>
    <w:p>
      <w:pPr>
        <w:pStyle w:val="BodyText"/>
        <w:spacing w:after="60"/>
        <w:jc w:val="both"/>
      </w:pPr>
      <w:r>
        <w:t xml:space="preserve">§ 2º Somente a comprovação de fato que gere a impossibilidade absoluta de pagar justificará o inadimplemento.</w:t>
      </w:r>
    </w:p>
    <w:p>
      <w:pPr>
        <w:pStyle w:val="BodyText"/>
        <w:keepNext/>
        <w:spacing w:after="60"/>
        <w:jc w:val="both"/>
      </w:pPr>
      <w:r>
        <w:t xml:space="preserve">§ 3º Se o executado não pagar ou se a justificativa apresentada não for aceita, o juiz, além de mandar protestar o pronunciamento judicial na forma do § 1º, decretar-lhe-á a prisão pelo prazo de 1 (um) a 3 (três) meses.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 3º — decretação da prisão: pagamento parcial e ação revisional</w:t>
            </w:r>
          </w:p>
        </w:tc>
        <w:tc>
          <w:tcPr>
            <w:tcW w:type="dxa" w:w="1655"/>
          </w:tcPr>
          <w:p>
            <w:pPr>
              <w:pStyle w:val="Compact"/>
              <w:spacing w:line="276" w:lineRule="auto" w:before="40" w:after="40"/>
            </w:pPr>
            <w:r>
              <w:rPr>
                <w:rFonts w:ascii="Liberation Sans Narrow" w:hAnsi="Liberation Sans Narrow"/>
                <w:sz w:val="17"/>
              </w:rPr>
              <w:t xml:space="preserve">STJ, AREsp 3.192.274, Quarta Turma, relator Min. João Otávio de Noronha, julgado em 12/08/2026</w:t>
            </w:r>
          </w:p>
        </w:tc>
        <w:tc>
          <w:tcPr>
            <w:tcW w:type="dxa" w:w="1905"/>
          </w:tcPr>
          <w:p>
            <w:pPr>
              <w:pStyle w:val="Compact"/>
              <w:spacing w:line="276" w:lineRule="auto" w:before="40" w:after="40"/>
            </w:pPr>
            <w:r>
              <w:rPr>
                <w:rFonts w:ascii="Liberation Sans Narrow" w:hAnsi="Liberation Sans Narrow"/>
                <w:sz w:val="17"/>
              </w:rPr>
              <w:t xml:space="preserve">O pagamento parcial do débito não afasta a prisão civil, e a ação revisional de alimentos não suspende a exigibilidade da obrigação alimentar.</w:t>
            </w:r>
          </w:p>
        </w:tc>
      </w:tr>
      <w:tr>
        <w:trPr>
          <w:cantSplit/>
        </w:trPr>
        <w:tc>
          <w:tcPr>
            <w:tcW w:type="dxa" w:w="1531"/>
          </w:tcPr>
          <w:p>
            <w:pPr>
              <w:pStyle w:val="Compact"/>
              <w:spacing w:line="276" w:lineRule="auto" w:before="40" w:after="40"/>
            </w:pPr>
            <w:r>
              <w:rPr>
                <w:rFonts w:ascii="Liberation Sans Narrow" w:hAnsi="Liberation Sans Narrow"/>
                <w:sz w:val="17"/>
              </w:rPr>
              <w:t xml:space="preserve">§§ 3º e 8º: prisão civil e conversão de ofício do rito (acórdão mais recente)</w:t>
            </w:r>
          </w:p>
        </w:tc>
        <w:tc>
          <w:tcPr>
            <w:tcW w:type="dxa" w:w="1655"/>
          </w:tcPr>
          <w:p>
            <w:pPr>
              <w:pStyle w:val="Compact"/>
              <w:spacing w:line="276" w:lineRule="auto" w:before="40" w:after="40"/>
            </w:pPr>
            <w:r>
              <w:rPr>
                <w:rFonts w:ascii="Liberation Sans Narrow" w:hAnsi="Liberation Sans Narrow"/>
                <w:sz w:val="17"/>
              </w:rPr>
              <w:t xml:space="preserve">STJ, REsp 2.236.955, Terceira Turma, relator Min. Ricardo Villas Bôas Cueva, julgado em 09/03/2026, DJEN de 12/03/2026</w:t>
            </w:r>
          </w:p>
        </w:tc>
        <w:tc>
          <w:tcPr>
            <w:tcW w:type="dxa" w:w="1905"/>
          </w:tcPr>
          <w:p>
            <w:pPr>
              <w:pStyle w:val="Compact"/>
              <w:spacing w:line="276" w:lineRule="auto" w:before="40" w:after="40"/>
            </w:pPr>
            <w:r>
              <w:rPr>
                <w:rFonts w:ascii="Liberation Sans Narrow" w:hAnsi="Liberation Sans Narrow"/>
                <w:sz w:val="17"/>
              </w:rPr>
              <w:t xml:space="preserve">Escolhido o procedimento que admite a prisão civil, não é possível convertê-lo de ofício para o rito da execução por quantia certa; o pagamento parcial do débito ou o decurso de tempo razoável desde o ajuizamento não afastam o caráter emergencial dos alimentos.</w:t>
            </w:r>
          </w:p>
        </w:tc>
      </w:tr>
      <w:tr>
        <w:trPr>
          <w:cantSplit/>
        </w:trPr>
        <w:tc>
          <w:tcPr>
            <w:tcW w:type="dxa" w:w="1531"/>
          </w:tcPr>
          <w:p>
            <w:pPr>
              <w:pStyle w:val="Compact"/>
              <w:spacing w:line="276" w:lineRule="auto" w:before="40" w:after="40"/>
            </w:pPr>
            <w:r>
              <w:rPr>
                <w:rFonts w:ascii="Liberation Sans Narrow" w:hAnsi="Liberation Sans Narrow"/>
                <w:sz w:val="17"/>
              </w:rPr>
              <w:t xml:space="preserve">§§ 3º e 8º: escolha do rito da prisão civil e vedação de conversão de ofício</w:t>
            </w:r>
          </w:p>
        </w:tc>
        <w:tc>
          <w:tcPr>
            <w:tcW w:type="dxa" w:w="1655"/>
          </w:tcPr>
          <w:p>
            <w:pPr>
              <w:pStyle w:val="Compact"/>
              <w:spacing w:line="276" w:lineRule="auto" w:before="40" w:after="40"/>
            </w:pPr>
            <w:r>
              <w:rPr>
                <w:rFonts w:ascii="Liberation Sans Narrow" w:hAnsi="Liberation Sans Narrow"/>
                <w:sz w:val="17"/>
              </w:rPr>
              <w:t xml:space="preserve">STJ, REsp 1.773.359, Terceira Turma, relator Min. Marco Aurélio Bellizze, julgado em 13/08/2019, DJe de 16/08/2019</w:t>
            </w:r>
          </w:p>
        </w:tc>
        <w:tc>
          <w:tcPr>
            <w:tcW w:type="dxa" w:w="1905"/>
          </w:tcPr>
          <w:p>
            <w:pPr>
              <w:pStyle w:val="Compact"/>
              <w:spacing w:line="276" w:lineRule="auto" w:before="40" w:after="40"/>
            </w:pPr>
            <w:r>
              <w:rPr>
                <w:rFonts w:ascii="Liberation Sans Narrow" w:hAnsi="Liberation Sans Narrow"/>
                <w:sz w:val="17"/>
              </w:rPr>
              <w:t xml:space="preserve">Feita a escolha do rito que admite a prisão civil, e observada a Súmula 309/STJ (três últimas prestações anteriores ao ajuizamento e as vincendas), o juiz não pode convertê-lo, de ofício, para o rito da execução por quantia certa (§ 8º). O pagamento parcial e o decurso de tempo razoável desde o ajuizamento não afastam o caráter urgente dos alimentos.</w:t>
            </w:r>
          </w:p>
        </w:tc>
      </w:tr>
    </w:tbl>
    <w:p>
      <w:pPr>
        <w:pStyle w:val="BodyText"/>
        <w:spacing w:after="60"/>
        <w:jc w:val="both"/>
      </w:pPr>
      <w:r>
        <w:t xml:space="preserve">§ 4º A prisão será cumprida em regime fechado, devendo o preso ficar separado dos presos comuns.</w:t>
      </w:r>
    </w:p>
    <w:p>
      <w:pPr>
        <w:pStyle w:val="BodyText"/>
        <w:spacing w:after="60"/>
        <w:jc w:val="both"/>
      </w:pPr>
      <w:r>
        <w:t xml:space="preserve">§ 5º O cumprimento da pena não exime o executado do pagamento das prestações vencidas e vincendas.</w:t>
      </w:r>
    </w:p>
    <w:p>
      <w:pPr>
        <w:pStyle w:val="BodyText"/>
        <w:spacing w:after="60"/>
        <w:jc w:val="both"/>
      </w:pPr>
      <w:r>
        <w:t xml:space="preserve">§ 6º Paga a prestação alimentícia, o juiz suspenderá o cumprimento da ordem de prisão.</w:t>
      </w:r>
    </w:p>
    <w:p>
      <w:pPr>
        <w:pStyle w:val="BodyText"/>
        <w:spacing w:after="60"/>
        <w:jc w:val="both"/>
      </w:pPr>
      <w:r>
        <w:t xml:space="preserve">§ 7º O débito alimentar que autoriza a prisão civil do alimentante é o que compreende até as 3 (três) prestações anteriores ao ajuizamento da execução e as que se vencerem no curso do processo.</w:t>
      </w:r>
    </w:p>
    <w:p>
      <w:pPr>
        <w:pStyle w:val="BodyText"/>
        <w:spacing w:after="60"/>
        <w:jc w:val="both"/>
      </w:pPr>
      <w:r>
        <w:t xml:space="preserve">§ 8º O exequente pode optar por promover o cumprimento da sentença ou decisão desde logo, nos termos do disposto neste Livro, Título II, Capítulo III, caso em que não será admissível a prisão do executado, e, recaindo a penhora em dinheiro, a concessão de efeito suspensivo à impugnação não obsta a que o exequente levante mensalmente a importância da prestação.</w:t>
      </w:r>
    </w:p>
    <w:p>
      <w:pPr>
        <w:pStyle w:val="BodyText"/>
        <w:spacing w:after="60"/>
        <w:jc w:val="both"/>
      </w:pPr>
      <w:r>
        <w:t xml:space="preserve">§ 9º Além das opções previstas no art. 516, parágrafo único, o exequente pode promover o cumprimento da sentença ou decisão que condena ao pagamento de prestação alimentícia no juízo de seu domicílio.</w:t>
      </w:r>
    </w:p>
    <w:bookmarkEnd w:id="269"/>
    <w:bookmarkStart w:id="270" w:name="art.-529"/>
    <w:p>
      <w:pPr>
        <w:pStyle w:val="Heading6"/>
        <w:pBdr>
          <w:left w:val="single" w:sz="36" w:space="4" w:color="2E75B6"/>
        </w:pBdr>
        <w:shd w:val="clear" w:color="auto" w:fill="E3EEF9"/>
        <w:spacing w:before="120" w:after="60"/>
        <w:ind w:left="85"/>
      </w:pPr>
      <w:r>
        <w:rPr>
          <w:i w:val="0"/>
          <w:color w:val="1F3A5F"/>
          <w:sz w:val="22"/>
        </w:rPr>
        <w:t xml:space="preserve">Art. 529</w:t>
      </w:r>
    </w:p>
    <w:p>
      <w:pPr>
        <w:pStyle w:val="FirstParagraph"/>
        <w:spacing w:after="60"/>
        <w:jc w:val="both"/>
      </w:pPr>
      <w:r>
        <w:rPr>
          <w:b/>
          <w:bCs/>
        </w:rPr>
        <w:t xml:space="preserve">Art. 529.</w:t>
      </w:r>
      <w:r>
        <w:t xml:space="preserve"> </w:t>
      </w:r>
      <w:r>
        <w:t xml:space="preserve">Quando o executado for funcionário público, militar, diretor ou gerente de empresa ou empregado sujeito à legislação do trabalho, o exequente poderá requerer o desconto em folha de pagamento da importância da prestação alimentícia.</w:t>
      </w:r>
    </w:p>
    <w:p>
      <w:pPr>
        <w:pStyle w:val="BodyText"/>
        <w:spacing w:after="60"/>
        <w:jc w:val="both"/>
      </w:pPr>
      <w:r>
        <w:t xml:space="preserve">§ 1º Ao proferir a decisão, o juiz oficiará à autoridade, à empresa ou ao empregador, determinando, sob pena de crime de desobediência, o desconto a partir da primeira remuneração posterior do executado, a contar do protocolo do ofício.</w:t>
      </w:r>
    </w:p>
    <w:p>
      <w:pPr>
        <w:pStyle w:val="BodyText"/>
        <w:spacing w:after="60"/>
        <w:jc w:val="both"/>
      </w:pPr>
      <w:r>
        <w:t xml:space="preserve">§ 2º O ofício conterá o nome e o número de inscrição no Cadastro de Pessoas Físicas do exequente e do executado, a importância a ser descontada mensalmente, o tempo de sua duração e a conta na qual deve ser feito o depósito.</w:t>
      </w:r>
    </w:p>
    <w:p>
      <w:pPr>
        <w:pStyle w:val="BodyText"/>
        <w:spacing w:after="60"/>
        <w:jc w:val="both"/>
      </w:pPr>
      <w:r>
        <w:t xml:space="preserve">§ 3º Sem prejuízo do pagamento dos alimentos vincendos, o débito objeto de execução pode ser descontado dos rendimentos ou rendas do executado, de forma parcelada, nos termos do caput deste artigo, contanto que, somado à parcela devida, não ultrapasse cinquenta por cento de seus ganhos líquidos.</w:t>
      </w:r>
    </w:p>
    <w:bookmarkEnd w:id="270"/>
    <w:bookmarkStart w:id="271" w:name="art.-530"/>
    <w:p>
      <w:pPr>
        <w:pStyle w:val="Heading6"/>
        <w:pBdr>
          <w:left w:val="single" w:sz="36" w:space="4" w:color="2E75B6"/>
        </w:pBdr>
        <w:shd w:val="clear" w:color="auto" w:fill="E3EEF9"/>
        <w:spacing w:before="120" w:after="60"/>
        <w:ind w:left="85"/>
      </w:pPr>
      <w:r>
        <w:rPr>
          <w:i w:val="0"/>
          <w:color w:val="1F3A5F"/>
          <w:sz w:val="22"/>
        </w:rPr>
        <w:t xml:space="preserve">Art. 530</w:t>
      </w:r>
    </w:p>
    <w:p>
      <w:pPr>
        <w:pStyle w:val="FirstParagraph"/>
        <w:keepNext/>
        <w:spacing w:after="60"/>
        <w:jc w:val="both"/>
      </w:pPr>
      <w:r>
        <w:rPr>
          <w:b/>
          <w:bCs/>
        </w:rPr>
        <w:t xml:space="preserve">Art. 530.</w:t>
      </w:r>
      <w:r>
        <w:t xml:space="preserve"> </w:t>
      </w:r>
      <w:r>
        <w:t xml:space="preserve">Não cumprida a obrigação, observar-se-á o disposto nos arts. 831 e seguintes.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orientação de aplicação (aplicação narrada)</w:t>
            </w:r>
          </w:p>
        </w:tc>
        <w:tc>
          <w:tcPr>
            <w:tcW w:type="dxa" w:w="1531"/>
          </w:tcPr>
          <w:p>
            <w:pPr>
              <w:pStyle w:val="Compact"/>
              <w:spacing w:line="276" w:lineRule="auto" w:before="40" w:after="40"/>
            </w:pPr>
            <w:r>
              <w:rPr>
                <w:rFonts w:ascii="Liberation Sans Narrow" w:hAnsi="Liberation Sans Narrow"/>
                <w:sz w:val="17"/>
              </w:rPr>
              <w:t xml:space="preserve">STJ, AgInt no recurso em</w:t>
            </w:r>
            <w:r>
              <w:rPr>
                <w:rFonts w:ascii="Liberation Sans Narrow" w:hAnsi="Liberation Sans Narrow"/>
                <w:sz w:val="17"/>
              </w:rPr>
              <w:t xml:space="preserve"> </w:t>
            </w:r>
            <w:r>
              <w:rPr>
                <w:rFonts w:ascii="Liberation Sans Narrow" w:hAnsi="Liberation Sans Narrow"/>
                <w:i/>
                <w:iCs/>
                <w:sz w:val="17"/>
              </w:rPr>
              <w:t xml:space="preserve">habeas corpus</w:t>
            </w:r>
            <w:r>
              <w:rPr>
                <w:rFonts w:ascii="Liberation Sans Narrow" w:hAnsi="Liberation Sans Narrow"/>
                <w:sz w:val="17"/>
              </w:rPr>
              <w:t xml:space="preserve"> </w:t>
            </w:r>
            <w:r>
              <w:rPr>
                <w:rFonts w:ascii="Liberation Sans Narrow" w:hAnsi="Liberation Sans Narrow"/>
                <w:sz w:val="17"/>
              </w:rPr>
              <w:t xml:space="preserve">(RHC) 228.585, Quarta Turma, relatora Min. Maria Isabel Gallotti, julgado em 12/08/2026</w:t>
            </w:r>
          </w:p>
        </w:tc>
        <w:tc>
          <w:tcPr>
            <w:tcW w:type="dxa" w:w="2030"/>
          </w:tcPr>
          <w:p>
            <w:pPr>
              <w:pStyle w:val="Compact"/>
              <w:spacing w:line="276" w:lineRule="auto" w:before="40" w:after="40"/>
            </w:pPr>
            <w:r>
              <w:rPr>
                <w:rFonts w:ascii="Liberation Sans Narrow" w:hAnsi="Liberation Sans Narrow"/>
                <w:sz w:val="17"/>
              </w:rPr>
              <w:t xml:space="preserve">No caso, não cumprida a obrigação alimentar, assentou-se que o caminho expropriatório dos arts. 831 e seguintes, para o qual remete este artigo, só se abre por opção do credor: a conversão do rito coercitivo (prisão civil do art. 528, § 3º, cabível enquanto subsistir débito atual) para o expropriatório não pode ser imposta de ofício pelo juiz. Trecho: “Subsistindo débito alimentar atual, revela-se cabível a prisão civil prevista no art.”</w:t>
            </w:r>
          </w:p>
        </w:tc>
      </w:tr>
    </w:tbl>
    <w:bookmarkEnd w:id="271"/>
    <w:bookmarkStart w:id="272" w:name="art.-531"/>
    <w:p>
      <w:pPr>
        <w:pStyle w:val="Heading6"/>
        <w:pBdr>
          <w:left w:val="single" w:sz="36" w:space="4" w:color="2E75B6"/>
        </w:pBdr>
        <w:shd w:val="clear" w:color="auto" w:fill="E3EEF9"/>
        <w:spacing w:before="120" w:after="60"/>
        <w:ind w:left="85"/>
      </w:pPr>
      <w:r>
        <w:rPr>
          <w:i w:val="0"/>
          <w:color w:val="1F3A5F"/>
          <w:sz w:val="22"/>
        </w:rPr>
        <w:t xml:space="preserve">Art. 531</w:t>
      </w:r>
    </w:p>
    <w:p>
      <w:pPr>
        <w:pStyle w:val="FirstParagraph"/>
        <w:spacing w:after="60"/>
        <w:jc w:val="both"/>
      </w:pPr>
      <w:r>
        <w:rPr>
          <w:b/>
          <w:bCs/>
        </w:rPr>
        <w:t xml:space="preserve">Art. 531.</w:t>
      </w:r>
      <w:r>
        <w:t xml:space="preserve"> </w:t>
      </w:r>
      <w:r>
        <w:t xml:space="preserve">O disposto neste Capítulo aplica-se aos alimentos definitivos ou provisórios.</w:t>
      </w:r>
    </w:p>
    <w:p>
      <w:pPr>
        <w:pStyle w:val="BodyText"/>
        <w:spacing w:after="60"/>
        <w:jc w:val="both"/>
      </w:pPr>
      <w:r>
        <w:t xml:space="preserve">§ 1º A execução dos alimentos provisórios, bem como a dos alimentos fixados em sentença ainda não transitada em julgado, se processa em autos apartados.</w:t>
      </w:r>
    </w:p>
    <w:p>
      <w:pPr>
        <w:pStyle w:val="BodyText"/>
        <w:keepNext/>
        <w:spacing w:after="60"/>
        <w:jc w:val="both"/>
      </w:pPr>
      <w:r>
        <w:t xml:space="preserve">§ 2º O cumprimento definitivo da obrigação de prestar alimentos será processado nos mesmos autos em que tenha sido proferida a sentença.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 2º: cumulação, no mesmo processo, de alimentos pretéritos e atuais</w:t>
            </w:r>
          </w:p>
        </w:tc>
        <w:tc>
          <w:tcPr>
            <w:tcW w:type="dxa" w:w="1655"/>
          </w:tcPr>
          <w:p>
            <w:pPr>
              <w:pStyle w:val="Compact"/>
              <w:spacing w:line="276" w:lineRule="auto" w:before="40" w:after="40"/>
            </w:pPr>
            <w:r>
              <w:rPr>
                <w:rFonts w:ascii="Liberation Sans Narrow" w:hAnsi="Liberation Sans Narrow"/>
                <w:sz w:val="17"/>
              </w:rPr>
              <w:t xml:space="preserve">STJ, REsp 2.004.516, Terceira Turma, relatora Min. Nancy Andrighi, julgado em 18/10/2022, DJe de 21/10/2022</w:t>
            </w:r>
          </w:p>
        </w:tc>
        <w:tc>
          <w:tcPr>
            <w:tcW w:type="dxa" w:w="2030"/>
          </w:tcPr>
          <w:p>
            <w:pPr>
              <w:pStyle w:val="Compact"/>
              <w:spacing w:line="276" w:lineRule="auto" w:before="40" w:after="40"/>
            </w:pPr>
            <w:r>
              <w:rPr>
                <w:rFonts w:ascii="Liberation Sans Narrow" w:hAnsi="Liberation Sans Narrow"/>
                <w:sz w:val="17"/>
              </w:rPr>
              <w:t xml:space="preserve">É possível cumular, no mesmo cumprimento de sentença, a cobrança dos alimentos pretéritos (penhora e expropriação) e dos atuais (coerção pessoal): o art. 780 se destina ao processo de execução de título extrajudicial, e o art. 531, § 2º, rege o cumprimento definitivo no mesmo processo. O art. 528, § 8º, só veda a prisão para os pretéritos, e exige que se especifiquem as parcelas de cada técnica.</w:t>
            </w:r>
          </w:p>
        </w:tc>
      </w:tr>
    </w:tbl>
    <w:bookmarkEnd w:id="272"/>
    <w:bookmarkStart w:id="273" w:name="art.-532"/>
    <w:p>
      <w:pPr>
        <w:pStyle w:val="Heading6"/>
        <w:pBdr>
          <w:left w:val="single" w:sz="36" w:space="4" w:color="2E75B6"/>
        </w:pBdr>
        <w:shd w:val="clear" w:color="auto" w:fill="E3EEF9"/>
        <w:spacing w:before="120" w:after="60"/>
        <w:ind w:left="85"/>
      </w:pPr>
      <w:r>
        <w:rPr>
          <w:i w:val="0"/>
          <w:color w:val="1F3A5F"/>
          <w:sz w:val="22"/>
        </w:rPr>
        <w:t xml:space="preserve">Art. 532</w:t>
      </w:r>
    </w:p>
    <w:p>
      <w:pPr>
        <w:pStyle w:val="FirstParagraph"/>
        <w:spacing w:after="60"/>
        <w:jc w:val="both"/>
      </w:pPr>
      <w:r>
        <w:rPr>
          <w:b/>
          <w:bCs/>
        </w:rPr>
        <w:t xml:space="preserve">Art. 532.</w:t>
      </w:r>
      <w:r>
        <w:t xml:space="preserve"> </w:t>
      </w:r>
      <w:r>
        <w:t xml:space="preserve">Verificada a conduta procrastinatória do executado, o juiz deverá, se for o caso, dar ciência ao Ministério Público dos indícios da prática do crime de abandono material.</w:t>
      </w:r>
    </w:p>
    <w:bookmarkEnd w:id="273"/>
    <w:bookmarkStart w:id="274" w:name="art.-533"/>
    <w:p>
      <w:pPr>
        <w:pStyle w:val="Heading6"/>
        <w:pBdr>
          <w:left w:val="single" w:sz="36" w:space="4" w:color="2E75B6"/>
        </w:pBdr>
        <w:shd w:val="clear" w:color="auto" w:fill="E3EEF9"/>
        <w:spacing w:before="120" w:after="60"/>
        <w:ind w:left="85"/>
      </w:pPr>
      <w:r>
        <w:rPr>
          <w:i w:val="0"/>
          <w:color w:val="1F3A5F"/>
          <w:sz w:val="22"/>
        </w:rPr>
        <w:t xml:space="preserve">Art. 533</w:t>
      </w:r>
    </w:p>
    <w:p>
      <w:pPr>
        <w:pStyle w:val="FirstParagraph"/>
        <w:keepNext/>
        <w:spacing w:after="60"/>
        <w:jc w:val="both"/>
      </w:pPr>
      <w:r>
        <w:rPr>
          <w:b/>
          <w:bCs/>
        </w:rPr>
        <w:t xml:space="preserve">Art. 533.</w:t>
      </w:r>
      <w:r>
        <w:t xml:space="preserve"> </w:t>
      </w:r>
      <w:r>
        <w:t xml:space="preserve">Quando a indenização por ato ilícito incluir prestação de alimentos, caberá ao executado, a requerimento do exequente, constituir capital cuja renda assegure o pagamento do valor mensal da pensão.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530"/>
        <w:gridCol w:w="2404"/>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Caput — constituição de capital a requerimento do exequente</w:t>
            </w:r>
          </w:p>
        </w:tc>
        <w:tc>
          <w:tcPr>
            <w:tcW w:type="dxa" w:w="1531"/>
          </w:tcPr>
          <w:p>
            <w:pPr>
              <w:pStyle w:val="Compact"/>
              <w:spacing w:line="276" w:lineRule="auto" w:before="40" w:after="40"/>
            </w:pPr>
            <w:r>
              <w:rPr>
                <w:rFonts w:ascii="Liberation Sans Narrow" w:hAnsi="Liberation Sans Narrow"/>
                <w:sz w:val="17"/>
              </w:rPr>
              <w:t xml:space="preserve">STJ, AREsp 3.070.969, Quarta Turma, relator Min. João Otávio de Noronha, julgado em 30/06/2026</w:t>
            </w:r>
          </w:p>
        </w:tc>
        <w:tc>
          <w:tcPr>
            <w:tcW w:type="dxa" w:w="2404"/>
          </w:tcPr>
          <w:p>
            <w:pPr>
              <w:pStyle w:val="Compact"/>
              <w:spacing w:line="276" w:lineRule="auto" w:before="40" w:after="40"/>
            </w:pPr>
            <w:r>
              <w:rPr>
                <w:rFonts w:ascii="Liberation Sans Narrow" w:hAnsi="Liberation Sans Narrow"/>
                <w:sz w:val="17"/>
              </w:rPr>
              <w:t xml:space="preserve">A constituição de capital prevista no art. 533 é devida em consonância com a Súmula 313 do STJ, independentemente da condição econômica do devedor.</w:t>
            </w:r>
          </w:p>
        </w:tc>
      </w:tr>
    </w:tbl>
    <w:p>
      <w:pPr>
        <w:pStyle w:val="BodyText"/>
        <w:spacing w:after="60"/>
        <w:jc w:val="both"/>
      </w:pPr>
      <w:r>
        <w:t xml:space="preserve">§ 1º O capital a que se refere o caput , representado por imóveis ou por direitos reais sobre imóveis suscetíveis de alienação, títulos da dívida pública ou aplicações financeiras em banco oficial, será inalienável e impenhorável enquanto durar a obrigação do executado, além de constituir-se em patrimônio de afetação.</w:t>
      </w:r>
    </w:p>
    <w:p>
      <w:pPr>
        <w:pStyle w:val="BodyText"/>
        <w:spacing w:after="60"/>
        <w:jc w:val="both"/>
      </w:pPr>
      <w:r>
        <w:t xml:space="preserve">§ 2º O juiz poderá substituir a constituição do capital pela inclusão do exequente em folha de pagamento de pessoa jurídica de notória capacidade econômica ou, a requerimento do executado, por fiança bancária ou garantia real, em valor a ser arbitrado de imediato pelo juiz.</w:t>
      </w:r>
    </w:p>
    <w:p>
      <w:pPr>
        <w:pStyle w:val="BodyText"/>
        <w:spacing w:after="60"/>
        <w:jc w:val="both"/>
      </w:pPr>
      <w:r>
        <w:t xml:space="preserve">§ 3º Se sobrevier modificação nas condições econômicas, poderá a parte requerer, conforme as circunstâncias, redução ou aumento da prestação.</w:t>
      </w:r>
    </w:p>
    <w:p>
      <w:pPr>
        <w:pStyle w:val="BodyText"/>
        <w:spacing w:after="60"/>
        <w:jc w:val="both"/>
      </w:pPr>
      <w:r>
        <w:t xml:space="preserve">§ 4º A prestação alimentícia poderá ser fixada tomando por base o salário-mínimo.</w:t>
      </w:r>
    </w:p>
    <w:p>
      <w:pPr>
        <w:pStyle w:val="BodyText"/>
        <w:spacing w:after="60"/>
        <w:jc w:val="both"/>
      </w:pPr>
      <w:r>
        <w:t xml:space="preserve">§ 5º Finda a obrigação de prestar alimentos, o juiz mandará liberar o capital, cessar o desconto em folha ou cancelar as garantias prestadas.</w:t>
      </w:r>
    </w:p>
    <w:bookmarkEnd w:id="274"/>
    <w:bookmarkEnd w:id="275"/>
    <w:bookmarkStart w:id="278" w:name="X276b2b3b0ba2776b63f6b219baaf57fb3950cc2"/>
    <w:p>
      <w:pPr>
        <w:pStyle w:val="Heading4"/>
        <w:spacing w:before="80" w:after="40"/>
      </w:pPr>
      <w:r>
        <w:rPr>
          <w:smallCaps/>
          <w:color w:val="2E75B6"/>
        </w:rPr>
        <w:t xml:space="preserve">Capítulo V: do cumprimento de sentença que reconheça a exigibilidade de obrigação de pagar quantia certa pela fazenda pública (arts. 534 a 535)</w:t>
      </w:r>
    </w:p>
    <w:bookmarkStart w:id="276" w:name="art.-534"/>
    <w:p>
      <w:pPr>
        <w:pStyle w:val="Heading6"/>
        <w:pBdr>
          <w:left w:val="single" w:sz="36" w:space="4" w:color="2E75B6"/>
        </w:pBdr>
        <w:shd w:val="clear" w:color="auto" w:fill="E3EEF9"/>
        <w:spacing w:before="120" w:after="60"/>
        <w:ind w:left="85"/>
      </w:pPr>
      <w:r>
        <w:rPr>
          <w:i w:val="0"/>
          <w:color w:val="1F3A5F"/>
          <w:sz w:val="22"/>
        </w:rPr>
        <w:t xml:space="preserve">Art. 534</w:t>
      </w:r>
    </w:p>
    <w:p>
      <w:pPr>
        <w:pStyle w:val="FirstParagraph"/>
        <w:keepNext/>
        <w:spacing w:after="60"/>
        <w:jc w:val="both"/>
      </w:pPr>
      <w:r>
        <w:rPr>
          <w:b/>
          <w:bCs/>
        </w:rPr>
        <w:t xml:space="preserve">Art. 534.</w:t>
      </w:r>
      <w:r>
        <w:t xml:space="preserve"> </w:t>
      </w:r>
      <w:r>
        <w:t xml:space="preserve">No cumprimento de sentença que impuser à Fazenda Pública o dever de pagar quantia certa, o exequente apresentará demonstrativo discriminado e atualizado do crédito contendo: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780"/>
        <w:gridCol w:w="1905"/>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Cumprimento contra a Fazenda Pública: prescrição da pretensão executória e obrigação de implantar em folha</w:t>
            </w:r>
          </w:p>
        </w:tc>
        <w:tc>
          <w:tcPr>
            <w:tcW w:type="dxa" w:w="1780"/>
          </w:tcPr>
          <w:p>
            <w:pPr>
              <w:pStyle w:val="Compact"/>
              <w:spacing w:line="276" w:lineRule="auto" w:before="40" w:after="40"/>
            </w:pPr>
            <w:r>
              <w:rPr>
                <w:rFonts w:ascii="Liberation Sans Narrow" w:hAnsi="Liberation Sans Narrow"/>
                <w:sz w:val="17"/>
              </w:rPr>
              <w:t xml:space="preserve">STJ, Tema Repetitivo 1311, REsp 2.057.984, Primeira Seção, relatora Min. Maria Thereza de Assis Moura, julgado em 11/06/2025, DJEN de 16/06/2025</w:t>
            </w:r>
          </w:p>
        </w:tc>
        <w:tc>
          <w:tcPr>
            <w:tcW w:type="dxa" w:w="1905"/>
          </w:tcPr>
          <w:p>
            <w:pPr>
              <w:pStyle w:val="Compact"/>
              <w:spacing w:line="276" w:lineRule="auto" w:before="40" w:after="40"/>
            </w:pPr>
            <w:r>
              <w:rPr>
                <w:rFonts w:ascii="Liberation Sans Narrow" w:hAnsi="Liberation Sans Narrow"/>
                <w:sz w:val="17"/>
              </w:rPr>
              <w:t xml:space="preserve">O curso do prazo prescricional da obrigação de pagar quantia certa pela fazenda pública não é suspenso durante o cumprimento da obrigação de implantar em folha de pagamento imposta na mesma sentença.</w:t>
            </w:r>
          </w:p>
        </w:tc>
      </w:tr>
      <w:tr>
        <w:trPr>
          <w:cantSplit/>
        </w:trPr>
        <w:tc>
          <w:tcPr>
            <w:tcW w:type="dxa" w:w="1655"/>
          </w:tcPr>
          <w:p>
            <w:pPr>
              <w:pStyle w:val="Compact"/>
              <w:spacing w:line="276" w:lineRule="auto" w:before="40" w:after="40"/>
            </w:pPr>
            <w:r>
              <w:rPr>
                <w:rFonts w:ascii="Liberation Sans Narrow" w:hAnsi="Liberation Sans Narrow"/>
                <w:sz w:val="17"/>
              </w:rPr>
              <w:t xml:space="preserve">Cumprimento de sentença contra a Fazenda Pública sem impugnação: honorários</w:t>
            </w:r>
          </w:p>
        </w:tc>
        <w:tc>
          <w:tcPr>
            <w:tcW w:type="dxa" w:w="1780"/>
          </w:tcPr>
          <w:p>
            <w:pPr>
              <w:pStyle w:val="Compact"/>
              <w:spacing w:line="276" w:lineRule="auto" w:before="40" w:after="40"/>
            </w:pPr>
            <w:r>
              <w:rPr>
                <w:rFonts w:ascii="Liberation Sans Narrow" w:hAnsi="Liberation Sans Narrow"/>
                <w:sz w:val="17"/>
              </w:rPr>
              <w:t xml:space="preserve">STJ, Tema Repetitivo 1190, REsp 2.029.636, Primeira Seção, relator Min. Herman Benjamin, julgado em 20/06/2024, DJe de 01/07/2024</w:t>
            </w:r>
          </w:p>
        </w:tc>
        <w:tc>
          <w:tcPr>
            <w:tcW w:type="dxa" w:w="1905"/>
          </w:tcPr>
          <w:p>
            <w:pPr>
              <w:pStyle w:val="Compact"/>
              <w:spacing w:line="276" w:lineRule="auto" w:before="40" w:after="40"/>
            </w:pPr>
            <w:r>
              <w:rPr>
                <w:rFonts w:ascii="Liberation Sans Narrow" w:hAnsi="Liberation Sans Narrow"/>
                <w:sz w:val="17"/>
              </w:rPr>
              <w:t xml:space="preserve">Na ausência de impugnação à pretensão executória, não são devidos honorários advocatícios sucumbenciais em cumprimento de sentença contra a Fazenda Pública, ainda que o crédito esteja submetido a pagamento por meio de Requisição de Pequeno Valor - RPV.</w:t>
            </w:r>
          </w:p>
        </w:tc>
      </w:tr>
      <w:tr>
        <w:trPr>
          <w:cantSplit/>
        </w:trPr>
        <w:tc>
          <w:tcPr>
            <w:tcW w:type="dxa" w:w="1655"/>
          </w:tcPr>
          <w:p>
            <w:pPr>
              <w:pStyle w:val="Compact"/>
              <w:spacing w:line="276" w:lineRule="auto" w:before="40" w:after="40"/>
            </w:pPr>
            <w:r>
              <w:rPr>
                <w:rFonts w:ascii="Liberation Sans Narrow" w:hAnsi="Liberation Sans Narrow"/>
                <w:sz w:val="17"/>
              </w:rPr>
              <w:t xml:space="preserve">Cumprimento contra a Fazenda sem impugnação: honorários e requisição de pequeno valor</w:t>
            </w:r>
          </w:p>
        </w:tc>
        <w:tc>
          <w:tcPr>
            <w:tcW w:type="dxa" w:w="1780"/>
          </w:tcPr>
          <w:p>
            <w:pPr>
              <w:pStyle w:val="Compact"/>
              <w:spacing w:line="276" w:lineRule="auto" w:before="40" w:after="40"/>
            </w:pPr>
            <w:r>
              <w:rPr>
                <w:rFonts w:ascii="Liberation Sans Narrow" w:hAnsi="Liberation Sans Narrow"/>
                <w:sz w:val="17"/>
              </w:rPr>
              <w:t xml:space="preserve">STF, ACO 1.051, Tribunal Pleno, relator Min. Nunes Marques, julgado em 26/08/2024</w:t>
            </w:r>
            <w:r>
              <w:rPr>
                <w:rFonts w:ascii="Liberation Sans Narrow" w:hAnsi="Liberation Sans Narrow"/>
                <w:sz w:val="17"/>
              </w:rPr>
              <w:t xml:space="preserve"> </w:t>
            </w:r>
            <w:r>
              <w:rPr>
                <w:rFonts w:ascii="Liberation Sans Narrow" w:hAnsi="Liberation Sans Narrow"/>
                <w:b/>
                <w:bCs/>
                <w:sz w:val="17"/>
              </w:rPr>
              <w:t xml:space="preserve">[Repositório externo]</w:t>
            </w:r>
          </w:p>
        </w:tc>
        <w:tc>
          <w:tcPr>
            <w:tcW w:type="dxa" w:w="1905"/>
          </w:tcPr>
          <w:p>
            <w:pPr>
              <w:pStyle w:val="Compact"/>
              <w:spacing w:line="276" w:lineRule="auto" w:before="40" w:after="40"/>
            </w:pPr>
            <w:r>
              <w:rPr>
                <w:rFonts w:ascii="Liberation Sans Narrow" w:hAnsi="Liberation Sans Narrow"/>
                <w:sz w:val="17"/>
              </w:rPr>
              <w:t xml:space="preserve">Não são devidos honorários advocatícios em cumprimento de sentença contra a Fazenda Pública sem impugnação; a lógica do art. 85, § 7º, vale tanto para precatório quanto para requisição de pequeno valor, pois a Fazenda não pode pagar de imediato.</w:t>
            </w:r>
          </w:p>
        </w:tc>
      </w:tr>
    </w:tbl>
    <w:p>
      <w:pPr>
        <w:pStyle w:val="BodyText"/>
        <w:spacing w:after="60"/>
        <w:jc w:val="both"/>
      </w:pPr>
      <w:r>
        <w:t xml:space="preserve">I - o nome completo e o número de inscrição no Cadastro de Pessoas Físicas ou no Cadastro Nacional da Pessoa Jurídica do exequente;</w:t>
      </w:r>
    </w:p>
    <w:p>
      <w:pPr>
        <w:pStyle w:val="BodyText"/>
        <w:spacing w:after="60"/>
        <w:jc w:val="both"/>
      </w:pPr>
      <w:r>
        <w:t xml:space="preserve">II - o índice de correção monetária adotado;</w:t>
      </w:r>
    </w:p>
    <w:p>
      <w:pPr>
        <w:pStyle w:val="BodyText"/>
        <w:spacing w:after="60"/>
        <w:jc w:val="both"/>
      </w:pPr>
      <w:r>
        <w:t xml:space="preserve">III - os juros aplicados e as respectivas taxas;</w:t>
      </w:r>
    </w:p>
    <w:p>
      <w:pPr>
        <w:pStyle w:val="BodyText"/>
        <w:spacing w:after="60"/>
        <w:jc w:val="both"/>
      </w:pPr>
      <w:r>
        <w:t xml:space="preserve">IV - o termo inicial e o termo final dos juros e da correção monetária utilizados;</w:t>
      </w:r>
    </w:p>
    <w:p>
      <w:pPr>
        <w:pStyle w:val="BodyText"/>
        <w:spacing w:after="60"/>
        <w:jc w:val="both"/>
      </w:pPr>
      <w:r>
        <w:t xml:space="preserve">V - a periodicidade da capitalização dos juros, se for o caso;</w:t>
      </w:r>
    </w:p>
    <w:p>
      <w:pPr>
        <w:pStyle w:val="BodyText"/>
        <w:spacing w:after="60"/>
        <w:jc w:val="both"/>
      </w:pPr>
      <w:r>
        <w:t xml:space="preserve">VI - a especificação dos eventuais descontos obrigatórios realizados.</w:t>
      </w:r>
    </w:p>
    <w:p>
      <w:pPr>
        <w:pStyle w:val="BodyText"/>
        <w:spacing w:after="60"/>
        <w:jc w:val="both"/>
      </w:pPr>
      <w:r>
        <w:t xml:space="preserve">§ 1º Havendo pluralidade de exequentes, cada um deverá apresentar o seu próprio demonstrativo, aplicando-se à hipótese, se for o caso, o disposto nos §§ 1º e 2º do art. 113.</w:t>
      </w:r>
    </w:p>
    <w:p>
      <w:pPr>
        <w:pStyle w:val="BodyText"/>
        <w:spacing w:after="60"/>
        <w:jc w:val="both"/>
      </w:pPr>
      <w:r>
        <w:t xml:space="preserve">§ 2º A multa prevista no § 1º do art. 523 não se aplica à Fazenda Pública.</w:t>
      </w:r>
    </w:p>
    <w:bookmarkEnd w:id="276"/>
    <w:bookmarkStart w:id="277" w:name="art.-535"/>
    <w:p>
      <w:pPr>
        <w:pStyle w:val="Heading6"/>
        <w:pBdr>
          <w:left w:val="single" w:sz="36" w:space="4" w:color="2E75B6"/>
        </w:pBdr>
        <w:shd w:val="clear" w:color="auto" w:fill="E3EEF9"/>
        <w:spacing w:before="120" w:after="60"/>
        <w:ind w:left="85"/>
      </w:pPr>
      <w:r>
        <w:rPr>
          <w:i w:val="0"/>
          <w:color w:val="1F3A5F"/>
          <w:sz w:val="22"/>
        </w:rPr>
        <w:t xml:space="preserve">Art. 535</w:t>
      </w:r>
    </w:p>
    <w:p>
      <w:pPr>
        <w:pStyle w:val="FirstParagraph"/>
        <w:keepNext/>
        <w:spacing w:after="60"/>
        <w:jc w:val="both"/>
      </w:pPr>
      <w:r>
        <w:rPr>
          <w:b/>
          <w:bCs/>
        </w:rPr>
        <w:t xml:space="preserve">Art. 535.</w:t>
      </w:r>
      <w:r>
        <w:t xml:space="preserve"> </w:t>
      </w:r>
      <w:r>
        <w:t xml:space="preserve">A Fazenda Pública será intimada na pessoa de seu representante judicial, por carga, remessa ou meio eletrônico, para, querendo, no prazo de 30 (trinta) dias e nos próprios autos, impugnar a execução, podendo arguir: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780"/>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Ação rescisória e modulação de efeitos do STF (Tema 69): honorários</w:t>
            </w:r>
          </w:p>
        </w:tc>
        <w:tc>
          <w:tcPr>
            <w:tcW w:type="dxa" w:w="1655"/>
          </w:tcPr>
          <w:p>
            <w:pPr>
              <w:pStyle w:val="Compact"/>
              <w:spacing w:line="276" w:lineRule="auto" w:before="40" w:after="40"/>
            </w:pPr>
            <w:r>
              <w:rPr>
                <w:rFonts w:ascii="Liberation Sans Narrow" w:hAnsi="Liberation Sans Narrow"/>
                <w:sz w:val="17"/>
              </w:rPr>
              <w:t xml:space="preserve">STJ, Tema Repetitivo 1419, REsp 2.222.626, Primeira Seção, relatora Min. Maria Thereza de Assis Moura, julgado em 20/08/2026, DJEN de 27/08/2026</w:t>
            </w:r>
          </w:p>
        </w:tc>
        <w:tc>
          <w:tcPr>
            <w:tcW w:type="dxa" w:w="1780"/>
          </w:tcPr>
          <w:p>
            <w:pPr>
              <w:pStyle w:val="Compact"/>
              <w:spacing w:line="276" w:lineRule="auto" w:before="40" w:after="40"/>
            </w:pPr>
            <w:r>
              <w:rPr>
                <w:rFonts w:ascii="Liberation Sans Narrow" w:hAnsi="Liberation Sans Narrow"/>
                <w:sz w:val="17"/>
              </w:rPr>
              <w:t xml:space="preserve">A decisão que, para aplicar a modulação de efeitos realizada pelo STF no Tema 69 da repercussão geral, julga procedente ação rescisória contestada até 11/9/2024 não deve condenar ao pagamento de honorários advocatícios de sucumbência.</w:t>
            </w:r>
          </w:p>
        </w:tc>
      </w:tr>
    </w:tbl>
    <w:p>
      <w:pPr>
        <w:pStyle w:val="BodyText"/>
        <w:spacing w:after="60"/>
        <w:jc w:val="both"/>
      </w:pPr>
      <w:r>
        <w:t xml:space="preserve">I - falta ou nulidade da citação se, na fase de conhecimento, o processo correu à revelia;</w:t>
      </w:r>
    </w:p>
    <w:p>
      <w:pPr>
        <w:pStyle w:val="BodyText"/>
        <w:spacing w:after="60"/>
        <w:jc w:val="both"/>
      </w:pPr>
      <w:r>
        <w:t xml:space="preserve">II - ilegitimidade de parte;</w:t>
      </w:r>
    </w:p>
    <w:p>
      <w:pPr>
        <w:pStyle w:val="BodyText"/>
        <w:spacing w:after="60"/>
        <w:jc w:val="both"/>
      </w:pPr>
      <w:r>
        <w:t xml:space="preserve">III - inexequibilidade do título ou inexigibilidade da obrigação;</w:t>
      </w:r>
    </w:p>
    <w:p>
      <w:pPr>
        <w:pStyle w:val="BodyText"/>
        <w:spacing w:after="60"/>
        <w:jc w:val="both"/>
      </w:pPr>
      <w:r>
        <w:t xml:space="preserve">IV - excesso de execução ou cumulação indevida de execuções;</w:t>
      </w:r>
    </w:p>
    <w:p>
      <w:pPr>
        <w:pStyle w:val="BodyText"/>
        <w:spacing w:after="60"/>
        <w:jc w:val="both"/>
      </w:pPr>
      <w:r>
        <w:t xml:space="preserve">V - incompetência absoluta ou relativa do juízo da execução;</w:t>
      </w:r>
    </w:p>
    <w:p>
      <w:pPr>
        <w:pStyle w:val="BodyText"/>
        <w:spacing w:after="60"/>
        <w:jc w:val="both"/>
      </w:pPr>
      <w:r>
        <w:t xml:space="preserve">VI - qualquer causa modificativa ou extintiva da obrigação, como pagamento, novação, compensação, transação ou prescrição, desde que supervenientes ao trânsito em julgado da sentença.</w:t>
      </w:r>
    </w:p>
    <w:p>
      <w:pPr>
        <w:pStyle w:val="BodyText"/>
        <w:spacing w:after="60"/>
        <w:jc w:val="both"/>
      </w:pPr>
      <w:r>
        <w:t xml:space="preserve">§ 1º A alegação de impedimento ou suspeição observará o disposto nos arts. 146 e 148.</w:t>
      </w:r>
    </w:p>
    <w:p>
      <w:pPr>
        <w:pStyle w:val="BodyText"/>
        <w:spacing w:after="60"/>
        <w:jc w:val="both"/>
      </w:pPr>
      <w:r>
        <w:t xml:space="preserve">§ 2º Quando se alegar que o exequente, em excesso de execução, pleiteia quantia superior à resultante do título, cumprirá à executada declarar de imediato o valor que entende correto, sob pena de não conhecimento da arguição.</w:t>
      </w:r>
    </w:p>
    <w:p>
      <w:pPr>
        <w:pStyle w:val="BodyText"/>
        <w:spacing w:after="60"/>
        <w:jc w:val="both"/>
      </w:pPr>
      <w:r>
        <w:t xml:space="preserve">§ 3º Não impugnada a execução ou rejeitadas as arguições da executada:</w:t>
      </w:r>
    </w:p>
    <w:p>
      <w:pPr>
        <w:pStyle w:val="BodyText"/>
        <w:spacing w:after="60"/>
        <w:jc w:val="both"/>
      </w:pPr>
      <w:r>
        <w:t xml:space="preserve">I - expedir-se-á, por intermédio do presidente do tribunal competente, precatório em favor do exequente, observando-se o disposto na Constituição Federal;</w:t>
      </w:r>
    </w:p>
    <w:p>
      <w:pPr>
        <w:pStyle w:val="BodyText"/>
        <w:keepNext/>
        <w:spacing w:after="60"/>
        <w:jc w:val="both"/>
      </w:pPr>
      <w:r>
        <w:t xml:space="preserve">II - por ordem do juiz, dirigida à autoridade na pessoa de quem o ente público foi citado para o processo, o pagamento de obrigação de pequeno valor será realizado no prazo de 2 (dois) meses contado da entrega da requisição, mediante depósito na agência de banco oficial mais próxima da residência do exequente. (Vide ADI 5534) (Vide ADI nº 5492)</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530"/>
        <w:gridCol w:w="2835"/>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83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 3º, II: depósito em</w:t>
            </w:r>
            <w:r>
              <w:rPr>
                <w:rFonts w:ascii="Liberation Sans Narrow" w:hAnsi="Liberation Sans Narrow"/>
                <w:sz w:val="17"/>
              </w:rPr>
              <w:t xml:space="preserve"> </w:t>
            </w:r>
            <w:r>
              <w:rPr>
                <w:rFonts w:ascii="Liberation Sans Narrow" w:hAnsi="Liberation Sans Narrow"/>
                <w:sz w:val="17"/>
              </w:rPr>
              <w:t xml:space="preserve">“agência de banco oficial”</w:t>
            </w:r>
          </w:p>
        </w:tc>
        <w:tc>
          <w:tcPr>
            <w:tcW w:type="dxa" w:w="1531"/>
          </w:tcPr>
          <w:p>
            <w:pPr>
              <w:pStyle w:val="Compact"/>
              <w:spacing w:line="276" w:lineRule="auto" w:before="40" w:after="40"/>
            </w:pPr>
            <w:r>
              <w:rPr>
                <w:rFonts w:ascii="Liberation Sans Narrow" w:hAnsi="Liberation Sans Narrow"/>
                <w:sz w:val="17"/>
              </w:rPr>
              <w:t xml:space="preserve">STF, ADI 5.492, Tribunal Pleno, relator Min. Dias Toffoli, julgado em 24/04/2023</w:t>
            </w:r>
          </w:p>
        </w:tc>
        <w:tc>
          <w:tcPr>
            <w:tcW w:type="dxa" w:w="2835"/>
          </w:tcPr>
          <w:p>
            <w:pPr>
              <w:pStyle w:val="Compact"/>
              <w:spacing w:line="276" w:lineRule="auto" w:before="40" w:after="40"/>
            </w:pPr>
            <w:r>
              <w:rPr>
                <w:rFonts w:ascii="Liberation Sans Narrow" w:hAnsi="Liberation Sans Narrow"/>
                <w:sz w:val="17"/>
              </w:rPr>
              <w:t xml:space="preserve">Declarada a inconstitucionalidade da expressão</w:t>
            </w:r>
            <w:r>
              <w:rPr>
                <w:rFonts w:ascii="Liberation Sans Narrow" w:hAnsi="Liberation Sans Narrow"/>
                <w:sz w:val="17"/>
              </w:rPr>
              <w:t xml:space="preserve"> </w:t>
            </w:r>
            <w:r>
              <w:rPr>
                <w:rFonts w:ascii="Liberation Sans Narrow" w:hAnsi="Liberation Sans Narrow"/>
                <w:sz w:val="17"/>
              </w:rPr>
              <w:t xml:space="preserve">“de banco oficial”</w:t>
            </w:r>
            <w:r>
              <w:rPr>
                <w:rFonts w:ascii="Liberation Sans Narrow" w:hAnsi="Liberation Sans Narrow"/>
                <w:sz w:val="17"/>
              </w:rPr>
              <w:t xml:space="preserve"> </w:t>
            </w:r>
            <w:r>
              <w:rPr>
                <w:rFonts w:ascii="Liberation Sans Narrow" w:hAnsi="Liberation Sans Narrow"/>
                <w:sz w:val="17"/>
              </w:rPr>
              <w:t xml:space="preserve">do art. 535, § 3º, II, com interpretação conforme: a</w:t>
            </w:r>
            <w:r>
              <w:rPr>
                <w:rFonts w:ascii="Liberation Sans Narrow" w:hAnsi="Liberation Sans Narrow"/>
                <w:sz w:val="17"/>
              </w:rPr>
              <w:t xml:space="preserve"> </w:t>
            </w:r>
            <w:r>
              <w:rPr>
                <w:rFonts w:ascii="Liberation Sans Narrow" w:hAnsi="Liberation Sans Narrow"/>
                <w:sz w:val="17"/>
              </w:rPr>
              <w:t xml:space="preserve">“agência”</w:t>
            </w:r>
            <w:r>
              <w:rPr>
                <w:rFonts w:ascii="Liberation Sans Narrow" w:hAnsi="Liberation Sans Narrow"/>
                <w:sz w:val="17"/>
              </w:rPr>
              <w:t xml:space="preserve"> </w:t>
            </w:r>
            <w:r>
              <w:rPr>
                <w:rFonts w:ascii="Liberation Sans Narrow" w:hAnsi="Liberation Sans Narrow"/>
                <w:sz w:val="17"/>
              </w:rPr>
              <w:t xml:space="preserve">pode ser de instituição financeira pública ou privada. A ementa registra que a Constituição não exige o depósito em banco público dos valores referidos nos arts. 840, I, e 535, § 3º, II.</w:t>
            </w:r>
          </w:p>
        </w:tc>
      </w:tr>
      <w:tr>
        <w:trPr>
          <w:cantSplit/>
        </w:trPr>
        <w:tc>
          <w:tcPr>
            <w:tcW w:type="dxa" w:w="1780"/>
          </w:tcPr>
          <w:p>
            <w:pPr>
              <w:pStyle w:val="Compact"/>
              <w:spacing w:line="276" w:lineRule="auto" w:before="40" w:after="40"/>
            </w:pPr>
            <w:r>
              <w:rPr>
                <w:rFonts w:ascii="Liberation Sans Narrow" w:hAnsi="Liberation Sans Narrow"/>
                <w:sz w:val="17"/>
              </w:rPr>
              <w:t xml:space="preserve">§ 3º, II: prazo para pagamento da obrigação de pequeno valor (competência legislativa)</w:t>
            </w:r>
          </w:p>
        </w:tc>
        <w:tc>
          <w:tcPr>
            <w:tcW w:type="dxa" w:w="1531"/>
          </w:tcPr>
          <w:p>
            <w:pPr>
              <w:pStyle w:val="Compact"/>
              <w:spacing w:line="276" w:lineRule="auto" w:before="40" w:after="40"/>
            </w:pPr>
            <w:r>
              <w:rPr>
                <w:rFonts w:ascii="Liberation Sans Narrow" w:hAnsi="Liberation Sans Narrow"/>
                <w:sz w:val="17"/>
              </w:rPr>
              <w:t xml:space="preserve">STF, ADI 5.534, Tribunal Pleno, relator Min. Dias Toffoli, julgado em 19/12/2020</w:t>
            </w:r>
          </w:p>
        </w:tc>
        <w:tc>
          <w:tcPr>
            <w:tcW w:type="dxa" w:w="2835"/>
          </w:tcPr>
          <w:p>
            <w:pPr>
              <w:pStyle w:val="Compact"/>
              <w:spacing w:line="276" w:lineRule="auto" w:before="40" w:after="40"/>
            </w:pPr>
            <w:r>
              <w:rPr>
                <w:rFonts w:ascii="Liberation Sans Narrow" w:hAnsi="Liberation Sans Narrow"/>
                <w:sz w:val="17"/>
              </w:rPr>
              <w:t xml:space="preserve">Julgada parcialmente procedente. O art. 535, § 3º, II, tem natureza processual e a competência para dispor sobre o prazo de pagamento da requisição de pequeno valor é privativa da União; a autonomia dos estados limita-se a fixar o valor referencial. Declarada a constitucionalidade do dispositivo.</w:t>
            </w:r>
          </w:p>
        </w:tc>
      </w:tr>
    </w:tbl>
    <w:p>
      <w:pPr>
        <w:pStyle w:val="BodyText"/>
        <w:keepNext/>
        <w:spacing w:after="60"/>
        <w:jc w:val="both"/>
      </w:pPr>
      <w:r>
        <w:t xml:space="preserve">§ 4º Tratando-se de impugnação parcial, a parte não questionada pela executada será, desde logo, objeto de cumprimento. (Vide ADI 5534)</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530"/>
        <w:gridCol w:w="2029"/>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 4º: impugnação parcial e regime de pagamento do valor incontroverso</w:t>
            </w:r>
          </w:p>
        </w:tc>
        <w:tc>
          <w:tcPr>
            <w:tcW w:type="dxa" w:w="1531"/>
          </w:tcPr>
          <w:p>
            <w:pPr>
              <w:pStyle w:val="Compact"/>
              <w:spacing w:line="276" w:lineRule="auto" w:before="40" w:after="40"/>
            </w:pPr>
            <w:r>
              <w:rPr>
                <w:rFonts w:ascii="Liberation Sans Narrow" w:hAnsi="Liberation Sans Narrow"/>
                <w:sz w:val="17"/>
              </w:rPr>
              <w:t xml:space="preserve">STF, ADI 5.534, Tribunal Pleno, relator Min. Dias Toffoli, julgado em 19/12/2020</w:t>
            </w:r>
          </w:p>
        </w:tc>
        <w:tc>
          <w:tcPr>
            <w:tcW w:type="dxa" w:w="2030"/>
          </w:tcPr>
          <w:p>
            <w:pPr>
              <w:pStyle w:val="Compact"/>
              <w:spacing w:line="276" w:lineRule="auto" w:before="40" w:after="40"/>
            </w:pPr>
            <w:r>
              <w:rPr>
                <w:rFonts w:ascii="Liberation Sans Narrow" w:hAnsi="Liberation Sans Narrow"/>
                <w:sz w:val="17"/>
              </w:rPr>
              <w:t xml:space="preserve">Interpretação conforme à Constituição ao § 4º: para determinar o regime de pagamento (precatório ou requisição de pequeno valor) do valor incontroverso, deve-se observar o valor total da condenação.</w:t>
            </w:r>
          </w:p>
        </w:tc>
      </w:tr>
    </w:tbl>
    <w:p>
      <w:pPr>
        <w:pStyle w:val="BodyText"/>
        <w:spacing w:after="60"/>
        <w:jc w:val="both"/>
      </w:pPr>
      <w:r>
        <w:t xml:space="preserve">§ 5º Para efeito do disposto no inciso III do caput deste artigo, considera-se também inexigível a obrigação reconhecida em título executivo judicial fundado em lei ou ato normativo considerado inconstitucional pelo Supremo Tribunal Federal, ou fundado em aplicação ou interpretação da lei ou do ato normativo tido pelo Supremo Tribunal Federal como incompatível com a Constituição Federal , em controle de constitucionalidade concentrado ou difuso.</w:t>
      </w:r>
    </w:p>
    <w:p>
      <w:pPr>
        <w:pStyle w:val="BodyText"/>
        <w:spacing w:after="60"/>
        <w:jc w:val="both"/>
      </w:pPr>
      <w:r>
        <w:t xml:space="preserve">§ 6º No caso do § 5º, os efeitos da decisão do Supremo Tribunal Federal poderão ser modulados no tempo, de modo a favorecer a segurança jurídica.</w:t>
      </w:r>
    </w:p>
    <w:p>
      <w:pPr>
        <w:pStyle w:val="BodyText"/>
        <w:spacing w:after="60"/>
        <w:jc w:val="both"/>
      </w:pPr>
      <w:r>
        <w:t xml:space="preserve">§ 7º A decisão do Supremo Tribunal Federal referida no § 5º deve ter sido proferida antes do trânsito em julgado da decisão exequenda. (Vide AR 2876)</w:t>
      </w:r>
    </w:p>
    <w:p>
      <w:pPr>
        <w:pStyle w:val="BodyText"/>
        <w:keepNext/>
        <w:spacing w:after="60"/>
        <w:jc w:val="both"/>
      </w:pPr>
      <w:r>
        <w:t xml:space="preserve">§ 8º Se a decisão referida no § 5º for proferida após o trânsito em julgado da decisão exequenda, caberá ação rescisória, cujo prazo será contado do trânsito em julgado da decisão proferida pelo Supremo Tribunal Federal. (Vide AR 2876)</w:t>
      </w:r>
    </w:p>
    <w:tbl>
      <w:tblPr>
        <w:tblLook w:firstColumn="1" w:firstRow="1" w:lastColumn="0" w:lastRow="0" w:noHBand="0" w:noVBand="1" w:val="04A0"/>
        <w:tblW w:w="4932" w:type="dxa"/>
        <w:tblLayout w:type="fixed"/>
        <w:tblBorders>
          <w:top w:val="nil"/>
          <w:bottom w:val="nil"/>
          <w:right w:val="nil"/>
          <w:insideH w:val="nil"/>
          <w:insideV w:val="nil"/>
        </w:tblBorders>
      </w:tblPr>
      <w:tblGrid>
        <w:gridCol w:w="624"/>
        <w:gridCol w:w="4309"/>
      </w:tblGrid>
      <w:tr>
        <w:tc>
          <w:tcPr>
            <w:tcW w:type="dxa" w:w="624"/>
            <w:shd w:val="clear" w:color="auto" w:fill="FFF3D9"/>
            <w:tcBorders>
              <w:left w:val="single" w:sz="36" w:space="0" w:color="B26B00"/>
            </w:tcBorders>
            <w:vAlign w:val="center"/>
          </w:tcPr>
          <w:p>
            <w:pPr>
              <w:spacing w:before="80" w:after="80"/>
              <w:jc w:val="center"/>
            </w:pPr>
            <w:r>
              <w:rPr>
                <w:rFonts w:ascii="DejaVu Sans" w:hAnsi="DejaVu Sans" w:cs="DejaVu Sans" w:eastAsia="DejaVu Sans"/>
                <w:b/>
                <w:color w:val="B26B00"/>
                <w:sz w:val="52"/>
              </w:rPr>
              <w:t>⚠</w:t>
            </w:r>
          </w:p>
        </w:tc>
        <w:tc>
          <w:tcPr>
            <w:tcW w:type="dxa" w:w="4309"/>
            <w:shd w:val="clear" w:color="auto" w:fill="FFF3D9"/>
          </w:tcPr>
          <w:p>
            <w:pPr>
              <w:pStyle w:val="BodyText"/>
              <w:spacing w:before="100" w:after="100" w:line="276" w:lineRule="auto"/>
              <w:ind w:left="113" w:right="113"/>
              <w:jc w:val="both"/>
            </w:pPr>
            <w:r>
              <w:rPr>
                <w:b/>
                <w:bCs/>
                <w:sz w:val="22"/>
              </w:rPr>
              <w:t xml:space="preserve">Remissão do texto legal sem julgado localizado.</w:t>
            </w:r>
            <w:r>
              <w:rPr>
                <w:sz w:val="22"/>
              </w:rPr>
              <w:t xml:space="preserve"> </w:t>
            </w:r>
            <w:r>
              <w:rPr>
                <w:sz w:val="22"/>
              </w:rPr>
              <w:t xml:space="preserve">O texto dos §§ 7º e 8º do art. 535 remete à AR 2876. A consulta por número ao controle concentrado do STF (curadoria interna), à busca híbrida do STF e ao repositório externo (por classe e número) não a localizou; sem Tribunal, relator, data e tese confirmados nas fontes, o julgado não é citado nem resumido. Ver as pendências.</w:t>
            </w:r>
          </w:p>
        </w:tc>
      </w:tr>
    </w:tbl>
    <w:p>
      <w:pPr>
        <w:spacing w:after="40"/>
      </w:pPr>
    </w:p>
    <w:bookmarkEnd w:id="277"/>
    <w:bookmarkEnd w:id="278"/>
    <w:bookmarkStart w:id="284" w:name="X14db69b2088e079132914154af358a4ff9cefea"/>
    <w:p>
      <w:pPr>
        <w:pStyle w:val="Heading4"/>
        <w:spacing w:before="80" w:after="40"/>
      </w:pPr>
      <w:r>
        <w:rPr>
          <w:smallCaps/>
          <w:color w:val="2E75B6"/>
        </w:rPr>
        <w:t xml:space="preserve">Capítulo VI: do cumprimento de sentença que reconheça a exigibilidade de obrigação de fazer, de não fazer ou de entregar coisa (arts. 536 a 538)</w:t>
      </w:r>
    </w:p>
    <w:bookmarkStart w:id="281" w:name="X683c54d865f73618dc66cfbd0c1b2d9315aa570"/>
    <w:p>
      <w:pPr>
        <w:pStyle w:val="Heading5"/>
        <w:spacing w:before="60" w:after="20"/>
      </w:pPr>
      <w:r>
        <w:rPr>
          <w:i/>
          <w:color w:val="595959"/>
        </w:rPr>
        <w:t xml:space="preserve">Seção I: do cumprimento de sentença que reconheça a exigibilidade de obrigação de fazer ou de não fazer (arts. 536 a 537)</w:t>
      </w:r>
    </w:p>
    <w:bookmarkStart w:id="279" w:name="art.-536"/>
    <w:p>
      <w:pPr>
        <w:pStyle w:val="Heading6"/>
        <w:pBdr>
          <w:left w:val="single" w:sz="36" w:space="4" w:color="2E75B6"/>
        </w:pBdr>
        <w:shd w:val="clear" w:color="auto" w:fill="E3EEF9"/>
        <w:spacing w:before="120" w:after="60"/>
        <w:ind w:left="85"/>
      </w:pPr>
      <w:r>
        <w:rPr>
          <w:i w:val="0"/>
          <w:color w:val="1F3A5F"/>
          <w:sz w:val="22"/>
        </w:rPr>
        <w:t xml:space="preserve">Art. 536</w:t>
      </w:r>
    </w:p>
    <w:p>
      <w:pPr>
        <w:pStyle w:val="FirstParagraph"/>
        <w:keepNext/>
        <w:spacing w:after="60"/>
        <w:jc w:val="both"/>
      </w:pPr>
      <w:r>
        <w:rPr>
          <w:b/>
          <w:bCs/>
        </w:rPr>
        <w:t xml:space="preserve">Art. 536.</w:t>
      </w:r>
      <w:r>
        <w:t xml:space="preserve"> </w:t>
      </w:r>
      <w:r>
        <w:t xml:space="preserve">No cumprimento de sentença que reconheça a exigibilidade de obrigação de fazer ou de não fazer, o juiz poderá, de ofício ou a requerimento, para a efetivação da tutela específica ou a obtenção de tutela pelo resultado prático equivalente, determinar as medidas necessárias à satisfação do exequente.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2029"/>
        <w:gridCol w:w="2029"/>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Multa cominatória e bloqueio de ativos</w:t>
            </w:r>
          </w:p>
        </w:tc>
        <w:tc>
          <w:tcPr>
            <w:tcW w:type="dxa" w:w="2030"/>
          </w:tcPr>
          <w:p>
            <w:pPr>
              <w:pStyle w:val="Compact"/>
              <w:spacing w:line="276" w:lineRule="auto" w:before="40" w:after="40"/>
            </w:pPr>
            <w:r>
              <w:rPr>
                <w:rFonts w:ascii="Liberation Sans Narrow" w:hAnsi="Liberation Sans Narrow"/>
                <w:sz w:val="17"/>
              </w:rPr>
              <w:t xml:space="preserve">STJ, AREsp 2.812.711, Quarta Turma, relator Min. Raul Araújo, DJe de 29/10/2025</w:t>
            </w:r>
          </w:p>
        </w:tc>
        <w:tc>
          <w:tcPr>
            <w:tcW w:type="dxa" w:w="2030"/>
          </w:tcPr>
          <w:p>
            <w:pPr>
              <w:pStyle w:val="Compact"/>
              <w:spacing w:line="276" w:lineRule="auto" w:before="40" w:after="40"/>
            </w:pPr>
            <w:r>
              <w:rPr>
                <w:rFonts w:ascii="Liberation Sans Narrow" w:hAnsi="Liberation Sans Narrow"/>
                <w:sz w:val="17"/>
              </w:rPr>
              <w:t xml:space="preserve">Manteve-se a multa cominatória e o bloqueio de ativos financeiros por reputá-los proporcionais e necessários ao cumprimento da obrigação de fornecer medicamento essencial, diante do reiterado descumprimento da liminar; o recurso especial não foi conhecido.</w:t>
            </w:r>
          </w:p>
        </w:tc>
      </w:tr>
      <w:tr>
        <w:trPr>
          <w:cantSplit/>
        </w:trPr>
        <w:tc>
          <w:tcPr>
            <w:tcW w:type="dxa" w:w="1905"/>
          </w:tcPr>
          <w:p>
            <w:pPr>
              <w:pStyle w:val="Compact"/>
              <w:spacing w:line="276" w:lineRule="auto" w:before="40" w:after="40"/>
            </w:pPr>
            <w:r>
              <w:rPr>
                <w:rFonts w:ascii="Liberation Sans Narrow" w:hAnsi="Liberation Sans Narrow"/>
                <w:sz w:val="17"/>
              </w:rPr>
              <w:t xml:space="preserve">Exigibilidade da multa: intimação pessoal do devedor</w:t>
            </w:r>
          </w:p>
        </w:tc>
        <w:tc>
          <w:tcPr>
            <w:tcW w:type="dxa" w:w="2030"/>
          </w:tcPr>
          <w:p>
            <w:pPr>
              <w:pStyle w:val="Compact"/>
              <w:spacing w:line="276" w:lineRule="auto" w:before="40" w:after="40"/>
            </w:pPr>
            <w:r>
              <w:rPr>
                <w:rFonts w:ascii="Liberation Sans Narrow" w:hAnsi="Liberation Sans Narrow"/>
                <w:sz w:val="17"/>
              </w:rPr>
              <w:t xml:space="preserve">STJ, AgInt no REsp 2.019.036, Primeira Turma, relator Min. Manoel Erhardt (Desembargador Convocado do TRF5), julgado em 05/12/2022, DJe de 07/12/2022</w:t>
            </w:r>
          </w:p>
        </w:tc>
        <w:tc>
          <w:tcPr>
            <w:tcW w:type="dxa" w:w="2030"/>
          </w:tcPr>
          <w:p>
            <w:pPr>
              <w:pStyle w:val="Compact"/>
              <w:spacing w:line="276" w:lineRule="auto" w:before="40" w:after="40"/>
            </w:pPr>
            <w:r>
              <w:rPr>
                <w:rFonts w:ascii="Liberation Sans Narrow" w:hAnsi="Liberation Sans Narrow"/>
                <w:sz w:val="17"/>
              </w:rPr>
              <w:t xml:space="preserve">É indispensável a prévia intimação pessoal do devedor para cobrar a multa por descumprimento de obrigação de fazer ou não fazer (Súmula 410/STJ), cujo teor permanece hígido após o CPC/2015; a intimação do advogado não supre.</w:t>
            </w:r>
          </w:p>
        </w:tc>
      </w:tr>
      <w:tr>
        <w:trPr>
          <w:cantSplit/>
        </w:trPr>
        <w:tc>
          <w:tcPr>
            <w:tcW w:type="dxa" w:w="1905"/>
          </w:tcPr>
          <w:p>
            <w:pPr>
              <w:pStyle w:val="Compact"/>
              <w:spacing w:line="276" w:lineRule="auto" w:before="40" w:after="40"/>
            </w:pPr>
            <w:r>
              <w:rPr>
                <w:rFonts w:ascii="Liberation Sans Narrow" w:hAnsi="Liberation Sans Narrow"/>
                <w:sz w:val="17"/>
              </w:rPr>
              <w:t xml:space="preserve">Multa e Fazenda Pública; revisão do valor</w:t>
            </w:r>
          </w:p>
        </w:tc>
        <w:tc>
          <w:tcPr>
            <w:tcW w:type="dxa" w:w="2030"/>
          </w:tcPr>
          <w:p>
            <w:pPr>
              <w:pStyle w:val="Compact"/>
              <w:spacing w:line="276" w:lineRule="auto" w:before="40" w:after="40"/>
            </w:pPr>
            <w:r>
              <w:rPr>
                <w:rFonts w:ascii="Liberation Sans Narrow" w:hAnsi="Liberation Sans Narrow"/>
                <w:sz w:val="17"/>
              </w:rPr>
              <w:t xml:space="preserve">STJ, AgInt no REsp 2.012.959, Segunda Turma, relator Min. Herman Benjamin, DJe de 04/11/2022</w:t>
            </w:r>
          </w:p>
        </w:tc>
        <w:tc>
          <w:tcPr>
            <w:tcW w:type="dxa" w:w="2030"/>
          </w:tcPr>
          <w:p>
            <w:pPr>
              <w:pStyle w:val="Compact"/>
              <w:spacing w:line="276" w:lineRule="auto" w:before="40" w:after="40"/>
            </w:pPr>
            <w:r>
              <w:rPr>
                <w:rFonts w:ascii="Liberation Sans Narrow" w:hAnsi="Liberation Sans Narrow"/>
                <w:sz w:val="17"/>
              </w:rPr>
              <w:t xml:space="preserve">Cita o recurso repetitivo REsp 1.474.665/RS: é possível impor multa à Fazenda Pública nas obrigações de fazer. A redução do valor da astreinte implica, em regra, reexame de fatos (Súmula 7/STJ), salvo valor irrisório ou exorbitante.</w:t>
            </w:r>
          </w:p>
        </w:tc>
      </w:tr>
    </w:tbl>
    <w:p>
      <w:pPr>
        <w:pStyle w:val="BodyText"/>
        <w:keepNext/>
        <w:spacing w:after="60"/>
        <w:jc w:val="both"/>
      </w:pPr>
      <w:r>
        <w:t xml:space="preserve">§ 1º Para atender ao disposto no caput , o juiz poderá determinar, entre outras medidas, a imposição de multa, a busca e apreensão, a remoção de pessoas e coisas, o desfazimento de obras e o impedimento de atividade nociva, podendo, caso necessário, requisitar o auxílio de força policial.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Art. 536, § 1º, e art. 506: astreintes e gestor público que não foi parte</w:t>
            </w:r>
          </w:p>
        </w:tc>
        <w:tc>
          <w:tcPr>
            <w:tcW w:type="dxa" w:w="1655"/>
          </w:tcPr>
          <w:p>
            <w:pPr>
              <w:pStyle w:val="Compact"/>
              <w:spacing w:line="276" w:lineRule="auto" w:before="40" w:after="40"/>
            </w:pPr>
            <w:r>
              <w:rPr>
                <w:rFonts w:ascii="Liberation Sans Narrow" w:hAnsi="Liberation Sans Narrow"/>
                <w:sz w:val="17"/>
              </w:rPr>
              <w:t xml:space="preserve">STJ, AREsp 3.154.571, Segunda Turma, relator Min. Teodoro Silva Santos, julgado em 12/08/2026, DJEN de 18/08/2026</w:t>
            </w:r>
          </w:p>
        </w:tc>
        <w:tc>
          <w:tcPr>
            <w:tcW w:type="dxa" w:w="2030"/>
          </w:tcPr>
          <w:p>
            <w:pPr>
              <w:pStyle w:val="Compact"/>
              <w:spacing w:line="276" w:lineRule="auto" w:before="40" w:after="40"/>
            </w:pPr>
            <w:r>
              <w:rPr>
                <w:rFonts w:ascii="Liberation Sans Narrow" w:hAnsi="Liberation Sans Narrow"/>
                <w:sz w:val="17"/>
              </w:rPr>
              <w:t xml:space="preserve">Em obrigação de fazer cabe multa cominatória à Fazenda Pública, mas não se estende a multa ao gestor público que não participou da lide, sob pena de ofensa ao contraditório, à ampla defesa e ao art. 506 (cita REsp 1.315.719/SE, AgRg no AREsp 196.946/SE e REsp 1.728.528/PB). Recurso especial provido.</w:t>
            </w:r>
          </w:p>
        </w:tc>
      </w:tr>
    </w:tbl>
    <w:p>
      <w:pPr>
        <w:pStyle w:val="BodyText"/>
        <w:spacing w:after="60"/>
        <w:jc w:val="both"/>
      </w:pPr>
      <w:r>
        <w:t xml:space="preserve">§ 2º O mandado de busca e apreensão de pessoas e coisas será cumprido por 2 (dois) oficiais de justiça, observando-se o disposto no art. 846, §§ 1º a 4º, se houver necessidade de arrombamento.</w:t>
      </w:r>
    </w:p>
    <w:p>
      <w:pPr>
        <w:pStyle w:val="BodyText"/>
        <w:spacing w:after="60"/>
        <w:jc w:val="both"/>
      </w:pPr>
      <w:r>
        <w:t xml:space="preserve">§ 3º O executado incidirá nas penas de litigância de má-fé quando injustificadamente descumprir a ordem judicial, sem prejuízo de sua responsabilização por crime de desobediência.</w:t>
      </w:r>
    </w:p>
    <w:p>
      <w:pPr>
        <w:pStyle w:val="BodyText"/>
        <w:spacing w:after="60"/>
        <w:jc w:val="both"/>
      </w:pPr>
      <w:r>
        <w:t xml:space="preserve">§ 4º No cumprimento de sentença que reconheça a exigibilidade de obrigação de fazer ou de não fazer, aplica-se o art. 525, no que couber.</w:t>
      </w:r>
    </w:p>
    <w:p>
      <w:pPr>
        <w:pStyle w:val="BodyText"/>
        <w:spacing w:after="60"/>
        <w:jc w:val="both"/>
      </w:pPr>
      <w:r>
        <w:t xml:space="preserve">§ 5º O disposto neste artigo aplica-se, no que couber, ao cumprimento de sentença que reconheça deveres de fazer e de não fazer de natureza não obrigacional.</w:t>
      </w:r>
    </w:p>
    <w:bookmarkEnd w:id="279"/>
    <w:bookmarkStart w:id="280" w:name="art.-537"/>
    <w:p>
      <w:pPr>
        <w:pStyle w:val="Heading6"/>
        <w:pBdr>
          <w:left w:val="single" w:sz="36" w:space="4" w:color="2E75B6"/>
        </w:pBdr>
        <w:shd w:val="clear" w:color="auto" w:fill="E3EEF9"/>
        <w:spacing w:before="120" w:after="60"/>
        <w:ind w:left="85"/>
      </w:pPr>
      <w:r>
        <w:rPr>
          <w:i w:val="0"/>
          <w:color w:val="1F3A5F"/>
          <w:sz w:val="22"/>
        </w:rPr>
        <w:t xml:space="preserve">Art. 537</w:t>
      </w:r>
    </w:p>
    <w:p>
      <w:pPr>
        <w:pStyle w:val="FirstParagraph"/>
        <w:keepNext/>
        <w:spacing w:after="60"/>
        <w:jc w:val="both"/>
      </w:pPr>
      <w:r>
        <w:rPr>
          <w:b/>
          <w:bCs/>
        </w:rPr>
        <w:t xml:space="preserve">Art. 537.</w:t>
      </w:r>
      <w:r>
        <w:t xml:space="preserve"> </w:t>
      </w:r>
      <w:r>
        <w:t xml:space="preserve">A multa independe de requerimento da parte e poderá ser aplicada na fase de conhecimento, em tutela provisória ou na sentença, ou na fase de execução, desde que seja suficiente e compatível com a obrigação e que se determine prazo razoável para cumprimento do preceito.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2154"/>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Multa cominatória em obrigação de fazer ou não fazer: intimação e termo inicial</w:t>
            </w:r>
          </w:p>
        </w:tc>
        <w:tc>
          <w:tcPr>
            <w:tcW w:type="dxa" w:w="1655"/>
          </w:tcPr>
          <w:p>
            <w:pPr>
              <w:pStyle w:val="Compact"/>
              <w:spacing w:line="276" w:lineRule="auto" w:before="40" w:after="40"/>
            </w:pPr>
            <w:r>
              <w:rPr>
                <w:rFonts w:ascii="Liberation Sans Narrow" w:hAnsi="Liberation Sans Narrow"/>
                <w:sz w:val="17"/>
              </w:rPr>
              <w:t xml:space="preserve">STJ, Tema Repetitivo 1296, REsp 2.096.505, Corte Especial, relatora Min. Nancy Andrighi, julgado em 04/03/2026, DJEN de 20/03/2026</w:t>
            </w:r>
          </w:p>
        </w:tc>
        <w:tc>
          <w:tcPr>
            <w:tcW w:type="dxa" w:w="2154"/>
          </w:tcPr>
          <w:p>
            <w:pPr>
              <w:pStyle w:val="Compact"/>
              <w:spacing w:line="276" w:lineRule="auto" w:before="40" w:after="40"/>
            </w:pPr>
            <w:r>
              <w:rPr>
                <w:rFonts w:ascii="Liberation Sans Narrow" w:hAnsi="Liberation Sans Narrow"/>
                <w:sz w:val="17"/>
              </w:rPr>
              <w:t xml:space="preserve">A prévia intimação pessoal do devedor para o cumprimento de obrigação de fazer ou de não fazer especificada na decisão judicial é pressuposto para a incidência da multa coercitiva, nos termos da Súmula n. 410/STJ, cujo teor permanece hígido após a entrada em vigor do CPC de 2015.</w:t>
            </w:r>
          </w:p>
        </w:tc>
      </w:tr>
      <w:tr>
        <w:trPr>
          <w:cantSplit/>
        </w:trPr>
        <w:tc>
          <w:tcPr>
            <w:tcW w:type="dxa" w:w="1905"/>
          </w:tcPr>
          <w:p>
            <w:pPr>
              <w:pStyle w:val="Compact"/>
              <w:spacing w:line="276" w:lineRule="auto" w:before="40" w:after="40"/>
            </w:pPr>
            <w:r>
              <w:rPr>
                <w:rFonts w:ascii="Liberation Sans Narrow" w:hAnsi="Liberation Sans Narrow"/>
                <w:sz w:val="17"/>
              </w:rPr>
              <w:t xml:space="preserve">Multa diária (astreintes) contra ente público para fornecimento de medicamento</w:t>
            </w:r>
          </w:p>
        </w:tc>
        <w:tc>
          <w:tcPr>
            <w:tcW w:type="dxa" w:w="1655"/>
          </w:tcPr>
          <w:p>
            <w:pPr>
              <w:pStyle w:val="Compact"/>
              <w:spacing w:line="276" w:lineRule="auto" w:before="40" w:after="40"/>
            </w:pPr>
            <w:r>
              <w:rPr>
                <w:rFonts w:ascii="Liberation Sans Narrow" w:hAnsi="Liberation Sans Narrow"/>
                <w:sz w:val="17"/>
              </w:rPr>
              <w:t xml:space="preserve">STJ, Tema Repetitivo 98, REsp 1.474.665, Primeira Seção, relator Min. Benedito Gonçalves, julgado em 26/04/2017, DJe de 22/06/2017</w:t>
            </w:r>
          </w:p>
        </w:tc>
        <w:tc>
          <w:tcPr>
            <w:tcW w:type="dxa" w:w="2154"/>
          </w:tcPr>
          <w:p>
            <w:pPr>
              <w:pStyle w:val="Compact"/>
              <w:spacing w:line="276" w:lineRule="auto" w:before="40" w:after="40"/>
            </w:pPr>
            <w:r>
              <w:rPr>
                <w:rFonts w:ascii="Liberation Sans Narrow" w:hAnsi="Liberation Sans Narrow"/>
                <w:sz w:val="17"/>
              </w:rPr>
              <w:t xml:space="preserve">Possibilidade de imposição de multa diária (astreintes) a ente público, para compeli-lo a fornecer medicamento à pessoa desprovida de recursos financeiros.</w:t>
            </w:r>
          </w:p>
        </w:tc>
      </w:tr>
      <w:tr>
        <w:trPr>
          <w:cantSplit/>
        </w:trPr>
        <w:tc>
          <w:tcPr>
            <w:tcW w:type="dxa" w:w="1905"/>
          </w:tcPr>
          <w:p>
            <w:pPr>
              <w:pStyle w:val="Compact"/>
              <w:spacing w:line="276" w:lineRule="auto" w:before="40" w:after="40"/>
            </w:pPr>
            <w:r>
              <w:rPr>
                <w:rFonts w:ascii="Liberation Sans Narrow" w:hAnsi="Liberation Sans Narrow"/>
                <w:sz w:val="17"/>
              </w:rPr>
              <w:t xml:space="preserve">Multa cominatória: exigibilidade condicionada e redução do valor diário</w:t>
            </w:r>
          </w:p>
        </w:tc>
        <w:tc>
          <w:tcPr>
            <w:tcW w:type="dxa" w:w="1655"/>
          </w:tcPr>
          <w:p>
            <w:pPr>
              <w:pStyle w:val="Compact"/>
              <w:spacing w:line="276" w:lineRule="auto" w:before="40" w:after="40"/>
            </w:pPr>
            <w:r>
              <w:rPr>
                <w:rFonts w:ascii="Liberation Sans Narrow" w:hAnsi="Liberation Sans Narrow"/>
                <w:sz w:val="17"/>
              </w:rPr>
              <w:t xml:space="preserve">STJ, REsp 1.963.548, Quarta Turma, relatora Min. Maria Isabel Gallotti, julgado em 30/06/2026, DJEN de 03/07/2026</w:t>
            </w:r>
          </w:p>
        </w:tc>
        <w:tc>
          <w:tcPr>
            <w:tcW w:type="dxa" w:w="2154"/>
          </w:tcPr>
          <w:p>
            <w:pPr>
              <w:pStyle w:val="Compact"/>
              <w:spacing w:line="276" w:lineRule="auto" w:before="40" w:after="40"/>
            </w:pPr>
            <w:r>
              <w:rPr>
                <w:rFonts w:ascii="Liberation Sans Narrow" w:hAnsi="Liberation Sans Narrow"/>
                <w:sz w:val="17"/>
              </w:rPr>
              <w:t xml:space="preserve">A multa cominatória só é exigível a partir de decisão que reconheça especificamente o inadimplemento. Se a sentença concede prazo adicional para cumprimento, o termo inicial é o trânsito em julgado da sentença. Admite-se reduzir o valor diário exorbitante, inclusive em recurso.</w:t>
            </w:r>
          </w:p>
        </w:tc>
      </w:tr>
    </w:tbl>
    <w:p>
      <w:pPr>
        <w:pStyle w:val="BodyText"/>
        <w:keepNext/>
        <w:spacing w:after="60"/>
        <w:jc w:val="both"/>
      </w:pPr>
      <w:r>
        <w:t xml:space="preserve">§ 1º O juiz poderá, de ofício ou a requerimento, modificar o valor ou a periodicidade da multa vincenda ou excluí-la, caso verifique que: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2279"/>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905"/>
          </w:tcPr>
          <w:p>
            <w:pPr>
              <w:pStyle w:val="Compact"/>
              <w:spacing w:line="276" w:lineRule="auto" w:before="40" w:after="40"/>
            </w:pPr>
            <w:r>
              <w:rPr>
                <w:rFonts w:ascii="Liberation Sans Narrow" w:hAnsi="Liberation Sans Narrow"/>
                <w:sz w:val="17"/>
              </w:rPr>
              <w:t xml:space="preserve">§ 1º: multa vencida não pode ser revista; apenas a vincenda</w:t>
            </w:r>
          </w:p>
        </w:tc>
        <w:tc>
          <w:tcPr>
            <w:tcW w:type="dxa" w:w="1655"/>
          </w:tcPr>
          <w:p>
            <w:pPr>
              <w:pStyle w:val="Compact"/>
              <w:spacing w:line="276" w:lineRule="auto" w:before="40" w:after="40"/>
            </w:pPr>
            <w:r>
              <w:rPr>
                <w:rFonts w:ascii="Liberation Sans Narrow" w:hAnsi="Liberation Sans Narrow"/>
                <w:sz w:val="17"/>
              </w:rPr>
              <w:t xml:space="preserve">STJ, EAREsp 1.479.019, Corte Especial, relator Min. João Otávio de Noronha, julgado em 07/05/2025, DJEN de 19/05/2025</w:t>
            </w:r>
          </w:p>
        </w:tc>
        <w:tc>
          <w:tcPr>
            <w:tcW w:type="dxa" w:w="2279"/>
          </w:tcPr>
          <w:p>
            <w:pPr>
              <w:pStyle w:val="Compact"/>
              <w:spacing w:line="276" w:lineRule="auto" w:before="40" w:after="40"/>
            </w:pPr>
            <w:r>
              <w:rPr>
                <w:rFonts w:ascii="Liberation Sans Narrow" w:hAnsi="Liberation Sans Narrow"/>
                <w:sz w:val="17"/>
              </w:rPr>
              <w:t xml:space="preserve">Pelo art. 537, § 1º, a modificação das astreintes só é possível quanto à multa vincenda. O valor acumulado da multa vencida não é revisável, e a pendência de discussão sobre a multa não afeta o seu vencimento. O problema dos valores elevados se combate preventivamente: conversão da obrigação em perdas e danos, de ofício, diante da inércia abusiva do credor (art. 499), e preferência por ordens a órgãos públicos e instituições privadas que levem ao resultado prático equivalente.</w:t>
            </w:r>
          </w:p>
        </w:tc>
      </w:tr>
      <w:tr>
        <w:trPr>
          <w:cantSplit/>
        </w:trPr>
        <w:tc>
          <w:tcPr>
            <w:tcW w:type="dxa" w:w="1905"/>
          </w:tcPr>
          <w:p>
            <w:pPr>
              <w:pStyle w:val="Compact"/>
              <w:spacing w:line="276" w:lineRule="auto" w:before="40" w:after="40"/>
            </w:pPr>
            <w:r>
              <w:rPr>
                <w:rFonts w:ascii="Liberation Sans Narrow" w:hAnsi="Liberation Sans Narrow"/>
                <w:sz w:val="17"/>
              </w:rPr>
              <w:t xml:space="preserve">§ 1º: multa vencida sob o CPC/1973 e direito intertemporal</w:t>
            </w:r>
          </w:p>
        </w:tc>
        <w:tc>
          <w:tcPr>
            <w:tcW w:type="dxa" w:w="1655"/>
          </w:tcPr>
          <w:p>
            <w:pPr>
              <w:pStyle w:val="Compact"/>
              <w:spacing w:line="276" w:lineRule="auto" w:before="40" w:after="40"/>
            </w:pPr>
            <w:r>
              <w:rPr>
                <w:rFonts w:ascii="Liberation Sans Narrow" w:hAnsi="Liberation Sans Narrow"/>
                <w:sz w:val="17"/>
              </w:rPr>
              <w:t xml:space="preserve">STJ, AgInt no REsp 1.769.265, Quarta Turma, relatora Min. Maria Isabel Gallotti, julgado em 12/08/2026, DJEN de 17/08/2026</w:t>
            </w:r>
          </w:p>
        </w:tc>
        <w:tc>
          <w:tcPr>
            <w:tcW w:type="dxa" w:w="2279"/>
          </w:tcPr>
          <w:p>
            <w:pPr>
              <w:pStyle w:val="Compact"/>
              <w:spacing w:line="276" w:lineRule="auto" w:before="40" w:after="40"/>
            </w:pPr>
            <w:r>
              <w:rPr>
                <w:rFonts w:ascii="Liberation Sans Narrow" w:hAnsi="Liberation Sans Narrow"/>
                <w:sz w:val="17"/>
              </w:rPr>
              <w:t xml:space="preserve">A restrição do art. 537, § 1º, à multa vincenda não se aplica às multas vencidas na vigência do CPC/1973, segundo a teoria do isolamento dos atos processuais e o tempus regit actum. São devidos honorários pelo acolhimento, ainda que parcial, da impugnação por excesso de execução (Tema 410).</w:t>
            </w:r>
          </w:p>
        </w:tc>
      </w:tr>
      <w:tr>
        <w:trPr>
          <w:cantSplit/>
        </w:trPr>
        <w:tc>
          <w:tcPr>
            <w:tcW w:type="dxa" w:w="1905"/>
          </w:tcPr>
          <w:p>
            <w:pPr>
              <w:pStyle w:val="Compact"/>
              <w:spacing w:line="276" w:lineRule="auto" w:before="40" w:after="40"/>
            </w:pPr>
            <w:r>
              <w:rPr>
                <w:rFonts w:ascii="Liberation Sans Narrow" w:hAnsi="Liberation Sans Narrow"/>
                <w:sz w:val="17"/>
              </w:rPr>
              <w:t xml:space="preserve">§ 1º: multa vencida, revisão impossível (aplicação do precedente da Corte Especial)</w:t>
            </w:r>
          </w:p>
        </w:tc>
        <w:tc>
          <w:tcPr>
            <w:tcW w:type="dxa" w:w="1655"/>
          </w:tcPr>
          <w:p>
            <w:pPr>
              <w:pStyle w:val="Compact"/>
              <w:spacing w:line="276" w:lineRule="auto" w:before="40" w:after="40"/>
            </w:pPr>
            <w:r>
              <w:rPr>
                <w:rFonts w:ascii="Liberation Sans Narrow" w:hAnsi="Liberation Sans Narrow"/>
                <w:sz w:val="17"/>
              </w:rPr>
              <w:t xml:space="preserve">STJ, REsp 2.013.922, Terceira Turma, relator Min. Humberto Martins, julgado em 11/11/2025, DJEN de 27/11/2025</w:t>
            </w:r>
          </w:p>
        </w:tc>
        <w:tc>
          <w:tcPr>
            <w:tcW w:type="dxa" w:w="2279"/>
          </w:tcPr>
          <w:p>
            <w:pPr>
              <w:pStyle w:val="Compact"/>
              <w:spacing w:line="276" w:lineRule="auto" w:before="40" w:after="40"/>
            </w:pPr>
            <w:r>
              <w:rPr>
                <w:rFonts w:ascii="Liberation Sans Narrow" w:hAnsi="Liberation Sans Narrow"/>
                <w:sz w:val="17"/>
              </w:rPr>
              <w:t xml:space="preserve">O valor acumulado da multa vencida não pode ser revisto: a modificação das astreintes só alcança a multa vincenda (art. 537, § 1º), conforme o precedente vinculante da Corte Especial.</w:t>
            </w:r>
          </w:p>
        </w:tc>
      </w:tr>
    </w:tbl>
    <w:p>
      <w:pPr>
        <w:pStyle w:val="BodyText"/>
        <w:spacing w:after="60"/>
        <w:jc w:val="both"/>
      </w:pPr>
      <w:r>
        <w:t xml:space="preserve">I - se tornou insuficiente ou excessiva;</w:t>
      </w:r>
    </w:p>
    <w:p>
      <w:pPr>
        <w:pStyle w:val="BodyText"/>
        <w:spacing w:after="60"/>
        <w:jc w:val="both"/>
      </w:pPr>
      <w:r>
        <w:t xml:space="preserve">II - o obrigado demonstrou cumprimento parcial superveniente da obrigação ou justa causa para o descumprimento.</w:t>
      </w:r>
    </w:p>
    <w:p>
      <w:pPr>
        <w:pStyle w:val="BodyText"/>
        <w:spacing w:after="60"/>
        <w:jc w:val="both"/>
      </w:pPr>
      <w:r>
        <w:t xml:space="preserve">§ 2º O valor da multa será devido ao exequente.</w:t>
      </w:r>
    </w:p>
    <w:p>
      <w:pPr>
        <w:pStyle w:val="BodyText"/>
        <w:keepNext/>
        <w:spacing w:after="60"/>
        <w:jc w:val="both"/>
      </w:pPr>
      <w:r>
        <w:t xml:space="preserve">§ 3º A decisão que fixa a multa é passível de cumprimento provisório, devendo ser depositada em juízo, permitido o levantamento do valor após o trânsito em julgado da sentença favorável à parte. (Redação dada pela Lei nº 13.256, de 2016) (Vigência)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27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 3º: execução provisória da multa fixada em tutela provisória</w:t>
            </w:r>
          </w:p>
        </w:tc>
        <w:tc>
          <w:tcPr>
            <w:tcW w:type="dxa" w:w="1655"/>
          </w:tcPr>
          <w:p>
            <w:pPr>
              <w:pStyle w:val="Compact"/>
              <w:spacing w:line="276" w:lineRule="auto" w:before="40" w:after="40"/>
            </w:pPr>
            <w:r>
              <w:rPr>
                <w:rFonts w:ascii="Liberation Sans Narrow" w:hAnsi="Liberation Sans Narrow"/>
                <w:sz w:val="17"/>
              </w:rPr>
              <w:t xml:space="preserve">STJ, AREsp 2.079.649, Segunda Turma, relator Min. Francisco Falcão, julgado em 07/03/2023, DJe de 10/03/2023</w:t>
            </w:r>
          </w:p>
        </w:tc>
        <w:tc>
          <w:tcPr>
            <w:tcW w:type="dxa" w:w="2279"/>
          </w:tcPr>
          <w:p>
            <w:pPr>
              <w:pStyle w:val="Compact"/>
              <w:spacing w:line="276" w:lineRule="auto" w:before="40" w:after="40"/>
            </w:pPr>
            <w:r>
              <w:rPr>
                <w:rFonts w:ascii="Liberation Sans Narrow" w:hAnsi="Liberation Sans Narrow"/>
                <w:sz w:val="17"/>
              </w:rPr>
              <w:t xml:space="preserve">Com o CPC/2015, a multa cominatória fixada em tutela provisória pode ser executada provisoriamente, sem confirmação prévia em sentença de mérito (art. 537, § 3º); o entendimento do Tema 743/STJ foi superado.</w:t>
            </w:r>
          </w:p>
        </w:tc>
      </w:tr>
    </w:tbl>
    <w:p>
      <w:pPr>
        <w:pStyle w:val="BodyText"/>
        <w:spacing w:after="60"/>
        <w:jc w:val="both"/>
      </w:pPr>
      <w:r>
        <w:t xml:space="preserve">§ 4º A multa será devida desde o dia em que se configurar o descumprimento da decisão e incidirá enquanto não for cumprida a decisão que a tiver cominado.</w:t>
      </w:r>
    </w:p>
    <w:p>
      <w:pPr>
        <w:pStyle w:val="BodyText"/>
        <w:spacing w:after="60"/>
        <w:jc w:val="both"/>
      </w:pPr>
      <w:r>
        <w:t xml:space="preserve">§ 5º O disposto neste artigo aplica-se, no que couber, ao cumprimento de sentença que reconheça deveres de fazer e de não fazer de natureza não obrigacional.</w:t>
      </w:r>
    </w:p>
    <w:bookmarkEnd w:id="280"/>
    <w:bookmarkEnd w:id="281"/>
    <w:bookmarkStart w:id="283" w:name="X7c84a2864e3786c0984f87e5f73cf8161ca8d59"/>
    <w:p>
      <w:pPr>
        <w:pStyle w:val="Heading5"/>
        <w:spacing w:before="60" w:after="20"/>
      </w:pPr>
      <w:r>
        <w:rPr>
          <w:i/>
          <w:color w:val="595959"/>
        </w:rPr>
        <w:t xml:space="preserve">Seção II: do cumprimento de sentença que reconheça a exigibilidade de obrigação de entregar coisa (arts. 538)</w:t>
      </w:r>
    </w:p>
    <w:bookmarkStart w:id="282" w:name="art.-538"/>
    <w:p>
      <w:pPr>
        <w:pStyle w:val="Heading6"/>
        <w:pBdr>
          <w:left w:val="single" w:sz="36" w:space="4" w:color="2E75B6"/>
        </w:pBdr>
        <w:shd w:val="clear" w:color="auto" w:fill="E3EEF9"/>
        <w:spacing w:before="120" w:after="60"/>
        <w:ind w:left="85"/>
      </w:pPr>
      <w:r>
        <w:rPr>
          <w:i w:val="0"/>
          <w:color w:val="1F3A5F"/>
          <w:sz w:val="22"/>
        </w:rPr>
        <w:t xml:space="preserve">Art. 538</w:t>
      </w:r>
    </w:p>
    <w:p>
      <w:pPr>
        <w:pStyle w:val="FirstParagraph"/>
        <w:keepNext/>
        <w:spacing w:after="60"/>
        <w:jc w:val="both"/>
      </w:pPr>
      <w:r>
        <w:rPr>
          <w:b/>
          <w:bCs/>
        </w:rPr>
        <w:t xml:space="preserve">Art. 538.</w:t>
      </w:r>
      <w:r>
        <w:t xml:space="preserve"> </w:t>
      </w:r>
      <w:r>
        <w:t xml:space="preserve">Não cumprida a obrigação de entregar coisa no prazo estabelecido na sentença, será expedido mandado de busca e apreensão ou de imissão na posse em favor do credor, conforme se tratar de coisa móvel ou imóvel.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871"/>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871"/>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531"/>
          </w:tcPr>
          <w:p>
            <w:pPr>
              <w:pStyle w:val="Compact"/>
              <w:spacing w:line="276" w:lineRule="auto" w:before="40" w:after="40"/>
            </w:pPr>
            <w:r>
              <w:rPr>
                <w:rFonts w:ascii="Liberation Sans Narrow" w:hAnsi="Liberation Sans Narrow"/>
                <w:sz w:val="17"/>
              </w:rPr>
              <w:t xml:space="preserve">Caput — imissão na posse na entrega de coisa (aplicação narrada)</w:t>
            </w:r>
          </w:p>
        </w:tc>
        <w:tc>
          <w:tcPr>
            <w:tcW w:type="dxa" w:w="1531"/>
          </w:tcPr>
          <w:p>
            <w:pPr>
              <w:pStyle w:val="Compact"/>
              <w:spacing w:line="276" w:lineRule="auto" w:before="40" w:after="40"/>
            </w:pPr>
            <w:r>
              <w:rPr>
                <w:rFonts w:ascii="Liberation Sans Narrow" w:hAnsi="Liberation Sans Narrow"/>
                <w:sz w:val="17"/>
              </w:rPr>
              <w:t xml:space="preserve">STJ, AREsp 3.137.923, Terceira Turma, relator Min. Moura Ribeiro, julgado em 30/06/2026</w:t>
            </w:r>
          </w:p>
        </w:tc>
        <w:tc>
          <w:tcPr>
            <w:tcW w:type="dxa" w:w="1871"/>
          </w:tcPr>
          <w:p>
            <w:pPr>
              <w:pStyle w:val="Compact"/>
              <w:spacing w:line="276" w:lineRule="auto" w:before="40" w:after="40"/>
            </w:pPr>
            <w:r>
              <w:rPr>
                <w:rFonts w:ascii="Liberation Sans Narrow" w:hAnsi="Liberation Sans Narrow"/>
                <w:sz w:val="17"/>
              </w:rPr>
              <w:t xml:space="preserve">O cumprimento de sentença que determina a imissão na posse segue o rito de entrega de coisa certa, e é válida a intimação do devedor na pessoa do advogado quando inequívoca a ciência do ato. Trecho: “A insurgência a respeito da ausência de intimação pessoal e da adoção de rito de entrega de coisa certa confronta premissas fáticas fixadas no acórdão (trânsito em julgado mantendo a imissão, intimação válida na pessoa do advogado, ciência inequívoca e natureza de imissão na posse)”</w:t>
            </w:r>
          </w:p>
        </w:tc>
      </w:tr>
    </w:tbl>
    <w:p>
      <w:pPr>
        <w:pStyle w:val="BodyText"/>
        <w:spacing w:after="60"/>
        <w:jc w:val="both"/>
      </w:pPr>
      <w:r>
        <w:t xml:space="preserve">§ 1º A existência de benfeitorias deve ser alegada na fase de conhecimento, em contestação, de forma discriminada e com atribuição, sempre que possível e justificadamente, do respectivo valor.</w:t>
      </w:r>
    </w:p>
    <w:p>
      <w:pPr>
        <w:pStyle w:val="BodyText"/>
        <w:spacing w:after="60"/>
        <w:jc w:val="both"/>
      </w:pPr>
      <w:r>
        <w:t xml:space="preserve">§ 2º O direito de retenção por benfeitorias deve ser exercido na contestação, na fase de conhecimento.</w:t>
      </w:r>
    </w:p>
    <w:p>
      <w:pPr>
        <w:pStyle w:val="BodyText"/>
        <w:spacing w:after="60"/>
        <w:jc w:val="both"/>
      </w:pPr>
      <w:r>
        <w:t xml:space="preserve">§ 3º Aplicam-se ao procedimento previsto neste artigo, no que couber, as disposições sobre o cumprimento de obrigação de fazer ou de não fazer.</w:t>
      </w:r>
    </w:p>
    <w:bookmarkEnd w:id="282"/>
    <w:bookmarkEnd w:id="283"/>
    <w:bookmarkEnd w:id="284"/>
    <w:bookmarkEnd w:id="285"/>
    <w:bookmarkStart w:id="561" w:name="X000f95865c80307fe4d543c6d0d5a70e500a4e8"/>
    <w:p>
      <w:pPr>
        <w:pStyle w:val="Heading3"/>
        <w:pBdr>
          <w:bottom w:val="single" w:sz="8" w:space="2" w:color="2E75B6"/>
        </w:pBdr>
        <w:spacing w:before="120" w:after="60"/>
      </w:pPr>
      <w:r>
        <w:rPr>
          <w:sz w:val="22"/>
        </w:rPr>
        <w:t xml:space="preserve">Título III: dos procedimentos especiais (arts. 539 a 770)</w:t>
      </w:r>
    </w:p>
    <w:bookmarkStart w:id="297" w:name="X9021759c10b21340dfe35ee12057665c3b3485e"/>
    <w:p>
      <w:pPr>
        <w:pStyle w:val="Heading4"/>
        <w:spacing w:before="80" w:after="40"/>
      </w:pPr>
      <w:r>
        <w:rPr>
          <w:smallCaps/>
          <w:color w:val="2E75B6"/>
        </w:rPr>
        <w:t xml:space="preserve">Capítulo I: da ação de consignação em pagamento (arts. 539 a 549)</w:t>
      </w:r>
    </w:p>
    <w:bookmarkStart w:id="286" w:name="art.-539"/>
    <w:p>
      <w:pPr>
        <w:pStyle w:val="Heading6"/>
        <w:pBdr>
          <w:left w:val="single" w:sz="36" w:space="4" w:color="2E75B6"/>
        </w:pBdr>
        <w:shd w:val="clear" w:color="auto" w:fill="E3EEF9"/>
        <w:spacing w:before="120" w:after="60"/>
        <w:ind w:left="85"/>
      </w:pPr>
      <w:r>
        <w:rPr>
          <w:i w:val="0"/>
          <w:color w:val="1F3A5F"/>
          <w:sz w:val="22"/>
        </w:rPr>
        <w:t xml:space="preserve">Art. 539</w:t>
      </w:r>
    </w:p>
    <w:p>
      <w:pPr>
        <w:pStyle w:val="FirstParagraph"/>
        <w:keepNext/>
        <w:spacing w:after="60"/>
        <w:jc w:val="both"/>
      </w:pPr>
      <w:r>
        <w:rPr>
          <w:b/>
          <w:bCs/>
        </w:rPr>
        <w:t xml:space="preserve">Art. 539.</w:t>
      </w:r>
      <w:r>
        <w:t xml:space="preserve"> </w:t>
      </w:r>
      <w:r>
        <w:t xml:space="preserve">Nos casos previstos em lei, poderá o devedor ou terceiro requerer, com efeito de pagamento, a consignação da quantia ou da coisa devida.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871"/>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871"/>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orientação de aplicação (aplicação narrada)</w:t>
            </w:r>
          </w:p>
        </w:tc>
        <w:tc>
          <w:tcPr>
            <w:tcW w:type="dxa" w:w="1531"/>
          </w:tcPr>
          <w:p>
            <w:pPr>
              <w:pStyle w:val="Compact"/>
              <w:spacing w:line="276" w:lineRule="auto" w:before="40" w:after="40"/>
            </w:pPr>
            <w:r>
              <w:rPr>
                <w:rFonts w:ascii="Liberation Sans Narrow" w:hAnsi="Liberation Sans Narrow"/>
                <w:sz w:val="17"/>
              </w:rPr>
              <w:t xml:space="preserve">STJ, AREsp 3.196.739, Terceira Turma, relator Min. Moura Ribeiro, julgado em 01/06/2026</w:t>
            </w:r>
          </w:p>
        </w:tc>
        <w:tc>
          <w:tcPr>
            <w:tcW w:type="dxa" w:w="1871"/>
          </w:tcPr>
          <w:p>
            <w:pPr>
              <w:pStyle w:val="Compact"/>
              <w:spacing w:line="276" w:lineRule="auto" w:before="40" w:after="40"/>
            </w:pPr>
            <w:r>
              <w:rPr>
                <w:rFonts w:ascii="Liberation Sans Narrow" w:hAnsi="Liberation Sans Narrow"/>
                <w:sz w:val="17"/>
              </w:rPr>
              <w:t xml:space="preserve">A consignação em pagamento por dúvida quanto ao credor legítimo justifica-se quando a notificação não confere segurança suficiente ao devedor, incidindo o art. 335, IV, do Código Civil. Trecho: “A consignação em pagamento por dúvida quanto ao credor legítimo se justifica quando a notificação não confere segurança suficiente ao devedor em contexto de valor elevado, incidindo o art.”</w:t>
            </w:r>
          </w:p>
        </w:tc>
      </w:tr>
    </w:tbl>
    <w:p>
      <w:pPr>
        <w:pStyle w:val="BodyText"/>
        <w:spacing w:after="60"/>
        <w:jc w:val="both"/>
      </w:pPr>
      <w:r>
        <w:t xml:space="preserve">§ 1º Tratando-se de obrigação em dinheiro, poderá o valor ser depositado em estabelecimento bancário, oficial onde houver, situado no lugar do pagamento, cientificando-se o credor por carta com aviso de recebimento, assinado o prazo de 10 (dez) dias para a manifestação de recusa.</w:t>
      </w:r>
    </w:p>
    <w:p>
      <w:pPr>
        <w:pStyle w:val="BodyText"/>
        <w:spacing w:after="60"/>
        <w:jc w:val="both"/>
      </w:pPr>
      <w:r>
        <w:t xml:space="preserve">§ 2º Decorrido o prazo do § 1º, contado do retorno do aviso de recebimento, sem a manifestação de recusa, considerar-se-á o devedor liberado da obrigação, ficando à disposição do credor a quantia depositada.</w:t>
      </w:r>
    </w:p>
    <w:p>
      <w:pPr>
        <w:pStyle w:val="BodyText"/>
        <w:spacing w:after="60"/>
        <w:jc w:val="both"/>
      </w:pPr>
      <w:r>
        <w:t xml:space="preserve">§ 3º Ocorrendo a recusa, manifestada por escrito ao estabelecimento bancário, poderá ser proposta, dentro de 1 (um) mês, a ação de consignação, instruindo-se a inicial com a prova do depósito e da recusa.</w:t>
      </w:r>
    </w:p>
    <w:p>
      <w:pPr>
        <w:pStyle w:val="BodyText"/>
        <w:spacing w:after="60"/>
        <w:jc w:val="both"/>
      </w:pPr>
      <w:r>
        <w:t xml:space="preserve">§ 4º Não proposta a ação no prazo do § 3º, ficará sem efeito o depósito, podendo levantá-lo o depositante.</w:t>
      </w:r>
    </w:p>
    <w:bookmarkEnd w:id="286"/>
    <w:bookmarkStart w:id="287" w:name="art.-540"/>
    <w:p>
      <w:pPr>
        <w:pStyle w:val="Heading6"/>
        <w:pBdr>
          <w:left w:val="single" w:sz="36" w:space="4" w:color="2E75B6"/>
        </w:pBdr>
        <w:shd w:val="clear" w:color="auto" w:fill="E3EEF9"/>
        <w:spacing w:before="120" w:after="60"/>
        <w:ind w:left="85"/>
      </w:pPr>
      <w:r>
        <w:rPr>
          <w:i w:val="0"/>
          <w:color w:val="1F3A5F"/>
          <w:sz w:val="22"/>
        </w:rPr>
        <w:t xml:space="preserve">Art. 540</w:t>
      </w:r>
    </w:p>
    <w:p>
      <w:pPr>
        <w:pStyle w:val="FirstParagraph"/>
        <w:spacing w:after="60"/>
        <w:jc w:val="both"/>
      </w:pPr>
      <w:r>
        <w:rPr>
          <w:b/>
          <w:bCs/>
        </w:rPr>
        <w:t xml:space="preserve">Art. 540.</w:t>
      </w:r>
      <w:r>
        <w:t xml:space="preserve"> </w:t>
      </w:r>
      <w:r>
        <w:t xml:space="preserve">Requerer-se-á a consignação no lugar do pagamento, cessando para o devedor, à data do depósito, os juros e os riscos, salvo se a demanda for julgada improcedente.</w:t>
      </w:r>
    </w:p>
    <w:bookmarkEnd w:id="287"/>
    <w:bookmarkStart w:id="288" w:name="art.-541"/>
    <w:p>
      <w:pPr>
        <w:pStyle w:val="Heading6"/>
        <w:pBdr>
          <w:left w:val="single" w:sz="36" w:space="4" w:color="2E75B6"/>
        </w:pBdr>
        <w:shd w:val="clear" w:color="auto" w:fill="E3EEF9"/>
        <w:spacing w:before="120" w:after="60"/>
        <w:ind w:left="85"/>
      </w:pPr>
      <w:r>
        <w:rPr>
          <w:i w:val="0"/>
          <w:color w:val="1F3A5F"/>
          <w:sz w:val="22"/>
        </w:rPr>
        <w:t xml:space="preserve">Art. 541</w:t>
      </w:r>
    </w:p>
    <w:p>
      <w:pPr>
        <w:pStyle w:val="FirstParagraph"/>
        <w:spacing w:after="60"/>
        <w:jc w:val="both"/>
      </w:pPr>
      <w:r>
        <w:rPr>
          <w:b/>
          <w:bCs/>
        </w:rPr>
        <w:t xml:space="preserve">Art. 541.</w:t>
      </w:r>
      <w:r>
        <w:t xml:space="preserve"> </w:t>
      </w:r>
      <w:r>
        <w:t xml:space="preserve">Tratando-se de prestações sucessivas, consignada uma delas, pode o devedor continuar a depositar, no mesmo processo e sem mais formalidades, as que se forem vencendo, desde que o faça em até 5 (cinco) dias contados da data do respectivo vencimento.</w:t>
      </w:r>
    </w:p>
    <w:bookmarkEnd w:id="288"/>
    <w:bookmarkStart w:id="289" w:name="art.-542"/>
    <w:p>
      <w:pPr>
        <w:pStyle w:val="Heading6"/>
        <w:pBdr>
          <w:left w:val="single" w:sz="36" w:space="4" w:color="2E75B6"/>
        </w:pBdr>
        <w:shd w:val="clear" w:color="auto" w:fill="E3EEF9"/>
        <w:spacing w:before="120" w:after="60"/>
        <w:ind w:left="85"/>
      </w:pPr>
      <w:r>
        <w:rPr>
          <w:i w:val="0"/>
          <w:color w:val="1F3A5F"/>
          <w:sz w:val="22"/>
        </w:rPr>
        <w:t xml:space="preserve">Art. 542</w:t>
      </w:r>
    </w:p>
    <w:p>
      <w:pPr>
        <w:pStyle w:val="FirstParagraph"/>
        <w:spacing w:after="60"/>
        <w:jc w:val="both"/>
      </w:pPr>
      <w:r>
        <w:rPr>
          <w:b/>
          <w:bCs/>
        </w:rPr>
        <w:t xml:space="preserve">Art. 542.</w:t>
      </w:r>
      <w:r>
        <w:t xml:space="preserve"> </w:t>
      </w:r>
      <w:r>
        <w:t xml:space="preserve">Na petição inicial, o autor requererá:</w:t>
      </w:r>
    </w:p>
    <w:p>
      <w:pPr>
        <w:pStyle w:val="BodyText"/>
        <w:spacing w:after="60"/>
        <w:jc w:val="both"/>
      </w:pPr>
      <w:r>
        <w:t xml:space="preserve">I - o depósito da quantia ou da coisa devida, a ser efetivado no prazo de 5 (cinco) dias contados do deferimento, ressalvada a hipótese do art. 539, § 3º;</w:t>
      </w:r>
    </w:p>
    <w:p>
      <w:pPr>
        <w:pStyle w:val="BodyText"/>
        <w:spacing w:after="60"/>
        <w:jc w:val="both"/>
      </w:pPr>
      <w:r>
        <w:t xml:space="preserve">II - a citação do réu para levantar o depósito ou oferecer contestação.</w:t>
      </w:r>
    </w:p>
    <w:p>
      <w:pPr>
        <w:pStyle w:val="BodyText"/>
        <w:spacing w:after="60"/>
        <w:jc w:val="both"/>
      </w:pPr>
      <w:r>
        <w:t xml:space="preserve">Parágrafo único. Não realizado o depósito no prazo do inciso I, o processo será extinto sem resolução do mérito.</w:t>
      </w:r>
    </w:p>
    <w:bookmarkEnd w:id="289"/>
    <w:bookmarkStart w:id="290" w:name="art.-543"/>
    <w:p>
      <w:pPr>
        <w:pStyle w:val="Heading6"/>
        <w:pBdr>
          <w:left w:val="single" w:sz="36" w:space="4" w:color="2E75B6"/>
        </w:pBdr>
        <w:shd w:val="clear" w:color="auto" w:fill="E3EEF9"/>
        <w:spacing w:before="120" w:after="60"/>
        <w:ind w:left="85"/>
      </w:pPr>
      <w:r>
        <w:rPr>
          <w:i w:val="0"/>
          <w:color w:val="1F3A5F"/>
          <w:sz w:val="22"/>
        </w:rPr>
        <w:t xml:space="preserve">Art. 543</w:t>
      </w:r>
    </w:p>
    <w:p>
      <w:pPr>
        <w:pStyle w:val="FirstParagraph"/>
        <w:spacing w:after="60"/>
        <w:jc w:val="both"/>
      </w:pPr>
      <w:r>
        <w:rPr>
          <w:b/>
          <w:bCs/>
        </w:rPr>
        <w:t xml:space="preserve">Art. 543.</w:t>
      </w:r>
      <w:r>
        <w:t xml:space="preserve"> </w:t>
      </w:r>
      <w:r>
        <w:t xml:space="preserve">Se o objeto da prestação for coisa indeterminada e a escolha couber ao credor, será este citado para exercer o direito dentro de 5 (cinco) dias, se outro prazo não constar de lei ou do contrato, ou para aceitar que o devedor a faça, devendo o juiz, ao despachar a petição inicial, fixar lugar, dia e hora em que se fará a entrega, sob pena de depósito.</w:t>
      </w:r>
    </w:p>
    <w:bookmarkEnd w:id="290"/>
    <w:bookmarkStart w:id="291" w:name="art.-544"/>
    <w:p>
      <w:pPr>
        <w:pStyle w:val="Heading6"/>
        <w:pBdr>
          <w:left w:val="single" w:sz="36" w:space="4" w:color="2E75B6"/>
        </w:pBdr>
        <w:shd w:val="clear" w:color="auto" w:fill="E3EEF9"/>
        <w:spacing w:before="120" w:after="60"/>
        <w:ind w:left="85"/>
      </w:pPr>
      <w:r>
        <w:rPr>
          <w:i w:val="0"/>
          <w:color w:val="1F3A5F"/>
          <w:sz w:val="22"/>
        </w:rPr>
        <w:t xml:space="preserve">Art. 544</w:t>
      </w:r>
    </w:p>
    <w:p>
      <w:pPr>
        <w:pStyle w:val="FirstParagraph"/>
        <w:spacing w:after="60"/>
        <w:jc w:val="both"/>
      </w:pPr>
      <w:r>
        <w:rPr>
          <w:b/>
          <w:bCs/>
        </w:rPr>
        <w:t xml:space="preserve">Art. 544.</w:t>
      </w:r>
      <w:r>
        <w:t xml:space="preserve"> </w:t>
      </w:r>
      <w:r>
        <w:t xml:space="preserve">Na contestação, o réu poderá alegar que:</w:t>
      </w:r>
    </w:p>
    <w:p>
      <w:pPr>
        <w:pStyle w:val="BodyText"/>
        <w:spacing w:after="60"/>
        <w:jc w:val="both"/>
      </w:pPr>
      <w:r>
        <w:t xml:space="preserve">I - não houve recusa ou mora em receber a quantia ou a coisa devida;</w:t>
      </w:r>
    </w:p>
    <w:p>
      <w:pPr>
        <w:pStyle w:val="BodyText"/>
        <w:keepNext/>
        <w:spacing w:after="60"/>
        <w:jc w:val="both"/>
      </w:pPr>
      <w:r>
        <w:t xml:space="preserve">II - foi justa a recusa;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2029"/>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655"/>
          </w:tcPr>
          <w:p>
            <w:pPr>
              <w:pStyle w:val="Compact"/>
              <w:spacing w:line="276" w:lineRule="auto" w:before="40" w:after="40"/>
            </w:pPr>
            <w:r>
              <w:rPr>
                <w:rFonts w:ascii="Liberation Sans Narrow" w:hAnsi="Liberation Sans Narrow"/>
                <w:sz w:val="17"/>
              </w:rPr>
              <w:t xml:space="preserve">II — justeza da recusa (orientação de aplicação) (aplicação narrada)</w:t>
            </w:r>
          </w:p>
        </w:tc>
        <w:tc>
          <w:tcPr>
            <w:tcW w:type="dxa" w:w="1531"/>
          </w:tcPr>
          <w:p>
            <w:pPr>
              <w:pStyle w:val="Compact"/>
              <w:spacing w:line="276" w:lineRule="auto" w:before="40" w:after="40"/>
            </w:pPr>
            <w:r>
              <w:rPr>
                <w:rFonts w:ascii="Liberation Sans Narrow" w:hAnsi="Liberation Sans Narrow"/>
                <w:sz w:val="17"/>
              </w:rPr>
              <w:t xml:space="preserve">STJ, AREsp 2.606.973, Terceira Turma, relator Min. Moura Ribeiro, julgado em 09/02/2026</w:t>
            </w:r>
          </w:p>
        </w:tc>
        <w:tc>
          <w:tcPr>
            <w:tcW w:type="dxa" w:w="2030"/>
          </w:tcPr>
          <w:p>
            <w:pPr>
              <w:pStyle w:val="Compact"/>
              <w:spacing w:line="276" w:lineRule="auto" w:before="40" w:after="40"/>
            </w:pPr>
            <w:r>
              <w:rPr>
                <w:rFonts w:ascii="Liberation Sans Narrow" w:hAnsi="Liberation Sans Narrow"/>
                <w:sz w:val="17"/>
              </w:rPr>
              <w:t xml:space="preserve">A consignação que se limita ao repasse de contribuições de custeio decorrentes de sentença trabalhista não se confunde com a revisão de complementação de aposentadoria; a recusa do credor é injustificada, pois a ação consignatória visa apenas liberar a patrocinadora da mora quanto ao repasse do valor do custeio. Trecho: “O acórdão recorrido, ao distinguir a controvérsia dos Temas 955 e 1.021 do STJ, notadamente ao reconhecer que o objeto da Ação de Consignação em Pagamento trata-se do recolhimento das parcelas deferidas que se caracterizam como salário de contribuição (custeio) e não da concessão ou revisão da complementação de aposentadoria, encontra-se em consonância com o entendimento desta Corte Superior no sentido de que a discussão sobre a recomposição da reserva matemática e a inviabilidade da revisão de benefício são questões que transcendem a natureza da ação consignatória, a qual visa apenas liberar a patrocinadora da mora quanto ao repasse do valor do custeio.”</w:t>
            </w:r>
          </w:p>
        </w:tc>
      </w:tr>
    </w:tbl>
    <w:p>
      <w:pPr>
        <w:pStyle w:val="BodyText"/>
        <w:spacing w:after="60"/>
        <w:jc w:val="both"/>
      </w:pPr>
      <w:r>
        <w:t xml:space="preserve">III - o depósito não se efetuou no prazo ou no lugar do pagamento;</w:t>
      </w:r>
    </w:p>
    <w:p>
      <w:pPr>
        <w:pStyle w:val="BodyText"/>
        <w:keepNext/>
        <w:spacing w:after="60"/>
        <w:jc w:val="both"/>
      </w:pPr>
      <w:r>
        <w:t xml:space="preserve">IV - o depósito não é integral.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1"/>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2"/>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IV — tese</w:t>
            </w:r>
          </w:p>
        </w:tc>
        <w:tc>
          <w:tcPr>
            <w:tcW w:type="dxa" w:w="1532"/>
          </w:tcPr>
          <w:p>
            <w:pPr>
              <w:pStyle w:val="Compact"/>
              <w:spacing w:line="276" w:lineRule="auto" w:before="40" w:after="40"/>
            </w:pPr>
            <w:r>
              <w:rPr>
                <w:rFonts w:ascii="Liberation Sans Narrow" w:hAnsi="Liberation Sans Narrow"/>
                <w:sz w:val="17"/>
              </w:rPr>
              <w:t xml:space="preserve">STJ, REsp 1.990.608, Quarta Turma, relator Min. João Otávio de Noronha, julgado em 09/03/2026</w:t>
            </w:r>
          </w:p>
        </w:tc>
        <w:tc>
          <w:tcPr>
            <w:tcW w:type="dxa" w:w="2030"/>
          </w:tcPr>
          <w:p>
            <w:pPr>
              <w:pStyle w:val="Compact"/>
              <w:spacing w:line="276" w:lineRule="auto" w:before="40" w:after="40"/>
            </w:pPr>
            <w:r>
              <w:rPr>
                <w:rFonts w:ascii="Liberation Sans Narrow" w:hAnsi="Liberation Sans Narrow"/>
                <w:sz w:val="17"/>
              </w:rPr>
              <w:t xml:space="preserve">Constatada a insuficiência do depósito, impõe-se o julgamento de improcedência do pedido consignatório, pois o pagamento parcial não extingue o vínculo obrigacional nem libera o devedor (Tema 967/STJ).</w:t>
            </w:r>
          </w:p>
        </w:tc>
      </w:tr>
    </w:tbl>
    <w:p>
      <w:pPr>
        <w:pStyle w:val="BodyText"/>
        <w:spacing w:after="60"/>
        <w:jc w:val="both"/>
      </w:pPr>
      <w:r>
        <w:t xml:space="preserve">Parágrafo único. No caso do inciso IV, a alegação somente será admissível se o réu indicar o montante que entende devido.</w:t>
      </w:r>
    </w:p>
    <w:bookmarkEnd w:id="291"/>
    <w:bookmarkStart w:id="292" w:name="art.-545"/>
    <w:p>
      <w:pPr>
        <w:pStyle w:val="Heading6"/>
        <w:pBdr>
          <w:left w:val="single" w:sz="36" w:space="4" w:color="2E75B6"/>
        </w:pBdr>
        <w:shd w:val="clear" w:color="auto" w:fill="E3EEF9"/>
        <w:spacing w:before="120" w:after="60"/>
        <w:ind w:left="85"/>
      </w:pPr>
      <w:r>
        <w:rPr>
          <w:i w:val="0"/>
          <w:color w:val="1F3A5F"/>
          <w:sz w:val="22"/>
        </w:rPr>
        <w:t xml:space="preserve">Art. 545</w:t>
      </w:r>
    </w:p>
    <w:p>
      <w:pPr>
        <w:pStyle w:val="FirstParagraph"/>
        <w:keepNext/>
        <w:spacing w:after="60"/>
        <w:jc w:val="both"/>
      </w:pPr>
      <w:r>
        <w:rPr>
          <w:b/>
          <w:bCs/>
        </w:rPr>
        <w:t xml:space="preserve">Art. 545.</w:t>
      </w:r>
      <w:r>
        <w:t xml:space="preserve"> </w:t>
      </w:r>
      <w:r>
        <w:t xml:space="preserve">Alegada a insuficiência do depósito, é lícito ao autor completá-lo, em 10 (dez) dias, salvo se corresponder a prestação cujo inadimplemento acarrete a rescisão do contrato.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2029"/>
        <w:gridCol w:w="2029"/>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Consignação em pagamento: insuficiência do depósito e improcedência do pedido</w:t>
            </w:r>
          </w:p>
        </w:tc>
        <w:tc>
          <w:tcPr>
            <w:tcW w:type="dxa" w:w="2030"/>
          </w:tcPr>
          <w:p>
            <w:pPr>
              <w:pStyle w:val="Compact"/>
              <w:spacing w:line="276" w:lineRule="auto" w:before="40" w:after="40"/>
            </w:pPr>
            <w:r>
              <w:rPr>
                <w:rFonts w:ascii="Liberation Sans Narrow" w:hAnsi="Liberation Sans Narrow"/>
                <w:sz w:val="17"/>
              </w:rPr>
              <w:t xml:space="preserve">STJ, Tema Repetitivo 967, REsp 1.108.058, Segunda Seção, relator Min. Lázaro Guimarães (Desembargador Convocado do Trf 5ª Região), julgado em 10/10/2018, DJe de 23/10/2018</w:t>
            </w:r>
          </w:p>
        </w:tc>
        <w:tc>
          <w:tcPr>
            <w:tcW w:type="dxa" w:w="2030"/>
          </w:tcPr>
          <w:p>
            <w:pPr>
              <w:pStyle w:val="Compact"/>
              <w:spacing w:line="276" w:lineRule="auto" w:before="40" w:after="40"/>
            </w:pPr>
            <w:r>
              <w:rPr>
                <w:rFonts w:ascii="Liberation Sans Narrow" w:hAnsi="Liberation Sans Narrow"/>
                <w:sz w:val="17"/>
              </w:rPr>
              <w:t xml:space="preserve">Em ação consignatória, a insuficiência do depósito realizado pelo devedor conduz ao julgamento de improcedência do pedido, pois o pagamento parcial da dívida não extingue o vínculo obrigacional.</w:t>
            </w:r>
          </w:p>
        </w:tc>
      </w:tr>
      <w:tr>
        <w:trPr>
          <w:cantSplit/>
        </w:trPr>
        <w:tc>
          <w:tcPr>
            <w:tcW w:type="dxa" w:w="1905"/>
          </w:tcPr>
          <w:p>
            <w:pPr>
              <w:pStyle w:val="Compact"/>
              <w:spacing w:line="276" w:lineRule="auto" w:before="40" w:after="40"/>
            </w:pPr>
            <w:r>
              <w:rPr>
                <w:rFonts w:ascii="Liberation Sans Narrow" w:hAnsi="Liberation Sans Narrow"/>
                <w:sz w:val="17"/>
              </w:rPr>
              <w:t xml:space="preserve">Depósito parcial e sucumbência do autor da consignatória</w:t>
            </w:r>
          </w:p>
        </w:tc>
        <w:tc>
          <w:tcPr>
            <w:tcW w:type="dxa" w:w="2030"/>
          </w:tcPr>
          <w:p>
            <w:pPr>
              <w:pStyle w:val="Compact"/>
              <w:spacing w:line="276" w:lineRule="auto" w:before="40" w:after="40"/>
            </w:pPr>
            <w:r>
              <w:rPr>
                <w:rFonts w:ascii="Liberation Sans Narrow" w:hAnsi="Liberation Sans Narrow"/>
                <w:sz w:val="17"/>
              </w:rPr>
              <w:t xml:space="preserve">STJ, AREsp 1.635.102, Quarta Turma, relator Min. Raul Araújo, julgado em 31/03/2025, DJEN de 10/04/2025</w:t>
            </w:r>
          </w:p>
        </w:tc>
        <w:tc>
          <w:tcPr>
            <w:tcW w:type="dxa" w:w="2030"/>
          </w:tcPr>
          <w:p>
            <w:pPr>
              <w:pStyle w:val="Compact"/>
              <w:spacing w:line="276" w:lineRule="auto" w:before="40" w:after="40"/>
            </w:pPr>
            <w:r>
              <w:rPr>
                <w:rFonts w:ascii="Liberation Sans Narrow" w:hAnsi="Liberation Sans Narrow"/>
                <w:sz w:val="17"/>
              </w:rPr>
              <w:t xml:space="preserve">Conforme o Tema 967, a insuficiência do depósito conduz à improcedência da consignatória, e os ônus da sucumbência são do autor. Os honorários da cobrança extrajudicial de taxas condominiais, distintos dos de sucumbência, podem integrar a conta (Código Civil, arts. 389, 395 e 404).</w:t>
            </w:r>
          </w:p>
        </w:tc>
      </w:tr>
    </w:tbl>
    <w:p>
      <w:pPr>
        <w:pStyle w:val="BodyText"/>
        <w:spacing w:after="60"/>
        <w:jc w:val="both"/>
      </w:pPr>
      <w:r>
        <w:t xml:space="preserve">§ 1º No caso do caput , poderá o réu levantar, desde logo, a quantia ou a coisa depositada, com a consequente liberação parcial do autor, prosseguindo o processo quanto à parcela controvertida.</w:t>
      </w:r>
    </w:p>
    <w:p>
      <w:pPr>
        <w:pStyle w:val="BodyText"/>
        <w:spacing w:after="60"/>
        <w:jc w:val="both"/>
      </w:pPr>
      <w:r>
        <w:t xml:space="preserve">§ 2º A sentença que concluir pela insuficiência do depósito determinará, sempre que possível, o montante devido e valerá como título executivo, facultado ao credor promover-lhe o cumprimento nos mesmos autos, após liquidação, se necessária.</w:t>
      </w:r>
    </w:p>
    <w:bookmarkEnd w:id="292"/>
    <w:bookmarkStart w:id="293" w:name="art.-546"/>
    <w:p>
      <w:pPr>
        <w:pStyle w:val="Heading6"/>
        <w:pBdr>
          <w:left w:val="single" w:sz="36" w:space="4" w:color="2E75B6"/>
        </w:pBdr>
        <w:shd w:val="clear" w:color="auto" w:fill="E3EEF9"/>
        <w:spacing w:before="120" w:after="60"/>
        <w:ind w:left="85"/>
      </w:pPr>
      <w:r>
        <w:rPr>
          <w:i w:val="0"/>
          <w:color w:val="1F3A5F"/>
          <w:sz w:val="22"/>
        </w:rPr>
        <w:t xml:space="preserve">Art. 546</w:t>
      </w:r>
    </w:p>
    <w:p>
      <w:pPr>
        <w:pStyle w:val="FirstParagraph"/>
        <w:keepNext/>
        <w:spacing w:after="60"/>
        <w:jc w:val="both"/>
      </w:pPr>
      <w:r>
        <w:rPr>
          <w:b/>
          <w:bCs/>
        </w:rPr>
        <w:t xml:space="preserve">Art. 546.</w:t>
      </w:r>
      <w:r>
        <w:t xml:space="preserve"> </w:t>
      </w:r>
      <w:r>
        <w:t xml:space="preserve">Julgado procedente o pedido, o juiz declarará extinta a obrigação e condenará o réu ao pagamento de custas e honorários advocatícios.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531"/>
          </w:tcPr>
          <w:p>
            <w:pPr>
              <w:pStyle w:val="Compact"/>
              <w:spacing w:line="276" w:lineRule="auto" w:before="40" w:after="40"/>
            </w:pPr>
            <w:r>
              <w:rPr>
                <w:rFonts w:ascii="Liberation Sans Narrow" w:hAnsi="Liberation Sans Narrow"/>
                <w:sz w:val="17"/>
              </w:rPr>
              <w:t xml:space="preserve">Caput — extinção da obrigação (aplicação narrada)</w:t>
            </w:r>
          </w:p>
        </w:tc>
        <w:tc>
          <w:tcPr>
            <w:tcW w:type="dxa" w:w="1531"/>
          </w:tcPr>
          <w:p>
            <w:pPr>
              <w:pStyle w:val="Compact"/>
              <w:spacing w:line="276" w:lineRule="auto" w:before="40" w:after="40"/>
            </w:pPr>
            <w:r>
              <w:rPr>
                <w:rFonts w:ascii="Liberation Sans Narrow" w:hAnsi="Liberation Sans Narrow"/>
                <w:sz w:val="17"/>
              </w:rPr>
              <w:t xml:space="preserve">STJ, REsp 1.990.608, Quarta Turma, relator Min. João Otávio de Noronha, julgado em 09/03/2026</w:t>
            </w:r>
          </w:p>
        </w:tc>
        <w:tc>
          <w:tcPr>
            <w:tcW w:type="dxa" w:w="2030"/>
          </w:tcPr>
          <w:p>
            <w:pPr>
              <w:pStyle w:val="Compact"/>
              <w:spacing w:line="276" w:lineRule="auto" w:before="40" w:after="40"/>
            </w:pPr>
            <w:r>
              <w:rPr>
                <w:rFonts w:ascii="Liberation Sans Narrow" w:hAnsi="Liberation Sans Narrow"/>
                <w:sz w:val="17"/>
              </w:rPr>
              <w:t xml:space="preserve">A insuficiência do depósito na ação de consignação em pagamento impõe o julgamento de improcedência do pedido, pois o pagamento parcial não extingue a obrigação nem libera o devedor (Tema 967/STJ), com inversão dos ônus sucumbenciais. Trecho: “Em ação de consignação em pagamento, a insuficiência do depósito realizado pelo devedor impõe o julgamento de improcedência do pedido, pois o pagamento parcial não extingue a obrigação nem acarreta a liberação do devedor, devendo ser observada a tese firmada no Tema 967/STJ.” Dispositivos relevantes citados:”</w:t>
            </w:r>
          </w:p>
        </w:tc>
      </w:tr>
    </w:tbl>
    <w:p>
      <w:pPr>
        <w:pStyle w:val="BodyText"/>
        <w:spacing w:after="60"/>
        <w:jc w:val="both"/>
      </w:pPr>
      <w:r>
        <w:t xml:space="preserve">Parágrafo único. Proceder-se-á do mesmo modo se o credor receber e der quitação.</w:t>
      </w:r>
    </w:p>
    <w:bookmarkEnd w:id="293"/>
    <w:bookmarkStart w:id="294" w:name="art.-547"/>
    <w:p>
      <w:pPr>
        <w:pStyle w:val="Heading6"/>
        <w:pBdr>
          <w:left w:val="single" w:sz="36" w:space="4" w:color="2E75B6"/>
        </w:pBdr>
        <w:shd w:val="clear" w:color="auto" w:fill="E3EEF9"/>
        <w:spacing w:before="120" w:after="60"/>
        <w:ind w:left="85"/>
      </w:pPr>
      <w:r>
        <w:rPr>
          <w:i w:val="0"/>
          <w:color w:val="1F3A5F"/>
          <w:sz w:val="22"/>
        </w:rPr>
        <w:t xml:space="preserve">Art. 547</w:t>
      </w:r>
    </w:p>
    <w:p>
      <w:pPr>
        <w:pStyle w:val="FirstParagraph"/>
        <w:spacing w:after="60"/>
        <w:jc w:val="both"/>
      </w:pPr>
      <w:r>
        <w:rPr>
          <w:b/>
          <w:bCs/>
        </w:rPr>
        <w:t xml:space="preserve">Art. 547.</w:t>
      </w:r>
      <w:r>
        <w:t xml:space="preserve"> </w:t>
      </w:r>
      <w:r>
        <w:t xml:space="preserve">Se ocorrer dúvida sobre quem deva legitimamente receber o pagamento, o autor requererá o depósito e a citação dos possíveis titulares do crédito para provarem o seu direito.</w:t>
      </w:r>
    </w:p>
    <w:bookmarkEnd w:id="294"/>
    <w:bookmarkStart w:id="295" w:name="art.-548"/>
    <w:p>
      <w:pPr>
        <w:pStyle w:val="Heading6"/>
        <w:pBdr>
          <w:left w:val="single" w:sz="36" w:space="4" w:color="2E75B6"/>
        </w:pBdr>
        <w:shd w:val="clear" w:color="auto" w:fill="E3EEF9"/>
        <w:spacing w:before="120" w:after="60"/>
        <w:ind w:left="85"/>
      </w:pPr>
      <w:r>
        <w:rPr>
          <w:i w:val="0"/>
          <w:color w:val="1F3A5F"/>
          <w:sz w:val="22"/>
        </w:rPr>
        <w:t xml:space="preserve">Art. 548</w:t>
      </w:r>
    </w:p>
    <w:p>
      <w:pPr>
        <w:pStyle w:val="FirstParagraph"/>
        <w:spacing w:after="60"/>
        <w:jc w:val="both"/>
      </w:pPr>
      <w:r>
        <w:rPr>
          <w:b/>
          <w:bCs/>
        </w:rPr>
        <w:t xml:space="preserve">Art. 548.</w:t>
      </w:r>
      <w:r>
        <w:t xml:space="preserve"> </w:t>
      </w:r>
      <w:r>
        <w:t xml:space="preserve">No caso do art. 547:</w:t>
      </w:r>
    </w:p>
    <w:p>
      <w:pPr>
        <w:pStyle w:val="BodyText"/>
        <w:spacing w:after="60"/>
        <w:jc w:val="both"/>
      </w:pPr>
      <w:r>
        <w:t xml:space="preserve">I - não comparecendo pretendente algum, converter-se-á o depósito em arrecadação de coisas vagas;</w:t>
      </w:r>
    </w:p>
    <w:p>
      <w:pPr>
        <w:pStyle w:val="BodyText"/>
        <w:spacing w:after="60"/>
        <w:jc w:val="both"/>
      </w:pPr>
      <w:r>
        <w:t xml:space="preserve">II - comparecendo apenas um, o juiz decidirá de plano;</w:t>
      </w:r>
    </w:p>
    <w:p>
      <w:pPr>
        <w:pStyle w:val="BodyText"/>
        <w:spacing w:after="60"/>
        <w:jc w:val="both"/>
      </w:pPr>
      <w:r>
        <w:t xml:space="preserve">III - comparecendo mais de um, o juiz declarará efetuado o depósito e extinta a obrigação, continuando o processo a correr unicamente entre os presuntivos credores, observado o procedimento comum.</w:t>
      </w:r>
    </w:p>
    <w:bookmarkEnd w:id="295"/>
    <w:bookmarkStart w:id="296" w:name="art.-549"/>
    <w:p>
      <w:pPr>
        <w:pStyle w:val="Heading6"/>
        <w:pBdr>
          <w:left w:val="single" w:sz="36" w:space="4" w:color="2E75B6"/>
        </w:pBdr>
        <w:shd w:val="clear" w:color="auto" w:fill="E3EEF9"/>
        <w:spacing w:before="120" w:after="60"/>
        <w:ind w:left="85"/>
      </w:pPr>
      <w:r>
        <w:rPr>
          <w:i w:val="0"/>
          <w:color w:val="1F3A5F"/>
          <w:sz w:val="22"/>
        </w:rPr>
        <w:t xml:space="preserve">Art. 549</w:t>
      </w:r>
    </w:p>
    <w:p>
      <w:pPr>
        <w:pStyle w:val="FirstParagraph"/>
        <w:spacing w:after="60"/>
        <w:jc w:val="both"/>
      </w:pPr>
      <w:r>
        <w:rPr>
          <w:b/>
          <w:bCs/>
        </w:rPr>
        <w:t xml:space="preserve">Art. 549.</w:t>
      </w:r>
      <w:r>
        <w:t xml:space="preserve"> </w:t>
      </w:r>
      <w:r>
        <w:t xml:space="preserve">Aplica-se o procedimento estabelecido neste Capítulo, no que couber, ao resgate do aforamento.</w:t>
      </w:r>
    </w:p>
    <w:bookmarkEnd w:id="296"/>
    <w:bookmarkEnd w:id="297"/>
    <w:bookmarkStart w:id="302" w:name="X33638fcd462b99e4f716dfd9a7f576a5f6965ff"/>
    <w:p>
      <w:pPr>
        <w:pStyle w:val="Heading4"/>
        <w:spacing w:before="80" w:after="40"/>
      </w:pPr>
      <w:r>
        <w:rPr>
          <w:smallCaps/>
          <w:color w:val="2E75B6"/>
        </w:rPr>
        <w:t xml:space="preserve">Capítulo II: da ação de exigir contas (arts. 550 a 553)</w:t>
      </w:r>
    </w:p>
    <w:bookmarkStart w:id="298" w:name="art.-550"/>
    <w:p>
      <w:pPr>
        <w:pStyle w:val="Heading6"/>
        <w:pBdr>
          <w:left w:val="single" w:sz="36" w:space="4" w:color="2E75B6"/>
        </w:pBdr>
        <w:shd w:val="clear" w:color="auto" w:fill="E3EEF9"/>
        <w:spacing w:before="120" w:after="60"/>
        <w:ind w:left="85"/>
      </w:pPr>
      <w:r>
        <w:rPr>
          <w:i w:val="0"/>
          <w:color w:val="1F3A5F"/>
          <w:sz w:val="22"/>
        </w:rPr>
        <w:t xml:space="preserve">Art. 550</w:t>
      </w:r>
    </w:p>
    <w:p>
      <w:pPr>
        <w:pStyle w:val="FirstParagraph"/>
        <w:keepNext/>
        <w:spacing w:after="60"/>
        <w:jc w:val="both"/>
      </w:pPr>
      <w:r>
        <w:rPr>
          <w:b/>
          <w:bCs/>
        </w:rPr>
        <w:t xml:space="preserve">Art. 550.</w:t>
      </w:r>
      <w:r>
        <w:t xml:space="preserve"> </w:t>
      </w:r>
      <w:r>
        <w:t xml:space="preserve">Aquele que afirmar ser titular do direito de exigir contas requererá a citação do réu para que as preste ou ofereça contestação no prazo de 15 (quinze) dias.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655"/>
        <w:gridCol w:w="2029"/>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Titular de conta-corrente bancária e ação de exigir contas</w:t>
            </w:r>
          </w:p>
        </w:tc>
        <w:tc>
          <w:tcPr>
            <w:tcW w:type="dxa" w:w="1655"/>
          </w:tcPr>
          <w:p>
            <w:pPr>
              <w:pStyle w:val="Compact"/>
              <w:spacing w:line="276" w:lineRule="auto" w:before="40" w:after="40"/>
            </w:pPr>
            <w:r>
              <w:rPr>
                <w:rFonts w:ascii="Liberation Sans Narrow" w:hAnsi="Liberation Sans Narrow"/>
                <w:sz w:val="17"/>
              </w:rPr>
              <w:t xml:space="preserve">STJ, Súmula 259/STJ, Segunda Seção (vigente; data de aprovação não informada pelo acervo)</w:t>
            </w:r>
          </w:p>
        </w:tc>
        <w:tc>
          <w:tcPr>
            <w:tcW w:type="dxa" w:w="2030"/>
          </w:tcPr>
          <w:p>
            <w:pPr>
              <w:pStyle w:val="Compact"/>
              <w:spacing w:line="276" w:lineRule="auto" w:before="40" w:after="40"/>
            </w:pPr>
            <w:r>
              <w:rPr>
                <w:rFonts w:ascii="Liberation Sans Narrow" w:hAnsi="Liberation Sans Narrow"/>
                <w:sz w:val="17"/>
              </w:rPr>
              <w:t xml:space="preserve">O titular de conta-corrente bancária pode propor a ação de prestação de contas.</w:t>
            </w:r>
          </w:p>
        </w:tc>
      </w:tr>
      <w:tr>
        <w:trPr>
          <w:cantSplit/>
        </w:trPr>
        <w:tc>
          <w:tcPr>
            <w:tcW w:type="dxa" w:w="2030"/>
          </w:tcPr>
          <w:p>
            <w:pPr>
              <w:pStyle w:val="Compact"/>
              <w:spacing w:line="276" w:lineRule="auto" w:before="40" w:after="40"/>
            </w:pPr>
            <w:r>
              <w:rPr>
                <w:rFonts w:ascii="Liberation Sans Narrow" w:hAnsi="Liberation Sans Narrow"/>
                <w:sz w:val="17"/>
              </w:rPr>
              <w:t xml:space="preserve">Ação de exigir contas e pretensão de dar contas: procedimento</w:t>
            </w:r>
          </w:p>
        </w:tc>
        <w:tc>
          <w:tcPr>
            <w:tcW w:type="dxa" w:w="1655"/>
          </w:tcPr>
          <w:p>
            <w:pPr>
              <w:pStyle w:val="Compact"/>
              <w:spacing w:line="276" w:lineRule="auto" w:before="40" w:after="40"/>
            </w:pPr>
            <w:r>
              <w:rPr>
                <w:rFonts w:ascii="Liberation Sans Narrow" w:hAnsi="Liberation Sans Narrow"/>
                <w:sz w:val="17"/>
              </w:rPr>
              <w:t xml:space="preserve">STJ, REsp 1.707.014, Quarta Turma, relator Min. Luis Felipe Salomão, julgado em 02/03/2021, DJe de 04/06/2021</w:t>
            </w:r>
          </w:p>
        </w:tc>
        <w:tc>
          <w:tcPr>
            <w:tcW w:type="dxa" w:w="2030"/>
          </w:tcPr>
          <w:p>
            <w:pPr>
              <w:pStyle w:val="Compact"/>
              <w:spacing w:line="276" w:lineRule="auto" w:before="40" w:after="40"/>
            </w:pPr>
            <w:r>
              <w:rPr>
                <w:rFonts w:ascii="Liberation Sans Narrow" w:hAnsi="Liberation Sans Narrow"/>
                <w:sz w:val="17"/>
              </w:rPr>
              <w:t xml:space="preserve">O CPC/2015 submeteu a procedimento especial só a pretensão de exigir contas (art. 550); a de dar contas subsiste e segue o procedimento comum. A administração de bens alheios gera para o gestor o dever e o direito de prestar contas, e o inventariante tem o dever de prestá-las (art. 618, VII).</w:t>
            </w:r>
          </w:p>
        </w:tc>
      </w:tr>
    </w:tbl>
    <w:p>
      <w:pPr>
        <w:pStyle w:val="BodyText"/>
        <w:spacing w:after="60"/>
        <w:jc w:val="both"/>
      </w:pPr>
      <w:r>
        <w:t xml:space="preserve">§ 1º Na petição inicial, o autor especificará, detalhadamente, as razões pelas quais exige as contas, instruindo-a com documentos comprobatórios dessa necessidade, se existirem.</w:t>
      </w:r>
    </w:p>
    <w:p>
      <w:pPr>
        <w:pStyle w:val="BodyText"/>
        <w:spacing w:after="60"/>
        <w:jc w:val="both"/>
      </w:pPr>
      <w:r>
        <w:t xml:space="preserve">§ 2º Prestadas as contas, o autor terá 15 (quinze) dias para se manifestar, prosseguindo-se o processo na forma do Capítulo X do Título I deste Livro.</w:t>
      </w:r>
    </w:p>
    <w:p>
      <w:pPr>
        <w:pStyle w:val="BodyText"/>
        <w:spacing w:after="60"/>
        <w:jc w:val="both"/>
      </w:pPr>
      <w:r>
        <w:t xml:space="preserve">§ 3º A impugnação das contas apresentadas pelo réu deverá ser fundamentada e específica, com referência expressa ao lançamento questionado.</w:t>
      </w:r>
    </w:p>
    <w:p>
      <w:pPr>
        <w:pStyle w:val="BodyText"/>
        <w:spacing w:after="60"/>
        <w:jc w:val="both"/>
      </w:pPr>
      <w:r>
        <w:t xml:space="preserve">§ 4º Se o réu não contestar o pedido, observar-se-á o disposto no art. 355.</w:t>
      </w:r>
    </w:p>
    <w:p>
      <w:pPr>
        <w:pStyle w:val="BodyText"/>
        <w:keepNext/>
        <w:spacing w:after="60"/>
        <w:jc w:val="both"/>
      </w:pPr>
      <w:r>
        <w:t xml:space="preserve">§ 5º A decisão que julgar procedente o pedido condenará o réu a prestar as contas no prazo de 15 (quinze) dias, sob pena de não lhe ser lícito impugnar as que o autor apresentar.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27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 5º: prazo de 15 dias para prestar contas após a primeira fase</w:t>
            </w:r>
          </w:p>
        </w:tc>
        <w:tc>
          <w:tcPr>
            <w:tcW w:type="dxa" w:w="1655"/>
          </w:tcPr>
          <w:p>
            <w:pPr>
              <w:pStyle w:val="Compact"/>
              <w:spacing w:line="276" w:lineRule="auto" w:before="40" w:after="40"/>
            </w:pPr>
            <w:r>
              <w:rPr>
                <w:rFonts w:ascii="Liberation Sans Narrow" w:hAnsi="Liberation Sans Narrow"/>
                <w:sz w:val="17"/>
              </w:rPr>
              <w:t xml:space="preserve">STJ, REsp 2.176.491, Terceira Turma, relator Min. Moura Ribeiro, julgado em 12/08/2026, DJEN de 17/08/2026</w:t>
            </w:r>
          </w:p>
        </w:tc>
        <w:tc>
          <w:tcPr>
            <w:tcW w:type="dxa" w:w="2279"/>
          </w:tcPr>
          <w:p>
            <w:pPr>
              <w:pStyle w:val="Compact"/>
              <w:spacing w:line="276" w:lineRule="auto" w:before="40" w:after="40"/>
            </w:pPr>
            <w:r>
              <w:rPr>
                <w:rFonts w:ascii="Liberation Sans Narrow" w:hAnsi="Liberation Sans Narrow"/>
                <w:sz w:val="17"/>
              </w:rPr>
              <w:t xml:space="preserve">A decisão que julga procedente a primeira fase da ação de exigir contas é interlocutória de mérito, impugnável por agravo de instrumento, em regra sem efeito suspensivo; o prazo do § 5º corre da intimação dessa decisão, na pessoa do advogado do réu.</w:t>
            </w:r>
          </w:p>
        </w:tc>
      </w:tr>
      <w:tr>
        <w:trPr>
          <w:cantSplit/>
        </w:trPr>
        <w:tc>
          <w:tcPr>
            <w:tcW w:type="dxa" w:w="1531"/>
          </w:tcPr>
          <w:p>
            <w:pPr>
              <w:pStyle w:val="Compact"/>
              <w:spacing w:line="276" w:lineRule="auto" w:before="40" w:after="40"/>
            </w:pPr>
            <w:r>
              <w:rPr>
                <w:rFonts w:ascii="Liberation Sans Narrow" w:hAnsi="Liberation Sans Narrow"/>
                <w:sz w:val="17"/>
              </w:rPr>
              <w:t xml:space="preserve">§ 5º — réu que não presta contas no prazo e preclusão da impugnação</w:t>
            </w:r>
          </w:p>
        </w:tc>
        <w:tc>
          <w:tcPr>
            <w:tcW w:type="dxa" w:w="1655"/>
          </w:tcPr>
          <w:p>
            <w:pPr>
              <w:pStyle w:val="Compact"/>
              <w:spacing w:line="276" w:lineRule="auto" w:before="40" w:after="40"/>
            </w:pPr>
            <w:r>
              <w:rPr>
                <w:rFonts w:ascii="Liberation Sans Narrow" w:hAnsi="Liberation Sans Narrow"/>
                <w:sz w:val="17"/>
              </w:rPr>
              <w:t xml:space="preserve">STJ, AREsp 3.192.632, Quarta Turma, relator Min. Raul Araújo, julgado em 22/06/2026, DJEN de 29/06/2026</w:t>
            </w:r>
          </w:p>
        </w:tc>
        <w:tc>
          <w:tcPr>
            <w:tcW w:type="dxa" w:w="2279"/>
          </w:tcPr>
          <w:p>
            <w:pPr>
              <w:pStyle w:val="Compact"/>
              <w:spacing w:line="276" w:lineRule="auto" w:before="40" w:after="40"/>
            </w:pPr>
            <w:r>
              <w:rPr>
                <w:rFonts w:ascii="Liberation Sans Narrow" w:hAnsi="Liberation Sans Narrow"/>
                <w:sz w:val="17"/>
              </w:rPr>
              <w:t xml:space="preserve">A intempestividade na prestação de contas pelo réu implica a sanção do art. 550, § 5º: perda do direito de impugnar as contas do autor, não configurando cerceamento de defesa a ausência de nova abertura de prazo para impugnação.</w:t>
            </w:r>
          </w:p>
        </w:tc>
      </w:tr>
    </w:tbl>
    <w:p>
      <w:pPr>
        <w:pStyle w:val="BodyText"/>
        <w:spacing w:after="60"/>
        <w:jc w:val="both"/>
      </w:pPr>
      <w:r>
        <w:t xml:space="preserve">§ 6º Se o réu apresentar as contas no prazo previsto no § 5º, seguir-se-á o procedimento do § 2º, caso contrário, o autor apresentá-las-á no prazo de 15 (quinze) dias, podendo o juiz determinar a realização de exame pericial, se necessário.</w:t>
      </w:r>
    </w:p>
    <w:bookmarkEnd w:id="298"/>
    <w:bookmarkStart w:id="299" w:name="art.-551"/>
    <w:p>
      <w:pPr>
        <w:pStyle w:val="Heading6"/>
        <w:pBdr>
          <w:left w:val="single" w:sz="36" w:space="4" w:color="2E75B6"/>
        </w:pBdr>
        <w:shd w:val="clear" w:color="auto" w:fill="E3EEF9"/>
        <w:spacing w:before="120" w:after="60"/>
        <w:ind w:left="85"/>
      </w:pPr>
      <w:r>
        <w:rPr>
          <w:i w:val="0"/>
          <w:color w:val="1F3A5F"/>
          <w:sz w:val="22"/>
        </w:rPr>
        <w:t xml:space="preserve">Art. 551</w:t>
      </w:r>
    </w:p>
    <w:p>
      <w:pPr>
        <w:pStyle w:val="FirstParagraph"/>
        <w:spacing w:after="60"/>
        <w:jc w:val="both"/>
      </w:pPr>
      <w:r>
        <w:rPr>
          <w:b/>
          <w:bCs/>
        </w:rPr>
        <w:t xml:space="preserve">Art. 551.</w:t>
      </w:r>
      <w:r>
        <w:t xml:space="preserve"> </w:t>
      </w:r>
      <w:r>
        <w:t xml:space="preserve">As contas do réu serão apresentadas na forma adequada, especificando-se as receitas, a aplicação das despesas e os investimentos, se houver.</w:t>
      </w:r>
    </w:p>
    <w:p>
      <w:pPr>
        <w:pStyle w:val="BodyText"/>
        <w:spacing w:after="60"/>
        <w:jc w:val="both"/>
      </w:pPr>
      <w:r>
        <w:t xml:space="preserve">§ 1º Havendo impugnação específica e fundamentada pelo autor, o juiz estabelecerá prazo razoável para que o réu apresente os documentos justificativos dos lançamentos individualmente impugnados.</w:t>
      </w:r>
    </w:p>
    <w:p>
      <w:pPr>
        <w:pStyle w:val="BodyText"/>
        <w:keepNext/>
        <w:spacing w:after="60"/>
        <w:jc w:val="both"/>
      </w:pPr>
      <w:r>
        <w:t xml:space="preserve">§ 2º As contas do autor, para os fins do art. 550, § 5º, serão apresentadas na forma adequada, já instruídas com os documentos justificativos, especificando-se as receitas, a aplicação das despesas e os investimentos, se houver, bem como o respectivo saldo.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655"/>
        <w:gridCol w:w="2154"/>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 2º — contas do autor instruídas com documentos e desnecessidade de perícia</w:t>
            </w:r>
          </w:p>
        </w:tc>
        <w:tc>
          <w:tcPr>
            <w:tcW w:type="dxa" w:w="1655"/>
          </w:tcPr>
          <w:p>
            <w:pPr>
              <w:pStyle w:val="Compact"/>
              <w:spacing w:line="276" w:lineRule="auto" w:before="40" w:after="40"/>
            </w:pPr>
            <w:r>
              <w:rPr>
                <w:rFonts w:ascii="Liberation Sans Narrow" w:hAnsi="Liberation Sans Narrow"/>
                <w:sz w:val="17"/>
              </w:rPr>
              <w:t xml:space="preserve">STJ, AREsp 3.192.632, Quarta Turma, relator Min. Raul Araújo, julgado em 22/06/2026, DJEN de 29/06/2026</w:t>
            </w:r>
          </w:p>
        </w:tc>
        <w:tc>
          <w:tcPr>
            <w:tcW w:type="dxa" w:w="2154"/>
          </w:tcPr>
          <w:p>
            <w:pPr>
              <w:pStyle w:val="Compact"/>
              <w:spacing w:line="276" w:lineRule="auto" w:before="40" w:after="40"/>
            </w:pPr>
            <w:r>
              <w:rPr>
                <w:rFonts w:ascii="Liberation Sans Narrow" w:hAnsi="Liberation Sans Narrow"/>
                <w:sz w:val="17"/>
              </w:rPr>
              <w:t xml:space="preserve">Na segunda fase da ação de exigir contas, não existe obrigatoriedade abstrata de perícia contábil: quando a controvérsia é documental e jurídica, basta o exame dos documentos que instruem as contas do autor (art. 551, § 2º), e a revisão da conclusão de suficiência desse exame demanda reexame de provas (Súmula 7/STJ). A determinação da perícia fica no arbítrio do juiz.</w:t>
            </w:r>
          </w:p>
        </w:tc>
      </w:tr>
    </w:tbl>
    <w:bookmarkEnd w:id="299"/>
    <w:bookmarkStart w:id="300" w:name="art.-552"/>
    <w:p>
      <w:pPr>
        <w:pStyle w:val="Heading6"/>
        <w:pBdr>
          <w:left w:val="single" w:sz="36" w:space="4" w:color="2E75B6"/>
        </w:pBdr>
        <w:shd w:val="clear" w:color="auto" w:fill="E3EEF9"/>
        <w:spacing w:before="120" w:after="60"/>
        <w:ind w:left="85"/>
      </w:pPr>
      <w:r>
        <w:rPr>
          <w:i w:val="0"/>
          <w:color w:val="1F3A5F"/>
          <w:sz w:val="22"/>
        </w:rPr>
        <w:t xml:space="preserve">Art. 552</w:t>
      </w:r>
    </w:p>
    <w:p>
      <w:pPr>
        <w:pStyle w:val="FirstParagraph"/>
        <w:keepNext/>
        <w:spacing w:after="60"/>
        <w:jc w:val="both"/>
      </w:pPr>
      <w:r>
        <w:rPr>
          <w:b/>
          <w:bCs/>
        </w:rPr>
        <w:t xml:space="preserve">Art. 552.</w:t>
      </w:r>
      <w:r>
        <w:t xml:space="preserve"> </w:t>
      </w:r>
      <w:r>
        <w:t xml:space="preserve">A sentença apurará o saldo e constituirá título executivo judicial.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1905"/>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sentença que apura o saldo e constitui título (orientação de aplicação) (aplicação narrada)</w:t>
            </w:r>
          </w:p>
        </w:tc>
        <w:tc>
          <w:tcPr>
            <w:tcW w:type="dxa" w:w="1655"/>
          </w:tcPr>
          <w:p>
            <w:pPr>
              <w:pStyle w:val="Compact"/>
              <w:spacing w:line="276" w:lineRule="auto" w:before="40" w:after="40"/>
            </w:pPr>
            <w:r>
              <w:rPr>
                <w:rFonts w:ascii="Liberation Sans Narrow" w:hAnsi="Liberation Sans Narrow"/>
                <w:sz w:val="17"/>
              </w:rPr>
              <w:t xml:space="preserve">STJ, REsp 1.707.014, Quarta Turma, relator Min. Luis Felipe Salomão, julgado em 02/03/2021, DJe de 04/06/2021</w:t>
            </w:r>
          </w:p>
        </w:tc>
        <w:tc>
          <w:tcPr>
            <w:tcW w:type="dxa" w:w="1905"/>
          </w:tcPr>
          <w:p>
            <w:pPr>
              <w:pStyle w:val="Compact"/>
              <w:spacing w:line="276" w:lineRule="auto" w:before="40" w:after="40"/>
            </w:pPr>
            <w:r>
              <w:rPr>
                <w:rFonts w:ascii="Liberation Sans Narrow" w:hAnsi="Liberation Sans Narrow"/>
                <w:sz w:val="17"/>
              </w:rPr>
              <w:t xml:space="preserve">O inventariante tem legitimidade para ajuizar ação autônoma de prestação de contas, que se processa pelo rito especial dos arts. 552 e 553 do CPC, e não pelo do art. 550. Trecho: “Assim, há legitimidade do inventariante para ajuizar ação autônoma de prestação de contas.”</w:t>
            </w:r>
          </w:p>
        </w:tc>
      </w:tr>
    </w:tbl>
    <w:bookmarkEnd w:id="300"/>
    <w:bookmarkStart w:id="301" w:name="art.-553"/>
    <w:p>
      <w:pPr>
        <w:pStyle w:val="Heading6"/>
        <w:pBdr>
          <w:left w:val="single" w:sz="36" w:space="4" w:color="2E75B6"/>
        </w:pBdr>
        <w:shd w:val="clear" w:color="auto" w:fill="E3EEF9"/>
        <w:spacing w:before="120" w:after="60"/>
        <w:ind w:left="85"/>
      </w:pPr>
      <w:r>
        <w:rPr>
          <w:i w:val="0"/>
          <w:color w:val="1F3A5F"/>
          <w:sz w:val="22"/>
        </w:rPr>
        <w:t xml:space="preserve">Art. 553</w:t>
      </w:r>
    </w:p>
    <w:p>
      <w:pPr>
        <w:pStyle w:val="FirstParagraph"/>
        <w:keepNext/>
        <w:spacing w:after="60"/>
        <w:jc w:val="both"/>
      </w:pPr>
      <w:r>
        <w:rPr>
          <w:b/>
          <w:bCs/>
        </w:rPr>
        <w:t xml:space="preserve">Art. 553.</w:t>
      </w:r>
      <w:r>
        <w:t xml:space="preserve"> </w:t>
      </w:r>
      <w:r>
        <w:t xml:space="preserve">As contas do inventariante, do tutor, do curador, do depositário e de qualquer outro administrador serão prestadas em apenso aos autos do processo em que tiver sido nomeado.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1905"/>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Caput — dever de prestar contas do inventariante e legitimidade para a ação autônoma</w:t>
            </w:r>
          </w:p>
        </w:tc>
        <w:tc>
          <w:tcPr>
            <w:tcW w:type="dxa" w:w="1655"/>
          </w:tcPr>
          <w:p>
            <w:pPr>
              <w:pStyle w:val="Compact"/>
              <w:spacing w:line="276" w:lineRule="auto" w:before="40" w:after="40"/>
            </w:pPr>
            <w:r>
              <w:rPr>
                <w:rFonts w:ascii="Liberation Sans Narrow" w:hAnsi="Liberation Sans Narrow"/>
                <w:sz w:val="17"/>
              </w:rPr>
              <w:t xml:space="preserve">STJ, REsp 1.707.014, Quarta Turma, relator Min. Luis Felipe Salomão, julgado em 02/03/2021, DJe de 04/06/2021</w:t>
            </w:r>
          </w:p>
        </w:tc>
        <w:tc>
          <w:tcPr>
            <w:tcW w:type="dxa" w:w="1905"/>
          </w:tcPr>
          <w:p>
            <w:pPr>
              <w:pStyle w:val="Compact"/>
              <w:spacing w:line="276" w:lineRule="auto" w:before="40" w:after="40"/>
            </w:pPr>
            <w:r>
              <w:rPr>
                <w:rFonts w:ascii="Liberation Sans Narrow" w:hAnsi="Liberation Sans Narrow"/>
                <w:sz w:val="17"/>
              </w:rPr>
              <w:t xml:space="preserve">O inventariante tem o dever de prestar contas da gestão ao deixar o cargo ou quando o juiz determinar (art. 618, VII), de modo que lhe cabe legitimidade e interesse de agir para ajuizar ação autônoma de prestação de contas quando o processo sucessório terminou sem o acertamento das despesas, sobretudo se houve incidente de remoção.</w:t>
            </w:r>
          </w:p>
        </w:tc>
      </w:tr>
    </w:tbl>
    <w:p>
      <w:pPr>
        <w:pStyle w:val="BodyText"/>
        <w:spacing w:after="60"/>
        <w:jc w:val="both"/>
      </w:pPr>
      <w:r>
        <w:t xml:space="preserve">Parágrafo único. Se qualquer dos referidos no caput for condenado a pagar o saldo e não o fizer no prazo legal, o juiz poderá destituí-lo, sequestrar os bens sob sua guarda, glosar o prêmio ou a gratificação a que teria direito e determinar as medidas executivas necessárias à recomposição do prejuízo.</w:t>
      </w:r>
    </w:p>
    <w:bookmarkEnd w:id="301"/>
    <w:bookmarkEnd w:id="302"/>
    <w:bookmarkStart w:id="321" w:name="X479ccc9c1145cb94df4f3b393e237e5aeb524de"/>
    <w:p>
      <w:pPr>
        <w:pStyle w:val="Heading4"/>
        <w:spacing w:before="80" w:after="40"/>
      </w:pPr>
      <w:r>
        <w:rPr>
          <w:smallCaps/>
          <w:color w:val="2E75B6"/>
        </w:rPr>
        <w:t xml:space="preserve">Capítulo III: das ações possessórias (arts. 554 a 568)</w:t>
      </w:r>
    </w:p>
    <w:bookmarkStart w:id="309" w:name="X7df7d0c0a566039868a4a0f1bce602901baa6c3"/>
    <w:p>
      <w:pPr>
        <w:pStyle w:val="Heading5"/>
        <w:spacing w:before="60" w:after="20"/>
      </w:pPr>
      <w:r>
        <w:rPr>
          <w:i/>
          <w:color w:val="595959"/>
        </w:rPr>
        <w:t xml:space="preserve">Seção I: disposições gerais (arts. 554 a 559)</w:t>
      </w:r>
    </w:p>
    <w:bookmarkStart w:id="303" w:name="art.-554"/>
    <w:p>
      <w:pPr>
        <w:pStyle w:val="Heading6"/>
        <w:pBdr>
          <w:left w:val="single" w:sz="36" w:space="4" w:color="2E75B6"/>
        </w:pBdr>
        <w:shd w:val="clear" w:color="auto" w:fill="E3EEF9"/>
        <w:spacing w:before="120" w:after="60"/>
        <w:ind w:left="85"/>
      </w:pPr>
      <w:r>
        <w:rPr>
          <w:i w:val="0"/>
          <w:color w:val="1F3A5F"/>
          <w:sz w:val="22"/>
        </w:rPr>
        <w:t xml:space="preserve">Art. 554</w:t>
      </w:r>
    </w:p>
    <w:p>
      <w:pPr>
        <w:pStyle w:val="FirstParagraph"/>
        <w:spacing w:after="60"/>
        <w:jc w:val="both"/>
      </w:pPr>
      <w:r>
        <w:rPr>
          <w:b/>
          <w:bCs/>
        </w:rPr>
        <w:t xml:space="preserve">Art. 554.</w:t>
      </w:r>
      <w:r>
        <w:t xml:space="preserve"> </w:t>
      </w:r>
      <w:r>
        <w:t xml:space="preserve">A propositura de uma ação possessória em vez de outra não obstará a que o juiz conheça do pedido e outorgue a proteção legal correspondente àquela cujos pressupostos estejam provados.</w:t>
      </w:r>
    </w:p>
    <w:p>
      <w:pPr>
        <w:pStyle w:val="BodyText"/>
        <w:keepNext/>
        <w:spacing w:after="60"/>
        <w:jc w:val="both"/>
      </w:pPr>
      <w:r>
        <w:t xml:space="preserve">§ 1º No caso de ação possessória em que figure no polo passivo grande número de pessoas, serão feitas a citação pessoal dos ocupantes que forem encontrados no local e a citação por edital dos demais, determinando-se, ainda, a intimação do Ministério Público e, se envolver pessoas em situação de hipossuficiência econômica, da Defensoria Pública.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530"/>
        <w:gridCol w:w="2154"/>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780"/>
          </w:tcPr>
          <w:p>
            <w:pPr>
              <w:pStyle w:val="Compact"/>
              <w:spacing w:line="276" w:lineRule="auto" w:before="40" w:after="40"/>
            </w:pPr>
            <w:r>
              <w:rPr>
                <w:rFonts w:ascii="Liberation Sans Narrow" w:hAnsi="Liberation Sans Narrow"/>
                <w:sz w:val="17"/>
              </w:rPr>
              <w:t xml:space="preserve">§§ 1º a 4º: ocupações coletivas, ciência dos interessados e mediação</w:t>
            </w:r>
          </w:p>
        </w:tc>
        <w:tc>
          <w:tcPr>
            <w:tcW w:type="dxa" w:w="1531"/>
          </w:tcPr>
          <w:p>
            <w:pPr>
              <w:pStyle w:val="Compact"/>
              <w:spacing w:line="276" w:lineRule="auto" w:before="40" w:after="40"/>
            </w:pPr>
            <w:r>
              <w:rPr>
                <w:rFonts w:ascii="Liberation Sans Narrow" w:hAnsi="Liberation Sans Narrow"/>
                <w:sz w:val="17"/>
              </w:rPr>
              <w:t xml:space="preserve">STF, ADPF 828, Tribunal Pleno, relator Min. Roberto Barroso, julgado em 02/11/2022</w:t>
            </w:r>
          </w:p>
        </w:tc>
        <w:tc>
          <w:tcPr>
            <w:tcW w:type="dxa" w:w="2154"/>
          </w:tcPr>
          <w:p>
            <w:pPr>
              <w:pStyle w:val="Compact"/>
              <w:spacing w:line="276" w:lineRule="auto" w:before="40" w:after="40"/>
            </w:pPr>
            <w:r>
              <w:rPr>
                <w:rFonts w:ascii="Liberation Sans Narrow" w:hAnsi="Liberation Sans Narrow"/>
                <w:sz w:val="17"/>
              </w:rPr>
              <w:t xml:space="preserve">Cessada a cautelar de suspensão de desocupações coletivas, fixou-se regime de transição para as ocupações coletivas: criação imediata, nos tribunais, de Comissão de Conflitos Fundiários, com visitas técnicas e audiências de mediação, que propõe a retomada gradual e escalonada das ordens suspensas e atua como órgão auxiliar do juiz da causa. Em remoções administrativas coletivas de pessoas vulneráveis, o Poder Público deve dar ciência prévia, conceder prazo razoável e garantir abrigo digno, sem separar membros da mesma família. Nas ações de despejo da Lei do Inquilinato, retomou-se o regime legal, sem transição.</w:t>
            </w:r>
          </w:p>
        </w:tc>
      </w:tr>
    </w:tbl>
    <w:p>
      <w:pPr>
        <w:pStyle w:val="BodyText"/>
        <w:spacing w:after="60"/>
        <w:jc w:val="both"/>
      </w:pPr>
      <w:r>
        <w:t xml:space="preserve">§ 2º Para fim da citação pessoal prevista no § 1º, o oficial de justiça procurará os ocupantes no local por uma vez, citando-se por edital os que não forem encontrados.</w:t>
      </w:r>
    </w:p>
    <w:p>
      <w:pPr>
        <w:pStyle w:val="BodyText"/>
        <w:spacing w:after="60"/>
        <w:jc w:val="both"/>
      </w:pPr>
      <w:r>
        <w:t xml:space="preserve">§ 3º O juiz deverá determinar que se dê ampla publicidade da existência da ação prevista no § 1º e dos respectivos prazos processuais, podendo, para tanto, valer-se de anúncios em jornal ou rádio locais, da publicação de cartazes na região do conflito e de outros meios.</w:t>
      </w:r>
    </w:p>
    <w:bookmarkEnd w:id="303"/>
    <w:bookmarkStart w:id="304" w:name="art.-555"/>
    <w:p>
      <w:pPr>
        <w:pStyle w:val="Heading6"/>
        <w:pBdr>
          <w:left w:val="single" w:sz="36" w:space="4" w:color="2E75B6"/>
        </w:pBdr>
        <w:shd w:val="clear" w:color="auto" w:fill="E3EEF9"/>
        <w:spacing w:before="120" w:after="60"/>
        <w:ind w:left="85"/>
      </w:pPr>
      <w:r>
        <w:rPr>
          <w:i w:val="0"/>
          <w:color w:val="1F3A5F"/>
          <w:sz w:val="22"/>
        </w:rPr>
        <w:t xml:space="preserve">Art. 555</w:t>
      </w:r>
    </w:p>
    <w:p>
      <w:pPr>
        <w:pStyle w:val="FirstParagraph"/>
        <w:spacing w:after="60"/>
        <w:jc w:val="both"/>
      </w:pPr>
      <w:r>
        <w:rPr>
          <w:b/>
          <w:bCs/>
        </w:rPr>
        <w:t xml:space="preserve">Art. 555.</w:t>
      </w:r>
      <w:r>
        <w:t xml:space="preserve"> </w:t>
      </w:r>
      <w:r>
        <w:t xml:space="preserve">É lícito ao autor cumular ao pedido possessório o de:</w:t>
      </w:r>
    </w:p>
    <w:p>
      <w:pPr>
        <w:pStyle w:val="BodyText"/>
        <w:spacing w:after="60"/>
        <w:jc w:val="both"/>
      </w:pPr>
      <w:r>
        <w:t xml:space="preserve">I - condenação em perdas e danos;</w:t>
      </w:r>
    </w:p>
    <w:p>
      <w:pPr>
        <w:pStyle w:val="BodyText"/>
        <w:spacing w:after="60"/>
        <w:jc w:val="both"/>
      </w:pPr>
      <w:r>
        <w:t xml:space="preserve">II - indenização dos frutos.</w:t>
      </w:r>
    </w:p>
    <w:p>
      <w:pPr>
        <w:pStyle w:val="BodyText"/>
        <w:spacing w:after="60"/>
        <w:jc w:val="both"/>
      </w:pPr>
      <w:r>
        <w:t xml:space="preserve">Parágrafo único. Pode o autor requerer, ainda, imposição de medida necessária e adequada para:</w:t>
      </w:r>
    </w:p>
    <w:p>
      <w:pPr>
        <w:pStyle w:val="BodyText"/>
        <w:spacing w:after="60"/>
        <w:jc w:val="both"/>
      </w:pPr>
      <w:r>
        <w:t xml:space="preserve">I - evitar nova turbação ou esbulho;</w:t>
      </w:r>
    </w:p>
    <w:p>
      <w:pPr>
        <w:pStyle w:val="BodyText"/>
        <w:spacing w:after="60"/>
        <w:jc w:val="both"/>
      </w:pPr>
      <w:r>
        <w:t xml:space="preserve">II - cumprir-se a tutela provisória ou final.</w:t>
      </w:r>
    </w:p>
    <w:bookmarkEnd w:id="304"/>
    <w:bookmarkStart w:id="305" w:name="art.-556"/>
    <w:p>
      <w:pPr>
        <w:pStyle w:val="Heading6"/>
        <w:pBdr>
          <w:left w:val="single" w:sz="36" w:space="4" w:color="2E75B6"/>
        </w:pBdr>
        <w:shd w:val="clear" w:color="auto" w:fill="E3EEF9"/>
        <w:spacing w:before="120" w:after="60"/>
        <w:ind w:left="85"/>
      </w:pPr>
      <w:r>
        <w:rPr>
          <w:i w:val="0"/>
          <w:color w:val="1F3A5F"/>
          <w:sz w:val="22"/>
        </w:rPr>
        <w:t xml:space="preserve">Art. 556</w:t>
      </w:r>
    </w:p>
    <w:p>
      <w:pPr>
        <w:pStyle w:val="FirstParagraph"/>
        <w:spacing w:after="60"/>
        <w:jc w:val="both"/>
      </w:pPr>
      <w:r>
        <w:rPr>
          <w:b/>
          <w:bCs/>
        </w:rPr>
        <w:t xml:space="preserve">Art. 556.</w:t>
      </w:r>
      <w:r>
        <w:t xml:space="preserve"> </w:t>
      </w:r>
      <w:r>
        <w:t xml:space="preserve">É lícito ao réu, na contestação, alegando que foi o ofendido em sua posse, demandar a proteção possessória e a indenização pelos prejuízos resultantes da turbação ou do esbulho cometido pelo autor.</w:t>
      </w:r>
    </w:p>
    <w:bookmarkEnd w:id="305"/>
    <w:bookmarkStart w:id="306" w:name="art.-557"/>
    <w:p>
      <w:pPr>
        <w:pStyle w:val="Heading6"/>
        <w:pBdr>
          <w:left w:val="single" w:sz="36" w:space="4" w:color="2E75B6"/>
        </w:pBdr>
        <w:shd w:val="clear" w:color="auto" w:fill="E3EEF9"/>
        <w:spacing w:before="120" w:after="60"/>
        <w:ind w:left="85"/>
      </w:pPr>
      <w:r>
        <w:rPr>
          <w:i w:val="0"/>
          <w:color w:val="1F3A5F"/>
          <w:sz w:val="22"/>
        </w:rPr>
        <w:t xml:space="preserve">Art. 557</w:t>
      </w:r>
    </w:p>
    <w:p>
      <w:pPr>
        <w:pStyle w:val="FirstParagraph"/>
        <w:keepNext/>
        <w:spacing w:after="60"/>
        <w:jc w:val="both"/>
      </w:pPr>
      <w:r>
        <w:rPr>
          <w:b/>
          <w:bCs/>
        </w:rPr>
        <w:t xml:space="preserve">Art. 557.</w:t>
      </w:r>
      <w:r>
        <w:t xml:space="preserve"> </w:t>
      </w:r>
      <w:r>
        <w:t xml:space="preserve">Na pendência de ação possessória é vedado, tanto ao autor quanto ao réu, propor ação de reconhecimento do domínio, exceto se a pretensão for deduzida em face de terceira pessoa.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154"/>
        <w:gridCol w:w="1655"/>
        <w:gridCol w:w="2154"/>
      </w:tblGrid>
      <w:tr>
        <w:trPr>
          <w:tblHeader w:val="on"/>
          <w:cantSplit/>
          <w:tblHeader/>
        </w:trPr>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2154"/>
          </w:tcPr>
          <w:p>
            <w:pPr>
              <w:pStyle w:val="Compact"/>
              <w:spacing w:line="276" w:lineRule="auto" w:before="40" w:after="40"/>
            </w:pPr>
            <w:r>
              <w:rPr>
                <w:rFonts w:ascii="Liberation Sans Narrow" w:hAnsi="Liberation Sans Narrow"/>
                <w:sz w:val="17"/>
              </w:rPr>
              <w:t xml:space="preserve">Possessória e petitória: ausência de litispendência e aplicação do art. 557 (aplicação narrada)</w:t>
            </w:r>
          </w:p>
        </w:tc>
        <w:tc>
          <w:tcPr>
            <w:tcW w:type="dxa" w:w="1655"/>
          </w:tcPr>
          <w:p>
            <w:pPr>
              <w:pStyle w:val="Compact"/>
              <w:spacing w:line="276" w:lineRule="auto" w:before="40" w:after="40"/>
            </w:pPr>
            <w:r>
              <w:rPr>
                <w:rFonts w:ascii="Liberation Sans Narrow" w:hAnsi="Liberation Sans Narrow"/>
                <w:sz w:val="17"/>
              </w:rPr>
              <w:t xml:space="preserve">STJ, REsp 2.159.015, Quarta Turma, relator Min. João Otávio de Noronha, julgado em 09/02/2026, DJEN de 12/02/2026</w:t>
            </w:r>
          </w:p>
        </w:tc>
        <w:tc>
          <w:tcPr>
            <w:tcW w:type="dxa" w:w="2154"/>
          </w:tcPr>
          <w:p>
            <w:pPr>
              <w:pStyle w:val="Compact"/>
              <w:spacing w:line="276" w:lineRule="auto" w:before="40" w:after="40"/>
            </w:pPr>
            <w:r>
              <w:rPr>
                <w:rFonts w:ascii="Liberation Sans Narrow" w:hAnsi="Liberation Sans Narrow"/>
                <w:sz w:val="17"/>
              </w:rPr>
              <w:t xml:space="preserve">Não há litispendência entre imissão na posse e manutenção de posse, por falta da tríplice identidade do art. 337 (causas de pedir e pedidos distintos). O art. 557 determina a extinção sem resolução do mérito da ação de domínio proposta na pendência de possessória entre as mesmas partes e sobre o mesmo imóvel; o erro de fundamento do tribunal local é inofensivo. Trecho: “Recurso especial interposto contra acórdão do tribunal estadual que manteve a extinção sem resolução de mérito de ação de imissão na posse, por litispendência com ação de manutenção de posse, e negou provimento à apelação.”</w:t>
            </w:r>
          </w:p>
        </w:tc>
      </w:tr>
      <w:tr>
        <w:trPr>
          <w:cantSplit/>
        </w:trPr>
        <w:tc>
          <w:tcPr>
            <w:tcW w:type="dxa" w:w="2154"/>
          </w:tcPr>
          <w:p>
            <w:pPr>
              <w:pStyle w:val="Compact"/>
              <w:spacing w:line="276" w:lineRule="auto" w:before="40" w:after="40"/>
            </w:pPr>
            <w:r>
              <w:rPr>
                <w:rFonts w:ascii="Liberation Sans Narrow" w:hAnsi="Liberation Sans Narrow"/>
                <w:sz w:val="17"/>
              </w:rPr>
              <w:t xml:space="preserve">Pendência de ação possessória e ação reivindicatória entre as mesmas partes</w:t>
            </w:r>
          </w:p>
        </w:tc>
        <w:tc>
          <w:tcPr>
            <w:tcW w:type="dxa" w:w="1655"/>
          </w:tcPr>
          <w:p>
            <w:pPr>
              <w:pStyle w:val="Compact"/>
              <w:spacing w:line="276" w:lineRule="auto" w:before="40" w:after="40"/>
            </w:pPr>
            <w:r>
              <w:rPr>
                <w:rFonts w:ascii="Liberation Sans Narrow" w:hAnsi="Liberation Sans Narrow"/>
                <w:sz w:val="17"/>
              </w:rPr>
              <w:t xml:space="preserve">STJ, REsp 2.199.860, Terceira Turma, relator Min. Humberto Martins, julgado em 05/05/2025, DJEN de 08/05/2025</w:t>
            </w:r>
          </w:p>
        </w:tc>
        <w:tc>
          <w:tcPr>
            <w:tcW w:type="dxa" w:w="2154"/>
          </w:tcPr>
          <w:p>
            <w:pPr>
              <w:pStyle w:val="Compact"/>
              <w:spacing w:line="276" w:lineRule="auto" w:before="40" w:after="40"/>
            </w:pPr>
            <w:r>
              <w:rPr>
                <w:rFonts w:ascii="Liberation Sans Narrow" w:hAnsi="Liberation Sans Narrow"/>
                <w:sz w:val="17"/>
              </w:rPr>
              <w:t xml:space="preserve">Havendo identidade de partes, a pendência de ação possessória sobre a área veda a discussão do domínio, inclusive em ação anulatória cumulada com pedido reivindicatório (art. 557); a norma preserva a autonomia e a celeridade das ações possessórias.</w:t>
            </w:r>
          </w:p>
        </w:tc>
      </w:tr>
      <w:tr>
        <w:trPr>
          <w:cantSplit/>
        </w:trPr>
        <w:tc>
          <w:tcPr>
            <w:tcW w:type="dxa" w:w="2154"/>
          </w:tcPr>
          <w:p>
            <w:pPr>
              <w:pStyle w:val="Compact"/>
              <w:spacing w:line="276" w:lineRule="auto" w:before="40" w:after="40"/>
            </w:pPr>
            <w:r>
              <w:rPr>
                <w:rFonts w:ascii="Liberation Sans Narrow" w:hAnsi="Liberation Sans Narrow"/>
                <w:sz w:val="17"/>
              </w:rPr>
              <w:t xml:space="preserve">Pendência de ação possessória: vedação da ação petitória (imissão na posse)</w:t>
            </w:r>
          </w:p>
        </w:tc>
        <w:tc>
          <w:tcPr>
            <w:tcW w:type="dxa" w:w="1655"/>
          </w:tcPr>
          <w:p>
            <w:pPr>
              <w:pStyle w:val="Compact"/>
              <w:spacing w:line="276" w:lineRule="auto" w:before="40" w:after="40"/>
            </w:pPr>
            <w:r>
              <w:rPr>
                <w:rFonts w:ascii="Liberation Sans Narrow" w:hAnsi="Liberation Sans Narrow"/>
                <w:sz w:val="17"/>
              </w:rPr>
              <w:t xml:space="preserve">STJ, REsp 1.909.196, Terceira Turma, relatora Min. Nancy Andrighi, julgado em 15/06/2021, DJe de 17/06/2021</w:t>
            </w:r>
          </w:p>
        </w:tc>
        <w:tc>
          <w:tcPr>
            <w:tcW w:type="dxa" w:w="2154"/>
          </w:tcPr>
          <w:p>
            <w:pPr>
              <w:pStyle w:val="Compact"/>
              <w:spacing w:line="276" w:lineRule="auto" w:before="40" w:after="40"/>
            </w:pPr>
            <w:r>
              <w:rPr>
                <w:rFonts w:ascii="Liberation Sans Narrow" w:hAnsi="Liberation Sans Narrow"/>
                <w:sz w:val="17"/>
              </w:rPr>
              <w:t xml:space="preserve">Na pendência de ação possessória, é vedado propor ação de reconhecimento do domínio (art. 557). A ação de imissão na posse é petitória (jus possidendi) e, se ajuizada na pendência da possessória, deve ser extinta sem resolução do mérito, por falta de pressuposto negativo; a proibição é condição suspensiva do exercício do direito de ação fundada na propriedade, e não limita os direitos de propriedade e de ação.</w:t>
            </w:r>
          </w:p>
        </w:tc>
      </w:tr>
    </w:tbl>
    <w:p>
      <w:pPr>
        <w:pStyle w:val="BodyText"/>
        <w:spacing w:after="60"/>
        <w:jc w:val="both"/>
      </w:pPr>
      <w:r>
        <w:t xml:space="preserve">Parágrafo único. Não obsta à manutenção ou à reintegração de posse a alegação de propriedade ou de outro direito sobre a coisa.</w:t>
      </w:r>
    </w:p>
    <w:bookmarkEnd w:id="306"/>
    <w:bookmarkStart w:id="307" w:name="art.-558"/>
    <w:p>
      <w:pPr>
        <w:pStyle w:val="Heading6"/>
        <w:pBdr>
          <w:left w:val="single" w:sz="36" w:space="4" w:color="2E75B6"/>
        </w:pBdr>
        <w:shd w:val="clear" w:color="auto" w:fill="E3EEF9"/>
        <w:spacing w:before="120" w:after="60"/>
        <w:ind w:left="85"/>
      </w:pPr>
      <w:r>
        <w:rPr>
          <w:i w:val="0"/>
          <w:color w:val="1F3A5F"/>
          <w:sz w:val="22"/>
        </w:rPr>
        <w:t xml:space="preserve">Art. 558</w:t>
      </w:r>
    </w:p>
    <w:p>
      <w:pPr>
        <w:pStyle w:val="FirstParagraph"/>
        <w:spacing w:after="60"/>
        <w:jc w:val="both"/>
      </w:pPr>
      <w:r>
        <w:rPr>
          <w:b/>
          <w:bCs/>
        </w:rPr>
        <w:t xml:space="preserve">Art. 558.</w:t>
      </w:r>
      <w:r>
        <w:t xml:space="preserve"> </w:t>
      </w:r>
      <w:r>
        <w:t xml:space="preserve">Regem o procedimento de manutenção e de reintegração de posse as normas da Seção II deste Capítulo quando a ação for proposta dentro de ano e dia da turbação ou do esbulho afirmado na petição inicial.</w:t>
      </w:r>
    </w:p>
    <w:p>
      <w:pPr>
        <w:pStyle w:val="BodyText"/>
        <w:spacing w:after="60"/>
        <w:jc w:val="both"/>
      </w:pPr>
      <w:r>
        <w:t xml:space="preserve">Parágrafo único. Passado o prazo referido no caput , será comum o procedimento, não perdendo, contudo, o caráter possessório.</w:t>
      </w:r>
    </w:p>
    <w:bookmarkEnd w:id="307"/>
    <w:bookmarkStart w:id="308" w:name="art.-559"/>
    <w:p>
      <w:pPr>
        <w:pStyle w:val="Heading6"/>
        <w:pBdr>
          <w:left w:val="single" w:sz="36" w:space="4" w:color="2E75B6"/>
        </w:pBdr>
        <w:shd w:val="clear" w:color="auto" w:fill="E3EEF9"/>
        <w:spacing w:before="120" w:after="60"/>
        <w:ind w:left="85"/>
      </w:pPr>
      <w:r>
        <w:rPr>
          <w:i w:val="0"/>
          <w:color w:val="1F3A5F"/>
          <w:sz w:val="22"/>
        </w:rPr>
        <w:t xml:space="preserve">Art. 559</w:t>
      </w:r>
    </w:p>
    <w:p>
      <w:pPr>
        <w:pStyle w:val="FirstParagraph"/>
        <w:spacing w:after="60"/>
        <w:jc w:val="both"/>
      </w:pPr>
      <w:r>
        <w:rPr>
          <w:b/>
          <w:bCs/>
        </w:rPr>
        <w:t xml:space="preserve">Art. 559.</w:t>
      </w:r>
      <w:r>
        <w:t xml:space="preserve"> </w:t>
      </w:r>
      <w:r>
        <w:t xml:space="preserve">Se o réu provar, em qualquer tempo, que o autor provisoriamente mantido ou reintegrado na posse carece de idoneidade financeira para, no caso de sucumbência, responder por perdas e danos, o juiz designar-lhe-á o prazo de 5 (cinco) dias para requerer caução, real ou fidejussória, sob pena de ser depositada a coisa litigiosa, ressalvada a impossibilidade da parte economicamente hipossuficiente.</w:t>
      </w:r>
    </w:p>
    <w:bookmarkEnd w:id="308"/>
    <w:bookmarkEnd w:id="309"/>
    <w:bookmarkStart w:id="317" w:name="Xd4f2660ba7fcbf8b69339164473eeacde29f482"/>
    <w:p>
      <w:pPr>
        <w:pStyle w:val="Heading5"/>
        <w:spacing w:before="60" w:after="20"/>
      </w:pPr>
      <w:r>
        <w:rPr>
          <w:i/>
          <w:color w:val="595959"/>
        </w:rPr>
        <w:t xml:space="preserve">Seção II: da manutenção e da reintegração de posse (arts. 560 a 566)</w:t>
      </w:r>
    </w:p>
    <w:bookmarkStart w:id="310" w:name="art.-560"/>
    <w:p>
      <w:pPr>
        <w:pStyle w:val="Heading6"/>
        <w:pBdr>
          <w:left w:val="single" w:sz="36" w:space="4" w:color="2E75B6"/>
        </w:pBdr>
        <w:shd w:val="clear" w:color="auto" w:fill="E3EEF9"/>
        <w:spacing w:before="120" w:after="60"/>
        <w:ind w:left="85"/>
      </w:pPr>
      <w:r>
        <w:rPr>
          <w:i w:val="0"/>
          <w:color w:val="1F3A5F"/>
          <w:sz w:val="22"/>
        </w:rPr>
        <w:t xml:space="preserve">Art. 560</w:t>
      </w:r>
    </w:p>
    <w:p>
      <w:pPr>
        <w:pStyle w:val="FirstParagraph"/>
        <w:keepNext/>
        <w:spacing w:after="60"/>
        <w:jc w:val="both"/>
      </w:pPr>
      <w:r>
        <w:rPr>
          <w:b/>
          <w:bCs/>
        </w:rPr>
        <w:t xml:space="preserve">Art. 560.</w:t>
      </w:r>
      <w:r>
        <w:t xml:space="preserve"> </w:t>
      </w:r>
      <w:r>
        <w:t xml:space="preserve">O possuidor tem direito a ser mantido na posse em caso de turbação e reintegrado em caso de esbulho.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531"/>
          </w:tcPr>
          <w:p>
            <w:pPr>
              <w:pStyle w:val="Compact"/>
              <w:spacing w:line="276" w:lineRule="auto" w:before="40" w:after="40"/>
            </w:pPr>
            <w:r>
              <w:rPr>
                <w:rFonts w:ascii="Liberation Sans Narrow" w:hAnsi="Liberation Sans Narrow"/>
                <w:sz w:val="17"/>
              </w:rPr>
              <w:t xml:space="preserve">Caput — orientação de aplicação (aplicação narrada)</w:t>
            </w:r>
          </w:p>
        </w:tc>
        <w:tc>
          <w:tcPr>
            <w:tcW w:type="dxa" w:w="1655"/>
          </w:tcPr>
          <w:p>
            <w:pPr>
              <w:pStyle w:val="Compact"/>
              <w:spacing w:line="276" w:lineRule="auto" w:before="40" w:after="40"/>
            </w:pPr>
            <w:r>
              <w:rPr>
                <w:rFonts w:ascii="Liberation Sans Narrow" w:hAnsi="Liberation Sans Narrow"/>
                <w:sz w:val="17"/>
              </w:rPr>
              <w:t xml:space="preserve">STJ, REsp 2.209.667, Terceira Turma, relatora Min. Nancy Andrighi, julgado em 02/06/2026, DJEN de 09/06/2026</w:t>
            </w:r>
          </w:p>
        </w:tc>
        <w:tc>
          <w:tcPr>
            <w:tcW w:type="dxa" w:w="2030"/>
          </w:tcPr>
          <w:p>
            <w:pPr>
              <w:pStyle w:val="Compact"/>
              <w:spacing w:line="276" w:lineRule="auto" w:before="40" w:after="40"/>
            </w:pPr>
            <w:r>
              <w:rPr>
                <w:rFonts w:ascii="Liberation Sans Narrow" w:hAnsi="Liberation Sans Narrow"/>
                <w:sz w:val="17"/>
              </w:rPr>
              <w:t xml:space="preserve">Nas ações possessórias discute-se a proteção jurídica ao fato da posse (jus possessionis), afastando-se o juízo petitório (jus possidendi); demonstrados os requisitos legais, a proteção possessória independe de considerações sobre o domínio. Trecho: “Nas ações possessórias, discute-se a proteção jurídica ao fato da posse contra atentados praticados por terceiros (jus possessionis), afastando-se o juízo petitório, cuja pretensão toma por base o direito de propriedade (jus possidendi).”</w:t>
            </w:r>
          </w:p>
        </w:tc>
      </w:tr>
    </w:tbl>
    <w:bookmarkEnd w:id="310"/>
    <w:bookmarkStart w:id="311" w:name="art.-561"/>
    <w:p>
      <w:pPr>
        <w:pStyle w:val="Heading6"/>
        <w:pBdr>
          <w:left w:val="single" w:sz="36" w:space="4" w:color="2E75B6"/>
        </w:pBdr>
        <w:shd w:val="clear" w:color="auto" w:fill="E3EEF9"/>
        <w:spacing w:before="120" w:after="60"/>
        <w:ind w:left="85"/>
      </w:pPr>
      <w:r>
        <w:rPr>
          <w:i w:val="0"/>
          <w:color w:val="1F3A5F"/>
          <w:sz w:val="22"/>
        </w:rPr>
        <w:t xml:space="preserve">Art. 561</w:t>
      </w:r>
    </w:p>
    <w:p>
      <w:pPr>
        <w:pStyle w:val="FirstParagraph"/>
        <w:keepNext/>
        <w:spacing w:after="60"/>
        <w:jc w:val="both"/>
      </w:pPr>
      <w:r>
        <w:rPr>
          <w:b/>
          <w:bCs/>
        </w:rPr>
        <w:t xml:space="preserve">Art. 561.</w:t>
      </w:r>
      <w:r>
        <w:t xml:space="preserve"> </w:t>
      </w:r>
      <w:r>
        <w:t xml:space="preserve">Incumbe ao autor provar: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653"/>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653"/>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aplicação (aplicação narrada)</w:t>
            </w:r>
          </w:p>
        </w:tc>
        <w:tc>
          <w:tcPr>
            <w:tcW w:type="dxa" w:w="1531"/>
          </w:tcPr>
          <w:p>
            <w:pPr>
              <w:pStyle w:val="Compact"/>
              <w:spacing w:line="276" w:lineRule="auto" w:before="40" w:after="40"/>
            </w:pPr>
            <w:r>
              <w:rPr>
                <w:rFonts w:ascii="Liberation Sans Narrow" w:hAnsi="Liberation Sans Narrow"/>
                <w:sz w:val="17"/>
              </w:rPr>
              <w:t xml:space="preserve">STJ, AREsp 3.083.289, Terceira Turma, relator Min. Moura Ribeiro, julgado em 02/03/2026</w:t>
            </w:r>
          </w:p>
        </w:tc>
        <w:tc>
          <w:tcPr>
            <w:tcW w:type="dxa" w:w="2653"/>
          </w:tcPr>
          <w:p>
            <w:pPr>
              <w:pStyle w:val="Compact"/>
              <w:spacing w:line="276" w:lineRule="auto" w:before="40" w:after="40"/>
            </w:pPr>
            <w:r>
              <w:rPr>
                <w:rFonts w:ascii="Liberation Sans Narrow" w:hAnsi="Liberation Sans Narrow"/>
                <w:sz w:val="17"/>
              </w:rPr>
              <w:t xml:space="preserve">A tutela possessória não se condiciona à prova de domínio ou de registro, sendo os documentos fiscais e tributários elemento corroborativo, e não requisito autônomo; a improcedência fundou-se na falta de prova da posse contínua e da turbação atual (arts. 561 e 562 do CPC). Trecho: “A referência a documentos fiscais/tributários é elemento corroborativo ausente, e não requisito jurídico autônomo.”</w:t>
            </w:r>
          </w:p>
        </w:tc>
      </w:tr>
    </w:tbl>
    <w:p>
      <w:pPr>
        <w:pStyle w:val="BodyText"/>
        <w:spacing w:after="60"/>
        <w:jc w:val="both"/>
      </w:pPr>
      <w:r>
        <w:t xml:space="preserve">I - a sua posse;</w:t>
      </w:r>
    </w:p>
    <w:p>
      <w:pPr>
        <w:pStyle w:val="BodyText"/>
        <w:spacing w:after="60"/>
        <w:jc w:val="both"/>
      </w:pPr>
      <w:r>
        <w:t xml:space="preserve">II - a turbação ou o esbulho praticado pelo réu;</w:t>
      </w:r>
    </w:p>
    <w:p>
      <w:pPr>
        <w:pStyle w:val="BodyText"/>
        <w:spacing w:after="60"/>
        <w:jc w:val="both"/>
      </w:pPr>
      <w:r>
        <w:t xml:space="preserve">III - a data da turbação ou do esbulho;</w:t>
      </w:r>
    </w:p>
    <w:p>
      <w:pPr>
        <w:pStyle w:val="BodyText"/>
        <w:spacing w:after="60"/>
        <w:jc w:val="both"/>
      </w:pPr>
      <w:r>
        <w:t xml:space="preserve">IV - a continuação da posse, embora turbada, na ação de manutenção, ou a perda da posse, na ação de reintegração.</w:t>
      </w:r>
    </w:p>
    <w:bookmarkEnd w:id="311"/>
    <w:bookmarkStart w:id="312" w:name="art.-562"/>
    <w:p>
      <w:pPr>
        <w:pStyle w:val="Heading6"/>
        <w:pBdr>
          <w:left w:val="single" w:sz="36" w:space="4" w:color="2E75B6"/>
        </w:pBdr>
        <w:shd w:val="clear" w:color="auto" w:fill="E3EEF9"/>
        <w:spacing w:before="120" w:after="60"/>
        <w:ind w:left="85"/>
      </w:pPr>
      <w:r>
        <w:rPr>
          <w:i w:val="0"/>
          <w:color w:val="1F3A5F"/>
          <w:sz w:val="22"/>
        </w:rPr>
        <w:t xml:space="preserve">Art. 562</w:t>
      </w:r>
    </w:p>
    <w:p>
      <w:pPr>
        <w:pStyle w:val="FirstParagraph"/>
        <w:keepNext/>
        <w:spacing w:after="60"/>
        <w:jc w:val="both"/>
      </w:pPr>
      <w:r>
        <w:rPr>
          <w:b/>
          <w:bCs/>
        </w:rPr>
        <w:t xml:space="preserve">Art. 562.</w:t>
      </w:r>
      <w:r>
        <w:t xml:space="preserve"> </w:t>
      </w:r>
      <w:r>
        <w:t xml:space="preserve">Estando a petição inicial devidamente instruída, o juiz deferirá, sem ouvir o réu, a expedição do mandado liminar de manutenção ou de reintegração, caso contrário, determinará que o autor justifique previamente o alegado, citando-se o réu para comparecer à audiência que for designada.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1905"/>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Caput — justificação prévia determinada de ofício e ônus da prova</w:t>
            </w:r>
          </w:p>
        </w:tc>
        <w:tc>
          <w:tcPr>
            <w:tcW w:type="dxa" w:w="1655"/>
          </w:tcPr>
          <w:p>
            <w:pPr>
              <w:pStyle w:val="Compact"/>
              <w:spacing w:line="276" w:lineRule="auto" w:before="40" w:after="40"/>
            </w:pPr>
            <w:r>
              <w:rPr>
                <w:rFonts w:ascii="Liberation Sans Narrow" w:hAnsi="Liberation Sans Narrow"/>
                <w:sz w:val="17"/>
              </w:rPr>
              <w:t xml:space="preserve">STJ, AREsp 2.640.027, Quarta Turma, relator Min. João Otávio de Noronha, julgado em 16/03/2026, DJEN de 19/03/2026</w:t>
            </w:r>
          </w:p>
        </w:tc>
        <w:tc>
          <w:tcPr>
            <w:tcW w:type="dxa" w:w="1905"/>
          </w:tcPr>
          <w:p>
            <w:pPr>
              <w:pStyle w:val="Compact"/>
              <w:spacing w:line="276" w:lineRule="auto" w:before="40" w:after="40"/>
            </w:pPr>
            <w:r>
              <w:rPr>
                <w:rFonts w:ascii="Liberation Sans Narrow" w:hAnsi="Liberation Sans Narrow"/>
                <w:sz w:val="17"/>
              </w:rPr>
              <w:t xml:space="preserve">Não há julgamento extra petita quando o tribunal, aplicando o jura novit curia, determina de ofício a audiência de justificação prévia com fundamento no art. 562; a justificação não afasta o ônus probatório dos autores sobre a posse e o esbulho, apenas oportuniza a comprovação da posse para a eventual concessão da liminar.</w:t>
            </w:r>
          </w:p>
        </w:tc>
      </w:tr>
      <w:tr>
        <w:trPr>
          <w:cantSplit/>
        </w:trPr>
        <w:tc>
          <w:tcPr>
            <w:tcW w:type="dxa" w:w="1780"/>
          </w:tcPr>
          <w:p>
            <w:pPr>
              <w:pStyle w:val="Compact"/>
              <w:spacing w:line="276" w:lineRule="auto" w:before="40" w:after="40"/>
            </w:pPr>
            <w:r>
              <w:rPr>
                <w:rFonts w:ascii="Liberation Sans Narrow" w:hAnsi="Liberation Sans Narrow"/>
                <w:sz w:val="17"/>
              </w:rPr>
              <w:t xml:space="preserve">caput — liminar possessória e indenização por benfeitorias (tese)</w:t>
            </w:r>
          </w:p>
        </w:tc>
        <w:tc>
          <w:tcPr>
            <w:tcW w:type="dxa" w:w="1655"/>
          </w:tcPr>
          <w:p>
            <w:pPr>
              <w:pStyle w:val="Compact"/>
              <w:spacing w:line="276" w:lineRule="auto" w:before="40" w:after="40"/>
            </w:pPr>
            <w:r>
              <w:rPr>
                <w:rFonts w:ascii="Liberation Sans Narrow" w:hAnsi="Liberation Sans Narrow"/>
                <w:sz w:val="17"/>
              </w:rPr>
              <w:t xml:space="preserve">STJ, AREsp 2.943.741, Quarta Turma, relator Min. João Otávio de Noronha, julgado em 16/03/2026</w:t>
            </w:r>
          </w:p>
        </w:tc>
        <w:tc>
          <w:tcPr>
            <w:tcW w:type="dxa" w:w="1905"/>
          </w:tcPr>
          <w:p>
            <w:pPr>
              <w:pStyle w:val="Compact"/>
              <w:spacing w:line="276" w:lineRule="auto" w:before="40" w:after="40"/>
            </w:pPr>
            <w:r>
              <w:rPr>
                <w:rFonts w:ascii="Liberation Sans Narrow" w:hAnsi="Liberation Sans Narrow"/>
                <w:sz w:val="17"/>
              </w:rPr>
              <w:t xml:space="preserve">O pleito de indenização ou de retenção por benfeitorias de boa-fé não impede o deferimento da liminar de reintegração: a questão é apreciada no mérito, em cognição exauriente, não se confundindo com os requisitos da tutela possessória sumária.</w:t>
            </w:r>
          </w:p>
        </w:tc>
      </w:tr>
    </w:tbl>
    <w:p>
      <w:pPr>
        <w:pStyle w:val="BodyText"/>
        <w:spacing w:after="60"/>
        <w:jc w:val="both"/>
      </w:pPr>
      <w:r>
        <w:t xml:space="preserve">Parágrafo único. Contra as pessoas jurídicas de direito público não será deferida a manutenção ou a reintegração liminar sem prévia audiência dos respectivos representantes judiciais.</w:t>
      </w:r>
    </w:p>
    <w:bookmarkEnd w:id="312"/>
    <w:bookmarkStart w:id="313" w:name="art.-563"/>
    <w:p>
      <w:pPr>
        <w:pStyle w:val="Heading6"/>
        <w:pBdr>
          <w:left w:val="single" w:sz="36" w:space="4" w:color="2E75B6"/>
        </w:pBdr>
        <w:shd w:val="clear" w:color="auto" w:fill="E3EEF9"/>
        <w:spacing w:before="120" w:after="60"/>
        <w:ind w:left="85"/>
      </w:pPr>
      <w:r>
        <w:rPr>
          <w:i w:val="0"/>
          <w:color w:val="1F3A5F"/>
          <w:sz w:val="22"/>
        </w:rPr>
        <w:t xml:space="preserve">Art. 563</w:t>
      </w:r>
    </w:p>
    <w:p>
      <w:pPr>
        <w:pStyle w:val="FirstParagraph"/>
        <w:spacing w:after="60"/>
        <w:jc w:val="both"/>
      </w:pPr>
      <w:r>
        <w:rPr>
          <w:b/>
          <w:bCs/>
        </w:rPr>
        <w:t xml:space="preserve">Art. 563.</w:t>
      </w:r>
      <w:r>
        <w:t xml:space="preserve"> </w:t>
      </w:r>
      <w:r>
        <w:t xml:space="preserve">Considerada suficiente a justificação, o juiz fará logo expedir mandado de manutenção ou de reintegração.</w:t>
      </w:r>
    </w:p>
    <w:bookmarkEnd w:id="313"/>
    <w:bookmarkStart w:id="314" w:name="art.-564"/>
    <w:p>
      <w:pPr>
        <w:pStyle w:val="Heading6"/>
        <w:pBdr>
          <w:left w:val="single" w:sz="36" w:space="4" w:color="2E75B6"/>
        </w:pBdr>
        <w:shd w:val="clear" w:color="auto" w:fill="E3EEF9"/>
        <w:spacing w:before="120" w:after="60"/>
        <w:ind w:left="85"/>
      </w:pPr>
      <w:r>
        <w:rPr>
          <w:i w:val="0"/>
          <w:color w:val="1F3A5F"/>
          <w:sz w:val="22"/>
        </w:rPr>
        <w:t xml:space="preserve">Art. 564</w:t>
      </w:r>
    </w:p>
    <w:p>
      <w:pPr>
        <w:pStyle w:val="FirstParagraph"/>
        <w:spacing w:after="60"/>
        <w:jc w:val="both"/>
      </w:pPr>
      <w:r>
        <w:rPr>
          <w:b/>
          <w:bCs/>
        </w:rPr>
        <w:t xml:space="preserve">Art. 564.</w:t>
      </w:r>
      <w:r>
        <w:t xml:space="preserve"> </w:t>
      </w:r>
      <w:r>
        <w:t xml:space="preserve">Concedido ou não o mandado liminar de manutenção ou de reintegração, o autor promoverá, nos 5 (cinco) dias subsequentes, a citação do réu para, querendo, contestar a ação no prazo de 15 (quinze) dias.</w:t>
      </w:r>
    </w:p>
    <w:p>
      <w:pPr>
        <w:pStyle w:val="BodyText"/>
        <w:spacing w:after="60"/>
        <w:jc w:val="both"/>
      </w:pPr>
      <w:r>
        <w:t xml:space="preserve">Parágrafo único. Quando for ordenada a justificação prévia, o prazo para contestar será contado da intimação da decisão que deferir ou não a medida liminar.</w:t>
      </w:r>
    </w:p>
    <w:bookmarkEnd w:id="314"/>
    <w:bookmarkStart w:id="315" w:name="art.-565"/>
    <w:p>
      <w:pPr>
        <w:pStyle w:val="Heading6"/>
        <w:pBdr>
          <w:left w:val="single" w:sz="36" w:space="4" w:color="2E75B6"/>
        </w:pBdr>
        <w:shd w:val="clear" w:color="auto" w:fill="E3EEF9"/>
        <w:spacing w:before="120" w:after="60"/>
        <w:ind w:left="85"/>
      </w:pPr>
      <w:r>
        <w:rPr>
          <w:i w:val="0"/>
          <w:color w:val="1F3A5F"/>
          <w:sz w:val="22"/>
        </w:rPr>
        <w:t xml:space="preserve">Art. 565</w:t>
      </w:r>
    </w:p>
    <w:p>
      <w:pPr>
        <w:pStyle w:val="FirstParagraph"/>
        <w:keepNext/>
        <w:spacing w:after="60"/>
        <w:jc w:val="both"/>
      </w:pPr>
      <w:r>
        <w:rPr>
          <w:b/>
          <w:bCs/>
        </w:rPr>
        <w:t xml:space="preserve">Art. 565.</w:t>
      </w:r>
      <w:r>
        <w:t xml:space="preserve"> </w:t>
      </w:r>
      <w:r>
        <w:t xml:space="preserve">No litígio coletivo pela posse de imóvel, quando o esbulho ou a turbação afirmado na petição inicial houver ocorrido há mais de ano e dia, o juiz, antes de apreciar o pedido de concessão da medida liminar, deverá designar audiência de mediação, a realizar-se em até 30 (trinta) dias, que observará o disposto nos §§ 2º e 4º.</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530"/>
        <w:gridCol w:w="2154"/>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780"/>
          </w:tcPr>
          <w:p>
            <w:pPr>
              <w:pStyle w:val="Compact"/>
              <w:spacing w:line="276" w:lineRule="auto" w:before="40" w:after="40"/>
            </w:pPr>
            <w:r>
              <w:rPr>
                <w:rFonts w:ascii="Liberation Sans Narrow" w:hAnsi="Liberation Sans Narrow"/>
                <w:sz w:val="17"/>
              </w:rPr>
              <w:t xml:space="preserve">Litígio coletivo pela posse de imóvel: mediação e regime de transição das desocupações</w:t>
            </w:r>
          </w:p>
        </w:tc>
        <w:tc>
          <w:tcPr>
            <w:tcW w:type="dxa" w:w="1531"/>
          </w:tcPr>
          <w:p>
            <w:pPr>
              <w:pStyle w:val="Compact"/>
              <w:spacing w:line="276" w:lineRule="auto" w:before="40" w:after="40"/>
            </w:pPr>
            <w:r>
              <w:rPr>
                <w:rFonts w:ascii="Liberation Sans Narrow" w:hAnsi="Liberation Sans Narrow"/>
                <w:sz w:val="17"/>
              </w:rPr>
              <w:t xml:space="preserve">STF, ADPF 828, Tribunal Pleno, relator Min. Roberto Barroso, julgado em 02/11/2022</w:t>
            </w:r>
          </w:p>
        </w:tc>
        <w:tc>
          <w:tcPr>
            <w:tcW w:type="dxa" w:w="2154"/>
          </w:tcPr>
          <w:p>
            <w:pPr>
              <w:pStyle w:val="Compact"/>
              <w:spacing w:line="276" w:lineRule="auto" w:before="40" w:after="40"/>
            </w:pPr>
            <w:r>
              <w:rPr>
                <w:rFonts w:ascii="Liberation Sans Narrow" w:hAnsi="Liberation Sans Narrow"/>
                <w:sz w:val="17"/>
              </w:rPr>
              <w:t xml:space="preserve">Cessada a cautelar de suspensão de desocupações coletivas, fixou-se regime de transição para as ocupações coletivas: criação imediata, nos tribunais, de Comissão de Conflitos Fundiários, com visitas técnicas e audiências de mediação, que propõe a retomada gradual e escalonada das ordens suspensas e atua como órgão auxiliar do juiz da causa. Em remoções administrativas coletivas de pessoas vulneráveis, o Poder Público deve dar ciência prévia, conceder prazo razoável e garantir abrigo digno, sem separar membros da mesma família. Nas ações de despejo da Lei do Inquilinato, retomou-se o regime legal, sem transição.</w:t>
            </w:r>
          </w:p>
        </w:tc>
      </w:tr>
    </w:tbl>
    <w:p>
      <w:pPr>
        <w:pStyle w:val="BodyText"/>
        <w:spacing w:after="60"/>
        <w:jc w:val="both"/>
      </w:pPr>
      <w:r>
        <w:t xml:space="preserve">§ 1º Concedida a liminar, se essa não for executada no prazo de 1 (um) ano, a contar da data de distribuição, caberá ao juiz designar audiência de mediação, nos termos dos §§ 2º a 4º deste artigo.</w:t>
      </w:r>
    </w:p>
    <w:p>
      <w:pPr>
        <w:pStyle w:val="BodyText"/>
        <w:spacing w:after="60"/>
        <w:jc w:val="both"/>
      </w:pPr>
      <w:r>
        <w:t xml:space="preserve">§ 2º O Ministério Público será intimado para comparecer à audiência, e a Defensoria Pública será intimada sempre que houver parte beneficiária de gratuidade da justiça.</w:t>
      </w:r>
    </w:p>
    <w:p>
      <w:pPr>
        <w:pStyle w:val="BodyText"/>
        <w:spacing w:after="60"/>
        <w:jc w:val="both"/>
      </w:pPr>
      <w:r>
        <w:t xml:space="preserve">§ 3º O juiz poderá comparecer à área objeto do litígio quando sua presença se fizer necessária à efetivação da tutela jurisdicional.</w:t>
      </w:r>
    </w:p>
    <w:p>
      <w:pPr>
        <w:pStyle w:val="BodyText"/>
        <w:spacing w:after="60"/>
        <w:jc w:val="both"/>
      </w:pPr>
      <w:r>
        <w:t xml:space="preserve">§ 4º Os órgãos responsáveis pela política agrária e pela política urbana da União, de Estado ou do Distrito Federal e de Município onde se situe a área objeto do litígio poderão ser intimados para a audiência, a fim de se manifestarem sobre seu interesse no processo e sobre a existência de possibilidade de solução para o conflito possessório.</w:t>
      </w:r>
    </w:p>
    <w:p>
      <w:pPr>
        <w:pStyle w:val="BodyText"/>
        <w:spacing w:after="60"/>
        <w:jc w:val="both"/>
      </w:pPr>
      <w:r>
        <w:t xml:space="preserve">§ 5º Aplica-se o disposto neste artigo ao litígio sobre propriedade de imóvel.</w:t>
      </w:r>
    </w:p>
    <w:bookmarkEnd w:id="315"/>
    <w:bookmarkStart w:id="316" w:name="art.-566"/>
    <w:p>
      <w:pPr>
        <w:pStyle w:val="Heading6"/>
        <w:pBdr>
          <w:left w:val="single" w:sz="36" w:space="4" w:color="2E75B6"/>
        </w:pBdr>
        <w:shd w:val="clear" w:color="auto" w:fill="E3EEF9"/>
        <w:spacing w:before="120" w:after="60"/>
        <w:ind w:left="85"/>
      </w:pPr>
      <w:r>
        <w:rPr>
          <w:i w:val="0"/>
          <w:color w:val="1F3A5F"/>
          <w:sz w:val="22"/>
        </w:rPr>
        <w:t xml:space="preserve">Art. 566</w:t>
      </w:r>
    </w:p>
    <w:p>
      <w:pPr>
        <w:pStyle w:val="FirstParagraph"/>
        <w:spacing w:after="60"/>
        <w:jc w:val="both"/>
      </w:pPr>
      <w:r>
        <w:rPr>
          <w:b/>
          <w:bCs/>
        </w:rPr>
        <w:t xml:space="preserve">Art. 566.</w:t>
      </w:r>
      <w:r>
        <w:t xml:space="preserve"> </w:t>
      </w:r>
      <w:r>
        <w:t xml:space="preserve">Aplica-se, quanto ao mais, o procedimento comum.</w:t>
      </w:r>
    </w:p>
    <w:bookmarkEnd w:id="316"/>
    <w:bookmarkEnd w:id="317"/>
    <w:bookmarkStart w:id="320" w:name="X6114e8d46473fa5e6d630ea8a09383e74479ed3"/>
    <w:p>
      <w:pPr>
        <w:pStyle w:val="Heading5"/>
        <w:spacing w:before="60" w:after="20"/>
      </w:pPr>
      <w:r>
        <w:rPr>
          <w:i/>
          <w:color w:val="595959"/>
        </w:rPr>
        <w:t xml:space="preserve">Seção III: do interdito proibitório (arts. 567 a 568)</w:t>
      </w:r>
    </w:p>
    <w:bookmarkStart w:id="318" w:name="art.-567"/>
    <w:p>
      <w:pPr>
        <w:pStyle w:val="Heading6"/>
        <w:pBdr>
          <w:left w:val="single" w:sz="36" w:space="4" w:color="2E75B6"/>
        </w:pBdr>
        <w:shd w:val="clear" w:color="auto" w:fill="E3EEF9"/>
        <w:spacing w:before="120" w:after="60"/>
        <w:ind w:left="85"/>
      </w:pPr>
      <w:r>
        <w:rPr>
          <w:i w:val="0"/>
          <w:color w:val="1F3A5F"/>
          <w:sz w:val="22"/>
        </w:rPr>
        <w:t xml:space="preserve">Art. 567</w:t>
      </w:r>
    </w:p>
    <w:p>
      <w:pPr>
        <w:pStyle w:val="FirstParagraph"/>
        <w:keepNext/>
        <w:spacing w:after="60"/>
        <w:jc w:val="both"/>
      </w:pPr>
      <w:r>
        <w:rPr>
          <w:b/>
          <w:bCs/>
        </w:rPr>
        <w:t xml:space="preserve">Art. 567.</w:t>
      </w:r>
      <w:r>
        <w:t xml:space="preserve"> </w:t>
      </w:r>
      <w:r>
        <w:t xml:space="preserve">O possuidor direto ou indireto que tenha justo receio de ser molestado na posse poderá requerer ao juiz que o segure da turbação ou esbulho iminente, mediante mandado proibitório em que se comine ao réu determinada pena pecuniária caso transgrida o preceito.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530"/>
        <w:gridCol w:w="2409"/>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2030"/>
          </w:tcPr>
          <w:p>
            <w:pPr>
              <w:pStyle w:val="Compact"/>
              <w:spacing w:line="276" w:lineRule="auto" w:before="40" w:after="40"/>
            </w:pPr>
            <w:r>
              <w:rPr>
                <w:rFonts w:ascii="Liberation Sans Narrow" w:hAnsi="Liberation Sans Narrow"/>
                <w:sz w:val="17"/>
              </w:rPr>
              <w:t xml:space="preserve">caput — possuidor direto (usufrutuário) e interdito proibitório (aplicação narrada)</w:t>
            </w:r>
          </w:p>
        </w:tc>
        <w:tc>
          <w:tcPr>
            <w:tcW w:type="dxa" w:w="1531"/>
          </w:tcPr>
          <w:p>
            <w:pPr>
              <w:pStyle w:val="Compact"/>
              <w:spacing w:line="276" w:lineRule="auto" w:before="40" w:after="40"/>
            </w:pPr>
            <w:r>
              <w:rPr>
                <w:rFonts w:ascii="Liberation Sans Narrow" w:hAnsi="Liberation Sans Narrow"/>
                <w:sz w:val="17"/>
              </w:rPr>
              <w:t xml:space="preserve">STJ, AREsp 3.138.738, Terceira Turma, relator Min. Moura Ribeiro, julgado em 15/06/2026</w:t>
            </w:r>
          </w:p>
        </w:tc>
        <w:tc>
          <w:tcPr>
            <w:tcW w:type="dxa" w:w="2409"/>
          </w:tcPr>
          <w:p>
            <w:pPr>
              <w:pStyle w:val="Compact"/>
              <w:spacing w:line="276" w:lineRule="auto" w:before="40" w:after="40"/>
            </w:pPr>
            <w:r>
              <w:rPr>
                <w:rFonts w:ascii="Liberation Sans Narrow" w:hAnsi="Liberation Sans Narrow"/>
                <w:sz w:val="17"/>
              </w:rPr>
              <w:t xml:space="preserve">O usufruto, direito real limitado, desdobra a posse entre usufrutuário (posse direta) e nu-proprietário (posse indireta); o possuidor direto tem legitimidade para o interdito proibitório, e a ocupação do imóvel sem sua anuência configura turbação ou esbulho, autorizando a proteção possessória contra os nu-proprietários. Trecho: “O usufruto, como direito real limitado, desdobra a posse e assegura ao titular o uso, gozo e fruição do bem, podendo opor-se à ocupação pelos nu-proprietários durante sua vigência.”</w:t>
            </w:r>
          </w:p>
        </w:tc>
      </w:tr>
      <w:tr>
        <w:trPr/>
        <w:tc>
          <w:tcPr>
            <w:tcW w:type="dxa" w:w="2030"/>
          </w:tcPr>
          <w:p>
            <w:pPr>
              <w:pStyle w:val="Compact"/>
              <w:spacing w:line="276" w:lineRule="auto" w:before="40" w:after="40"/>
            </w:pPr>
            <w:r>
              <w:rPr>
                <w:rFonts w:ascii="Liberation Sans Narrow" w:hAnsi="Liberation Sans Narrow"/>
                <w:sz w:val="17"/>
              </w:rPr>
              <w:t xml:space="preserve">Caput — orientação de aplicação (aplicação narrada)</w:t>
            </w:r>
          </w:p>
        </w:tc>
        <w:tc>
          <w:tcPr>
            <w:tcW w:type="dxa" w:w="1531"/>
          </w:tcPr>
          <w:p>
            <w:pPr>
              <w:pStyle w:val="Compact"/>
              <w:spacing w:line="276" w:lineRule="auto" w:before="40" w:after="40"/>
            </w:pPr>
            <w:r>
              <w:rPr>
                <w:rFonts w:ascii="Liberation Sans Narrow" w:hAnsi="Liberation Sans Narrow"/>
                <w:sz w:val="17"/>
              </w:rPr>
              <w:t xml:space="preserve">STJ, AREsp 3.149.760, Quarta Turma, relator Min. Raul Araújo, julgado em 18/05/2026</w:t>
            </w:r>
          </w:p>
        </w:tc>
        <w:tc>
          <w:tcPr>
            <w:tcW w:type="dxa" w:w="2409"/>
          </w:tcPr>
          <w:p>
            <w:pPr>
              <w:pStyle w:val="Compact"/>
              <w:spacing w:line="276" w:lineRule="auto" w:before="40" w:after="40"/>
            </w:pPr>
            <w:r>
              <w:rPr>
                <w:rFonts w:ascii="Liberation Sans Narrow" w:hAnsi="Liberation Sans Narrow"/>
                <w:sz w:val="17"/>
              </w:rPr>
              <w:t xml:space="preserve">A proteção possessória visa restaurar situação de fato anterior à turbação ou ao esbulho, sendo a posse anterior requisito essencial e indispensável ao deferimento do interdito proibitório, que não se confunde com o direito de propriedade. Trecho: “A jurisprudência do Superior Tribunal de Justiça orienta que a proteção possessória tem por objetivo restaurar uma situação de fato antecedente à turbação ou ao esbulho, sendo o exercício da posse anterior requisito essencial e indispensável para o deferimento da ação de interdito proibitório, não se confundindo o direito de posse com o direito de propriedade.”</w:t>
            </w:r>
          </w:p>
        </w:tc>
      </w:tr>
    </w:tbl>
    <w:bookmarkEnd w:id="318"/>
    <w:bookmarkStart w:id="319" w:name="art.-568"/>
    <w:p>
      <w:pPr>
        <w:pStyle w:val="Heading6"/>
        <w:pBdr>
          <w:left w:val="single" w:sz="36" w:space="4" w:color="2E75B6"/>
        </w:pBdr>
        <w:shd w:val="clear" w:color="auto" w:fill="E3EEF9"/>
        <w:spacing w:before="120" w:after="60"/>
        <w:ind w:left="85"/>
      </w:pPr>
      <w:r>
        <w:rPr>
          <w:i w:val="0"/>
          <w:color w:val="1F3A5F"/>
          <w:sz w:val="22"/>
        </w:rPr>
        <w:t xml:space="preserve">Art. 568</w:t>
      </w:r>
    </w:p>
    <w:p>
      <w:pPr>
        <w:pStyle w:val="FirstParagraph"/>
        <w:keepNext/>
        <w:spacing w:after="60"/>
        <w:jc w:val="both"/>
      </w:pPr>
      <w:r>
        <w:rPr>
          <w:b/>
          <w:bCs/>
        </w:rPr>
        <w:t xml:space="preserve">Art. 568.</w:t>
      </w:r>
      <w:r>
        <w:t xml:space="preserve"> </w:t>
      </w:r>
      <w:r>
        <w:t xml:space="preserve">Aplica-se ao interdito proibitório o disposto na Seção II deste Capítulo.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154"/>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aplicação (aplicação narrada)</w:t>
            </w:r>
          </w:p>
        </w:tc>
        <w:tc>
          <w:tcPr>
            <w:tcW w:type="dxa" w:w="1531"/>
          </w:tcPr>
          <w:p>
            <w:pPr>
              <w:pStyle w:val="Compact"/>
              <w:spacing w:line="276" w:lineRule="auto" w:before="40" w:after="40"/>
            </w:pPr>
            <w:r>
              <w:rPr>
                <w:rFonts w:ascii="Liberation Sans Narrow" w:hAnsi="Liberation Sans Narrow"/>
                <w:sz w:val="17"/>
              </w:rPr>
              <w:t xml:space="preserve">STJ, REsp 2.256.830, Terceira Turma, relator Min. Humberto Martins, julgado em 08/06/2026</w:t>
            </w:r>
          </w:p>
        </w:tc>
        <w:tc>
          <w:tcPr>
            <w:tcW w:type="dxa" w:w="2154"/>
          </w:tcPr>
          <w:p>
            <w:pPr>
              <w:pStyle w:val="Compact"/>
              <w:spacing w:line="276" w:lineRule="auto" w:before="40" w:after="40"/>
            </w:pPr>
            <w:r>
              <w:rPr>
                <w:rFonts w:ascii="Liberation Sans Narrow" w:hAnsi="Liberation Sans Narrow"/>
                <w:sz w:val="17"/>
              </w:rPr>
              <w:t xml:space="preserve">No interdito proibitório, reconhecidos a posse anterior, a turbação ou ameaça e o justo receio de sua efetivação, tem-se por atendido o art. 561 do CPC. Trecho: “Reconhecidos, com apoio em laudo do INTERMAT, memorial descritivo, depoimentos e demais elementos, a posse anterior, a turbação/ameaça e o justo receio de sua efetivação, mostra-se atendido o art.”</w:t>
            </w:r>
          </w:p>
        </w:tc>
      </w:tr>
    </w:tbl>
    <w:bookmarkEnd w:id="319"/>
    <w:bookmarkEnd w:id="320"/>
    <w:bookmarkEnd w:id="321"/>
    <w:bookmarkStart w:id="355" w:name="Xfc240f430ee18076826c03c0a61cf2be7b59c80"/>
    <w:p>
      <w:pPr>
        <w:pStyle w:val="Heading4"/>
        <w:spacing w:before="80" w:after="40"/>
      </w:pPr>
      <w:r>
        <w:rPr>
          <w:smallCaps/>
          <w:color w:val="2E75B6"/>
        </w:rPr>
        <w:t xml:space="preserve">Capítulo IV: da ação de divisão e da demarcação de terras particulares (arts. 569 a 598)</w:t>
      </w:r>
    </w:p>
    <w:bookmarkStart w:id="327" w:name="Xf9dec998f54225e0a56f6143d15782a4046c7f7"/>
    <w:p>
      <w:pPr>
        <w:pStyle w:val="Heading5"/>
        <w:spacing w:before="60" w:after="20"/>
      </w:pPr>
      <w:r>
        <w:rPr>
          <w:i/>
          <w:color w:val="595959"/>
        </w:rPr>
        <w:t xml:space="preserve">Seção I: disposições gerais (arts. 569 a 573)</w:t>
      </w:r>
    </w:p>
    <w:bookmarkStart w:id="322" w:name="art.-569"/>
    <w:p>
      <w:pPr>
        <w:pStyle w:val="Heading6"/>
        <w:pBdr>
          <w:left w:val="single" w:sz="36" w:space="4" w:color="2E75B6"/>
        </w:pBdr>
        <w:shd w:val="clear" w:color="auto" w:fill="E3EEF9"/>
        <w:spacing w:before="120" w:after="60"/>
        <w:ind w:left="85"/>
      </w:pPr>
      <w:r>
        <w:rPr>
          <w:i w:val="0"/>
          <w:color w:val="1F3A5F"/>
          <w:sz w:val="22"/>
        </w:rPr>
        <w:t xml:space="preserve">Art. 569</w:t>
      </w:r>
    </w:p>
    <w:p>
      <w:pPr>
        <w:pStyle w:val="FirstParagraph"/>
        <w:spacing w:after="60"/>
        <w:jc w:val="both"/>
      </w:pPr>
      <w:r>
        <w:rPr>
          <w:b/>
          <w:bCs/>
        </w:rPr>
        <w:t xml:space="preserve">Art. 569.</w:t>
      </w:r>
      <w:r>
        <w:t xml:space="preserve"> </w:t>
      </w:r>
      <w:r>
        <w:t xml:space="preserve">Cabe:</w:t>
      </w:r>
    </w:p>
    <w:p>
      <w:pPr>
        <w:pStyle w:val="BodyText"/>
        <w:spacing w:after="60"/>
        <w:jc w:val="both"/>
      </w:pPr>
      <w:r>
        <w:t xml:space="preserve">I - ao proprietário a ação de demarcação, para obrigar o seu confinante a estremar os respectivos prédios, fixando-se novos limites entre eles ou aviventando-se os já apagados;</w:t>
      </w:r>
    </w:p>
    <w:p>
      <w:pPr>
        <w:pStyle w:val="BodyText"/>
        <w:keepNext/>
        <w:spacing w:after="60"/>
        <w:jc w:val="both"/>
      </w:pPr>
      <w:r>
        <w:t xml:space="preserve">II - ao condômino a ação de divisão, para obrigar os demais consortes a estremar os quinhões.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871"/>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871"/>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II — aplicação (aplicação narrada)</w:t>
            </w:r>
          </w:p>
        </w:tc>
        <w:tc>
          <w:tcPr>
            <w:tcW w:type="dxa" w:w="1531"/>
          </w:tcPr>
          <w:p>
            <w:pPr>
              <w:pStyle w:val="Compact"/>
              <w:spacing w:line="276" w:lineRule="auto" w:before="40" w:after="40"/>
            </w:pPr>
            <w:r>
              <w:rPr>
                <w:rFonts w:ascii="Liberation Sans Narrow" w:hAnsi="Liberation Sans Narrow"/>
                <w:sz w:val="17"/>
              </w:rPr>
              <w:t xml:space="preserve">STJ, AREsp 2.760.316, Quarta Turma, relator Min. Raul Araújo, julgado em 09/03/2026</w:t>
            </w:r>
          </w:p>
        </w:tc>
        <w:tc>
          <w:tcPr>
            <w:tcW w:type="dxa" w:w="1871"/>
          </w:tcPr>
          <w:p>
            <w:pPr>
              <w:pStyle w:val="Compact"/>
              <w:spacing w:line="276" w:lineRule="auto" w:before="40" w:after="40"/>
            </w:pPr>
            <w:r>
              <w:rPr>
                <w:rFonts w:ascii="Liberation Sans Narrow" w:hAnsi="Liberation Sans Narrow"/>
                <w:sz w:val="17"/>
              </w:rPr>
              <w:t xml:space="preserve">A ação de divisão possui procedimento especial com duas fases distintas e sucessivas, sendo o reembolso das despesas processuais exigível apenas ao término da fase executiva. Trecho: “A ação de divisão possui procedimento especial com duas fases distintas e sucessivas, sendo o reembolso das despesas processuais exigível apenas ao término da fase executiva, afastando-se a alegação de prescrição.”</w:t>
            </w:r>
          </w:p>
        </w:tc>
      </w:tr>
    </w:tbl>
    <w:bookmarkEnd w:id="322"/>
    <w:bookmarkStart w:id="323" w:name="art.-570"/>
    <w:p>
      <w:pPr>
        <w:pStyle w:val="Heading6"/>
        <w:pBdr>
          <w:left w:val="single" w:sz="36" w:space="4" w:color="2E75B6"/>
        </w:pBdr>
        <w:shd w:val="clear" w:color="auto" w:fill="E3EEF9"/>
        <w:spacing w:before="120" w:after="60"/>
        <w:ind w:left="85"/>
      </w:pPr>
      <w:r>
        <w:rPr>
          <w:i w:val="0"/>
          <w:color w:val="1F3A5F"/>
          <w:sz w:val="22"/>
        </w:rPr>
        <w:t xml:space="preserve">Art. 570</w:t>
      </w:r>
    </w:p>
    <w:p>
      <w:pPr>
        <w:pStyle w:val="FirstParagraph"/>
        <w:spacing w:after="60"/>
        <w:jc w:val="both"/>
      </w:pPr>
      <w:r>
        <w:rPr>
          <w:b/>
          <w:bCs/>
        </w:rPr>
        <w:t xml:space="preserve">Art. 570.</w:t>
      </w:r>
      <w:r>
        <w:t xml:space="preserve"> </w:t>
      </w:r>
      <w:r>
        <w:t xml:space="preserve">É lícita a cumulação dessas ações, caso em que deverá processar-se primeiramente a demarcação total ou parcial da coisa comum, citando-se os confinantes e os condôminos.</w:t>
      </w:r>
    </w:p>
    <w:bookmarkEnd w:id="323"/>
    <w:bookmarkStart w:id="324" w:name="art.-571"/>
    <w:p>
      <w:pPr>
        <w:pStyle w:val="Heading6"/>
        <w:pBdr>
          <w:left w:val="single" w:sz="36" w:space="4" w:color="2E75B6"/>
        </w:pBdr>
        <w:shd w:val="clear" w:color="auto" w:fill="E3EEF9"/>
        <w:spacing w:before="120" w:after="60"/>
        <w:ind w:left="85"/>
      </w:pPr>
      <w:r>
        <w:rPr>
          <w:i w:val="0"/>
          <w:color w:val="1F3A5F"/>
          <w:sz w:val="22"/>
        </w:rPr>
        <w:t xml:space="preserve">Art. 571</w:t>
      </w:r>
    </w:p>
    <w:p>
      <w:pPr>
        <w:pStyle w:val="FirstParagraph"/>
        <w:spacing w:after="60"/>
        <w:jc w:val="both"/>
      </w:pPr>
      <w:r>
        <w:rPr>
          <w:b/>
          <w:bCs/>
        </w:rPr>
        <w:t xml:space="preserve">Art. 571.</w:t>
      </w:r>
      <w:r>
        <w:t xml:space="preserve"> </w:t>
      </w:r>
      <w:r>
        <w:t xml:space="preserve">A demarcação e a divisão poderão ser realizadas por escritura pública, desde que maiores, capazes e concordes todos os interessados, observando-se, no que couber, os dispositivos deste Capítulo.</w:t>
      </w:r>
    </w:p>
    <w:bookmarkEnd w:id="324"/>
    <w:bookmarkStart w:id="325" w:name="art.-572"/>
    <w:p>
      <w:pPr>
        <w:pStyle w:val="Heading6"/>
        <w:pBdr>
          <w:left w:val="single" w:sz="36" w:space="4" w:color="2E75B6"/>
        </w:pBdr>
        <w:shd w:val="clear" w:color="auto" w:fill="E3EEF9"/>
        <w:spacing w:before="120" w:after="60"/>
        <w:ind w:left="85"/>
      </w:pPr>
      <w:r>
        <w:rPr>
          <w:i w:val="0"/>
          <w:color w:val="1F3A5F"/>
          <w:sz w:val="22"/>
        </w:rPr>
        <w:t xml:space="preserve">Art. 572</w:t>
      </w:r>
    </w:p>
    <w:p>
      <w:pPr>
        <w:pStyle w:val="FirstParagraph"/>
        <w:spacing w:after="60"/>
        <w:jc w:val="both"/>
      </w:pPr>
      <w:r>
        <w:rPr>
          <w:b/>
          <w:bCs/>
        </w:rPr>
        <w:t xml:space="preserve">Art. 572.</w:t>
      </w:r>
      <w:r>
        <w:t xml:space="preserve"> </w:t>
      </w:r>
      <w:r>
        <w:t xml:space="preserve">Fixados os marcos da linha de demarcação, os confinantes considerar-se-ão terceiros quanto ao processo divisório, ficando-lhes, porém, ressalvado o direito de vindicar os terrenos de que se julguem despojados por invasão das linhas limítrofes constitutivas do perímetro ou de reclamar indenização correspondente ao seu valor.</w:t>
      </w:r>
    </w:p>
    <w:p>
      <w:pPr>
        <w:pStyle w:val="BodyText"/>
        <w:spacing w:after="60"/>
        <w:jc w:val="both"/>
      </w:pPr>
      <w:r>
        <w:t xml:space="preserve">§ 1º No caso do caput , serão citados para a ação todos os condôminos, se a sentença homologatória da divisão ainda não houver transitado em julgado, e todos os quinhoeiros dos terrenos vindicados, se a ação for proposta posteriormente.</w:t>
      </w:r>
    </w:p>
    <w:p>
      <w:pPr>
        <w:pStyle w:val="BodyText"/>
        <w:spacing w:after="60"/>
        <w:jc w:val="both"/>
      </w:pPr>
      <w:r>
        <w:t xml:space="preserve">§ 2º Neste último caso, a sentença que julga procedente a ação, condenando a restituir os terrenos ou a pagar a indenização, valerá como título executivo em favor dos quinhoeiros para haverem dos outros condôminos que forem parte na divisão ou de seus sucessores a título universal, na proporção que lhes tocar, a composição pecuniária do desfalque sofrido.</w:t>
      </w:r>
    </w:p>
    <w:bookmarkEnd w:id="325"/>
    <w:bookmarkStart w:id="326" w:name="art.-573"/>
    <w:p>
      <w:pPr>
        <w:pStyle w:val="Heading6"/>
        <w:pBdr>
          <w:left w:val="single" w:sz="36" w:space="4" w:color="2E75B6"/>
        </w:pBdr>
        <w:shd w:val="clear" w:color="auto" w:fill="E3EEF9"/>
        <w:spacing w:before="120" w:after="60"/>
        <w:ind w:left="85"/>
      </w:pPr>
      <w:r>
        <w:rPr>
          <w:i w:val="0"/>
          <w:color w:val="1F3A5F"/>
          <w:sz w:val="22"/>
        </w:rPr>
        <w:t xml:space="preserve">Art. 573</w:t>
      </w:r>
    </w:p>
    <w:p>
      <w:pPr>
        <w:pStyle w:val="FirstParagraph"/>
        <w:spacing w:after="60"/>
        <w:jc w:val="both"/>
      </w:pPr>
      <w:r>
        <w:rPr>
          <w:b/>
          <w:bCs/>
        </w:rPr>
        <w:t xml:space="preserve">Art. 573.</w:t>
      </w:r>
      <w:r>
        <w:t xml:space="preserve"> </w:t>
      </w:r>
      <w:r>
        <w:t xml:space="preserve">Tratando-se de imóvel georreferenciado, com averbação no registro de imóveis, pode o juiz dispensar a realização de prova pericial.</w:t>
      </w:r>
    </w:p>
    <w:bookmarkEnd w:id="326"/>
    <w:bookmarkEnd w:id="327"/>
    <w:bookmarkStart w:id="342" w:name="seção-ii-da-demarcação-arts.-574-a-587"/>
    <w:p>
      <w:pPr>
        <w:pStyle w:val="Heading5"/>
        <w:spacing w:before="60" w:after="20"/>
      </w:pPr>
      <w:r>
        <w:rPr>
          <w:i/>
          <w:color w:val="595959"/>
        </w:rPr>
        <w:t xml:space="preserve">Seção II: da demarcação (arts. 574 a 587)</w:t>
      </w:r>
    </w:p>
    <w:bookmarkStart w:id="328" w:name="art.-574"/>
    <w:p>
      <w:pPr>
        <w:pStyle w:val="Heading6"/>
        <w:pBdr>
          <w:left w:val="single" w:sz="36" w:space="4" w:color="2E75B6"/>
        </w:pBdr>
        <w:shd w:val="clear" w:color="auto" w:fill="E3EEF9"/>
        <w:spacing w:before="120" w:after="60"/>
        <w:ind w:left="85"/>
      </w:pPr>
      <w:r>
        <w:rPr>
          <w:i w:val="0"/>
          <w:color w:val="1F3A5F"/>
          <w:sz w:val="22"/>
        </w:rPr>
        <w:t xml:space="preserve">Art. 574</w:t>
      </w:r>
    </w:p>
    <w:p>
      <w:pPr>
        <w:pStyle w:val="FirstParagraph"/>
        <w:spacing w:after="60"/>
        <w:jc w:val="both"/>
      </w:pPr>
      <w:r>
        <w:rPr>
          <w:b/>
          <w:bCs/>
        </w:rPr>
        <w:t xml:space="preserve">Art. 574.</w:t>
      </w:r>
      <w:r>
        <w:t xml:space="preserve"> </w:t>
      </w:r>
      <w:r>
        <w:t xml:space="preserve">Na petição inicial, instruída com os títulos da propriedade, designar-se-á o imóvel pela situação e pela denominação, descrever-se-ão os limites por constituir, aviventar ou renovar e nomear-se-ão todos os confinantes da linha demarcanda.</w:t>
      </w:r>
    </w:p>
    <w:bookmarkEnd w:id="328"/>
    <w:bookmarkStart w:id="329" w:name="art.-575"/>
    <w:p>
      <w:pPr>
        <w:pStyle w:val="Heading6"/>
        <w:pBdr>
          <w:left w:val="single" w:sz="36" w:space="4" w:color="2E75B6"/>
        </w:pBdr>
        <w:shd w:val="clear" w:color="auto" w:fill="E3EEF9"/>
        <w:spacing w:before="120" w:after="60"/>
        <w:ind w:left="85"/>
      </w:pPr>
      <w:r>
        <w:rPr>
          <w:i w:val="0"/>
          <w:color w:val="1F3A5F"/>
          <w:sz w:val="22"/>
        </w:rPr>
        <w:t xml:space="preserve">Art. 575</w:t>
      </w:r>
    </w:p>
    <w:p>
      <w:pPr>
        <w:pStyle w:val="FirstParagraph"/>
        <w:spacing w:after="60"/>
        <w:jc w:val="both"/>
      </w:pPr>
      <w:r>
        <w:rPr>
          <w:b/>
          <w:bCs/>
        </w:rPr>
        <w:t xml:space="preserve">Art. 575.</w:t>
      </w:r>
      <w:r>
        <w:t xml:space="preserve"> </w:t>
      </w:r>
      <w:r>
        <w:t xml:space="preserve">Qualquer condômino é parte legítima para promover a demarcação do imóvel comum, requerendo a intimação dos demais para, querendo, intervir no processo.</w:t>
      </w:r>
    </w:p>
    <w:bookmarkEnd w:id="329"/>
    <w:bookmarkStart w:id="330" w:name="art.-576"/>
    <w:p>
      <w:pPr>
        <w:pStyle w:val="Heading6"/>
        <w:pBdr>
          <w:left w:val="single" w:sz="36" w:space="4" w:color="2E75B6"/>
        </w:pBdr>
        <w:shd w:val="clear" w:color="auto" w:fill="E3EEF9"/>
        <w:spacing w:before="120" w:after="60"/>
        <w:ind w:left="85"/>
      </w:pPr>
      <w:r>
        <w:rPr>
          <w:i w:val="0"/>
          <w:color w:val="1F3A5F"/>
          <w:sz w:val="22"/>
        </w:rPr>
        <w:t xml:space="preserve">Art. 576</w:t>
      </w:r>
    </w:p>
    <w:p>
      <w:pPr>
        <w:pStyle w:val="FirstParagraph"/>
        <w:spacing w:after="60"/>
        <w:jc w:val="both"/>
      </w:pPr>
      <w:r>
        <w:rPr>
          <w:b/>
          <w:bCs/>
        </w:rPr>
        <w:t xml:space="preserve">Art. 576.</w:t>
      </w:r>
      <w:r>
        <w:t xml:space="preserve"> </w:t>
      </w:r>
      <w:r>
        <w:t xml:space="preserve">A citação dos réus será feita por correio, observado o disposto no art. 247.</w:t>
      </w:r>
    </w:p>
    <w:p>
      <w:pPr>
        <w:pStyle w:val="BodyText"/>
        <w:spacing w:after="60"/>
        <w:jc w:val="both"/>
      </w:pPr>
      <w:r>
        <w:t xml:space="preserve">Parágrafo único. Será publicado edital, nos termos do inciso III do art. 259.</w:t>
      </w:r>
    </w:p>
    <w:bookmarkEnd w:id="330"/>
    <w:bookmarkStart w:id="331" w:name="art.-577"/>
    <w:p>
      <w:pPr>
        <w:pStyle w:val="Heading6"/>
        <w:pBdr>
          <w:left w:val="single" w:sz="36" w:space="4" w:color="2E75B6"/>
        </w:pBdr>
        <w:shd w:val="clear" w:color="auto" w:fill="E3EEF9"/>
        <w:spacing w:before="120" w:after="60"/>
        <w:ind w:left="85"/>
      </w:pPr>
      <w:r>
        <w:rPr>
          <w:i w:val="0"/>
          <w:color w:val="1F3A5F"/>
          <w:sz w:val="22"/>
        </w:rPr>
        <w:t xml:space="preserve">Art. 577</w:t>
      </w:r>
    </w:p>
    <w:p>
      <w:pPr>
        <w:pStyle w:val="FirstParagraph"/>
        <w:spacing w:after="60"/>
        <w:jc w:val="both"/>
      </w:pPr>
      <w:r>
        <w:rPr>
          <w:b/>
          <w:bCs/>
        </w:rPr>
        <w:t xml:space="preserve">Art. 577.</w:t>
      </w:r>
      <w:r>
        <w:t xml:space="preserve"> </w:t>
      </w:r>
      <w:r>
        <w:t xml:space="preserve">Feitas as citações, terão os réus o prazo comum de 15 (quinze) dias para contestar.</w:t>
      </w:r>
    </w:p>
    <w:bookmarkEnd w:id="331"/>
    <w:bookmarkStart w:id="332" w:name="art.-578"/>
    <w:p>
      <w:pPr>
        <w:pStyle w:val="Heading6"/>
        <w:pBdr>
          <w:left w:val="single" w:sz="36" w:space="4" w:color="2E75B6"/>
        </w:pBdr>
        <w:shd w:val="clear" w:color="auto" w:fill="E3EEF9"/>
        <w:spacing w:before="120" w:after="60"/>
        <w:ind w:left="85"/>
      </w:pPr>
      <w:r>
        <w:rPr>
          <w:i w:val="0"/>
          <w:color w:val="1F3A5F"/>
          <w:sz w:val="22"/>
        </w:rPr>
        <w:t xml:space="preserve">Art. 578</w:t>
      </w:r>
    </w:p>
    <w:p>
      <w:pPr>
        <w:pStyle w:val="FirstParagraph"/>
        <w:spacing w:after="60"/>
        <w:jc w:val="both"/>
      </w:pPr>
      <w:r>
        <w:rPr>
          <w:b/>
          <w:bCs/>
        </w:rPr>
        <w:t xml:space="preserve">Art. 578.</w:t>
      </w:r>
      <w:r>
        <w:t xml:space="preserve"> </w:t>
      </w:r>
      <w:r>
        <w:t xml:space="preserve">Após o prazo de resposta do réu, observar-se-á o procedimento comum.</w:t>
      </w:r>
    </w:p>
    <w:bookmarkEnd w:id="332"/>
    <w:bookmarkStart w:id="333" w:name="art.-579"/>
    <w:p>
      <w:pPr>
        <w:pStyle w:val="Heading6"/>
        <w:pBdr>
          <w:left w:val="single" w:sz="36" w:space="4" w:color="2E75B6"/>
        </w:pBdr>
        <w:shd w:val="clear" w:color="auto" w:fill="E3EEF9"/>
        <w:spacing w:before="120" w:after="60"/>
        <w:ind w:left="85"/>
      </w:pPr>
      <w:r>
        <w:rPr>
          <w:i w:val="0"/>
          <w:color w:val="1F3A5F"/>
          <w:sz w:val="22"/>
        </w:rPr>
        <w:t xml:space="preserve">Art. 579</w:t>
      </w:r>
    </w:p>
    <w:p>
      <w:pPr>
        <w:pStyle w:val="FirstParagraph"/>
        <w:spacing w:after="60"/>
        <w:jc w:val="both"/>
      </w:pPr>
      <w:r>
        <w:rPr>
          <w:b/>
          <w:bCs/>
        </w:rPr>
        <w:t xml:space="preserve">Art. 579.</w:t>
      </w:r>
      <w:r>
        <w:t xml:space="preserve"> </w:t>
      </w:r>
      <w:r>
        <w:t xml:space="preserve">Antes de proferir a sentença, o juiz nomeará um ou mais peritos para levantar o traçado da linha demarcanda.</w:t>
      </w:r>
    </w:p>
    <w:bookmarkEnd w:id="333"/>
    <w:bookmarkStart w:id="334" w:name="art.-580"/>
    <w:p>
      <w:pPr>
        <w:pStyle w:val="Heading6"/>
        <w:pBdr>
          <w:left w:val="single" w:sz="36" w:space="4" w:color="2E75B6"/>
        </w:pBdr>
        <w:shd w:val="clear" w:color="auto" w:fill="E3EEF9"/>
        <w:spacing w:before="120" w:after="60"/>
        <w:ind w:left="85"/>
      </w:pPr>
      <w:r>
        <w:rPr>
          <w:i w:val="0"/>
          <w:color w:val="1F3A5F"/>
          <w:sz w:val="22"/>
        </w:rPr>
        <w:t xml:space="preserve">Art. 580</w:t>
      </w:r>
    </w:p>
    <w:p>
      <w:pPr>
        <w:pStyle w:val="FirstParagraph"/>
        <w:spacing w:after="60"/>
        <w:jc w:val="both"/>
      </w:pPr>
      <w:r>
        <w:rPr>
          <w:b/>
          <w:bCs/>
        </w:rPr>
        <w:t xml:space="preserve">Art. 580.</w:t>
      </w:r>
      <w:r>
        <w:t xml:space="preserve"> </w:t>
      </w:r>
      <w:r>
        <w:t xml:space="preserve">Concluídos os estudos, os peritos apresentarão minucioso laudo sobre o traçado da linha demarcanda, considerando os títulos, os marcos, os rumos, a fama da vizinhança, as informações de antigos moradores do lugar e outros elementos que coligirem.</w:t>
      </w:r>
    </w:p>
    <w:bookmarkEnd w:id="334"/>
    <w:bookmarkStart w:id="335" w:name="art.-581"/>
    <w:p>
      <w:pPr>
        <w:pStyle w:val="Heading6"/>
        <w:pBdr>
          <w:left w:val="single" w:sz="36" w:space="4" w:color="2E75B6"/>
        </w:pBdr>
        <w:shd w:val="clear" w:color="auto" w:fill="E3EEF9"/>
        <w:spacing w:before="120" w:after="60"/>
        <w:ind w:left="85"/>
      </w:pPr>
      <w:r>
        <w:rPr>
          <w:i w:val="0"/>
          <w:color w:val="1F3A5F"/>
          <w:sz w:val="22"/>
        </w:rPr>
        <w:t xml:space="preserve">Art. 581</w:t>
      </w:r>
    </w:p>
    <w:p>
      <w:pPr>
        <w:pStyle w:val="FirstParagraph"/>
        <w:spacing w:after="60"/>
        <w:jc w:val="both"/>
      </w:pPr>
      <w:r>
        <w:rPr>
          <w:b/>
          <w:bCs/>
        </w:rPr>
        <w:t xml:space="preserve">Art. 581.</w:t>
      </w:r>
      <w:r>
        <w:t xml:space="preserve"> </w:t>
      </w:r>
      <w:r>
        <w:t xml:space="preserve">A sentença que julgar procedente o pedido determinará o traçado da linha demarcanda.</w:t>
      </w:r>
    </w:p>
    <w:p>
      <w:pPr>
        <w:pStyle w:val="BodyText"/>
        <w:spacing w:after="60"/>
        <w:jc w:val="both"/>
      </w:pPr>
      <w:r>
        <w:t xml:space="preserve">Parágrafo único. A sentença proferida na ação demarcatória determinará a restituição da área invadida, se houver, declarando o domínio ou a posse do prejudicado, ou ambos.</w:t>
      </w:r>
    </w:p>
    <w:bookmarkEnd w:id="335"/>
    <w:bookmarkStart w:id="336" w:name="art.-582"/>
    <w:p>
      <w:pPr>
        <w:pStyle w:val="Heading6"/>
        <w:pBdr>
          <w:left w:val="single" w:sz="36" w:space="4" w:color="2E75B6"/>
        </w:pBdr>
        <w:shd w:val="clear" w:color="auto" w:fill="E3EEF9"/>
        <w:spacing w:before="120" w:after="60"/>
        <w:ind w:left="85"/>
      </w:pPr>
      <w:r>
        <w:rPr>
          <w:i w:val="0"/>
          <w:color w:val="1F3A5F"/>
          <w:sz w:val="22"/>
        </w:rPr>
        <w:t xml:space="preserve">Art. 582</w:t>
      </w:r>
    </w:p>
    <w:p>
      <w:pPr>
        <w:pStyle w:val="FirstParagraph"/>
        <w:spacing w:after="60"/>
        <w:jc w:val="both"/>
      </w:pPr>
      <w:r>
        <w:rPr>
          <w:b/>
          <w:bCs/>
        </w:rPr>
        <w:t xml:space="preserve">Art. 582.</w:t>
      </w:r>
      <w:r>
        <w:t xml:space="preserve"> </w:t>
      </w:r>
      <w:r>
        <w:t xml:space="preserve">Transitada em julgado a sentença, o perito efetuará a demarcação e colocará os marcos necessários.</w:t>
      </w:r>
    </w:p>
    <w:p>
      <w:pPr>
        <w:pStyle w:val="BodyText"/>
        <w:spacing w:after="60"/>
        <w:jc w:val="both"/>
      </w:pPr>
      <w:r>
        <w:t xml:space="preserve">Parágrafo único. Todas as operações serão consignadas em planta e memorial descritivo com as referências convenientes para a identificação, em qualquer tempo, dos pontos assinalados, observada a legislação especial que dispõe sobre a identificação do imóvel rural.</w:t>
      </w:r>
    </w:p>
    <w:bookmarkEnd w:id="336"/>
    <w:bookmarkStart w:id="337" w:name="art.-583"/>
    <w:p>
      <w:pPr>
        <w:pStyle w:val="Heading6"/>
        <w:pBdr>
          <w:left w:val="single" w:sz="36" w:space="4" w:color="2E75B6"/>
        </w:pBdr>
        <w:shd w:val="clear" w:color="auto" w:fill="E3EEF9"/>
        <w:spacing w:before="120" w:after="60"/>
        <w:ind w:left="85"/>
      </w:pPr>
      <w:r>
        <w:rPr>
          <w:i w:val="0"/>
          <w:color w:val="1F3A5F"/>
          <w:sz w:val="22"/>
        </w:rPr>
        <w:t xml:space="preserve">Art. 583</w:t>
      </w:r>
    </w:p>
    <w:p>
      <w:pPr>
        <w:pStyle w:val="FirstParagraph"/>
        <w:spacing w:after="60"/>
        <w:jc w:val="both"/>
      </w:pPr>
      <w:r>
        <w:rPr>
          <w:b/>
          <w:bCs/>
        </w:rPr>
        <w:t xml:space="preserve">Art. 583.</w:t>
      </w:r>
      <w:r>
        <w:t xml:space="preserve"> </w:t>
      </w:r>
      <w:r>
        <w:t xml:space="preserve">As plantas serão acompanhadas das cadernetas de operações de campo e do memorial descritivo, que conterá:</w:t>
      </w:r>
    </w:p>
    <w:p>
      <w:pPr>
        <w:pStyle w:val="BodyText"/>
        <w:spacing w:after="60"/>
        <w:jc w:val="both"/>
      </w:pPr>
      <w:r>
        <w:t xml:space="preserve">I - o ponto de partida, os rumos seguidos e a aviventação dos antigos com os respectivos cálculos;</w:t>
      </w:r>
    </w:p>
    <w:p>
      <w:pPr>
        <w:pStyle w:val="BodyText"/>
        <w:spacing w:after="60"/>
        <w:jc w:val="both"/>
      </w:pPr>
      <w:r>
        <w:t xml:space="preserve">II - os acidentes encontrados, as cercas, os valos, os marcos antigos, os córregos, os rios, as lagoas e outros;</w:t>
      </w:r>
    </w:p>
    <w:p>
      <w:pPr>
        <w:pStyle w:val="BodyText"/>
        <w:spacing w:after="60"/>
        <w:jc w:val="both"/>
      </w:pPr>
      <w:r>
        <w:t xml:space="preserve">III - a indicação minuciosa dos novos marcos cravados, dos antigos aproveitados, das culturas existentes e da sua produção anual;</w:t>
      </w:r>
    </w:p>
    <w:p>
      <w:pPr>
        <w:pStyle w:val="BodyText"/>
        <w:spacing w:after="60"/>
        <w:jc w:val="both"/>
      </w:pPr>
      <w:r>
        <w:t xml:space="preserve">IV - a composição geológica dos terrenos, bem como a qualidade e a extensão dos campos, das matas e das capoeiras;</w:t>
      </w:r>
    </w:p>
    <w:p>
      <w:pPr>
        <w:pStyle w:val="BodyText"/>
        <w:spacing w:after="60"/>
        <w:jc w:val="both"/>
      </w:pPr>
      <w:r>
        <w:t xml:space="preserve">V - as vias de comunicação;</w:t>
      </w:r>
    </w:p>
    <w:p>
      <w:pPr>
        <w:pStyle w:val="BodyText"/>
        <w:spacing w:after="60"/>
        <w:jc w:val="both"/>
      </w:pPr>
      <w:r>
        <w:t xml:space="preserve">VI - as distâncias a pontos de referência, tais como rodovias federais e estaduais, ferrovias, portos, aglomerações urbanas e polos comerciais;</w:t>
      </w:r>
    </w:p>
    <w:p>
      <w:pPr>
        <w:pStyle w:val="BodyText"/>
        <w:spacing w:after="60"/>
        <w:jc w:val="both"/>
      </w:pPr>
      <w:r>
        <w:t xml:space="preserve">VII - a indicação de tudo o mais que for útil para o levantamento da linha ou para a identificação da linha já levantada.</w:t>
      </w:r>
    </w:p>
    <w:bookmarkEnd w:id="337"/>
    <w:bookmarkStart w:id="338" w:name="art.-584"/>
    <w:p>
      <w:pPr>
        <w:pStyle w:val="Heading6"/>
        <w:pBdr>
          <w:left w:val="single" w:sz="36" w:space="4" w:color="2E75B6"/>
        </w:pBdr>
        <w:shd w:val="clear" w:color="auto" w:fill="E3EEF9"/>
        <w:spacing w:before="120" w:after="60"/>
        <w:ind w:left="85"/>
      </w:pPr>
      <w:r>
        <w:rPr>
          <w:i w:val="0"/>
          <w:color w:val="1F3A5F"/>
          <w:sz w:val="22"/>
        </w:rPr>
        <w:t xml:space="preserve">Art. 584</w:t>
      </w:r>
    </w:p>
    <w:p>
      <w:pPr>
        <w:pStyle w:val="FirstParagraph"/>
        <w:spacing w:after="60"/>
        <w:jc w:val="both"/>
      </w:pPr>
      <w:r>
        <w:rPr>
          <w:b/>
          <w:bCs/>
        </w:rPr>
        <w:t xml:space="preserve">Art. 584.</w:t>
      </w:r>
      <w:r>
        <w:t xml:space="preserve"> </w:t>
      </w:r>
      <w:r>
        <w:t xml:space="preserve">É obrigatória a colocação de marcos tanto na estação inicial, dita marco primordial, quanto nos vértices dos ângulos, salvo se algum desses últimos pontos for assinalado por acidentes naturais de difícil remoção ou destruição.</w:t>
      </w:r>
    </w:p>
    <w:bookmarkEnd w:id="338"/>
    <w:bookmarkStart w:id="339" w:name="art.-585"/>
    <w:p>
      <w:pPr>
        <w:pStyle w:val="Heading6"/>
        <w:pBdr>
          <w:left w:val="single" w:sz="36" w:space="4" w:color="2E75B6"/>
        </w:pBdr>
        <w:shd w:val="clear" w:color="auto" w:fill="E3EEF9"/>
        <w:spacing w:before="120" w:after="60"/>
        <w:ind w:left="85"/>
      </w:pPr>
      <w:r>
        <w:rPr>
          <w:i w:val="0"/>
          <w:color w:val="1F3A5F"/>
          <w:sz w:val="22"/>
        </w:rPr>
        <w:t xml:space="preserve">Art. 585</w:t>
      </w:r>
    </w:p>
    <w:p>
      <w:pPr>
        <w:pStyle w:val="FirstParagraph"/>
        <w:spacing w:after="60"/>
        <w:jc w:val="both"/>
      </w:pPr>
      <w:r>
        <w:rPr>
          <w:b/>
          <w:bCs/>
        </w:rPr>
        <w:t xml:space="preserve">Art. 585.</w:t>
      </w:r>
      <w:r>
        <w:t xml:space="preserve"> </w:t>
      </w:r>
      <w:r>
        <w:t xml:space="preserve">A linha será percorrida pelos peritos, que examinarão os marcos e os rumos, consignando em relatório escrito a exatidão do memorial e da planta apresentados pelo agrimensor ou as divergências porventura encontradas.</w:t>
      </w:r>
    </w:p>
    <w:bookmarkEnd w:id="339"/>
    <w:bookmarkStart w:id="340" w:name="art.-586"/>
    <w:p>
      <w:pPr>
        <w:pStyle w:val="Heading6"/>
        <w:pBdr>
          <w:left w:val="single" w:sz="36" w:space="4" w:color="2E75B6"/>
        </w:pBdr>
        <w:shd w:val="clear" w:color="auto" w:fill="E3EEF9"/>
        <w:spacing w:before="120" w:after="60"/>
        <w:ind w:left="85"/>
      </w:pPr>
      <w:r>
        <w:rPr>
          <w:i w:val="0"/>
          <w:color w:val="1F3A5F"/>
          <w:sz w:val="22"/>
        </w:rPr>
        <w:t xml:space="preserve">Art. 586</w:t>
      </w:r>
    </w:p>
    <w:p>
      <w:pPr>
        <w:pStyle w:val="FirstParagraph"/>
        <w:spacing w:after="60"/>
        <w:jc w:val="both"/>
      </w:pPr>
      <w:r>
        <w:rPr>
          <w:b/>
          <w:bCs/>
        </w:rPr>
        <w:t xml:space="preserve">Art. 586.</w:t>
      </w:r>
      <w:r>
        <w:t xml:space="preserve"> </w:t>
      </w:r>
      <w:r>
        <w:t xml:space="preserve">Juntado aos autos o relatório dos peritos, o juiz determinará que as partes se manifestem sobre ele no prazo comum de 15 (quinze) dias.</w:t>
      </w:r>
    </w:p>
    <w:p>
      <w:pPr>
        <w:pStyle w:val="BodyText"/>
        <w:spacing w:after="60"/>
        <w:jc w:val="both"/>
      </w:pPr>
      <w:r>
        <w:t xml:space="preserve">Parágrafo único. Executadas as correções e as retificações que o juiz determinar, lavrar-se-á, em seguida, o auto de demarcação em que os limites demarcandos serão minuciosamente descritos de acordo com o memorial e a planta.</w:t>
      </w:r>
    </w:p>
    <w:bookmarkEnd w:id="340"/>
    <w:bookmarkStart w:id="341" w:name="art.-587"/>
    <w:p>
      <w:pPr>
        <w:pStyle w:val="Heading6"/>
        <w:pBdr>
          <w:left w:val="single" w:sz="36" w:space="4" w:color="2E75B6"/>
        </w:pBdr>
        <w:shd w:val="clear" w:color="auto" w:fill="E3EEF9"/>
        <w:spacing w:before="120" w:after="60"/>
        <w:ind w:left="85"/>
      </w:pPr>
      <w:r>
        <w:rPr>
          <w:i w:val="0"/>
          <w:color w:val="1F3A5F"/>
          <w:sz w:val="22"/>
        </w:rPr>
        <w:t xml:space="preserve">Art. 587</w:t>
      </w:r>
    </w:p>
    <w:p>
      <w:pPr>
        <w:pStyle w:val="FirstParagraph"/>
        <w:spacing w:after="60"/>
        <w:jc w:val="both"/>
      </w:pPr>
      <w:r>
        <w:rPr>
          <w:b/>
          <w:bCs/>
        </w:rPr>
        <w:t xml:space="preserve">Art. 587.</w:t>
      </w:r>
      <w:r>
        <w:t xml:space="preserve"> </w:t>
      </w:r>
      <w:r>
        <w:t xml:space="preserve">Assinado o auto pelo juiz e pelos peritos, será proferida a sentença homologatória da demarcação.</w:t>
      </w:r>
    </w:p>
    <w:bookmarkEnd w:id="341"/>
    <w:bookmarkEnd w:id="342"/>
    <w:bookmarkStart w:id="354" w:name="seção-iii-da-divisão-arts.-588-a-598"/>
    <w:p>
      <w:pPr>
        <w:pStyle w:val="Heading5"/>
        <w:spacing w:before="60" w:after="20"/>
      </w:pPr>
      <w:r>
        <w:rPr>
          <w:i/>
          <w:color w:val="595959"/>
        </w:rPr>
        <w:t xml:space="preserve">Seção III: da divisão (arts. 588 a 598)</w:t>
      </w:r>
    </w:p>
    <w:bookmarkStart w:id="343" w:name="art.-588"/>
    <w:p>
      <w:pPr>
        <w:pStyle w:val="Heading6"/>
        <w:pBdr>
          <w:left w:val="single" w:sz="36" w:space="4" w:color="2E75B6"/>
        </w:pBdr>
        <w:shd w:val="clear" w:color="auto" w:fill="E3EEF9"/>
        <w:spacing w:before="120" w:after="60"/>
        <w:ind w:left="85"/>
      </w:pPr>
      <w:r>
        <w:rPr>
          <w:i w:val="0"/>
          <w:color w:val="1F3A5F"/>
          <w:sz w:val="22"/>
        </w:rPr>
        <w:t xml:space="preserve">Art. 588</w:t>
      </w:r>
    </w:p>
    <w:p>
      <w:pPr>
        <w:pStyle w:val="FirstParagraph"/>
        <w:spacing w:after="60"/>
        <w:jc w:val="both"/>
      </w:pPr>
      <w:r>
        <w:rPr>
          <w:b/>
          <w:bCs/>
        </w:rPr>
        <w:t xml:space="preserve">Art. 588.</w:t>
      </w:r>
      <w:r>
        <w:t xml:space="preserve"> </w:t>
      </w:r>
      <w:r>
        <w:t xml:space="preserve">A petição inicial será instruída com os títulos de domínio do promovente e conterá:</w:t>
      </w:r>
    </w:p>
    <w:p>
      <w:pPr>
        <w:pStyle w:val="BodyText"/>
        <w:spacing w:after="60"/>
        <w:jc w:val="both"/>
      </w:pPr>
      <w:r>
        <w:t xml:space="preserve">I - a indicação da origem da comunhão e a denominação, a situação, os limites e as características do imóvel;</w:t>
      </w:r>
    </w:p>
    <w:p>
      <w:pPr>
        <w:pStyle w:val="BodyText"/>
        <w:spacing w:after="60"/>
        <w:jc w:val="both"/>
      </w:pPr>
      <w:r>
        <w:t xml:space="preserve">II - o nome, o estado civil, a profissão e a residência de todos os condôminos, especificando-se os estabelecidos no imóvel com benfeitorias e culturas;</w:t>
      </w:r>
    </w:p>
    <w:p>
      <w:pPr>
        <w:pStyle w:val="BodyText"/>
        <w:spacing w:after="60"/>
        <w:jc w:val="both"/>
      </w:pPr>
      <w:r>
        <w:t xml:space="preserve">III - as benfeitorias comuns.</w:t>
      </w:r>
    </w:p>
    <w:bookmarkEnd w:id="343"/>
    <w:bookmarkStart w:id="344" w:name="art.-589"/>
    <w:p>
      <w:pPr>
        <w:pStyle w:val="Heading6"/>
        <w:pBdr>
          <w:left w:val="single" w:sz="36" w:space="4" w:color="2E75B6"/>
        </w:pBdr>
        <w:shd w:val="clear" w:color="auto" w:fill="E3EEF9"/>
        <w:spacing w:before="120" w:after="60"/>
        <w:ind w:left="85"/>
      </w:pPr>
      <w:r>
        <w:rPr>
          <w:i w:val="0"/>
          <w:color w:val="1F3A5F"/>
          <w:sz w:val="22"/>
        </w:rPr>
        <w:t xml:space="preserve">Art. 589</w:t>
      </w:r>
    </w:p>
    <w:p>
      <w:pPr>
        <w:pStyle w:val="FirstParagraph"/>
        <w:spacing w:after="60"/>
        <w:jc w:val="both"/>
      </w:pPr>
      <w:r>
        <w:rPr>
          <w:b/>
          <w:bCs/>
        </w:rPr>
        <w:t xml:space="preserve">Art. 589.</w:t>
      </w:r>
      <w:r>
        <w:t xml:space="preserve"> </w:t>
      </w:r>
      <w:r>
        <w:t xml:space="preserve">Feitas as citações como preceitua o art. 576, prosseguir-se-á na forma dos arts. 577 e 578.</w:t>
      </w:r>
    </w:p>
    <w:bookmarkEnd w:id="344"/>
    <w:bookmarkStart w:id="345" w:name="art.-590"/>
    <w:p>
      <w:pPr>
        <w:pStyle w:val="Heading6"/>
        <w:pBdr>
          <w:left w:val="single" w:sz="36" w:space="4" w:color="2E75B6"/>
        </w:pBdr>
        <w:shd w:val="clear" w:color="auto" w:fill="E3EEF9"/>
        <w:spacing w:before="120" w:after="60"/>
        <w:ind w:left="85"/>
      </w:pPr>
      <w:r>
        <w:rPr>
          <w:i w:val="0"/>
          <w:color w:val="1F3A5F"/>
          <w:sz w:val="22"/>
        </w:rPr>
        <w:t xml:space="preserve">Art. 590</w:t>
      </w:r>
    </w:p>
    <w:p>
      <w:pPr>
        <w:pStyle w:val="FirstParagraph"/>
        <w:spacing w:after="60"/>
        <w:jc w:val="both"/>
      </w:pPr>
      <w:r>
        <w:rPr>
          <w:b/>
          <w:bCs/>
        </w:rPr>
        <w:t xml:space="preserve">Art. 590.</w:t>
      </w:r>
      <w:r>
        <w:t xml:space="preserve"> </w:t>
      </w:r>
      <w:r>
        <w:t xml:space="preserve">O juiz nomeará um ou mais peritos para promover a medição do imóvel e as operações de divisão, observada a legislação especial que dispõe sobre a identificação do imóvel rural.</w:t>
      </w:r>
    </w:p>
    <w:p>
      <w:pPr>
        <w:pStyle w:val="BodyText"/>
        <w:spacing w:after="60"/>
        <w:jc w:val="both"/>
      </w:pPr>
      <w:r>
        <w:t xml:space="preserve">Parágrafo único. O perito deverá indicar as vias de comunicação existentes, as construções e as benfeitorias, com a indicação dos seus valores e dos respectivos proprietários e ocupantes, as águas principais que banham o imóvel e quaisquer outras informações que possam concorrer para facilitar a partilha.</w:t>
      </w:r>
    </w:p>
    <w:bookmarkEnd w:id="345"/>
    <w:bookmarkStart w:id="346" w:name="art.-591"/>
    <w:p>
      <w:pPr>
        <w:pStyle w:val="Heading6"/>
        <w:pBdr>
          <w:left w:val="single" w:sz="36" w:space="4" w:color="2E75B6"/>
        </w:pBdr>
        <w:shd w:val="clear" w:color="auto" w:fill="E3EEF9"/>
        <w:spacing w:before="120" w:after="60"/>
        <w:ind w:left="85"/>
      </w:pPr>
      <w:r>
        <w:rPr>
          <w:i w:val="0"/>
          <w:color w:val="1F3A5F"/>
          <w:sz w:val="22"/>
        </w:rPr>
        <w:t xml:space="preserve">Art. 591</w:t>
      </w:r>
    </w:p>
    <w:p>
      <w:pPr>
        <w:pStyle w:val="FirstParagraph"/>
        <w:spacing w:after="60"/>
        <w:jc w:val="both"/>
      </w:pPr>
      <w:r>
        <w:rPr>
          <w:b/>
          <w:bCs/>
        </w:rPr>
        <w:t xml:space="preserve">Art. 591.</w:t>
      </w:r>
      <w:r>
        <w:t xml:space="preserve"> </w:t>
      </w:r>
      <w:r>
        <w:t xml:space="preserve">Todos os condôminos serão intimados a apresentar, dentro de 10 (dez) dias, os seus títulos, se ainda não o tiverem feito, e a formular os seus pedidos sobre a constituição dos quinhões.</w:t>
      </w:r>
    </w:p>
    <w:bookmarkEnd w:id="346"/>
    <w:bookmarkStart w:id="347" w:name="art.-592"/>
    <w:p>
      <w:pPr>
        <w:pStyle w:val="Heading6"/>
        <w:pBdr>
          <w:left w:val="single" w:sz="36" w:space="4" w:color="2E75B6"/>
        </w:pBdr>
        <w:shd w:val="clear" w:color="auto" w:fill="E3EEF9"/>
        <w:spacing w:before="120" w:after="60"/>
        <w:ind w:left="85"/>
      </w:pPr>
      <w:r>
        <w:rPr>
          <w:i w:val="0"/>
          <w:color w:val="1F3A5F"/>
          <w:sz w:val="22"/>
        </w:rPr>
        <w:t xml:space="preserve">Art. 592</w:t>
      </w:r>
    </w:p>
    <w:p>
      <w:pPr>
        <w:pStyle w:val="FirstParagraph"/>
        <w:spacing w:after="60"/>
        <w:jc w:val="both"/>
      </w:pPr>
      <w:r>
        <w:rPr>
          <w:b/>
          <w:bCs/>
        </w:rPr>
        <w:t xml:space="preserve">Art. 592.</w:t>
      </w:r>
      <w:r>
        <w:t xml:space="preserve"> </w:t>
      </w:r>
      <w:r>
        <w:t xml:space="preserve">O juiz ouvirá as partes no prazo comum de 15 (quinze) dias.</w:t>
      </w:r>
    </w:p>
    <w:p>
      <w:pPr>
        <w:pStyle w:val="BodyText"/>
        <w:spacing w:after="60"/>
        <w:jc w:val="both"/>
      </w:pPr>
      <w:r>
        <w:t xml:space="preserve">§ 1º Não havendo impugnação, o juiz determinará a divisão geodésica do imóvel.</w:t>
      </w:r>
    </w:p>
    <w:p>
      <w:pPr>
        <w:pStyle w:val="BodyText"/>
        <w:spacing w:after="60"/>
        <w:jc w:val="both"/>
      </w:pPr>
      <w:r>
        <w:t xml:space="preserve">§ 2º Havendo impugnação, o juiz proferirá, no prazo de 10 (dez) dias, decisão sobre os pedidos e os títulos que devam ser atendidos na formação dos quinhões.</w:t>
      </w:r>
    </w:p>
    <w:bookmarkEnd w:id="347"/>
    <w:bookmarkStart w:id="348" w:name="art.-593"/>
    <w:p>
      <w:pPr>
        <w:pStyle w:val="Heading6"/>
        <w:pBdr>
          <w:left w:val="single" w:sz="36" w:space="4" w:color="2E75B6"/>
        </w:pBdr>
        <w:shd w:val="clear" w:color="auto" w:fill="E3EEF9"/>
        <w:spacing w:before="120" w:after="60"/>
        <w:ind w:left="85"/>
      </w:pPr>
      <w:r>
        <w:rPr>
          <w:i w:val="0"/>
          <w:color w:val="1F3A5F"/>
          <w:sz w:val="22"/>
        </w:rPr>
        <w:t xml:space="preserve">Art. 593</w:t>
      </w:r>
    </w:p>
    <w:p>
      <w:pPr>
        <w:pStyle w:val="FirstParagraph"/>
        <w:spacing w:after="60"/>
        <w:jc w:val="both"/>
      </w:pPr>
      <w:r>
        <w:rPr>
          <w:b/>
          <w:bCs/>
        </w:rPr>
        <w:t xml:space="preserve">Art. 593.</w:t>
      </w:r>
      <w:r>
        <w:t xml:space="preserve"> </w:t>
      </w:r>
      <w:r>
        <w:t xml:space="preserve">Se qualquer linha do perímetro atingir benfeitorias permanentes dos confinantes feitas há mais de 1 (um) ano, serão elas respeitadas, bem como os terrenos onde estiverem, os quais não se computarão na área dividenda.</w:t>
      </w:r>
    </w:p>
    <w:bookmarkEnd w:id="348"/>
    <w:bookmarkStart w:id="349" w:name="art.-594"/>
    <w:p>
      <w:pPr>
        <w:pStyle w:val="Heading6"/>
        <w:pBdr>
          <w:left w:val="single" w:sz="36" w:space="4" w:color="2E75B6"/>
        </w:pBdr>
        <w:shd w:val="clear" w:color="auto" w:fill="E3EEF9"/>
        <w:spacing w:before="120" w:after="60"/>
        <w:ind w:left="85"/>
      </w:pPr>
      <w:r>
        <w:rPr>
          <w:i w:val="0"/>
          <w:color w:val="1F3A5F"/>
          <w:sz w:val="22"/>
        </w:rPr>
        <w:t xml:space="preserve">Art. 594</w:t>
      </w:r>
    </w:p>
    <w:p>
      <w:pPr>
        <w:pStyle w:val="FirstParagraph"/>
        <w:spacing w:after="60"/>
        <w:jc w:val="both"/>
      </w:pPr>
      <w:r>
        <w:rPr>
          <w:b/>
          <w:bCs/>
        </w:rPr>
        <w:t xml:space="preserve">Art. 594.</w:t>
      </w:r>
      <w:r>
        <w:t xml:space="preserve"> </w:t>
      </w:r>
      <w:r>
        <w:t xml:space="preserve">Os confinantes do imóvel dividendo podem demandar a restituição dos terrenos que lhes tenham sido usurpados.</w:t>
      </w:r>
    </w:p>
    <w:p>
      <w:pPr>
        <w:pStyle w:val="BodyText"/>
        <w:spacing w:after="60"/>
        <w:jc w:val="both"/>
      </w:pPr>
      <w:r>
        <w:t xml:space="preserve">§ 1º Serão citados para a ação todos os condôminos, se a sentença homologatória da divisão ainda não houver transitado em julgado, e todos os quinhoeiros dos terrenos vindicados, se a ação for proposta posteriormente.</w:t>
      </w:r>
    </w:p>
    <w:p>
      <w:pPr>
        <w:pStyle w:val="BodyText"/>
        <w:spacing w:after="60"/>
        <w:jc w:val="both"/>
      </w:pPr>
      <w:r>
        <w:t xml:space="preserve">§ 2º Nesse último caso terão os quinhoeiros o direito, pela mesma sentença que os obrigar à restituição, a haver dos outros condôminos do processo divisório ou de seus sucessores a título universal a composição pecuniária proporcional ao desfalque sofrido.</w:t>
      </w:r>
    </w:p>
    <w:bookmarkEnd w:id="349"/>
    <w:bookmarkStart w:id="350" w:name="art.-595"/>
    <w:p>
      <w:pPr>
        <w:pStyle w:val="Heading6"/>
        <w:pBdr>
          <w:left w:val="single" w:sz="36" w:space="4" w:color="2E75B6"/>
        </w:pBdr>
        <w:shd w:val="clear" w:color="auto" w:fill="E3EEF9"/>
        <w:spacing w:before="120" w:after="60"/>
        <w:ind w:left="85"/>
      </w:pPr>
      <w:r>
        <w:rPr>
          <w:i w:val="0"/>
          <w:color w:val="1F3A5F"/>
          <w:sz w:val="22"/>
        </w:rPr>
        <w:t xml:space="preserve">Art. 595</w:t>
      </w:r>
    </w:p>
    <w:p>
      <w:pPr>
        <w:pStyle w:val="FirstParagraph"/>
        <w:spacing w:after="60"/>
        <w:jc w:val="both"/>
      </w:pPr>
      <w:r>
        <w:rPr>
          <w:b/>
          <w:bCs/>
        </w:rPr>
        <w:t xml:space="preserve">Art. 595.</w:t>
      </w:r>
      <w:r>
        <w:t xml:space="preserve"> </w:t>
      </w:r>
      <w:r>
        <w:t xml:space="preserve">Os peritos proporão, em laudo fundamentado, a forma da divisão, devendo consultar, quanto possível, a comodidade das partes, respeitar, para adjudicação a cada condômino, a preferência dos terrenos contíguos às suas residências e benfeitorias e evitar o retalhamento dos quinhões em glebas separadas.</w:t>
      </w:r>
    </w:p>
    <w:bookmarkEnd w:id="350"/>
    <w:bookmarkStart w:id="351" w:name="art.-596"/>
    <w:p>
      <w:pPr>
        <w:pStyle w:val="Heading6"/>
        <w:pBdr>
          <w:left w:val="single" w:sz="36" w:space="4" w:color="2E75B6"/>
        </w:pBdr>
        <w:shd w:val="clear" w:color="auto" w:fill="E3EEF9"/>
        <w:spacing w:before="120" w:after="60"/>
        <w:ind w:left="85"/>
      </w:pPr>
      <w:r>
        <w:rPr>
          <w:i w:val="0"/>
          <w:color w:val="1F3A5F"/>
          <w:sz w:val="22"/>
        </w:rPr>
        <w:t xml:space="preserve">Art. 596</w:t>
      </w:r>
    </w:p>
    <w:p>
      <w:pPr>
        <w:pStyle w:val="FirstParagraph"/>
        <w:spacing w:after="60"/>
        <w:jc w:val="both"/>
      </w:pPr>
      <w:r>
        <w:rPr>
          <w:b/>
          <w:bCs/>
        </w:rPr>
        <w:t xml:space="preserve">Art. 596.</w:t>
      </w:r>
      <w:r>
        <w:t xml:space="preserve"> </w:t>
      </w:r>
      <w:r>
        <w:t xml:space="preserve">Ouvidas as partes, no prazo comum de 15 (quinze) dias, sobre o cálculo e o plano da divisão, o juiz deliberará a partilha.</w:t>
      </w:r>
    </w:p>
    <w:p>
      <w:pPr>
        <w:pStyle w:val="BodyText"/>
        <w:spacing w:after="60"/>
        <w:jc w:val="both"/>
      </w:pPr>
      <w:r>
        <w:t xml:space="preserve">Parágrafo único. Em cumprimento dessa decisão, o perito procederá à demarcação dos quinhões, observando, além do disposto nos arts. 584 e 585, as seguintes regras:</w:t>
      </w:r>
    </w:p>
    <w:p>
      <w:pPr>
        <w:pStyle w:val="BodyText"/>
        <w:spacing w:after="60"/>
        <w:jc w:val="both"/>
      </w:pPr>
      <w:r>
        <w:t xml:space="preserve">I - as benfeitorias comuns que não comportarem divisão cômoda serão adjudicadas a um dos condôminos mediante compensação;</w:t>
      </w:r>
    </w:p>
    <w:p>
      <w:pPr>
        <w:pStyle w:val="BodyText"/>
        <w:spacing w:after="60"/>
        <w:jc w:val="both"/>
      </w:pPr>
      <w:r>
        <w:t xml:space="preserve">II - instituir-se-ão as servidões que forem indispensáveis em favor de uns quinhões sobre os outros, incluindo o respectivo valor no orçamento para que, não se tratando de servidões naturais, seja compensado o condômino aquinhoado com o prédio serviente;</w:t>
      </w:r>
    </w:p>
    <w:p>
      <w:pPr>
        <w:pStyle w:val="BodyText"/>
        <w:spacing w:after="60"/>
        <w:jc w:val="both"/>
      </w:pPr>
      <w:r>
        <w:t xml:space="preserve">III - as benfeitorias particulares dos condôminos que excederem à área a que têm direito serão adjudicadas ao quinhoeiro vizinho mediante reposição;</w:t>
      </w:r>
    </w:p>
    <w:p>
      <w:pPr>
        <w:pStyle w:val="BodyText"/>
        <w:spacing w:after="60"/>
        <w:jc w:val="both"/>
      </w:pPr>
      <w:r>
        <w:t xml:space="preserve">IV - se outra coisa não acordarem as partes, as compensações e as reposições serão feitas em dinheiro.</w:t>
      </w:r>
    </w:p>
    <w:bookmarkEnd w:id="351"/>
    <w:bookmarkStart w:id="352" w:name="art.-597"/>
    <w:p>
      <w:pPr>
        <w:pStyle w:val="Heading6"/>
        <w:pBdr>
          <w:left w:val="single" w:sz="36" w:space="4" w:color="2E75B6"/>
        </w:pBdr>
        <w:shd w:val="clear" w:color="auto" w:fill="E3EEF9"/>
        <w:spacing w:before="120" w:after="60"/>
        <w:ind w:left="85"/>
      </w:pPr>
      <w:r>
        <w:rPr>
          <w:i w:val="0"/>
          <w:color w:val="1F3A5F"/>
          <w:sz w:val="22"/>
        </w:rPr>
        <w:t xml:space="preserve">Art. 597</w:t>
      </w:r>
    </w:p>
    <w:p>
      <w:pPr>
        <w:pStyle w:val="FirstParagraph"/>
        <w:spacing w:after="60"/>
        <w:jc w:val="both"/>
      </w:pPr>
      <w:r>
        <w:rPr>
          <w:b/>
          <w:bCs/>
        </w:rPr>
        <w:t xml:space="preserve">Art. 597.</w:t>
      </w:r>
      <w:r>
        <w:t xml:space="preserve"> </w:t>
      </w:r>
      <w:r>
        <w:t xml:space="preserve">Terminados os trabalhos e desenhados na planta os quinhões e as servidões aparentes, o perito organizará o memorial descritivo.</w:t>
      </w:r>
    </w:p>
    <w:p>
      <w:pPr>
        <w:pStyle w:val="BodyText"/>
        <w:spacing w:after="60"/>
        <w:jc w:val="both"/>
      </w:pPr>
      <w:r>
        <w:t xml:space="preserve">§ 1º Cumprido o disposto no art. 586, o escrivão, em seguida, lavrará o auto de divisão, acompanhado de uma folha de pagamento para cada condômino.</w:t>
      </w:r>
    </w:p>
    <w:p>
      <w:pPr>
        <w:pStyle w:val="BodyText"/>
        <w:spacing w:after="60"/>
        <w:jc w:val="both"/>
      </w:pPr>
      <w:r>
        <w:t xml:space="preserve">§ 2º Assinado o auto pelo juiz e pelo perito, será proferida sentença homologatória da divisão.</w:t>
      </w:r>
    </w:p>
    <w:p>
      <w:pPr>
        <w:pStyle w:val="BodyText"/>
        <w:spacing w:after="60"/>
        <w:jc w:val="both"/>
      </w:pPr>
      <w:r>
        <w:t xml:space="preserve">§ 3º O auto conterá:</w:t>
      </w:r>
    </w:p>
    <w:p>
      <w:pPr>
        <w:pStyle w:val="BodyText"/>
        <w:spacing w:after="60"/>
        <w:jc w:val="both"/>
      </w:pPr>
      <w:r>
        <w:t xml:space="preserve">I - a confinação e a extensão superficial do imóvel;</w:t>
      </w:r>
    </w:p>
    <w:p>
      <w:pPr>
        <w:pStyle w:val="BodyText"/>
        <w:spacing w:after="60"/>
        <w:jc w:val="both"/>
      </w:pPr>
      <w:r>
        <w:t xml:space="preserve">II - a classificação das terras com o cálculo das áreas de cada consorte e com a respectiva avaliação ou, quando a homogeneidade das terras não determinar diversidade de valores, a avaliação do imóvel na sua integridade;</w:t>
      </w:r>
    </w:p>
    <w:p>
      <w:pPr>
        <w:pStyle w:val="BodyText"/>
        <w:spacing w:after="60"/>
        <w:jc w:val="both"/>
      </w:pPr>
      <w:r>
        <w:t xml:space="preserve">III - o valor e a quantidade geométrica que couber a cada condômino, declarando-se as reduções e as compensações resultantes da diversidade de valores das glebas componentes de cada quinhão.</w:t>
      </w:r>
    </w:p>
    <w:p>
      <w:pPr>
        <w:pStyle w:val="BodyText"/>
        <w:spacing w:after="60"/>
        <w:jc w:val="both"/>
      </w:pPr>
      <w:r>
        <w:t xml:space="preserve">§ 4º Cada folha de pagamento conterá:</w:t>
      </w:r>
    </w:p>
    <w:p>
      <w:pPr>
        <w:pStyle w:val="BodyText"/>
        <w:spacing w:after="60"/>
        <w:jc w:val="both"/>
      </w:pPr>
      <w:r>
        <w:t xml:space="preserve">I - a descrição das linhas divisórias do quinhão, mencionadas as confinantes;</w:t>
      </w:r>
    </w:p>
    <w:p>
      <w:pPr>
        <w:pStyle w:val="BodyText"/>
        <w:spacing w:after="60"/>
        <w:jc w:val="both"/>
      </w:pPr>
      <w:r>
        <w:t xml:space="preserve">II - a relação das benfeitorias e das culturas do próprio quinhoeiro e das que lhe foram adjudicadas por serem comuns ou mediante compensação;</w:t>
      </w:r>
    </w:p>
    <w:p>
      <w:pPr>
        <w:pStyle w:val="BodyText"/>
        <w:spacing w:after="60"/>
        <w:jc w:val="both"/>
      </w:pPr>
      <w:r>
        <w:t xml:space="preserve">III - a declaração das servidões instituídas, especificados os lugares, a extensão e o modo de exercício.</w:t>
      </w:r>
    </w:p>
    <w:bookmarkEnd w:id="352"/>
    <w:bookmarkStart w:id="353" w:name="art.-598"/>
    <w:p>
      <w:pPr>
        <w:pStyle w:val="Heading6"/>
        <w:pBdr>
          <w:left w:val="single" w:sz="36" w:space="4" w:color="2E75B6"/>
        </w:pBdr>
        <w:shd w:val="clear" w:color="auto" w:fill="E3EEF9"/>
        <w:spacing w:before="120" w:after="60"/>
        <w:ind w:left="85"/>
      </w:pPr>
      <w:r>
        <w:rPr>
          <w:i w:val="0"/>
          <w:color w:val="1F3A5F"/>
          <w:sz w:val="22"/>
        </w:rPr>
        <w:t xml:space="preserve">Art. 598</w:t>
      </w:r>
    </w:p>
    <w:p>
      <w:pPr>
        <w:pStyle w:val="FirstParagraph"/>
        <w:spacing w:after="60"/>
        <w:jc w:val="both"/>
      </w:pPr>
      <w:r>
        <w:rPr>
          <w:b/>
          <w:bCs/>
        </w:rPr>
        <w:t xml:space="preserve">Art. 598.</w:t>
      </w:r>
      <w:r>
        <w:t xml:space="preserve"> </w:t>
      </w:r>
      <w:r>
        <w:t xml:space="preserve">Aplica-se às divisões o disposto nos arts. 575 a 578.</w:t>
      </w:r>
    </w:p>
    <w:bookmarkEnd w:id="353"/>
    <w:bookmarkEnd w:id="354"/>
    <w:bookmarkEnd w:id="355"/>
    <w:bookmarkStart w:id="367" w:name="X44a7dc15da1b15dc037d42ed0d3ac24069ef50e"/>
    <w:p>
      <w:pPr>
        <w:pStyle w:val="Heading4"/>
        <w:spacing w:before="80" w:after="40"/>
      </w:pPr>
      <w:r>
        <w:rPr>
          <w:smallCaps/>
          <w:color w:val="2E75B6"/>
        </w:rPr>
        <w:t xml:space="preserve">Capítulo V: da ação de dissolução parcial de sociedade (arts. 599 a 609)</w:t>
      </w:r>
    </w:p>
    <w:bookmarkStart w:id="356" w:name="art.-599"/>
    <w:p>
      <w:pPr>
        <w:pStyle w:val="Heading6"/>
        <w:pBdr>
          <w:left w:val="single" w:sz="36" w:space="4" w:color="2E75B6"/>
        </w:pBdr>
        <w:shd w:val="clear" w:color="auto" w:fill="E3EEF9"/>
        <w:spacing w:before="120" w:after="60"/>
        <w:ind w:left="85"/>
      </w:pPr>
      <w:r>
        <w:rPr>
          <w:i w:val="0"/>
          <w:color w:val="1F3A5F"/>
          <w:sz w:val="22"/>
        </w:rPr>
        <w:t xml:space="preserve">Art. 599</w:t>
      </w:r>
    </w:p>
    <w:p>
      <w:pPr>
        <w:pStyle w:val="FirstParagraph"/>
        <w:keepNext/>
        <w:spacing w:after="60"/>
        <w:jc w:val="both"/>
      </w:pPr>
      <w:r>
        <w:rPr>
          <w:b/>
          <w:bCs/>
        </w:rPr>
        <w:t xml:space="preserve">Art. 599.</w:t>
      </w:r>
      <w:r>
        <w:t xml:space="preserve"> </w:t>
      </w:r>
      <w:r>
        <w:t xml:space="preserve">A ação de dissolução parcial de sociedade pode ter por objeto: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780"/>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objeto da ação e dupla fase</w:t>
            </w:r>
          </w:p>
        </w:tc>
        <w:tc>
          <w:tcPr>
            <w:tcW w:type="dxa" w:w="1655"/>
          </w:tcPr>
          <w:p>
            <w:pPr>
              <w:pStyle w:val="Compact"/>
              <w:spacing w:line="276" w:lineRule="auto" w:before="40" w:after="40"/>
            </w:pPr>
            <w:r>
              <w:rPr>
                <w:rFonts w:ascii="Liberation Sans Narrow" w:hAnsi="Liberation Sans Narrow"/>
                <w:sz w:val="17"/>
              </w:rPr>
              <w:t xml:space="preserve">STJ, REsp 1.954.643, Terceira Turma, relatora Min. Nancy Andrighi, julgado em 15/02/2022, DJe de 18/02/2022</w:t>
            </w:r>
          </w:p>
        </w:tc>
        <w:tc>
          <w:tcPr>
            <w:tcW w:type="dxa" w:w="1780"/>
          </w:tcPr>
          <w:p>
            <w:pPr>
              <w:pStyle w:val="Compact"/>
              <w:spacing w:line="276" w:lineRule="auto" w:before="40" w:after="40"/>
            </w:pPr>
            <w:r>
              <w:rPr>
                <w:rFonts w:ascii="Liberation Sans Narrow" w:hAnsi="Liberation Sans Narrow"/>
                <w:sz w:val="17"/>
              </w:rPr>
              <w:t xml:space="preserve">Estando cumulados os pedidos de dissolução parcial e de apuração de haveres, a ação compreende duas fases: a primeira aprecia se é o caso de decretar a dissolução; a segunda apura os valores devidos ao sócio retirante ou excluído, pelo procedimento de liquidação dos arts. 604 a 609.</w:t>
            </w:r>
          </w:p>
        </w:tc>
      </w:tr>
    </w:tbl>
    <w:p>
      <w:pPr>
        <w:pStyle w:val="BodyText"/>
        <w:keepNext/>
        <w:spacing w:after="60"/>
        <w:jc w:val="both"/>
      </w:pPr>
      <w:r>
        <w:t xml:space="preserve">I - a resolução da sociedade empresária contratual ou simples em relação ao sócio falecido, excluído ou que exerceu o direito de retirada ou recesso; 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2154"/>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Inciso I — notificação prévia de retirada</w:t>
            </w:r>
          </w:p>
        </w:tc>
        <w:tc>
          <w:tcPr>
            <w:tcW w:type="dxa" w:w="1531"/>
          </w:tcPr>
          <w:p>
            <w:pPr>
              <w:pStyle w:val="Compact"/>
              <w:spacing w:line="276" w:lineRule="auto" w:before="40" w:after="40"/>
            </w:pPr>
            <w:r>
              <w:rPr>
                <w:rFonts w:ascii="Liberation Sans Narrow" w:hAnsi="Liberation Sans Narrow"/>
                <w:sz w:val="17"/>
              </w:rPr>
              <w:t xml:space="preserve">STJ, AREsp 2.227.489, Quarta Turma, relator Min. Raul Araújo, julgado em 11/05/2026</w:t>
            </w:r>
          </w:p>
        </w:tc>
        <w:tc>
          <w:tcPr>
            <w:tcW w:type="dxa" w:w="2154"/>
          </w:tcPr>
          <w:p>
            <w:pPr>
              <w:pStyle w:val="Compact"/>
              <w:spacing w:line="276" w:lineRule="auto" w:before="40" w:after="40"/>
            </w:pPr>
            <w:r>
              <w:rPr>
                <w:rFonts w:ascii="Liberation Sans Narrow" w:hAnsi="Liberation Sans Narrow"/>
                <w:sz w:val="17"/>
              </w:rPr>
              <w:t xml:space="preserve">A ação de dissolução parcial fundada na retirada imotivada de sócio exige o prévio e regular exercício do direito de retirada, mediante notificação aos demais sócios com antecedência mínima de sessenta dias (art. 1.029 do Código Civil), pressuposto de constituição e desenvolvimento válido do processo (arts. 599, I, e 600, IV).</w:t>
            </w:r>
          </w:p>
        </w:tc>
      </w:tr>
    </w:tbl>
    <w:p>
      <w:pPr>
        <w:pStyle w:val="BodyText"/>
        <w:spacing w:after="60"/>
        <w:jc w:val="both"/>
      </w:pPr>
      <w:r>
        <w:t xml:space="preserve">II - a apuração dos haveres do sócio falecido, excluído ou que exerceu o direito de retirada ou recesso; ou</w:t>
      </w:r>
    </w:p>
    <w:p>
      <w:pPr>
        <w:pStyle w:val="BodyText"/>
        <w:spacing w:after="60"/>
        <w:jc w:val="both"/>
      </w:pPr>
      <w:r>
        <w:t xml:space="preserve">III - somente a resolução ou a apuração de haveres.</w:t>
      </w:r>
    </w:p>
    <w:p>
      <w:pPr>
        <w:pStyle w:val="BodyText"/>
        <w:spacing w:after="60"/>
        <w:jc w:val="both"/>
      </w:pPr>
      <w:r>
        <w:t xml:space="preserve">§ 1º A petição inicial será necessariamente instruída com o contrato social consolidado.</w:t>
      </w:r>
    </w:p>
    <w:p>
      <w:pPr>
        <w:pStyle w:val="BodyText"/>
        <w:spacing w:after="60"/>
        <w:jc w:val="both"/>
      </w:pPr>
      <w:r>
        <w:t xml:space="preserve">§ 2º A ação de dissolução parcial de sociedade pode ter também por objeto a sociedade anônima de capital fechado quando demonstrado, por acionista ou acionistas que representem cinco por cento ou mais do capital social, que não pode preencher o seu fim.</w:t>
      </w:r>
    </w:p>
    <w:bookmarkEnd w:id="356"/>
    <w:bookmarkStart w:id="357" w:name="art.-600"/>
    <w:p>
      <w:pPr>
        <w:pStyle w:val="Heading6"/>
        <w:pBdr>
          <w:left w:val="single" w:sz="36" w:space="4" w:color="2E75B6"/>
        </w:pBdr>
        <w:shd w:val="clear" w:color="auto" w:fill="E3EEF9"/>
        <w:spacing w:before="120" w:after="60"/>
        <w:ind w:left="85"/>
      </w:pPr>
      <w:r>
        <w:rPr>
          <w:i w:val="0"/>
          <w:color w:val="1F3A5F"/>
          <w:sz w:val="22"/>
        </w:rPr>
        <w:t xml:space="preserve">Art. 600</w:t>
      </w:r>
    </w:p>
    <w:p>
      <w:pPr>
        <w:pStyle w:val="FirstParagraph"/>
        <w:spacing w:after="60"/>
        <w:jc w:val="both"/>
      </w:pPr>
      <w:r>
        <w:rPr>
          <w:b/>
          <w:bCs/>
        </w:rPr>
        <w:t xml:space="preserve">Art. 600.</w:t>
      </w:r>
      <w:r>
        <w:t xml:space="preserve"> </w:t>
      </w:r>
      <w:r>
        <w:t xml:space="preserve">A ação pode ser proposta:</w:t>
      </w:r>
    </w:p>
    <w:p>
      <w:pPr>
        <w:pStyle w:val="BodyText"/>
        <w:spacing w:after="60"/>
        <w:jc w:val="both"/>
      </w:pPr>
      <w:r>
        <w:t xml:space="preserve">I - pelo espólio do sócio falecido, quando a totalidade dos sucessores não ingressar na sociedade;</w:t>
      </w:r>
    </w:p>
    <w:p>
      <w:pPr>
        <w:pStyle w:val="BodyText"/>
        <w:spacing w:after="60"/>
        <w:jc w:val="both"/>
      </w:pPr>
      <w:r>
        <w:t xml:space="preserve">II - pelos sucessores, após concluída a partilha do sócio falecido;</w:t>
      </w:r>
    </w:p>
    <w:p>
      <w:pPr>
        <w:pStyle w:val="BodyText"/>
        <w:spacing w:after="60"/>
        <w:jc w:val="both"/>
      </w:pPr>
      <w:r>
        <w:t xml:space="preserve">III - pela sociedade, se os sócios sobreviventes não admitirem o ingresso do espólio ou dos sucessores do falecido na sociedade, quando esse direito decorrer do contrato social;</w:t>
      </w:r>
    </w:p>
    <w:p>
      <w:pPr>
        <w:pStyle w:val="BodyText"/>
        <w:spacing w:after="60"/>
        <w:jc w:val="both"/>
      </w:pPr>
      <w:r>
        <w:t xml:space="preserve">IV - pelo sócio que exerceu o direito de retirada ou recesso, se não tiver sido providenciada, pelos demais sócios, a alteração contratual consensual formalizando o desligamento, depois de transcorridos 10 (dez) dias do exercício do direito;</w:t>
      </w:r>
    </w:p>
    <w:p>
      <w:pPr>
        <w:pStyle w:val="BodyText"/>
        <w:keepNext/>
        <w:spacing w:after="60"/>
        <w:jc w:val="both"/>
      </w:pPr>
      <w:r>
        <w:t xml:space="preserve">V - pela sociedade, nos casos em que a lei não autoriza a exclusão extrajudicial; ou</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2029"/>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Inciso V: legitimidade ativa da sociedade e exclusão de sócio por falta grave</w:t>
            </w:r>
          </w:p>
        </w:tc>
        <w:tc>
          <w:tcPr>
            <w:tcW w:type="dxa" w:w="1655"/>
          </w:tcPr>
          <w:p>
            <w:pPr>
              <w:pStyle w:val="Compact"/>
              <w:spacing w:line="276" w:lineRule="auto" w:before="40" w:after="40"/>
            </w:pPr>
            <w:r>
              <w:rPr>
                <w:rFonts w:ascii="Liberation Sans Narrow" w:hAnsi="Liberation Sans Narrow"/>
                <w:sz w:val="17"/>
              </w:rPr>
              <w:t xml:space="preserve">STJ, REsp 2.142.834, Terceira Turma, relator Min. Ricardo Villas Bôas Cueva, julgado em 11/06/2024, DJe de 18/06/2024</w:t>
            </w:r>
          </w:p>
        </w:tc>
        <w:tc>
          <w:tcPr>
            <w:tcW w:type="dxa" w:w="2030"/>
          </w:tcPr>
          <w:p>
            <w:pPr>
              <w:pStyle w:val="Compact"/>
              <w:spacing w:line="276" w:lineRule="auto" w:before="40" w:after="40"/>
            </w:pPr>
            <w:r>
              <w:rPr>
                <w:rFonts w:ascii="Liberation Sans Narrow" w:hAnsi="Liberation Sans Narrow"/>
                <w:sz w:val="17"/>
              </w:rPr>
              <w:t xml:space="preserve">O art. 600, V, reconhece a legitimidade da sociedade para propor a dissolução parcial, o que afasta litisconsórcio ativo necessário com o sócio que não integrou o polo ativo. A quebra da affectio societatis não basta para excluir sócio: exige-se falta grave, configurada, por exemplo, pela retirada de valores do caixa contra a deliberação dos sócios.</w:t>
            </w:r>
          </w:p>
        </w:tc>
      </w:tr>
    </w:tbl>
    <w:p>
      <w:pPr>
        <w:pStyle w:val="BodyText"/>
        <w:spacing w:after="60"/>
        <w:jc w:val="both"/>
      </w:pPr>
      <w:r>
        <w:t xml:space="preserve">VI - pelo sócio excluído.</w:t>
      </w:r>
    </w:p>
    <w:p>
      <w:pPr>
        <w:pStyle w:val="BodyText"/>
        <w:spacing w:after="60"/>
        <w:jc w:val="both"/>
      </w:pPr>
      <w:r>
        <w:t xml:space="preserve">Parágrafo único. O cônjuge ou companheiro do sócio cujo casamento, união estável ou convivência terminou poderá requerer a apuração de seus haveres na sociedade, que serão pagos à conta da quota social titulada por este sócio.</w:t>
      </w:r>
    </w:p>
    <w:bookmarkEnd w:id="357"/>
    <w:bookmarkStart w:id="358" w:name="art.-601"/>
    <w:p>
      <w:pPr>
        <w:pStyle w:val="Heading6"/>
        <w:pBdr>
          <w:left w:val="single" w:sz="36" w:space="4" w:color="2E75B6"/>
        </w:pBdr>
        <w:shd w:val="clear" w:color="auto" w:fill="E3EEF9"/>
        <w:spacing w:before="120" w:after="60"/>
        <w:ind w:left="85"/>
      </w:pPr>
      <w:r>
        <w:rPr>
          <w:i w:val="0"/>
          <w:color w:val="1F3A5F"/>
          <w:sz w:val="22"/>
        </w:rPr>
        <w:t xml:space="preserve">Art. 601</w:t>
      </w:r>
    </w:p>
    <w:p>
      <w:pPr>
        <w:pStyle w:val="FirstParagraph"/>
        <w:spacing w:after="60"/>
        <w:jc w:val="both"/>
      </w:pPr>
      <w:r>
        <w:rPr>
          <w:b/>
          <w:bCs/>
        </w:rPr>
        <w:t xml:space="preserve">Art. 601.</w:t>
      </w:r>
      <w:r>
        <w:t xml:space="preserve"> </w:t>
      </w:r>
      <w:r>
        <w:t xml:space="preserve">Os sócios e a sociedade serão citados para, no prazo de 15 (quinze) dias, concordar com o pedido ou apresentar contestação.</w:t>
      </w:r>
    </w:p>
    <w:p>
      <w:pPr>
        <w:pStyle w:val="BodyText"/>
        <w:spacing w:after="60"/>
        <w:jc w:val="both"/>
      </w:pPr>
      <w:r>
        <w:t xml:space="preserve">Parágrafo único. A sociedade não será citada se todos os seus sócios o forem, mas ficará sujeita aos efeitos da decisão e à coisa julgada.</w:t>
      </w:r>
    </w:p>
    <w:bookmarkEnd w:id="358"/>
    <w:bookmarkStart w:id="359" w:name="art.-602"/>
    <w:p>
      <w:pPr>
        <w:pStyle w:val="Heading6"/>
        <w:pBdr>
          <w:left w:val="single" w:sz="36" w:space="4" w:color="2E75B6"/>
        </w:pBdr>
        <w:shd w:val="clear" w:color="auto" w:fill="E3EEF9"/>
        <w:spacing w:before="120" w:after="60"/>
        <w:ind w:left="85"/>
      </w:pPr>
      <w:r>
        <w:rPr>
          <w:i w:val="0"/>
          <w:color w:val="1F3A5F"/>
          <w:sz w:val="22"/>
        </w:rPr>
        <w:t xml:space="preserve">Art. 602</w:t>
      </w:r>
    </w:p>
    <w:p>
      <w:pPr>
        <w:pStyle w:val="FirstParagraph"/>
        <w:spacing w:after="60"/>
        <w:jc w:val="both"/>
      </w:pPr>
      <w:r>
        <w:rPr>
          <w:b/>
          <w:bCs/>
        </w:rPr>
        <w:t xml:space="preserve">Art. 602.</w:t>
      </w:r>
      <w:r>
        <w:t xml:space="preserve"> </w:t>
      </w:r>
      <w:r>
        <w:t xml:space="preserve">A sociedade poderá formular pedido de indenização compensável com o valor dos haveres a apurar.</w:t>
      </w:r>
    </w:p>
    <w:bookmarkEnd w:id="359"/>
    <w:bookmarkStart w:id="360" w:name="art.-603"/>
    <w:p>
      <w:pPr>
        <w:pStyle w:val="Heading6"/>
        <w:pBdr>
          <w:left w:val="single" w:sz="36" w:space="4" w:color="2E75B6"/>
        </w:pBdr>
        <w:shd w:val="clear" w:color="auto" w:fill="E3EEF9"/>
        <w:spacing w:before="120" w:after="60"/>
        <w:ind w:left="85"/>
      </w:pPr>
      <w:r>
        <w:rPr>
          <w:i w:val="0"/>
          <w:color w:val="1F3A5F"/>
          <w:sz w:val="22"/>
        </w:rPr>
        <w:t xml:space="preserve">Art. 603</w:t>
      </w:r>
    </w:p>
    <w:p>
      <w:pPr>
        <w:pStyle w:val="FirstParagraph"/>
        <w:keepNext/>
        <w:spacing w:after="60"/>
        <w:jc w:val="both"/>
      </w:pPr>
      <w:r>
        <w:rPr>
          <w:b/>
          <w:bCs/>
        </w:rPr>
        <w:t xml:space="preserve">Art. 603.</w:t>
      </w:r>
      <w:r>
        <w:t xml:space="preserve"> </w:t>
      </w:r>
      <w:r>
        <w:t xml:space="preserve">Havendo manifestação expressa e unânime pela concordância da dissolução, o juiz a decretará, passando-se imediatamente à fase de liquidação.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natureza da decisão que homologa a transação</w:t>
            </w:r>
          </w:p>
        </w:tc>
        <w:tc>
          <w:tcPr>
            <w:tcW w:type="dxa" w:w="1655"/>
          </w:tcPr>
          <w:p>
            <w:pPr>
              <w:pStyle w:val="Compact"/>
              <w:spacing w:line="276" w:lineRule="auto" w:before="40" w:after="40"/>
            </w:pPr>
            <w:r>
              <w:rPr>
                <w:rFonts w:ascii="Liberation Sans Narrow" w:hAnsi="Liberation Sans Narrow"/>
                <w:sz w:val="17"/>
              </w:rPr>
              <w:t xml:space="preserve">STJ, REsp 1.954.643, Terceira Turma, relatora Min. Nancy Andrighi, julgado em 15/02/2022, DJe de 18/02/2022</w:t>
            </w:r>
          </w:p>
        </w:tc>
        <w:tc>
          <w:tcPr>
            <w:tcW w:type="dxa" w:w="2030"/>
          </w:tcPr>
          <w:p>
            <w:pPr>
              <w:pStyle w:val="Compact"/>
              <w:spacing w:line="276" w:lineRule="auto" w:before="40" w:after="40"/>
            </w:pPr>
            <w:r>
              <w:rPr>
                <w:rFonts w:ascii="Liberation Sans Narrow" w:hAnsi="Liberation Sans Narrow"/>
                <w:sz w:val="17"/>
              </w:rPr>
              <w:t xml:space="preserve">A decisão que decreta a resolução do vínculo societário em relação a um sócio encerra a primeira fase e tem natureza de sentença; a que homologa transação (art. 487, III,</w:t>
            </w:r>
            <w:r>
              <w:rPr>
                <w:rFonts w:ascii="Liberation Sans Narrow" w:hAnsi="Liberation Sans Narrow"/>
                <w:sz w:val="17"/>
              </w:rPr>
              <w:t xml:space="preserve"> </w:t>
            </w:r>
            <w:r>
              <w:rPr>
                <w:rFonts w:ascii="Liberation Sans Narrow" w:hAnsi="Liberation Sans Narrow"/>
                <w:sz w:val="17"/>
              </w:rPr>
              <w:t xml:space="preserve">“b”</w:t>
            </w:r>
            <w:r>
              <w:rPr>
                <w:rFonts w:ascii="Liberation Sans Narrow" w:hAnsi="Liberation Sans Narrow"/>
                <w:sz w:val="17"/>
              </w:rPr>
              <w:t xml:space="preserve">) e põe fim à fase cognitiva com resolução de mérito também é sentença e desafia apelação, sendo erro grosseiro interpor agravo de instrumento, sem fungibilidade.</w:t>
            </w:r>
          </w:p>
        </w:tc>
      </w:tr>
    </w:tbl>
    <w:p>
      <w:pPr>
        <w:pStyle w:val="BodyText"/>
        <w:spacing w:after="60"/>
        <w:jc w:val="both"/>
      </w:pPr>
      <w:r>
        <w:t xml:space="preserve">§ 1º Na hipótese prevista no caput , não haverá condenação em honorários advocatícios de nenhuma das partes, e as custas serão rateadas segundo a participação das partes no capital social.</w:t>
      </w:r>
    </w:p>
    <w:p>
      <w:pPr>
        <w:pStyle w:val="BodyText"/>
        <w:spacing w:after="60"/>
        <w:jc w:val="both"/>
      </w:pPr>
      <w:r>
        <w:t xml:space="preserve">§ 2º Havendo contestação, observar-se-á o procedimento comum, mas a liquidação da sentença seguirá o disposto neste Capítulo.</w:t>
      </w:r>
    </w:p>
    <w:bookmarkEnd w:id="360"/>
    <w:bookmarkStart w:id="361" w:name="art.-604"/>
    <w:p>
      <w:pPr>
        <w:pStyle w:val="Heading6"/>
        <w:pBdr>
          <w:left w:val="single" w:sz="36" w:space="4" w:color="2E75B6"/>
        </w:pBdr>
        <w:shd w:val="clear" w:color="auto" w:fill="E3EEF9"/>
        <w:spacing w:before="120" w:after="60"/>
        <w:ind w:left="85"/>
      </w:pPr>
      <w:r>
        <w:rPr>
          <w:i w:val="0"/>
          <w:color w:val="1F3A5F"/>
          <w:sz w:val="22"/>
        </w:rPr>
        <w:t xml:space="preserve">Art. 604</w:t>
      </w:r>
    </w:p>
    <w:p>
      <w:pPr>
        <w:pStyle w:val="FirstParagraph"/>
        <w:spacing w:after="60"/>
        <w:jc w:val="both"/>
      </w:pPr>
      <w:r>
        <w:rPr>
          <w:b/>
          <w:bCs/>
        </w:rPr>
        <w:t xml:space="preserve">Art. 604.</w:t>
      </w:r>
      <w:r>
        <w:t xml:space="preserve"> </w:t>
      </w:r>
      <w:r>
        <w:t xml:space="preserve">Para apuração dos haveres, o juiz:</w:t>
      </w:r>
    </w:p>
    <w:p>
      <w:pPr>
        <w:pStyle w:val="BodyText"/>
        <w:spacing w:after="60"/>
        <w:jc w:val="both"/>
      </w:pPr>
      <w:r>
        <w:t xml:space="preserve">I - fixará a data da resolução da sociedade;</w:t>
      </w:r>
    </w:p>
    <w:p>
      <w:pPr>
        <w:pStyle w:val="BodyText"/>
        <w:spacing w:after="60"/>
        <w:jc w:val="both"/>
      </w:pPr>
      <w:r>
        <w:t xml:space="preserve">II - definirá o critério de apuração dos haveres à vista do disposto no contrato social; e</w:t>
      </w:r>
    </w:p>
    <w:p>
      <w:pPr>
        <w:pStyle w:val="BodyText"/>
        <w:keepNext/>
        <w:spacing w:after="60"/>
        <w:jc w:val="both"/>
      </w:pPr>
      <w:r>
        <w:t xml:space="preserve">III - nomeará o perito.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780"/>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III — nomeação do perito; dispensa do liquidante</w:t>
            </w:r>
          </w:p>
        </w:tc>
        <w:tc>
          <w:tcPr>
            <w:tcW w:type="dxa" w:w="1655"/>
          </w:tcPr>
          <w:p>
            <w:pPr>
              <w:pStyle w:val="Compact"/>
              <w:spacing w:line="276" w:lineRule="auto" w:before="40" w:after="40"/>
            </w:pPr>
            <w:r>
              <w:rPr>
                <w:rFonts w:ascii="Liberation Sans Narrow" w:hAnsi="Liberation Sans Narrow"/>
                <w:sz w:val="17"/>
              </w:rPr>
              <w:t xml:space="preserve">STJ, REsp 1.557.989, Terceira Turma, relator Min. Ricardo Villas Bôas Cueva, julgado em 17/03/2016, DJe de 31/03/2016</w:t>
            </w:r>
          </w:p>
        </w:tc>
        <w:tc>
          <w:tcPr>
            <w:tcW w:type="dxa" w:w="1780"/>
          </w:tcPr>
          <w:p>
            <w:pPr>
              <w:pStyle w:val="Compact"/>
              <w:spacing w:line="276" w:lineRule="auto" w:before="40" w:after="40"/>
            </w:pPr>
            <w:r>
              <w:rPr>
                <w:rFonts w:ascii="Liberation Sans Narrow" w:hAnsi="Liberation Sans Narrow"/>
                <w:sz w:val="17"/>
              </w:rPr>
              <w:t xml:space="preserve">A nomeação de liquidante só se faz necessária na dissolução total da sociedade, pois suas atribuições ligam-se à gestão do patrimônio social. Na dissolução parcial, em que se apuram apenas os haveres do sócio falecido ou retirante com preservação da atividade, é adequada a nomeação de perito técnico habilitado à perícia contábil do valor da quota-parte.</w:t>
            </w:r>
          </w:p>
        </w:tc>
      </w:tr>
    </w:tbl>
    <w:p>
      <w:pPr>
        <w:pStyle w:val="BodyText"/>
        <w:keepNext/>
        <w:spacing w:after="60"/>
        <w:jc w:val="both"/>
      </w:pPr>
      <w:r>
        <w:t xml:space="preserve">§ 1º O juiz determinará à sociedade ou aos sócios que nela permanecerem que depositem em juízo a parte incontroversa dos haveres devidos.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530"/>
        <w:gridCol w:w="2279"/>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 1º — depósito dos haveres e legitimidade passiva</w:t>
            </w:r>
          </w:p>
        </w:tc>
        <w:tc>
          <w:tcPr>
            <w:tcW w:type="dxa" w:w="1531"/>
          </w:tcPr>
          <w:p>
            <w:pPr>
              <w:pStyle w:val="Compact"/>
              <w:spacing w:line="276" w:lineRule="auto" w:before="40" w:after="40"/>
            </w:pPr>
            <w:r>
              <w:rPr>
                <w:rFonts w:ascii="Liberation Sans Narrow" w:hAnsi="Liberation Sans Narrow"/>
                <w:sz w:val="17"/>
              </w:rPr>
              <w:t xml:space="preserve">STJ, AgInt no REsp 2.125.898, Terceira Turma, relator Min. Moura Ribeiro, DJe de 16/10/2025</w:t>
            </w:r>
          </w:p>
        </w:tc>
        <w:tc>
          <w:tcPr>
            <w:tcW w:type="dxa" w:w="2279"/>
          </w:tcPr>
          <w:p>
            <w:pPr>
              <w:pStyle w:val="Compact"/>
              <w:spacing w:line="276" w:lineRule="auto" w:before="40" w:after="40"/>
            </w:pPr>
            <w:r>
              <w:rPr>
                <w:rFonts w:ascii="Liberation Sans Narrow" w:hAnsi="Liberation Sans Narrow"/>
                <w:sz w:val="17"/>
              </w:rPr>
              <w:t xml:space="preserve">Na dissolução parcial, a legitimidade passiva é da sociedade e dos sócios remanescentes, em litisconsórcio passivo necessário, com responsabilidade solidária pelo pagamento dos haveres; o art. 604, § 1º, ao facultar o depósito tanto à sociedade quanto aos sócios, reforça essa legitimidade, e o título formado sem impugnação não pode ser rediscutido no cumprimento de sentença (preclusão e coisa julgada).</w:t>
            </w:r>
          </w:p>
        </w:tc>
      </w:tr>
    </w:tbl>
    <w:p>
      <w:pPr>
        <w:pStyle w:val="BodyText"/>
        <w:spacing w:after="60"/>
        <w:jc w:val="both"/>
      </w:pPr>
      <w:r>
        <w:t xml:space="preserve">§ 2º O depósito poderá ser, desde logo, levantando pelo ex-sócio, pelo espólio ou pelos sucessores.</w:t>
      </w:r>
    </w:p>
    <w:p>
      <w:pPr>
        <w:pStyle w:val="BodyText"/>
        <w:spacing w:after="60"/>
        <w:jc w:val="both"/>
      </w:pPr>
      <w:r>
        <w:t xml:space="preserve">§ 3º Se o contrato social estabelecer o pagamento dos haveres, será observado o que nele se dispôs no depósito judicial da parte incontroversa.</w:t>
      </w:r>
    </w:p>
    <w:bookmarkEnd w:id="361"/>
    <w:bookmarkStart w:id="362" w:name="art.-605"/>
    <w:p>
      <w:pPr>
        <w:pStyle w:val="Heading6"/>
        <w:pBdr>
          <w:left w:val="single" w:sz="36" w:space="4" w:color="2E75B6"/>
        </w:pBdr>
        <w:shd w:val="clear" w:color="auto" w:fill="E3EEF9"/>
        <w:spacing w:before="120" w:after="60"/>
        <w:ind w:left="85"/>
      </w:pPr>
      <w:r>
        <w:rPr>
          <w:i w:val="0"/>
          <w:color w:val="1F3A5F"/>
          <w:sz w:val="22"/>
        </w:rPr>
        <w:t xml:space="preserve">Art. 605</w:t>
      </w:r>
    </w:p>
    <w:p>
      <w:pPr>
        <w:pStyle w:val="FirstParagraph"/>
        <w:keepNext/>
        <w:spacing w:after="60"/>
        <w:jc w:val="both"/>
      </w:pPr>
      <w:r>
        <w:rPr>
          <w:b/>
          <w:bCs/>
        </w:rPr>
        <w:t xml:space="preserve">Art. 605.</w:t>
      </w:r>
      <w:r>
        <w:t xml:space="preserve"> </w:t>
      </w:r>
      <w:r>
        <w:t xml:space="preserve">A data da resolução da sociedade será:</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655"/>
        <w:gridCol w:w="2029"/>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Morte do sócio: data da resolução da sociedade</w:t>
            </w:r>
          </w:p>
        </w:tc>
        <w:tc>
          <w:tcPr>
            <w:tcW w:type="dxa" w:w="1655"/>
          </w:tcPr>
          <w:p>
            <w:pPr>
              <w:pStyle w:val="Compact"/>
              <w:spacing w:line="276" w:lineRule="auto" w:before="40" w:after="40"/>
            </w:pPr>
            <w:r>
              <w:rPr>
                <w:rFonts w:ascii="Liberation Sans Narrow" w:hAnsi="Liberation Sans Narrow"/>
                <w:sz w:val="17"/>
              </w:rPr>
              <w:t xml:space="preserve">STJ, AREsp 2.882.565, Terceira Turma, relator Min. Ricardo Villas Bôas Cueva, julgado em 01/09/2025, DJEN de 05/09/2025</w:t>
            </w:r>
          </w:p>
        </w:tc>
        <w:tc>
          <w:tcPr>
            <w:tcW w:type="dxa" w:w="2030"/>
          </w:tcPr>
          <w:p>
            <w:pPr>
              <w:pStyle w:val="Compact"/>
              <w:spacing w:line="276" w:lineRule="auto" w:before="40" w:after="40"/>
            </w:pPr>
            <w:r>
              <w:rPr>
                <w:rFonts w:ascii="Liberation Sans Narrow" w:hAnsi="Liberation Sans Narrow"/>
                <w:sz w:val="17"/>
              </w:rPr>
              <w:t xml:space="preserve">Na dissolução parcial por morte do sócio, a data da resolução é a do óbito, salvo critério diverso no contrato social; a partir dela não há distribuição de lucros aos sucessores, só apuração de haveres, com juros e correção se o pagamento atrasar.</w:t>
            </w:r>
          </w:p>
        </w:tc>
      </w:tr>
      <w:tr>
        <w:trPr>
          <w:cantSplit/>
        </w:trPr>
        <w:tc>
          <w:tcPr>
            <w:tcW w:type="dxa" w:w="2030"/>
          </w:tcPr>
          <w:p>
            <w:pPr>
              <w:pStyle w:val="Compact"/>
              <w:spacing w:line="276" w:lineRule="auto" w:before="40" w:after="40"/>
            </w:pPr>
            <w:r>
              <w:rPr>
                <w:rFonts w:ascii="Liberation Sans Narrow" w:hAnsi="Liberation Sans Narrow"/>
                <w:sz w:val="17"/>
              </w:rPr>
              <w:t xml:space="preserve">Retirada do sócio: data de corte, lucros até o desligamento e juros</w:t>
            </w:r>
          </w:p>
        </w:tc>
        <w:tc>
          <w:tcPr>
            <w:tcW w:type="dxa" w:w="1655"/>
          </w:tcPr>
          <w:p>
            <w:pPr>
              <w:pStyle w:val="Compact"/>
              <w:spacing w:line="276" w:lineRule="auto" w:before="40" w:after="40"/>
            </w:pPr>
            <w:r>
              <w:rPr>
                <w:rFonts w:ascii="Liberation Sans Narrow" w:hAnsi="Liberation Sans Narrow"/>
                <w:sz w:val="17"/>
              </w:rPr>
              <w:t xml:space="preserve">STJ, REsp 1.372.139, Quarta Turma, relatora Min. Maria Isabel Gallotti, julgado em 28/02/2023, DJe de 14/03/2023</w:t>
            </w:r>
          </w:p>
        </w:tc>
        <w:tc>
          <w:tcPr>
            <w:tcW w:type="dxa" w:w="2030"/>
          </w:tcPr>
          <w:p>
            <w:pPr>
              <w:pStyle w:val="Compact"/>
              <w:spacing w:line="276" w:lineRule="auto" w:before="40" w:after="40"/>
            </w:pPr>
            <w:r>
              <w:rPr>
                <w:rFonts w:ascii="Liberation Sans Narrow" w:hAnsi="Liberation Sans Narrow"/>
                <w:sz w:val="17"/>
              </w:rPr>
              <w:t xml:space="preserve">A sentença apenas declara a dissolução parcial, de modo que a data de efetiva saída do sócio é o corte da apuração de haveres; até ela, integram os valores devidos todos os lucros ou juros sobre o capital próprio declarados e a remuneração pela administração; depois dela, só correção monetária e juros. Os juros legais correm da citação.</w:t>
            </w:r>
          </w:p>
        </w:tc>
      </w:tr>
      <w:tr>
        <w:trPr>
          <w:cantSplit/>
        </w:trPr>
        <w:tc>
          <w:tcPr>
            <w:tcW w:type="dxa" w:w="2030"/>
          </w:tcPr>
          <w:p>
            <w:pPr>
              <w:pStyle w:val="Compact"/>
              <w:spacing w:line="276" w:lineRule="auto" w:before="40" w:after="40"/>
            </w:pPr>
            <w:r>
              <w:rPr>
                <w:rFonts w:ascii="Liberation Sans Narrow" w:hAnsi="Liberation Sans Narrow"/>
                <w:sz w:val="17"/>
              </w:rPr>
              <w:t xml:space="preserve">Retirada em sociedade por prazo indeterminado: notificação prévia e data-base dos haveres</w:t>
            </w:r>
          </w:p>
        </w:tc>
        <w:tc>
          <w:tcPr>
            <w:tcW w:type="dxa" w:w="1655"/>
          </w:tcPr>
          <w:p>
            <w:pPr>
              <w:pStyle w:val="Compact"/>
              <w:spacing w:line="276" w:lineRule="auto" w:before="40" w:after="40"/>
            </w:pPr>
            <w:r>
              <w:rPr>
                <w:rFonts w:ascii="Liberation Sans Narrow" w:hAnsi="Liberation Sans Narrow"/>
                <w:sz w:val="17"/>
              </w:rPr>
              <w:t xml:space="preserve">STJ, REsp 1.735.360, Terceira Turma, relatora Min. Nancy Andrighi, julgado em 12/03/2019, DJe de 15/03/2019</w:t>
            </w:r>
          </w:p>
        </w:tc>
        <w:tc>
          <w:tcPr>
            <w:tcW w:type="dxa" w:w="2030"/>
          </w:tcPr>
          <w:p>
            <w:pPr>
              <w:pStyle w:val="Compact"/>
              <w:spacing w:line="276" w:lineRule="auto" w:before="40" w:after="40"/>
            </w:pPr>
            <w:r>
              <w:rPr>
                <w:rFonts w:ascii="Liberation Sans Narrow" w:hAnsi="Liberation Sans Narrow"/>
                <w:sz w:val="17"/>
              </w:rPr>
              <w:t xml:space="preserve">Na sociedade limitada por prazo indeterminado, o recesso se exerce por notificação prévia, respeitado o prazo mínimo de sessenta dias; o contrato se resolve em relação ao sócio ao fim desse prazo, que é a data-base para a apuração dos haveres.</w:t>
            </w:r>
          </w:p>
        </w:tc>
      </w:tr>
    </w:tbl>
    <w:p>
      <w:pPr>
        <w:pStyle w:val="BodyText"/>
        <w:spacing w:after="60"/>
        <w:jc w:val="both"/>
      </w:pPr>
      <w:r>
        <w:t xml:space="preserve">I - no caso de falecimento do sócio, a do óbito;</w:t>
      </w:r>
    </w:p>
    <w:p>
      <w:pPr>
        <w:pStyle w:val="BodyText"/>
        <w:spacing w:after="60"/>
        <w:jc w:val="both"/>
      </w:pPr>
      <w:r>
        <w:t xml:space="preserve">II - na retirada imotivada, o sexagésimo dia seguinte ao do recebimento, pela sociedade, da notificação do sócio retirante;</w:t>
      </w:r>
    </w:p>
    <w:p>
      <w:pPr>
        <w:pStyle w:val="BodyText"/>
        <w:spacing w:after="60"/>
        <w:jc w:val="both"/>
      </w:pPr>
      <w:r>
        <w:t xml:space="preserve">III - no recesso, o dia do recebimento, pela sociedade, da notificação do sócio dissidente;</w:t>
      </w:r>
    </w:p>
    <w:p>
      <w:pPr>
        <w:pStyle w:val="BodyText"/>
        <w:spacing w:after="60"/>
        <w:jc w:val="both"/>
      </w:pPr>
      <w:r>
        <w:t xml:space="preserve">IV - na retirada por justa causa de sociedade por prazo determinado e na exclusão judicial de sócio, a do trânsito em julgado da decisão que dissolver a sociedade; e</w:t>
      </w:r>
    </w:p>
    <w:p>
      <w:pPr>
        <w:pStyle w:val="BodyText"/>
        <w:spacing w:after="60"/>
        <w:jc w:val="both"/>
      </w:pPr>
      <w:r>
        <w:t xml:space="preserve">V - na exclusão extrajudicial, a data da assembleia ou da reunião de sócios que a tiver deliberado.</w:t>
      </w:r>
    </w:p>
    <w:bookmarkEnd w:id="362"/>
    <w:bookmarkStart w:id="363" w:name="art.-606"/>
    <w:p>
      <w:pPr>
        <w:pStyle w:val="Heading6"/>
        <w:pBdr>
          <w:left w:val="single" w:sz="36" w:space="4" w:color="2E75B6"/>
        </w:pBdr>
        <w:shd w:val="clear" w:color="auto" w:fill="E3EEF9"/>
        <w:spacing w:before="120" w:after="60"/>
        <w:ind w:left="85"/>
      </w:pPr>
      <w:r>
        <w:rPr>
          <w:i w:val="0"/>
          <w:color w:val="1F3A5F"/>
          <w:sz w:val="22"/>
        </w:rPr>
        <w:t xml:space="preserve">Art. 606</w:t>
      </w:r>
    </w:p>
    <w:p>
      <w:pPr>
        <w:pStyle w:val="FirstParagraph"/>
        <w:keepNext/>
        <w:spacing w:after="60"/>
        <w:jc w:val="both"/>
      </w:pPr>
      <w:r>
        <w:rPr>
          <w:b/>
          <w:bCs/>
        </w:rPr>
        <w:t xml:space="preserve">Art. 606.</w:t>
      </w:r>
      <w:r>
        <w:t xml:space="preserve"> </w:t>
      </w:r>
      <w:r>
        <w:t xml:space="preserve">Em caso de omissão do contrato social, o juiz definirá, como critério de apuração de haveres, o valor patrimonial apurado em balanço de determinação, tomando-se por referência a data da resolução e avaliando-se bens e direitos do ativo, tangíveis e intangíveis, a preço de saída, além do passivo também a ser apurado de igual forma.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2404"/>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Apuração de haveres e balanço não aprovado pelo sócio</w:t>
            </w:r>
          </w:p>
        </w:tc>
        <w:tc>
          <w:tcPr>
            <w:tcW w:type="dxa" w:w="1655"/>
          </w:tcPr>
          <w:p>
            <w:pPr>
              <w:pStyle w:val="Compact"/>
              <w:spacing w:line="276" w:lineRule="auto" w:before="40" w:after="40"/>
            </w:pPr>
            <w:r>
              <w:rPr>
                <w:rFonts w:ascii="Liberation Sans Narrow" w:hAnsi="Liberation Sans Narrow"/>
                <w:sz w:val="17"/>
              </w:rPr>
              <w:t xml:space="preserve">STF, Súmula 265/STF (aprovada; data de aprovação não informada pelo acervo)</w:t>
            </w:r>
          </w:p>
        </w:tc>
        <w:tc>
          <w:tcPr>
            <w:tcW w:type="dxa" w:w="2404"/>
          </w:tcPr>
          <w:p>
            <w:pPr>
              <w:pStyle w:val="Compact"/>
              <w:spacing w:line="276" w:lineRule="auto" w:before="40" w:after="40"/>
            </w:pPr>
            <w:r>
              <w:rPr>
                <w:rFonts w:ascii="Liberation Sans Narrow" w:hAnsi="Liberation Sans Narrow"/>
                <w:sz w:val="17"/>
              </w:rPr>
              <w:t xml:space="preserve">Na apuração de haveres não prevalece o balanço não aprovado pelo sócio falecido, excluído ou que se retirou.</w:t>
            </w:r>
          </w:p>
        </w:tc>
      </w:tr>
      <w:tr>
        <w:trPr>
          <w:cantSplit/>
        </w:trPr>
        <w:tc>
          <w:tcPr>
            <w:tcW w:type="dxa" w:w="1780"/>
          </w:tcPr>
          <w:p>
            <w:pPr>
              <w:pStyle w:val="Compact"/>
              <w:spacing w:line="276" w:lineRule="auto" w:before="40" w:after="40"/>
            </w:pPr>
            <w:r>
              <w:rPr>
                <w:rFonts w:ascii="Liberation Sans Narrow" w:hAnsi="Liberation Sans Narrow"/>
                <w:sz w:val="17"/>
              </w:rPr>
              <w:t xml:space="preserve">Sociedade prestadora de serviços artísticos: natureza empresária e apuração de haveres</w:t>
            </w:r>
          </w:p>
        </w:tc>
        <w:tc>
          <w:tcPr>
            <w:tcW w:type="dxa" w:w="1655"/>
          </w:tcPr>
          <w:p>
            <w:pPr>
              <w:pStyle w:val="Compact"/>
              <w:spacing w:line="276" w:lineRule="auto" w:before="40" w:after="40"/>
            </w:pPr>
            <w:r>
              <w:rPr>
                <w:rFonts w:ascii="Liberation Sans Narrow" w:hAnsi="Liberation Sans Narrow"/>
                <w:sz w:val="17"/>
              </w:rPr>
              <w:t xml:space="preserve">STJ, REsp 1.892.139, Terceira Turma, relator Min. Ricardo Villas Bôas Cueva, julgado em 08/10/2024, DJe de 11/10/2024</w:t>
            </w:r>
          </w:p>
        </w:tc>
        <w:tc>
          <w:tcPr>
            <w:tcW w:type="dxa" w:w="2404"/>
          </w:tcPr>
          <w:p>
            <w:pPr>
              <w:pStyle w:val="Compact"/>
              <w:spacing w:line="276" w:lineRule="auto" w:before="40" w:after="40"/>
            </w:pPr>
            <w:r>
              <w:rPr>
                <w:rFonts w:ascii="Liberation Sans Narrow" w:hAnsi="Liberation Sans Narrow"/>
                <w:sz w:val="17"/>
              </w:rPr>
              <w:t xml:space="preserve">A distinção entre sociedade empresária e simples depende do objeto social explorado com empresarialidade; a atividade criativa, quando elemento de empresa, qualifica a sociedade como empresária. Na omissão do contrato, a quota do sócio retirante se mede pelo valor patrimonial em balanço de determinação (art. 606), com exclusão das expectativas futuras.</w:t>
            </w:r>
          </w:p>
        </w:tc>
      </w:tr>
      <w:tr>
        <w:trPr>
          <w:cantSplit/>
        </w:trPr>
        <w:tc>
          <w:tcPr>
            <w:tcW w:type="dxa" w:w="1780"/>
          </w:tcPr>
          <w:p>
            <w:pPr>
              <w:pStyle w:val="Compact"/>
              <w:spacing w:line="276" w:lineRule="auto" w:before="40" w:after="40"/>
            </w:pPr>
            <w:r>
              <w:rPr>
                <w:rFonts w:ascii="Liberation Sans Narrow" w:hAnsi="Liberation Sans Narrow"/>
                <w:sz w:val="17"/>
              </w:rPr>
              <w:t xml:space="preserve">Omissão do contrato social: critério patrimonial e balanço de determinação</w:t>
            </w:r>
          </w:p>
        </w:tc>
        <w:tc>
          <w:tcPr>
            <w:tcW w:type="dxa" w:w="1655"/>
          </w:tcPr>
          <w:p>
            <w:pPr>
              <w:pStyle w:val="Compact"/>
              <w:spacing w:line="276" w:lineRule="auto" w:before="40" w:after="40"/>
            </w:pPr>
            <w:r>
              <w:rPr>
                <w:rFonts w:ascii="Liberation Sans Narrow" w:hAnsi="Liberation Sans Narrow"/>
                <w:sz w:val="17"/>
              </w:rPr>
              <w:t xml:space="preserve">STJ, REsp 1.877.331, Terceira Turma, relatora Min. Nancy Andrighi, julgado em 13/04/2021, DJe de 14/05/2021</w:t>
            </w:r>
          </w:p>
        </w:tc>
        <w:tc>
          <w:tcPr>
            <w:tcW w:type="dxa" w:w="2404"/>
          </w:tcPr>
          <w:p>
            <w:pPr>
              <w:pStyle w:val="Compact"/>
              <w:spacing w:line="276" w:lineRule="auto" w:before="40" w:after="40"/>
            </w:pPr>
            <w:r>
              <w:rPr>
                <w:rFonts w:ascii="Liberation Sans Narrow" w:hAnsi="Liberation Sans Narrow"/>
                <w:sz w:val="17"/>
              </w:rPr>
              <w:t xml:space="preserve">Na omissão do contrato social, a apuração de haveres se faz pelo valor patrimonial, mediante balanço de determinação (art. 606, com o art. 1.031 do Código Civil); o legislador, ao eleger essa forma, excluiu a aplicação conjunta do fluxo de caixa descontado, que traduz expectativas futuras.</w:t>
            </w:r>
          </w:p>
        </w:tc>
      </w:tr>
    </w:tbl>
    <w:p>
      <w:pPr>
        <w:pStyle w:val="BodyText"/>
        <w:spacing w:after="60"/>
        <w:jc w:val="both"/>
      </w:pPr>
      <w:r>
        <w:t xml:space="preserve">Parágrafo único. Em todos os casos em que seja necessária a realização de perícia, a nomeação do perito recairá preferencialmente sobre especialista em avaliação de sociedades.</w:t>
      </w:r>
    </w:p>
    <w:bookmarkEnd w:id="363"/>
    <w:bookmarkStart w:id="364" w:name="art.-607"/>
    <w:p>
      <w:pPr>
        <w:pStyle w:val="Heading6"/>
        <w:pBdr>
          <w:left w:val="single" w:sz="36" w:space="4" w:color="2E75B6"/>
        </w:pBdr>
        <w:shd w:val="clear" w:color="auto" w:fill="E3EEF9"/>
        <w:spacing w:before="120" w:after="60"/>
        <w:ind w:left="85"/>
      </w:pPr>
      <w:r>
        <w:rPr>
          <w:i w:val="0"/>
          <w:color w:val="1F3A5F"/>
          <w:sz w:val="22"/>
        </w:rPr>
        <w:t xml:space="preserve">Art. 607</w:t>
      </w:r>
    </w:p>
    <w:p>
      <w:pPr>
        <w:pStyle w:val="FirstParagraph"/>
        <w:spacing w:after="60"/>
        <w:jc w:val="both"/>
      </w:pPr>
      <w:r>
        <w:rPr>
          <w:b/>
          <w:bCs/>
        </w:rPr>
        <w:t xml:space="preserve">Art. 607.</w:t>
      </w:r>
      <w:r>
        <w:t xml:space="preserve"> </w:t>
      </w:r>
      <w:r>
        <w:t xml:space="preserve">A data da resolução e o critério de apuração de haveres podem ser revistos pelo juiz, a pedido da parte, a qualquer tempo antes do início da perícia.</w:t>
      </w:r>
    </w:p>
    <w:bookmarkEnd w:id="364"/>
    <w:bookmarkStart w:id="365" w:name="art.-608"/>
    <w:p>
      <w:pPr>
        <w:pStyle w:val="Heading6"/>
        <w:pBdr>
          <w:left w:val="single" w:sz="36" w:space="4" w:color="2E75B6"/>
        </w:pBdr>
        <w:shd w:val="clear" w:color="auto" w:fill="E3EEF9"/>
        <w:spacing w:before="120" w:after="60"/>
        <w:ind w:left="85"/>
      </w:pPr>
      <w:r>
        <w:rPr>
          <w:i w:val="0"/>
          <w:color w:val="1F3A5F"/>
          <w:sz w:val="22"/>
        </w:rPr>
        <w:t xml:space="preserve">Art. 608</w:t>
      </w:r>
    </w:p>
    <w:p>
      <w:pPr>
        <w:pStyle w:val="FirstParagraph"/>
        <w:spacing w:after="60"/>
        <w:jc w:val="both"/>
      </w:pPr>
      <w:r>
        <w:rPr>
          <w:b/>
          <w:bCs/>
        </w:rPr>
        <w:t xml:space="preserve">Art. 608.</w:t>
      </w:r>
      <w:r>
        <w:t xml:space="preserve"> </w:t>
      </w:r>
      <w:r>
        <w:t xml:space="preserve">Até a data da resolução, integram o valor devido ao ex-sócio, ao espólio ou aos sucessores a participação nos lucros ou os juros sobre o capital próprio declarados pela sociedade e, se for o caso, a remuneração como administrador.</w:t>
      </w:r>
    </w:p>
    <w:p>
      <w:pPr>
        <w:pStyle w:val="BodyText"/>
        <w:keepNext/>
        <w:spacing w:after="60"/>
        <w:jc w:val="both"/>
      </w:pPr>
      <w:r>
        <w:t xml:space="preserve">Parágrafo único. Após a data da resolução, o ex-sócio, o espólio ou os sucessores terão direito apenas à correção monetária dos valores apurados e aos juros contratuais ou legais.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780"/>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531"/>
          </w:tcPr>
          <w:p>
            <w:pPr>
              <w:pStyle w:val="Compact"/>
              <w:spacing w:line="276" w:lineRule="auto" w:before="40" w:after="40"/>
            </w:pPr>
            <w:r>
              <w:rPr>
                <w:rFonts w:ascii="Liberation Sans Narrow" w:hAnsi="Liberation Sans Narrow"/>
                <w:sz w:val="17"/>
              </w:rPr>
              <w:t xml:space="preserve">Parágrafo único — correção monetária e juros após a resolução (aplicação narrada)</w:t>
            </w:r>
          </w:p>
        </w:tc>
        <w:tc>
          <w:tcPr>
            <w:tcW w:type="dxa" w:w="1655"/>
          </w:tcPr>
          <w:p>
            <w:pPr>
              <w:pStyle w:val="Compact"/>
              <w:spacing w:line="276" w:lineRule="auto" w:before="40" w:after="40"/>
            </w:pPr>
            <w:r>
              <w:rPr>
                <w:rFonts w:ascii="Liberation Sans Narrow" w:hAnsi="Liberation Sans Narrow"/>
                <w:sz w:val="17"/>
              </w:rPr>
              <w:t xml:space="preserve">STJ, AREsp 2.882.565, Terceira Turma, relator Min. Ricardo Villas Bôas Cueva, julgado em 01/09/2025, DJEN de 05/09/2025</w:t>
            </w:r>
          </w:p>
        </w:tc>
        <w:tc>
          <w:tcPr>
            <w:tcW w:type="dxa" w:w="1780"/>
          </w:tcPr>
          <w:p>
            <w:pPr>
              <w:pStyle w:val="Compact"/>
              <w:spacing w:line="276" w:lineRule="auto" w:before="40" w:after="40"/>
            </w:pPr>
            <w:r>
              <w:rPr>
                <w:rFonts w:ascii="Liberation Sans Narrow" w:hAnsi="Liberation Sans Narrow"/>
                <w:sz w:val="17"/>
              </w:rPr>
              <w:t xml:space="preserve">Dissolvida a sociedade pela morte do sócio, não cabe mais distribuição de lucros aos sucessores a partir do óbito, mas apenas a apuração dos haveres, com juros e correção monetária se não houver pagamento na data devida. Trecho: “Dissolvida a sociedade em relação ao sócio falecido, já não cabe mais falar, a partir da data do óbito, na distribuição de lucros em favor dos sucessores, mas apenas na apuração dos respectivos haveres, com a incidência de juros e correção monetária se não houver o pagamento na data devida.”</w:t>
            </w:r>
          </w:p>
        </w:tc>
      </w:tr>
    </w:tbl>
    <w:bookmarkEnd w:id="365"/>
    <w:bookmarkStart w:id="366" w:name="art.-609"/>
    <w:p>
      <w:pPr>
        <w:pStyle w:val="Heading6"/>
        <w:pBdr>
          <w:left w:val="single" w:sz="36" w:space="4" w:color="2E75B6"/>
        </w:pBdr>
        <w:shd w:val="clear" w:color="auto" w:fill="E3EEF9"/>
        <w:spacing w:before="120" w:after="60"/>
        <w:ind w:left="85"/>
      </w:pPr>
      <w:r>
        <w:rPr>
          <w:i w:val="0"/>
          <w:color w:val="1F3A5F"/>
          <w:sz w:val="22"/>
        </w:rPr>
        <w:t xml:space="preserve">Art. 609</w:t>
      </w:r>
    </w:p>
    <w:p>
      <w:pPr>
        <w:pStyle w:val="FirstParagraph"/>
        <w:keepNext/>
        <w:spacing w:after="60"/>
        <w:jc w:val="both"/>
      </w:pPr>
      <w:r>
        <w:rPr>
          <w:b/>
          <w:bCs/>
        </w:rPr>
        <w:t xml:space="preserve">Art. 609.</w:t>
      </w:r>
      <w:r>
        <w:t xml:space="preserve"> </w:t>
      </w:r>
      <w:r>
        <w:t xml:space="preserve">Uma vez apurados, os haveres do sócio retirante serão pagos conforme disciplinar o contrato social e, no silêncio deste, nos termos do § 2º do art. 1.031 da Lei nº 10.406, de 10 de janeiro de 2002 (Código Civil).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27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pagamento dos haveres do sócio retirante</w:t>
            </w:r>
          </w:p>
        </w:tc>
        <w:tc>
          <w:tcPr>
            <w:tcW w:type="dxa" w:w="1531"/>
          </w:tcPr>
          <w:p>
            <w:pPr>
              <w:pStyle w:val="Compact"/>
              <w:spacing w:line="276" w:lineRule="auto" w:before="40" w:after="40"/>
            </w:pPr>
            <w:r>
              <w:rPr>
                <w:rFonts w:ascii="Liberation Sans Narrow" w:hAnsi="Liberation Sans Narrow"/>
                <w:sz w:val="17"/>
              </w:rPr>
              <w:t xml:space="preserve">STJ, AgInt no REsp 2.125.898, Terceira Turma, relator Min. Moura Ribeiro</w:t>
            </w:r>
          </w:p>
        </w:tc>
        <w:tc>
          <w:tcPr>
            <w:tcW w:type="dxa" w:w="2279"/>
          </w:tcPr>
          <w:p>
            <w:pPr>
              <w:pStyle w:val="Compact"/>
              <w:spacing w:line="276" w:lineRule="auto" w:before="40" w:after="40"/>
            </w:pPr>
            <w:r>
              <w:rPr>
                <w:rFonts w:ascii="Liberation Sans Narrow" w:hAnsi="Liberation Sans Narrow"/>
                <w:sz w:val="17"/>
              </w:rPr>
              <w:t xml:space="preserve">O pagamento dos haveres ao sócio retirante é devido pela sociedade e pelos sócios remanescentes, em litisconsórcio passivo necessário e responsabilidade solidária; formado o título judicial contra todos, a extensão da responsabilidade patrimonial não pode ser rediscutida no cumprimento de sentença.</w:t>
            </w:r>
          </w:p>
        </w:tc>
      </w:tr>
    </w:tbl>
    <w:bookmarkEnd w:id="366"/>
    <w:bookmarkEnd w:id="367"/>
    <w:bookmarkStart w:id="442" w:name="X4316474c7d09c8f62c294349c41b8ad18526fbd"/>
    <w:p>
      <w:pPr>
        <w:pStyle w:val="Heading4"/>
        <w:spacing w:before="80" w:after="40"/>
      </w:pPr>
      <w:r>
        <w:rPr>
          <w:smallCaps/>
          <w:color w:val="2E75B6"/>
        </w:rPr>
        <w:t xml:space="preserve">Capítulo VI: do inventário e da partilha (arts. 610 a 673)</w:t>
      </w:r>
    </w:p>
    <w:bookmarkStart w:id="373" w:name="X1321a53bee8f6cb383e207ddb157164010ce58b"/>
    <w:p>
      <w:pPr>
        <w:pStyle w:val="Heading5"/>
        <w:spacing w:before="60" w:after="20"/>
      </w:pPr>
      <w:r>
        <w:rPr>
          <w:i/>
          <w:color w:val="595959"/>
        </w:rPr>
        <w:t xml:space="preserve">Seção I: disposições gerais (arts. 610 a 614)</w:t>
      </w:r>
    </w:p>
    <w:bookmarkStart w:id="368" w:name="art.-610"/>
    <w:p>
      <w:pPr>
        <w:pStyle w:val="Heading6"/>
        <w:pBdr>
          <w:left w:val="single" w:sz="36" w:space="4" w:color="2E75B6"/>
        </w:pBdr>
        <w:shd w:val="clear" w:color="auto" w:fill="E3EEF9"/>
        <w:spacing w:before="120" w:after="60"/>
        <w:ind w:left="85"/>
      </w:pPr>
      <w:r>
        <w:rPr>
          <w:i w:val="0"/>
          <w:color w:val="1F3A5F"/>
          <w:sz w:val="22"/>
        </w:rPr>
        <w:t xml:space="preserve">Art. 610</w:t>
      </w:r>
    </w:p>
    <w:p>
      <w:pPr>
        <w:pStyle w:val="FirstParagraph"/>
        <w:spacing w:after="60"/>
        <w:jc w:val="both"/>
      </w:pPr>
      <w:r>
        <w:rPr>
          <w:b/>
          <w:bCs/>
        </w:rPr>
        <w:t xml:space="preserve">Art. 610.</w:t>
      </w:r>
      <w:r>
        <w:t xml:space="preserve"> </w:t>
      </w:r>
      <w:r>
        <w:t xml:space="preserve">Havendo testamento ou interessado incapaz, proceder-se-á ao inventário judicial.</w:t>
      </w:r>
    </w:p>
    <w:p>
      <w:pPr>
        <w:pStyle w:val="BodyText"/>
        <w:keepNext/>
        <w:spacing w:after="60"/>
        <w:jc w:val="both"/>
      </w:pPr>
      <w:r>
        <w:t xml:space="preserve">§ 1º Se todos forem capazes e concordes, o inventário e a partilha poderão ser feitos por escritura pública, a qual constituirá documento hábil para qualquer ato de registro, bem como para levantamento de importância depositada em instituições financeiras.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1905"/>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 1º: inventário extrajudicial havendo testamento</w:t>
            </w:r>
          </w:p>
        </w:tc>
        <w:tc>
          <w:tcPr>
            <w:tcW w:type="dxa" w:w="1655"/>
          </w:tcPr>
          <w:p>
            <w:pPr>
              <w:pStyle w:val="Compact"/>
              <w:spacing w:line="276" w:lineRule="auto" w:before="40" w:after="40"/>
            </w:pPr>
            <w:r>
              <w:rPr>
                <w:rFonts w:ascii="Liberation Sans Narrow" w:hAnsi="Liberation Sans Narrow"/>
                <w:sz w:val="17"/>
              </w:rPr>
              <w:t xml:space="preserve">STJ, REsp 1.808.767, Quarta Turma, relator Min. Luis Felipe Salomão, julgado em 15/10/2019, DJe de 03/12/2019</w:t>
            </w:r>
          </w:p>
        </w:tc>
        <w:tc>
          <w:tcPr>
            <w:tcW w:type="dxa" w:w="1905"/>
          </w:tcPr>
          <w:p>
            <w:pPr>
              <w:pStyle w:val="Compact"/>
              <w:spacing w:line="276" w:lineRule="auto" w:before="40" w:after="40"/>
            </w:pPr>
            <w:r>
              <w:rPr>
                <w:rFonts w:ascii="Liberation Sans Narrow" w:hAnsi="Liberation Sans Narrow"/>
                <w:sz w:val="17"/>
              </w:rPr>
              <w:t xml:space="preserve">É possível o inventário por escritura pública mesmo havendo testamento, se todos os interessados forem capazes e concordes e estiverem assistidos por advogado, desde que o testamento tenha sido previamente registrado judicialmente ou haja autorização expressa do juízo competente (art. 610, caput e § 1º, com os arts. 2.015 e 2.016 do Código Civil).</w:t>
            </w:r>
          </w:p>
        </w:tc>
      </w:tr>
    </w:tbl>
    <w:p>
      <w:pPr>
        <w:pStyle w:val="BodyText"/>
        <w:spacing w:after="60"/>
        <w:jc w:val="both"/>
      </w:pPr>
      <w:r>
        <w:t xml:space="preserve">§ 2 o O tabelião somente lavrará a escritura pública se todas as partes interessadas estiverem assistidas por advogado ou por defensor público, cuja qualificação e assinatura constarão do ato notarial.</w:t>
      </w:r>
    </w:p>
    <w:bookmarkEnd w:id="368"/>
    <w:bookmarkStart w:id="369" w:name="art.-611"/>
    <w:p>
      <w:pPr>
        <w:pStyle w:val="Heading6"/>
        <w:pBdr>
          <w:left w:val="single" w:sz="36" w:space="4" w:color="2E75B6"/>
        </w:pBdr>
        <w:shd w:val="clear" w:color="auto" w:fill="E3EEF9"/>
        <w:spacing w:before="120" w:after="60"/>
        <w:ind w:left="85"/>
      </w:pPr>
      <w:r>
        <w:rPr>
          <w:i w:val="0"/>
          <w:color w:val="1F3A5F"/>
          <w:sz w:val="22"/>
        </w:rPr>
        <w:t xml:space="preserve">Art. 611</w:t>
      </w:r>
    </w:p>
    <w:p>
      <w:pPr>
        <w:pStyle w:val="FirstParagraph"/>
        <w:keepNext/>
        <w:spacing w:after="60"/>
        <w:jc w:val="both"/>
      </w:pPr>
      <w:r>
        <w:rPr>
          <w:b/>
          <w:bCs/>
        </w:rPr>
        <w:t xml:space="preserve">Art. 611.</w:t>
      </w:r>
      <w:r>
        <w:t xml:space="preserve"> </w:t>
      </w:r>
      <w:r>
        <w:t xml:space="preserve">O processo de inventário e de partilha deve ser instaurado dentro de 2 (dois) meses, a contar da abertura da sucessão, ultimando-se nos 12 (doze) meses subsequentes, podendo o juiz prorrogar esses prazos, de ofício ou a requerimento de parte.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2029"/>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Caput — natureza do processo de inventário e inércia do inventariante</w:t>
            </w:r>
          </w:p>
        </w:tc>
        <w:tc>
          <w:tcPr>
            <w:tcW w:type="dxa" w:w="1655"/>
          </w:tcPr>
          <w:p>
            <w:pPr>
              <w:pStyle w:val="Compact"/>
              <w:spacing w:line="276" w:lineRule="auto" w:before="40" w:after="40"/>
            </w:pPr>
            <w:r>
              <w:rPr>
                <w:rFonts w:ascii="Liberation Sans Narrow" w:hAnsi="Liberation Sans Narrow"/>
                <w:sz w:val="17"/>
              </w:rPr>
              <w:t xml:space="preserve">STJ, REsp 1.537.879, Terceira Turma, relator Min. João Otávio de Noronha, julgado em 26/04/2016, DJe de 06/05/2016</w:t>
            </w:r>
          </w:p>
        </w:tc>
        <w:tc>
          <w:tcPr>
            <w:tcW w:type="dxa" w:w="2030"/>
          </w:tcPr>
          <w:p>
            <w:pPr>
              <w:pStyle w:val="Compact"/>
              <w:spacing w:line="276" w:lineRule="auto" w:before="40" w:after="40"/>
            </w:pPr>
            <w:r>
              <w:rPr>
                <w:rFonts w:ascii="Liberation Sans Narrow" w:hAnsi="Liberation Sans Narrow"/>
                <w:sz w:val="17"/>
              </w:rPr>
              <w:t xml:space="preserve">A inércia do inventariante enseja a sua remoção ou o arquivamento dos autos, não a extinção do processo sem julgamento do mérito: o inventário é de interesse público e tem peculiaridades que não se coadunam com a extinção prevista para o processo de conhecimento.</w:t>
            </w:r>
          </w:p>
        </w:tc>
      </w:tr>
    </w:tbl>
    <w:bookmarkEnd w:id="369"/>
    <w:bookmarkStart w:id="370" w:name="art.-612"/>
    <w:p>
      <w:pPr>
        <w:pStyle w:val="Heading6"/>
        <w:pBdr>
          <w:left w:val="single" w:sz="36" w:space="4" w:color="2E75B6"/>
        </w:pBdr>
        <w:shd w:val="clear" w:color="auto" w:fill="E3EEF9"/>
        <w:spacing w:before="120" w:after="60"/>
        <w:ind w:left="85"/>
      </w:pPr>
      <w:r>
        <w:rPr>
          <w:i w:val="0"/>
          <w:color w:val="1F3A5F"/>
          <w:sz w:val="22"/>
        </w:rPr>
        <w:t xml:space="preserve">Art. 612</w:t>
      </w:r>
    </w:p>
    <w:p>
      <w:pPr>
        <w:pStyle w:val="FirstParagraph"/>
        <w:keepNext/>
        <w:spacing w:after="60"/>
        <w:jc w:val="both"/>
      </w:pPr>
      <w:r>
        <w:rPr>
          <w:b/>
          <w:bCs/>
        </w:rPr>
        <w:t xml:space="preserve">Art. 612.</w:t>
      </w:r>
      <w:r>
        <w:t xml:space="preserve"> </w:t>
      </w:r>
      <w:r>
        <w:t xml:space="preserve">O juiz decidirá todas as questões de direito desde que os fatos relevantes estejam provados por documento, só remetendo para as vias ordinárias as questões que dependerem de outras provas.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2029"/>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655"/>
          </w:tcPr>
          <w:p>
            <w:pPr>
              <w:pStyle w:val="Compact"/>
              <w:spacing w:line="276" w:lineRule="auto" w:before="40" w:after="40"/>
            </w:pPr>
            <w:r>
              <w:rPr>
                <w:rFonts w:ascii="Liberation Sans Narrow" w:hAnsi="Liberation Sans Narrow"/>
                <w:sz w:val="17"/>
              </w:rPr>
              <w:t xml:space="preserve">Caput — competência do juízo do inventário e alta indagação</w:t>
            </w:r>
          </w:p>
        </w:tc>
        <w:tc>
          <w:tcPr>
            <w:tcW w:type="dxa" w:w="1655"/>
          </w:tcPr>
          <w:p>
            <w:pPr>
              <w:pStyle w:val="Compact"/>
              <w:spacing w:line="276" w:lineRule="auto" w:before="40" w:after="40"/>
            </w:pPr>
            <w:r>
              <w:rPr>
                <w:rFonts w:ascii="Liberation Sans Narrow" w:hAnsi="Liberation Sans Narrow"/>
                <w:sz w:val="17"/>
              </w:rPr>
              <w:t xml:space="preserve">STJ, AREsp 2.751.613, Quarta Turma, relator Min. Raul Araújo, julgado em 16/03/2026, DJEN de 23/03/2026</w:t>
            </w:r>
          </w:p>
        </w:tc>
        <w:tc>
          <w:tcPr>
            <w:tcW w:type="dxa" w:w="2030"/>
          </w:tcPr>
          <w:p>
            <w:pPr>
              <w:pStyle w:val="Compact"/>
              <w:spacing w:line="276" w:lineRule="auto" w:before="40" w:after="40"/>
            </w:pPr>
            <w:r>
              <w:rPr>
                <w:rFonts w:ascii="Liberation Sans Narrow" w:hAnsi="Liberation Sans Narrow"/>
                <w:sz w:val="17"/>
              </w:rPr>
              <w:t xml:space="preserve">A competência do juízo do inventário limita-se ao exame de questões de direito e de fatos amparados em prova documental suficiente (art. 612); a controvérsia sobre a natureza da posse e a ocorrência de esbulho exige dilação probatória complexa, configura questão de alta indagação e deve ser processada nas vias ordinárias. O espólio tem legitimidade ativa para defender o acervo hereditário, cabendo ao inventariante dativo representá-lo, inclusive contra herdeiros.</w:t>
            </w:r>
          </w:p>
        </w:tc>
      </w:tr>
    </w:tbl>
    <w:bookmarkEnd w:id="370"/>
    <w:bookmarkStart w:id="371" w:name="art.-613"/>
    <w:p>
      <w:pPr>
        <w:pStyle w:val="Heading6"/>
        <w:pBdr>
          <w:left w:val="single" w:sz="36" w:space="4" w:color="2E75B6"/>
        </w:pBdr>
        <w:shd w:val="clear" w:color="auto" w:fill="E3EEF9"/>
        <w:spacing w:before="120" w:after="60"/>
        <w:ind w:left="85"/>
      </w:pPr>
      <w:r>
        <w:rPr>
          <w:i w:val="0"/>
          <w:color w:val="1F3A5F"/>
          <w:sz w:val="22"/>
        </w:rPr>
        <w:t xml:space="preserve">Art. 613</w:t>
      </w:r>
    </w:p>
    <w:p>
      <w:pPr>
        <w:pStyle w:val="FirstParagraph"/>
        <w:keepNext/>
        <w:spacing w:after="60"/>
        <w:jc w:val="both"/>
      </w:pPr>
      <w:r>
        <w:rPr>
          <w:b/>
          <w:bCs/>
        </w:rPr>
        <w:t xml:space="preserve">Art. 613.</w:t>
      </w:r>
      <w:r>
        <w:t xml:space="preserve"> </w:t>
      </w:r>
      <w:r>
        <w:t xml:space="preserve">Até que o inventariante preste o compromisso, continuará o espólio na posse do administrador provisório.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2279"/>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Legitimidade passiva dos herdeiros antes da partilha</w:t>
            </w:r>
          </w:p>
        </w:tc>
        <w:tc>
          <w:tcPr>
            <w:tcW w:type="dxa" w:w="1655"/>
          </w:tcPr>
          <w:p>
            <w:pPr>
              <w:pStyle w:val="Compact"/>
              <w:spacing w:line="276" w:lineRule="auto" w:before="40" w:after="40"/>
            </w:pPr>
            <w:r>
              <w:rPr>
                <w:rFonts w:ascii="Liberation Sans Narrow" w:hAnsi="Liberation Sans Narrow"/>
                <w:sz w:val="17"/>
              </w:rPr>
              <w:t xml:space="preserve">STJ, REsp 2.219.305, Quarta Turma, relator Min. João Otávio de Noronha, julgado em 09/02/2026, DJEN de 13/02/2026</w:t>
            </w:r>
          </w:p>
        </w:tc>
        <w:tc>
          <w:tcPr>
            <w:tcW w:type="dxa" w:w="2279"/>
          </w:tcPr>
          <w:p>
            <w:pPr>
              <w:pStyle w:val="Compact"/>
              <w:spacing w:line="276" w:lineRule="auto" w:before="40" w:after="40"/>
            </w:pPr>
            <w:r>
              <w:rPr>
                <w:rFonts w:ascii="Liberation Sans Narrow" w:hAnsi="Liberation Sans Narrow"/>
                <w:sz w:val="17"/>
              </w:rPr>
              <w:t xml:space="preserve">Até a partilha a herança é um todo unitário, e o espólio, representado pelo inventariante ou pelo administrador provisório (arts. 75, VII, 613 e 614), responde pelas obrigações do falecido; os herdeiros, individualmente, não têm legitimidade passiva na execução antes da abertura do inventário e da partilha.</w:t>
            </w:r>
          </w:p>
        </w:tc>
      </w:tr>
    </w:tbl>
    <w:bookmarkEnd w:id="371"/>
    <w:bookmarkStart w:id="372" w:name="art.-614"/>
    <w:p>
      <w:pPr>
        <w:pStyle w:val="Heading6"/>
        <w:pBdr>
          <w:left w:val="single" w:sz="36" w:space="4" w:color="2E75B6"/>
        </w:pBdr>
        <w:shd w:val="clear" w:color="auto" w:fill="E3EEF9"/>
        <w:spacing w:before="120" w:after="60"/>
        <w:ind w:left="85"/>
      </w:pPr>
      <w:r>
        <w:rPr>
          <w:i w:val="0"/>
          <w:color w:val="1F3A5F"/>
          <w:sz w:val="22"/>
        </w:rPr>
        <w:t xml:space="preserve">Art. 614</w:t>
      </w:r>
    </w:p>
    <w:p>
      <w:pPr>
        <w:pStyle w:val="FirstParagraph"/>
        <w:keepNext/>
        <w:spacing w:after="60"/>
        <w:jc w:val="both"/>
      </w:pPr>
      <w:r>
        <w:rPr>
          <w:b/>
          <w:bCs/>
        </w:rPr>
        <w:t xml:space="preserve">Art. 614.</w:t>
      </w:r>
      <w:r>
        <w:t xml:space="preserve"> </w:t>
      </w:r>
      <w:r>
        <w:t xml:space="preserve">O administrador provisório representa ativa e passivamente o espólio, é obrigado a trazer ao acervo os frutos que desde a abertura da sucessão percebeu, tem direito ao reembolso das despesas necessárias e úteis que fez e responde pelo dano a que, por dolo ou culpa, der causa.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tese</w:t>
            </w:r>
          </w:p>
        </w:tc>
        <w:tc>
          <w:tcPr>
            <w:tcW w:type="dxa" w:w="1531"/>
          </w:tcPr>
          <w:p>
            <w:pPr>
              <w:pStyle w:val="Compact"/>
              <w:spacing w:line="276" w:lineRule="auto" w:before="40" w:after="40"/>
            </w:pPr>
            <w:r>
              <w:rPr>
                <w:rFonts w:ascii="Liberation Sans Narrow" w:hAnsi="Liberation Sans Narrow"/>
                <w:sz w:val="17"/>
              </w:rPr>
              <w:t xml:space="preserve">STJ, REsp 1.938.281, Quarta Turma, relatora Min. Maria Isabel Gallotti, julgado em 30/06/2026</w:t>
            </w:r>
          </w:p>
        </w:tc>
        <w:tc>
          <w:tcPr>
            <w:tcW w:type="dxa" w:w="2030"/>
          </w:tcPr>
          <w:p>
            <w:pPr>
              <w:pStyle w:val="Compact"/>
              <w:spacing w:line="276" w:lineRule="auto" w:before="40" w:after="40"/>
            </w:pPr>
            <w:r>
              <w:rPr>
                <w:rFonts w:ascii="Liberation Sans Narrow" w:hAnsi="Liberation Sans Narrow"/>
                <w:sz w:val="17"/>
              </w:rPr>
              <w:t xml:space="preserve">O espólio deve ser representado em juízo pelo administrador provisório nas hipóteses em que o inventário não tenha sido ajuizado ou não haja inventariante compromissado.</w:t>
            </w:r>
          </w:p>
        </w:tc>
      </w:tr>
    </w:tbl>
    <w:bookmarkEnd w:id="372"/>
    <w:bookmarkEnd w:id="373"/>
    <w:bookmarkStart w:id="376" w:name="X5197a9e4e738c2a5a3fb734af08fd10de84ac07"/>
    <w:p>
      <w:pPr>
        <w:pStyle w:val="Heading5"/>
        <w:spacing w:before="60" w:after="20"/>
      </w:pPr>
      <w:r>
        <w:rPr>
          <w:i/>
          <w:color w:val="595959"/>
        </w:rPr>
        <w:t xml:space="preserve">Seção II: da legitimidade para requerer o inventário (arts. 615 a 616)</w:t>
      </w:r>
    </w:p>
    <w:bookmarkStart w:id="374" w:name="art.-615"/>
    <w:p>
      <w:pPr>
        <w:pStyle w:val="Heading6"/>
        <w:pBdr>
          <w:left w:val="single" w:sz="36" w:space="4" w:color="2E75B6"/>
        </w:pBdr>
        <w:shd w:val="clear" w:color="auto" w:fill="E3EEF9"/>
        <w:spacing w:before="120" w:after="60"/>
        <w:ind w:left="85"/>
      </w:pPr>
      <w:r>
        <w:rPr>
          <w:i w:val="0"/>
          <w:color w:val="1F3A5F"/>
          <w:sz w:val="22"/>
        </w:rPr>
        <w:t xml:space="preserve">Art. 615</w:t>
      </w:r>
    </w:p>
    <w:p>
      <w:pPr>
        <w:pStyle w:val="FirstParagraph"/>
        <w:spacing w:after="60"/>
        <w:jc w:val="both"/>
      </w:pPr>
      <w:r>
        <w:rPr>
          <w:b/>
          <w:bCs/>
        </w:rPr>
        <w:t xml:space="preserve">Art. 615.</w:t>
      </w:r>
      <w:r>
        <w:t xml:space="preserve"> </w:t>
      </w:r>
      <w:r>
        <w:t xml:space="preserve">O requerimento de inventário e de partilha incumbe a quem estiver na posse e na administração do espólio, no prazo estabelecido no art. 611.</w:t>
      </w:r>
    </w:p>
    <w:p>
      <w:pPr>
        <w:pStyle w:val="BodyText"/>
        <w:spacing w:after="60"/>
        <w:jc w:val="both"/>
      </w:pPr>
      <w:r>
        <w:t xml:space="preserve">Parágrafo único. O requerimento será instruído com a certidão de óbito do autor da herança.</w:t>
      </w:r>
    </w:p>
    <w:bookmarkEnd w:id="374"/>
    <w:bookmarkStart w:id="375" w:name="art.-616"/>
    <w:p>
      <w:pPr>
        <w:pStyle w:val="Heading6"/>
        <w:pBdr>
          <w:left w:val="single" w:sz="36" w:space="4" w:color="2E75B6"/>
        </w:pBdr>
        <w:shd w:val="clear" w:color="auto" w:fill="E3EEF9"/>
        <w:spacing w:before="120" w:after="60"/>
        <w:ind w:left="85"/>
      </w:pPr>
      <w:r>
        <w:rPr>
          <w:i w:val="0"/>
          <w:color w:val="1F3A5F"/>
          <w:sz w:val="22"/>
        </w:rPr>
        <w:t xml:space="preserve">Art. 616</w:t>
      </w:r>
    </w:p>
    <w:p>
      <w:pPr>
        <w:pStyle w:val="FirstParagraph"/>
        <w:spacing w:after="60"/>
        <w:jc w:val="both"/>
      </w:pPr>
      <w:r>
        <w:rPr>
          <w:b/>
          <w:bCs/>
        </w:rPr>
        <w:t xml:space="preserve">Art. 616.</w:t>
      </w:r>
      <w:r>
        <w:t xml:space="preserve"> </w:t>
      </w:r>
      <w:r>
        <w:t xml:space="preserve">Têm, contudo, legitimidade concorrente:</w:t>
      </w:r>
    </w:p>
    <w:p>
      <w:pPr>
        <w:pStyle w:val="BodyText"/>
        <w:spacing w:after="60"/>
        <w:jc w:val="both"/>
      </w:pPr>
      <w:r>
        <w:t xml:space="preserve">I - o cônjuge ou companheiro supérstite;</w:t>
      </w:r>
    </w:p>
    <w:p>
      <w:pPr>
        <w:pStyle w:val="BodyText"/>
        <w:spacing w:after="60"/>
        <w:jc w:val="both"/>
      </w:pPr>
      <w:r>
        <w:t xml:space="preserve">II - o herdeiro;</w:t>
      </w:r>
    </w:p>
    <w:p>
      <w:pPr>
        <w:pStyle w:val="BodyText"/>
        <w:spacing w:after="60"/>
        <w:jc w:val="both"/>
      </w:pPr>
      <w:r>
        <w:t xml:space="preserve">III - o legatário;</w:t>
      </w:r>
    </w:p>
    <w:p>
      <w:pPr>
        <w:pStyle w:val="BodyText"/>
        <w:spacing w:after="60"/>
        <w:jc w:val="both"/>
      </w:pPr>
      <w:r>
        <w:t xml:space="preserve">IV - o testamenteiro;</w:t>
      </w:r>
    </w:p>
    <w:p>
      <w:pPr>
        <w:pStyle w:val="BodyText"/>
        <w:spacing w:after="60"/>
        <w:jc w:val="both"/>
      </w:pPr>
      <w:r>
        <w:t xml:space="preserve">V - o cessionário do herdeiro ou do legatário;</w:t>
      </w:r>
    </w:p>
    <w:p>
      <w:pPr>
        <w:pStyle w:val="BodyText"/>
        <w:keepNext/>
        <w:spacing w:after="60"/>
        <w:jc w:val="both"/>
      </w:pPr>
      <w:r>
        <w:t xml:space="preserve">VI - o credor do herdeiro, do legatário ou do autor da herança;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1780"/>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Inciso VI: credor do autor da herança pode requerer o inventário; herdeiros não respondem na execução</w:t>
            </w:r>
          </w:p>
        </w:tc>
        <w:tc>
          <w:tcPr>
            <w:tcW w:type="dxa" w:w="1655"/>
          </w:tcPr>
          <w:p>
            <w:pPr>
              <w:pStyle w:val="Compact"/>
              <w:spacing w:line="276" w:lineRule="auto" w:before="40" w:after="40"/>
            </w:pPr>
            <w:r>
              <w:rPr>
                <w:rFonts w:ascii="Liberation Sans Narrow" w:hAnsi="Liberation Sans Narrow"/>
                <w:sz w:val="17"/>
              </w:rPr>
              <w:t xml:space="preserve">STJ, REsp 2.191.565, Terceira Turma, relatora Min. Nancy Andrighi, julgado em 26/05/2025, DJEN de 29/05/2025</w:t>
            </w:r>
          </w:p>
        </w:tc>
        <w:tc>
          <w:tcPr>
            <w:tcW w:type="dxa" w:w="1780"/>
          </w:tcPr>
          <w:p>
            <w:pPr>
              <w:pStyle w:val="Compact"/>
              <w:spacing w:line="276" w:lineRule="auto" w:before="40" w:after="40"/>
            </w:pPr>
            <w:r>
              <w:rPr>
                <w:rFonts w:ascii="Liberation Sans Narrow" w:hAnsi="Liberation Sans Narrow"/>
                <w:sz w:val="17"/>
              </w:rPr>
              <w:t xml:space="preserve">O espólio, e não os herdeiros, tem legitimidade passiva na execução; o credor do autor da herança tem legitimidade concorrente para requerer a abertura do inventário (art. 616, VI).</w:t>
            </w:r>
          </w:p>
        </w:tc>
      </w:tr>
    </w:tbl>
    <w:p>
      <w:pPr>
        <w:pStyle w:val="BodyText"/>
        <w:spacing w:after="60"/>
        <w:jc w:val="both"/>
      </w:pPr>
      <w:r>
        <w:t xml:space="preserve">VII - o Ministério Público, havendo herdeiros incapazes;</w:t>
      </w:r>
    </w:p>
    <w:p>
      <w:pPr>
        <w:pStyle w:val="BodyText"/>
        <w:spacing w:after="60"/>
        <w:jc w:val="both"/>
      </w:pPr>
      <w:r>
        <w:t xml:space="preserve">VIII - a Fazenda Pública, quando tiver interesse;</w:t>
      </w:r>
    </w:p>
    <w:p>
      <w:pPr>
        <w:pStyle w:val="BodyText"/>
        <w:spacing w:after="60"/>
        <w:jc w:val="both"/>
      </w:pPr>
      <w:r>
        <w:t xml:space="preserve">IX - o administrador judicial da falência do herdeiro, do legatário, do autor da herança ou do cônjuge ou companheiro supérstite.</w:t>
      </w:r>
    </w:p>
    <w:bookmarkEnd w:id="375"/>
    <w:bookmarkEnd w:id="376"/>
    <w:bookmarkStart w:id="386" w:name="X0552c4708e58337a9801745d333ba391cfb9939"/>
    <w:p>
      <w:pPr>
        <w:pStyle w:val="Heading5"/>
        <w:spacing w:before="60" w:after="20"/>
      </w:pPr>
      <w:r>
        <w:rPr>
          <w:i/>
          <w:color w:val="595959"/>
        </w:rPr>
        <w:t xml:space="preserve">Seção III: do inventariante e das primeiras declarações (arts. 617 a 625)</w:t>
      </w:r>
    </w:p>
    <w:bookmarkStart w:id="377" w:name="art.-617"/>
    <w:p>
      <w:pPr>
        <w:pStyle w:val="Heading6"/>
        <w:pBdr>
          <w:left w:val="single" w:sz="36" w:space="4" w:color="2E75B6"/>
        </w:pBdr>
        <w:shd w:val="clear" w:color="auto" w:fill="E3EEF9"/>
        <w:spacing w:before="120" w:after="60"/>
        <w:ind w:left="85"/>
      </w:pPr>
      <w:r>
        <w:rPr>
          <w:i w:val="0"/>
          <w:color w:val="1F3A5F"/>
          <w:sz w:val="22"/>
        </w:rPr>
        <w:t xml:space="preserve">Art. 617</w:t>
      </w:r>
    </w:p>
    <w:p>
      <w:pPr>
        <w:pStyle w:val="FirstParagraph"/>
        <w:keepNext/>
        <w:spacing w:after="60"/>
        <w:jc w:val="both"/>
      </w:pPr>
      <w:r>
        <w:rPr>
          <w:b/>
          <w:bCs/>
        </w:rPr>
        <w:t xml:space="preserve">Art. 617.</w:t>
      </w:r>
      <w:r>
        <w:t xml:space="preserve"> </w:t>
      </w:r>
      <w:r>
        <w:t xml:space="preserve">O juiz nomeará inventariante na seguinte ordem:</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655"/>
        <w:gridCol w:w="2279"/>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Caput — ordem legal e sua flexibilização</w:t>
            </w:r>
          </w:p>
        </w:tc>
        <w:tc>
          <w:tcPr>
            <w:tcW w:type="dxa" w:w="1655"/>
          </w:tcPr>
          <w:p>
            <w:pPr>
              <w:pStyle w:val="Compact"/>
              <w:spacing w:line="276" w:lineRule="auto" w:before="40" w:after="40"/>
            </w:pPr>
            <w:r>
              <w:rPr>
                <w:rFonts w:ascii="Liberation Sans Narrow" w:hAnsi="Liberation Sans Narrow"/>
                <w:sz w:val="17"/>
              </w:rPr>
              <w:t xml:space="preserve">STJ, REsp 2.203.769, Terceira Turma, relator Min. Moura Ribeiro, julgado em 10/06/2025, DJEN de 23/06/2025</w:t>
            </w:r>
          </w:p>
        </w:tc>
        <w:tc>
          <w:tcPr>
            <w:tcW w:type="dxa" w:w="2279"/>
          </w:tcPr>
          <w:p>
            <w:pPr>
              <w:pStyle w:val="Compact"/>
              <w:spacing w:line="276" w:lineRule="auto" w:before="40" w:after="40"/>
            </w:pPr>
            <w:r>
              <w:rPr>
                <w:rFonts w:ascii="Liberation Sans Narrow" w:hAnsi="Liberation Sans Narrow"/>
                <w:sz w:val="17"/>
              </w:rPr>
              <w:t xml:space="preserve">O art. 617 elenca as pessoas que podem ser inventariantes em ordem que, a rigor, deve ser obrigatoriamente seguida pelo juiz; a jurisprudência admite excepcioná-la, sobretudo quando há intensa animosidade entre as partes, hipótese em que é possível a substituição por inventariante dativo. Na espécie, a nomeação do dativo não configurou julgamento extra petita, pois o agravo de instrumento se limitava a afastar o inventariante.</w:t>
            </w:r>
          </w:p>
        </w:tc>
      </w:tr>
    </w:tbl>
    <w:p>
      <w:pPr>
        <w:pStyle w:val="BodyText"/>
        <w:spacing w:after="60"/>
        <w:jc w:val="both"/>
      </w:pPr>
      <w:r>
        <w:t xml:space="preserve">I - o cônjuge ou companheiro sobrevivente, desde que estivesse convivendo com o outro ao tempo da morte deste;</w:t>
      </w:r>
    </w:p>
    <w:p>
      <w:pPr>
        <w:pStyle w:val="BodyText"/>
        <w:spacing w:after="60"/>
        <w:jc w:val="both"/>
      </w:pPr>
      <w:r>
        <w:t xml:space="preserve">II - o herdeiro que se achar na posse e na administração do espólio, se não houver cônjuge ou companheiro sobrevivente ou se estes não puderem ser nomeados;</w:t>
      </w:r>
    </w:p>
    <w:p>
      <w:pPr>
        <w:pStyle w:val="BodyText"/>
        <w:spacing w:after="60"/>
        <w:jc w:val="both"/>
      </w:pPr>
      <w:r>
        <w:t xml:space="preserve">III - qualquer herdeiro, quando nenhum deles estiver na posse e na administração do espólio;</w:t>
      </w:r>
    </w:p>
    <w:p>
      <w:pPr>
        <w:pStyle w:val="BodyText"/>
        <w:spacing w:after="60"/>
        <w:jc w:val="both"/>
      </w:pPr>
      <w:r>
        <w:t xml:space="preserve">IV - o herdeiro menor, por seu representante legal;</w:t>
      </w:r>
    </w:p>
    <w:p>
      <w:pPr>
        <w:pStyle w:val="BodyText"/>
        <w:spacing w:after="60"/>
        <w:jc w:val="both"/>
      </w:pPr>
      <w:r>
        <w:t xml:space="preserve">V - o testamenteiro, se lhe tiver sido confiada a administração do espólio ou se toda a herança estiver distribuída em legados;</w:t>
      </w:r>
    </w:p>
    <w:p>
      <w:pPr>
        <w:pStyle w:val="BodyText"/>
        <w:spacing w:after="60"/>
        <w:jc w:val="both"/>
      </w:pPr>
      <w:r>
        <w:t xml:space="preserve">VI - o cessionário do herdeiro ou do legatário;</w:t>
      </w:r>
    </w:p>
    <w:p>
      <w:pPr>
        <w:pStyle w:val="BodyText"/>
        <w:spacing w:after="60"/>
        <w:jc w:val="both"/>
      </w:pPr>
      <w:r>
        <w:t xml:space="preserve">VII - o inventariante judicial, se houver;</w:t>
      </w:r>
    </w:p>
    <w:p>
      <w:pPr>
        <w:pStyle w:val="BodyText"/>
        <w:keepNext/>
        <w:spacing w:after="60"/>
        <w:jc w:val="both"/>
      </w:pPr>
      <w:r>
        <w:t xml:space="preserve">VIII - pessoa estranha idônea, quando não houver inventariante judicial.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2029"/>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VIII — inventariante dativo: remuneração (tese)</w:t>
            </w:r>
          </w:p>
        </w:tc>
        <w:tc>
          <w:tcPr>
            <w:tcW w:type="dxa" w:w="1655"/>
          </w:tcPr>
          <w:p>
            <w:pPr>
              <w:pStyle w:val="Compact"/>
              <w:spacing w:line="276" w:lineRule="auto" w:before="40" w:after="40"/>
            </w:pPr>
            <w:r>
              <w:rPr>
                <w:rFonts w:ascii="Liberation Sans Narrow" w:hAnsi="Liberation Sans Narrow"/>
                <w:sz w:val="17"/>
              </w:rPr>
              <w:t xml:space="preserve">STJ, AREsp 2.759.674, Quarta Turma, relator Min. João Otávio de Noronha, julgado em 09/02/2026, DJEN de 12/02/2026</w:t>
            </w:r>
          </w:p>
        </w:tc>
        <w:tc>
          <w:tcPr>
            <w:tcW w:type="dxa" w:w="2030"/>
          </w:tcPr>
          <w:p>
            <w:pPr>
              <w:pStyle w:val="Compact"/>
              <w:spacing w:line="276" w:lineRule="auto" w:before="40" w:after="40"/>
            </w:pPr>
            <w:r>
              <w:rPr>
                <w:rFonts w:ascii="Liberation Sans Narrow" w:hAnsi="Liberation Sans Narrow"/>
                <w:sz w:val="17"/>
              </w:rPr>
              <w:t xml:space="preserve">A remuneração do inventariante dativo deve ser arbitrada ao término da inventariança, mediante apreciação equitativa do trabalho realizado, considerando a complexidade, a duração e a extensão das atividades efetivamente desempenhadas, e não previamente em percentual fixo sobre o monte partilhável.</w:t>
            </w:r>
          </w:p>
        </w:tc>
      </w:tr>
    </w:tbl>
    <w:p>
      <w:pPr>
        <w:pStyle w:val="BodyText"/>
        <w:spacing w:after="60"/>
        <w:jc w:val="both"/>
      </w:pPr>
      <w:r>
        <w:t xml:space="preserve">Parágrafo único. O inventariante, intimado da nomeação, prestará, dentro de 5 (cinco) dias, o compromisso de bem e fielmente desempenhar a função.</w:t>
      </w:r>
    </w:p>
    <w:bookmarkEnd w:id="377"/>
    <w:bookmarkStart w:id="378" w:name="art.-618"/>
    <w:p>
      <w:pPr>
        <w:pStyle w:val="Heading6"/>
        <w:pBdr>
          <w:left w:val="single" w:sz="36" w:space="4" w:color="2E75B6"/>
        </w:pBdr>
        <w:shd w:val="clear" w:color="auto" w:fill="E3EEF9"/>
        <w:spacing w:before="120" w:after="60"/>
        <w:ind w:left="85"/>
      </w:pPr>
      <w:r>
        <w:rPr>
          <w:i w:val="0"/>
          <w:color w:val="1F3A5F"/>
          <w:sz w:val="22"/>
        </w:rPr>
        <w:t xml:space="preserve">Art. 618</w:t>
      </w:r>
    </w:p>
    <w:p>
      <w:pPr>
        <w:pStyle w:val="FirstParagraph"/>
        <w:spacing w:after="60"/>
        <w:jc w:val="both"/>
      </w:pPr>
      <w:r>
        <w:rPr>
          <w:b/>
          <w:bCs/>
        </w:rPr>
        <w:t xml:space="preserve">Art. 618.</w:t>
      </w:r>
      <w:r>
        <w:t xml:space="preserve"> </w:t>
      </w:r>
      <w:r>
        <w:t xml:space="preserve">Incumbe ao inventariante:</w:t>
      </w:r>
    </w:p>
    <w:p>
      <w:pPr>
        <w:pStyle w:val="BodyText"/>
        <w:keepNext/>
        <w:spacing w:after="60"/>
        <w:jc w:val="both"/>
      </w:pPr>
      <w:r>
        <w:t xml:space="preserve">I - representar o espólio ativa e passivamente, em juízo ou fora dele, observando-se, quanto ao dativo, o disposto no art. 75, § 1º;</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I — tese</w:t>
            </w:r>
          </w:p>
        </w:tc>
        <w:tc>
          <w:tcPr>
            <w:tcW w:type="dxa" w:w="1655"/>
          </w:tcPr>
          <w:p>
            <w:pPr>
              <w:pStyle w:val="Compact"/>
              <w:spacing w:line="276" w:lineRule="auto" w:before="40" w:after="40"/>
            </w:pPr>
            <w:r>
              <w:rPr>
                <w:rFonts w:ascii="Liberation Sans Narrow" w:hAnsi="Liberation Sans Narrow"/>
                <w:sz w:val="17"/>
              </w:rPr>
              <w:t xml:space="preserve">STJ, REsp 2.042.040, Terceira Turma, relatora Min. Nancy Andrighi, julgado em 21/05/2024, DJe de 24/05/2024</w:t>
            </w:r>
          </w:p>
        </w:tc>
        <w:tc>
          <w:tcPr>
            <w:tcW w:type="dxa" w:w="2030"/>
          </w:tcPr>
          <w:p>
            <w:pPr>
              <w:pStyle w:val="Compact"/>
              <w:spacing w:line="276" w:lineRule="auto" w:before="40" w:after="40"/>
            </w:pPr>
            <w:r>
              <w:rPr>
                <w:rFonts w:ascii="Liberation Sans Narrow" w:hAnsi="Liberation Sans Narrow"/>
                <w:sz w:val="17"/>
              </w:rPr>
              <w:t xml:space="preserve">Como regra, o polo passivo é ocupado apenas pelo espólio, representado pelo inventariante; havendo inventariança dativa, o espólio continua sendo parte e a representação processual passa ao herdeiro ou sucessor, que também participa da ação.</w:t>
            </w:r>
          </w:p>
        </w:tc>
      </w:tr>
    </w:tbl>
    <w:p>
      <w:pPr>
        <w:pStyle w:val="BodyText"/>
        <w:keepNext/>
        <w:spacing w:after="60"/>
        <w:jc w:val="both"/>
      </w:pPr>
      <w:r>
        <w:t xml:space="preserve">II - administrar o espólio, velando-lhe os bens com a mesma diligência que teria se seus fossem;</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2404"/>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II — dever de velar pelos bens do espólio (orientação de aplicação)</w:t>
            </w:r>
          </w:p>
        </w:tc>
        <w:tc>
          <w:tcPr>
            <w:tcW w:type="dxa" w:w="1655"/>
          </w:tcPr>
          <w:p>
            <w:pPr>
              <w:pStyle w:val="Compact"/>
              <w:spacing w:line="276" w:lineRule="auto" w:before="40" w:after="40"/>
            </w:pPr>
            <w:r>
              <w:rPr>
                <w:rFonts w:ascii="Liberation Sans Narrow" w:hAnsi="Liberation Sans Narrow"/>
                <w:sz w:val="17"/>
              </w:rPr>
              <w:t xml:space="preserve">STJ, REsp 1.655.720, Terceira Turma, relatora Min. Nancy Andrighi, julgado em 09/10/2018, DJe de 15/10/2018</w:t>
            </w:r>
          </w:p>
        </w:tc>
        <w:tc>
          <w:tcPr>
            <w:tcW w:type="dxa" w:w="2404"/>
          </w:tcPr>
          <w:p>
            <w:pPr>
              <w:pStyle w:val="Compact"/>
              <w:spacing w:line="276" w:lineRule="auto" w:before="40" w:after="40"/>
            </w:pPr>
            <w:r>
              <w:rPr>
                <w:rFonts w:ascii="Liberation Sans Narrow" w:hAnsi="Liberation Sans Narrow"/>
                <w:sz w:val="17"/>
              </w:rPr>
              <w:t xml:space="preserve">Os atos de disposição, transação ou aplicação de valores pelo inventariante dependem, em regra, de prévia oitiva dos interessados e de autorização judicial (art. 619); excepcionalmente, a exigência é flexibilizada quando o ato visou proteger o patrimônio comum de deterioração irreversível, conduta que se amolda ao dever de velar pelos bens do espólio com a diligência que teria se seus fossem (art. 618, II).</w:t>
            </w:r>
          </w:p>
        </w:tc>
      </w:tr>
    </w:tbl>
    <w:p>
      <w:pPr>
        <w:pStyle w:val="BodyText"/>
        <w:spacing w:after="60"/>
        <w:jc w:val="both"/>
      </w:pPr>
      <w:r>
        <w:t xml:space="preserve">III - prestar as primeiras e as últimas declarações pessoalmente ou por procurador com poderes especiais;</w:t>
      </w:r>
    </w:p>
    <w:p>
      <w:pPr>
        <w:pStyle w:val="BodyText"/>
        <w:spacing w:after="60"/>
        <w:jc w:val="both"/>
      </w:pPr>
      <w:r>
        <w:t xml:space="preserve">IV - exibir em cartório, a qualquer tempo, para exame das partes, os documentos relativos ao espólio;</w:t>
      </w:r>
    </w:p>
    <w:p>
      <w:pPr>
        <w:pStyle w:val="BodyText"/>
        <w:spacing w:after="60"/>
        <w:jc w:val="both"/>
      </w:pPr>
      <w:r>
        <w:t xml:space="preserve">V - juntar aos autos certidão do testamento, se houver;</w:t>
      </w:r>
    </w:p>
    <w:p>
      <w:pPr>
        <w:pStyle w:val="BodyText"/>
        <w:spacing w:after="60"/>
        <w:jc w:val="both"/>
      </w:pPr>
      <w:r>
        <w:t xml:space="preserve">VI - trazer à colação os bens recebidos pelo herdeiro ausente, renunciante ou excluído;</w:t>
      </w:r>
    </w:p>
    <w:p>
      <w:pPr>
        <w:pStyle w:val="BodyText"/>
        <w:spacing w:after="60"/>
        <w:jc w:val="both"/>
      </w:pPr>
      <w:r>
        <w:t xml:space="preserve">VII - prestar contas de sua gestão ao deixar o cargo ou sempre que o juiz lhe determinar;</w:t>
      </w:r>
    </w:p>
    <w:p>
      <w:pPr>
        <w:pStyle w:val="BodyText"/>
        <w:spacing w:after="60"/>
        <w:jc w:val="both"/>
      </w:pPr>
      <w:r>
        <w:t xml:space="preserve">VIII - requerer a declaração de insolvência.</w:t>
      </w:r>
    </w:p>
    <w:bookmarkEnd w:id="378"/>
    <w:bookmarkStart w:id="379" w:name="art.-619"/>
    <w:p>
      <w:pPr>
        <w:pStyle w:val="Heading6"/>
        <w:pBdr>
          <w:left w:val="single" w:sz="36" w:space="4" w:color="2E75B6"/>
        </w:pBdr>
        <w:shd w:val="clear" w:color="auto" w:fill="E3EEF9"/>
        <w:spacing w:before="120" w:after="60"/>
        <w:ind w:left="85"/>
      </w:pPr>
      <w:r>
        <w:rPr>
          <w:i w:val="0"/>
          <w:color w:val="1F3A5F"/>
          <w:sz w:val="22"/>
        </w:rPr>
        <w:t xml:space="preserve">Art. 619</w:t>
      </w:r>
    </w:p>
    <w:p>
      <w:pPr>
        <w:pStyle w:val="FirstParagraph"/>
        <w:keepNext/>
        <w:spacing w:after="60"/>
        <w:jc w:val="both"/>
      </w:pPr>
      <w:r>
        <w:rPr>
          <w:b/>
          <w:bCs/>
        </w:rPr>
        <w:t xml:space="preserve">Art. 619.</w:t>
      </w:r>
      <w:r>
        <w:t xml:space="preserve"> </w:t>
      </w:r>
      <w:r>
        <w:t xml:space="preserve">Incumbe ainda ao inventariante, ouvidos os interessados e com autorização do juiz:</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530"/>
        <w:gridCol w:w="1905"/>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780"/>
          </w:tcPr>
          <w:p>
            <w:pPr>
              <w:pStyle w:val="Compact"/>
              <w:spacing w:line="276" w:lineRule="auto" w:before="40" w:after="40"/>
            </w:pPr>
            <w:r>
              <w:rPr>
                <w:rFonts w:ascii="Liberation Sans Narrow" w:hAnsi="Liberation Sans Narrow"/>
                <w:sz w:val="17"/>
              </w:rPr>
              <w:t xml:space="preserve">caput — oitiva dos interessados e autorização judicial (orientação de aplicação) (aplicação narrada)</w:t>
            </w:r>
          </w:p>
        </w:tc>
        <w:tc>
          <w:tcPr>
            <w:tcW w:type="dxa" w:w="1531"/>
          </w:tcPr>
          <w:p>
            <w:pPr>
              <w:pStyle w:val="Compact"/>
              <w:spacing w:line="276" w:lineRule="auto" w:before="40" w:after="40"/>
            </w:pPr>
            <w:r>
              <w:rPr>
                <w:rFonts w:ascii="Liberation Sans Narrow" w:hAnsi="Liberation Sans Narrow"/>
                <w:sz w:val="17"/>
              </w:rPr>
              <w:t xml:space="preserve">STJ, AgInt no AREsp 3.068.426, Quinta Turma, relatora Min. Daniela Teixeira, julgado em 01/06/2026</w:t>
            </w:r>
          </w:p>
        </w:tc>
        <w:tc>
          <w:tcPr>
            <w:tcW w:type="dxa" w:w="1905"/>
          </w:tcPr>
          <w:p>
            <w:pPr>
              <w:pStyle w:val="Compact"/>
              <w:spacing w:line="276" w:lineRule="auto" w:before="40" w:after="40"/>
            </w:pPr>
            <w:r>
              <w:rPr>
                <w:rFonts w:ascii="Liberation Sans Narrow" w:hAnsi="Liberation Sans Narrow"/>
                <w:sz w:val="17"/>
              </w:rPr>
              <w:t xml:space="preserve">O contrato de arrendamento rural firmado pela inventariante sobre imóvel do espólio, sem a anuência dos coerdeiros e sem autorização judicial, é ineficaz, por extrapolar os poderes de administração do inventariante sobre bem ainda não partilhado. Trecho: “O acórdão recorrido, ao reconhecer a ineficácia do contrato de arrendamento rural celebrado pela inventariante sem anuência de herdeira e sem autorização judicial, por se tratar de ato de oneração que extrapola a mera administração de bens do espólio, aplica entendimento consolidado do STJ segundo o qual:”</w:t>
            </w:r>
          </w:p>
        </w:tc>
      </w:tr>
    </w:tbl>
    <w:p>
      <w:pPr>
        <w:pStyle w:val="BodyText"/>
        <w:keepNext/>
        <w:spacing w:after="60"/>
        <w:jc w:val="both"/>
      </w:pPr>
      <w:r>
        <w:t xml:space="preserve">I - alienar bens de qualquer espécie;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I — orientação de aplicação (aplicação narrada)</w:t>
            </w:r>
          </w:p>
        </w:tc>
        <w:tc>
          <w:tcPr>
            <w:tcW w:type="dxa" w:w="1655"/>
          </w:tcPr>
          <w:p>
            <w:pPr>
              <w:pStyle w:val="Compact"/>
              <w:spacing w:line="276" w:lineRule="auto" w:before="40" w:after="40"/>
            </w:pPr>
            <w:r>
              <w:rPr>
                <w:rFonts w:ascii="Liberation Sans Narrow" w:hAnsi="Liberation Sans Narrow"/>
                <w:sz w:val="17"/>
              </w:rPr>
              <w:t xml:space="preserve">STJ, REsp 2.195.594, Terceira Turma, relatora Min. Nancy Andrighi, julgado em 07/04/2026, DJe de 14/04/2026</w:t>
            </w:r>
          </w:p>
        </w:tc>
        <w:tc>
          <w:tcPr>
            <w:tcW w:type="dxa" w:w="1905"/>
          </w:tcPr>
          <w:p>
            <w:pPr>
              <w:pStyle w:val="Compact"/>
              <w:spacing w:line="276" w:lineRule="auto" w:before="40" w:after="40"/>
            </w:pPr>
            <w:r>
              <w:rPr>
                <w:rFonts w:ascii="Liberation Sans Narrow" w:hAnsi="Liberation Sans Narrow"/>
                <w:sz w:val="17"/>
              </w:rPr>
              <w:t xml:space="preserve">Nos termos do artigo 619, inciso I do CPC, incumbe ao inventariante a alienação de bens do espólio, desde que sejam ouvidos os interessados e que haja autorização judicial para tanto. Trecho: “Nos termos do artigo 619, inciso I do CPC, incumbe ao inventariante a alienação de bens do espólio, desde que sejam ouvidos os interessados e que haja autorização judicial para tanto.”</w:t>
            </w:r>
          </w:p>
        </w:tc>
      </w:tr>
    </w:tbl>
    <w:p>
      <w:pPr>
        <w:pStyle w:val="BodyText"/>
        <w:spacing w:after="60"/>
        <w:jc w:val="both"/>
      </w:pPr>
      <w:r>
        <w:t xml:space="preserve">II - transigir em juízo ou fora dele;</w:t>
      </w:r>
    </w:p>
    <w:p>
      <w:pPr>
        <w:pStyle w:val="BodyText"/>
        <w:spacing w:after="60"/>
        <w:jc w:val="both"/>
      </w:pPr>
      <w:r>
        <w:t xml:space="preserve">III - pagar dívidas do espólio;</w:t>
      </w:r>
    </w:p>
    <w:p>
      <w:pPr>
        <w:pStyle w:val="BodyText"/>
        <w:spacing w:after="60"/>
        <w:jc w:val="both"/>
      </w:pPr>
      <w:r>
        <w:t xml:space="preserve">IV - fazer as despesas necessárias para a conservação e o melhoramento dos bens do espólio.</w:t>
      </w:r>
    </w:p>
    <w:bookmarkEnd w:id="379"/>
    <w:bookmarkStart w:id="380" w:name="art.-620"/>
    <w:p>
      <w:pPr>
        <w:pStyle w:val="Heading6"/>
        <w:pBdr>
          <w:left w:val="single" w:sz="36" w:space="4" w:color="2E75B6"/>
        </w:pBdr>
        <w:shd w:val="clear" w:color="auto" w:fill="E3EEF9"/>
        <w:spacing w:before="120" w:after="60"/>
        <w:ind w:left="85"/>
      </w:pPr>
      <w:r>
        <w:rPr>
          <w:i w:val="0"/>
          <w:color w:val="1F3A5F"/>
          <w:sz w:val="22"/>
        </w:rPr>
        <w:t xml:space="preserve">Art. 620</w:t>
      </w:r>
    </w:p>
    <w:p>
      <w:pPr>
        <w:pStyle w:val="FirstParagraph"/>
        <w:keepNext/>
        <w:spacing w:after="60"/>
        <w:jc w:val="both"/>
      </w:pPr>
      <w:r>
        <w:rPr>
          <w:b/>
          <w:bCs/>
        </w:rPr>
        <w:t xml:space="preserve">Art. 620.</w:t>
      </w:r>
      <w:r>
        <w:t xml:space="preserve"> </w:t>
      </w:r>
      <w:r>
        <w:t xml:space="preserve">Dentro de 20 (vinte) dias contados da data em que prestou o compromisso, o inventariante fará as primeiras declarações, das quais se lavrará termo circunstanciado, assinado pelo juiz, pelo escrivão e pelo inventariante, no qual serão exarados: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1905"/>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Meação do cônjuge sobrevivente: últimas declarações, certidões e levantamento antecipado</w:t>
            </w:r>
          </w:p>
        </w:tc>
        <w:tc>
          <w:tcPr>
            <w:tcW w:type="dxa" w:w="1655"/>
          </w:tcPr>
          <w:p>
            <w:pPr>
              <w:pStyle w:val="Compact"/>
              <w:spacing w:line="276" w:lineRule="auto" w:before="40" w:after="40"/>
            </w:pPr>
            <w:r>
              <w:rPr>
                <w:rFonts w:ascii="Liberation Sans Narrow" w:hAnsi="Liberation Sans Narrow"/>
                <w:sz w:val="17"/>
              </w:rPr>
              <w:t xml:space="preserve">STJ, REsp 2.261.913, Terceira Turma, relatora Min. Nancy Andrighi, julgado em 08/06/2026, DJEN de 11/06/2026</w:t>
            </w:r>
          </w:p>
        </w:tc>
        <w:tc>
          <w:tcPr>
            <w:tcW w:type="dxa" w:w="1905"/>
          </w:tcPr>
          <w:p>
            <w:pPr>
              <w:pStyle w:val="Compact"/>
              <w:spacing w:line="276" w:lineRule="auto" w:before="40" w:after="40"/>
            </w:pPr>
            <w:r>
              <w:rPr>
                <w:rFonts w:ascii="Liberation Sans Narrow" w:hAnsi="Liberation Sans Narrow"/>
                <w:sz w:val="17"/>
              </w:rPr>
              <w:t xml:space="preserve">A meação é direito próprio do cônjuge sobrevivente, fora do acervo hereditário; as exigências de últimas declarações e de certidões negativas, voltadas ao passivo do espólio, não alcançam a meação, e o levantamento antecipado é admitido se demonstradas urgência e necessidade.</w:t>
            </w:r>
          </w:p>
        </w:tc>
      </w:tr>
    </w:tbl>
    <w:p>
      <w:pPr>
        <w:pStyle w:val="BodyText"/>
        <w:spacing w:after="60"/>
        <w:jc w:val="both"/>
      </w:pPr>
      <w:r>
        <w:t xml:space="preserve">I - o nome, o estado, a idade e o domicílio do autor da herança, o dia e o lugar em que faleceu e se deixou testamento;</w:t>
      </w:r>
    </w:p>
    <w:p>
      <w:pPr>
        <w:pStyle w:val="BodyText"/>
        <w:spacing w:after="60"/>
        <w:jc w:val="both"/>
      </w:pPr>
      <w:r>
        <w:t xml:space="preserve">II - o nome, o estado, a idade, o endereço eletrônico e a residência dos herdeiros e, havendo cônjuge ou companheiro supérstite, além dos respectivos dados pessoais, o regime de bens do casamento ou da união estável;</w:t>
      </w:r>
    </w:p>
    <w:p>
      <w:pPr>
        <w:pStyle w:val="BodyText"/>
        <w:spacing w:after="60"/>
        <w:jc w:val="both"/>
      </w:pPr>
      <w:r>
        <w:t xml:space="preserve">III - a qualidade dos herdeiros e o grau de parentesco com o inventariado;</w:t>
      </w:r>
    </w:p>
    <w:p>
      <w:pPr>
        <w:pStyle w:val="BodyText"/>
        <w:spacing w:after="60"/>
        <w:jc w:val="both"/>
      </w:pPr>
      <w:r>
        <w:t xml:space="preserve">IV - a relação completa e individualizada de todos os bens do espólio, inclusive aqueles que devem ser conferidos à colação, e dos bens alheios que nele forem encontrados, descrevendo-se:</w:t>
      </w:r>
    </w:p>
    <w:p>
      <w:pPr>
        <w:pStyle w:val="BodyText"/>
        <w:spacing w:after="60"/>
        <w:jc w:val="both"/>
      </w:pPr>
      <w:r>
        <w:t xml:space="preserve">a) os imóveis, com as suas especificações, nomeadamente local em que se encontram, extensão da área, limites, confrontações, benfeitorias, origem dos títulos, números das matrículas e ônus que os gravam;</w:t>
      </w:r>
    </w:p>
    <w:p>
      <w:pPr>
        <w:pStyle w:val="BodyText"/>
        <w:spacing w:after="60"/>
        <w:jc w:val="both"/>
      </w:pPr>
      <w:r>
        <w:t xml:space="preserve">b) os móveis, com os sinais característicos;</w:t>
      </w:r>
    </w:p>
    <w:p>
      <w:pPr>
        <w:pStyle w:val="BodyText"/>
        <w:spacing w:after="60"/>
        <w:jc w:val="both"/>
      </w:pPr>
      <w:r>
        <w:t xml:space="preserve">c) os semoventes, seu número, suas espécies, suas marcas e seus sinais distintivos;</w:t>
      </w:r>
    </w:p>
    <w:p>
      <w:pPr>
        <w:pStyle w:val="BodyText"/>
        <w:spacing w:after="60"/>
        <w:jc w:val="both"/>
      </w:pPr>
      <w:r>
        <w:t xml:space="preserve">d) o dinheiro, as joias, os objetos de ouro e prata e as pedras preciosas, declarando-se-lhes especificadamente a qualidade, o peso e a importância;</w:t>
      </w:r>
    </w:p>
    <w:p>
      <w:pPr>
        <w:pStyle w:val="BodyText"/>
        <w:spacing w:after="60"/>
        <w:jc w:val="both"/>
      </w:pPr>
      <w:r>
        <w:t xml:space="preserve">e) os títulos da dívida pública, bem como as ações, as quotas e os títulos de sociedade, mencionando-se-lhes o número, o valor e a data;</w:t>
      </w:r>
    </w:p>
    <w:p>
      <w:pPr>
        <w:pStyle w:val="BodyText"/>
        <w:spacing w:after="60"/>
        <w:jc w:val="both"/>
      </w:pPr>
      <w:r>
        <w:t xml:space="preserve">f) as dívidas ativas e passivas, indicando-se-lhes as datas, os títulos, a origem da obrigação e os nomes dos credores e dos devedores;</w:t>
      </w:r>
    </w:p>
    <w:p>
      <w:pPr>
        <w:pStyle w:val="BodyText"/>
        <w:spacing w:after="60"/>
        <w:jc w:val="both"/>
      </w:pPr>
      <w:r>
        <w:t xml:space="preserve">g) direitos e ações;</w:t>
      </w:r>
    </w:p>
    <w:p>
      <w:pPr>
        <w:pStyle w:val="BodyText"/>
        <w:spacing w:after="60"/>
        <w:jc w:val="both"/>
      </w:pPr>
      <w:r>
        <w:t xml:space="preserve">h) o valor corrente de cada um dos bens do espólio.</w:t>
      </w:r>
    </w:p>
    <w:p>
      <w:pPr>
        <w:pStyle w:val="BodyText"/>
        <w:spacing w:after="60"/>
        <w:jc w:val="both"/>
      </w:pPr>
      <w:r>
        <w:t xml:space="preserve">§ 1º O juiz determinará que se proceda:</w:t>
      </w:r>
    </w:p>
    <w:p>
      <w:pPr>
        <w:pStyle w:val="BodyText"/>
        <w:spacing w:after="60"/>
        <w:jc w:val="both"/>
      </w:pPr>
      <w:r>
        <w:t xml:space="preserve">I - ao balanço do estabelecimento, se o autor da herança era empresário individual;</w:t>
      </w:r>
    </w:p>
    <w:p>
      <w:pPr>
        <w:pStyle w:val="BodyText"/>
        <w:spacing w:after="60"/>
        <w:jc w:val="both"/>
      </w:pPr>
      <w:r>
        <w:t xml:space="preserve">II - à apuração de haveres, se o autor da herança era sócio de sociedade que não anônima.</w:t>
      </w:r>
    </w:p>
    <w:p>
      <w:pPr>
        <w:pStyle w:val="BodyText"/>
        <w:spacing w:after="60"/>
        <w:jc w:val="both"/>
      </w:pPr>
      <w:r>
        <w:t xml:space="preserve">§ 2º As declarações podem ser prestadas mediante petição, firmada por procurador com poderes especiais, à qual o termo se reportará.</w:t>
      </w:r>
    </w:p>
    <w:bookmarkEnd w:id="380"/>
    <w:bookmarkStart w:id="381" w:name="art.-621"/>
    <w:p>
      <w:pPr>
        <w:pStyle w:val="Heading6"/>
        <w:pBdr>
          <w:left w:val="single" w:sz="36" w:space="4" w:color="2E75B6"/>
        </w:pBdr>
        <w:shd w:val="clear" w:color="auto" w:fill="E3EEF9"/>
        <w:spacing w:before="120" w:after="60"/>
        <w:ind w:left="85"/>
      </w:pPr>
      <w:r>
        <w:rPr>
          <w:i w:val="0"/>
          <w:color w:val="1F3A5F"/>
          <w:sz w:val="22"/>
        </w:rPr>
        <w:t xml:space="preserve">Art. 621</w:t>
      </w:r>
    </w:p>
    <w:p>
      <w:pPr>
        <w:pStyle w:val="FirstParagraph"/>
        <w:spacing w:after="60"/>
        <w:jc w:val="both"/>
      </w:pPr>
      <w:r>
        <w:rPr>
          <w:b/>
          <w:bCs/>
        </w:rPr>
        <w:t xml:space="preserve">Art. 621.</w:t>
      </w:r>
      <w:r>
        <w:t xml:space="preserve"> </w:t>
      </w:r>
      <w:r>
        <w:t xml:space="preserve">Só se pode arguir sonegação ao inventariante depois de encerrada a descrição dos bens, com a declaração, por ele feita, de não existirem outros por inventariar.</w:t>
      </w:r>
    </w:p>
    <w:bookmarkEnd w:id="381"/>
    <w:bookmarkStart w:id="382" w:name="art.-622"/>
    <w:p>
      <w:pPr>
        <w:pStyle w:val="Heading6"/>
        <w:pBdr>
          <w:left w:val="single" w:sz="36" w:space="4" w:color="2E75B6"/>
        </w:pBdr>
        <w:shd w:val="clear" w:color="auto" w:fill="E3EEF9"/>
        <w:spacing w:before="120" w:after="60"/>
        <w:ind w:left="85"/>
      </w:pPr>
      <w:r>
        <w:rPr>
          <w:i w:val="0"/>
          <w:color w:val="1F3A5F"/>
          <w:sz w:val="22"/>
        </w:rPr>
        <w:t xml:space="preserve">Art. 622</w:t>
      </w:r>
    </w:p>
    <w:p>
      <w:pPr>
        <w:pStyle w:val="FirstParagraph"/>
        <w:spacing w:after="60"/>
        <w:jc w:val="both"/>
      </w:pPr>
      <w:r>
        <w:rPr>
          <w:b/>
          <w:bCs/>
        </w:rPr>
        <w:t xml:space="preserve">Art. 622.</w:t>
      </w:r>
      <w:r>
        <w:t xml:space="preserve"> </w:t>
      </w:r>
      <w:r>
        <w:t xml:space="preserve">O inventariante será removido de ofício ou a requerimento:</w:t>
      </w:r>
    </w:p>
    <w:p>
      <w:pPr>
        <w:pStyle w:val="BodyText"/>
        <w:keepNext/>
        <w:spacing w:after="60"/>
        <w:jc w:val="both"/>
      </w:pPr>
      <w:r>
        <w:t xml:space="preserve">I - se não prestar, no prazo legal, as primeiras ou as últimas declarações;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1905"/>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I — não prestação das declarações no prazo legal</w:t>
            </w:r>
          </w:p>
        </w:tc>
        <w:tc>
          <w:tcPr>
            <w:tcW w:type="dxa" w:w="1531"/>
          </w:tcPr>
          <w:p>
            <w:pPr>
              <w:pStyle w:val="Compact"/>
              <w:spacing w:line="276" w:lineRule="auto" w:before="40" w:after="40"/>
            </w:pPr>
            <w:r>
              <w:rPr>
                <w:rFonts w:ascii="Liberation Sans Narrow" w:hAnsi="Liberation Sans Narrow"/>
                <w:sz w:val="17"/>
              </w:rPr>
              <w:t xml:space="preserve">STJ, AgInt no AREsp 1.414.100, Quarta Turma, relator Min. Raul Araújo, DJe de 08/11/2023</w:t>
            </w:r>
          </w:p>
        </w:tc>
        <w:tc>
          <w:tcPr>
            <w:tcW w:type="dxa" w:w="1905"/>
          </w:tcPr>
          <w:p>
            <w:pPr>
              <w:pStyle w:val="Compact"/>
              <w:spacing w:line="276" w:lineRule="auto" w:before="40" w:after="40"/>
            </w:pPr>
            <w:r>
              <w:rPr>
                <w:rFonts w:ascii="Liberation Sans Narrow" w:hAnsi="Liberation Sans Narrow"/>
                <w:sz w:val="17"/>
              </w:rPr>
              <w:t xml:space="preserve">A ordem de nomeação do inventariante não tem caráter absoluto e pode ser alterada em situação excepcional, com fundadas razões do juiz. O magistrado pode remover o inventariante ao verificar vícios que amparem a medida: no caso, além da animosidade excessiva entre as partes, houve grave omissão consistente em não apresentar as primeiras declarações sete anos após a abertura do inventário, hipótese do art. 622, I.</w:t>
            </w:r>
          </w:p>
        </w:tc>
      </w:tr>
    </w:tbl>
    <w:p>
      <w:pPr>
        <w:pStyle w:val="BodyText"/>
        <w:spacing w:after="60"/>
        <w:jc w:val="both"/>
      </w:pPr>
      <w:r>
        <w:t xml:space="preserve">II - se não der ao inventário andamento regular, se suscitar dúvidas infundadas ou se praticar atos meramente protelatórios;</w:t>
      </w:r>
    </w:p>
    <w:p>
      <w:pPr>
        <w:pStyle w:val="BodyText"/>
        <w:spacing w:after="60"/>
        <w:jc w:val="both"/>
      </w:pPr>
      <w:r>
        <w:t xml:space="preserve">III - se, por culpa sua, bens do espólio se deteriorarem, forem dilapidados ou sofrerem dano;</w:t>
      </w:r>
    </w:p>
    <w:p>
      <w:pPr>
        <w:pStyle w:val="BodyText"/>
        <w:spacing w:after="60"/>
        <w:jc w:val="both"/>
      </w:pPr>
      <w:r>
        <w:t xml:space="preserve">IV - se não defender o espólio nas ações em que for citado, se deixar de cobrar dívidas ativas ou se não promover as medidas necessárias para evitar o perecimento de direitos;</w:t>
      </w:r>
    </w:p>
    <w:p>
      <w:pPr>
        <w:pStyle w:val="BodyText"/>
        <w:spacing w:after="60"/>
        <w:jc w:val="both"/>
      </w:pPr>
      <w:r>
        <w:t xml:space="preserve">V - se não prestar contas ou se as que prestar não forem julgadas boas;</w:t>
      </w:r>
    </w:p>
    <w:p>
      <w:pPr>
        <w:pStyle w:val="BodyText"/>
        <w:spacing w:after="60"/>
        <w:jc w:val="both"/>
      </w:pPr>
      <w:r>
        <w:t xml:space="preserve">VI - se sonegar, ocultar ou desviar bens do espólio.</w:t>
      </w:r>
    </w:p>
    <w:bookmarkEnd w:id="382"/>
    <w:bookmarkStart w:id="383" w:name="art.-623"/>
    <w:p>
      <w:pPr>
        <w:pStyle w:val="Heading6"/>
        <w:pBdr>
          <w:left w:val="single" w:sz="36" w:space="4" w:color="2E75B6"/>
        </w:pBdr>
        <w:shd w:val="clear" w:color="auto" w:fill="E3EEF9"/>
        <w:spacing w:before="120" w:after="60"/>
        <w:ind w:left="85"/>
      </w:pPr>
      <w:r>
        <w:rPr>
          <w:i w:val="0"/>
          <w:color w:val="1F3A5F"/>
          <w:sz w:val="22"/>
        </w:rPr>
        <w:t xml:space="preserve">Art. 623</w:t>
      </w:r>
    </w:p>
    <w:p>
      <w:pPr>
        <w:pStyle w:val="FirstParagraph"/>
        <w:keepNext/>
        <w:spacing w:after="60"/>
        <w:jc w:val="both"/>
      </w:pPr>
      <w:r>
        <w:rPr>
          <w:b/>
          <w:bCs/>
        </w:rPr>
        <w:t xml:space="preserve">Art. 623.</w:t>
      </w:r>
      <w:r>
        <w:t xml:space="preserve"> </w:t>
      </w:r>
      <w:r>
        <w:t xml:space="preserve">Requerida a remoção com fundamento em qualquer dos incisos do art. 622, será intimado o inventariante para, no prazo de 15 (quinze) dias, defender-se e produzir provas.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2029"/>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necessidade do incidente de remoção em autos apartados</w:t>
            </w:r>
          </w:p>
        </w:tc>
        <w:tc>
          <w:tcPr>
            <w:tcW w:type="dxa" w:w="1655"/>
          </w:tcPr>
          <w:p>
            <w:pPr>
              <w:pStyle w:val="Compact"/>
              <w:spacing w:line="276" w:lineRule="auto" w:before="40" w:after="40"/>
            </w:pPr>
            <w:r>
              <w:rPr>
                <w:rFonts w:ascii="Liberation Sans Narrow" w:hAnsi="Liberation Sans Narrow"/>
                <w:sz w:val="17"/>
              </w:rPr>
              <w:t xml:space="preserve">STJ, REsp 2.059.870, Terceira Turma, relatora Min. Nancy Andrighi, julgado em 21/11/2023, DJe de 01/12/2023</w:t>
            </w:r>
          </w:p>
        </w:tc>
        <w:tc>
          <w:tcPr>
            <w:tcW w:type="dxa" w:w="2030"/>
          </w:tcPr>
          <w:p>
            <w:pPr>
              <w:pStyle w:val="Compact"/>
              <w:spacing w:line="276" w:lineRule="auto" w:before="40" w:after="40"/>
            </w:pPr>
            <w:r>
              <w:rPr>
                <w:rFonts w:ascii="Liberation Sans Narrow" w:hAnsi="Liberation Sans Narrow"/>
                <w:sz w:val="17"/>
              </w:rPr>
              <w:t xml:space="preserve">Nos termos do art. 623, caput e parágrafo único, é necessária, em regra, a instauração de incidente de remoção do inventariante, em autos apartados, para garantir o contraditório; a ausência do incidente não gera nulidade quando o herdeiro não chegou a exercer a função e não se demonstrou prejuízo.</w:t>
            </w:r>
          </w:p>
        </w:tc>
      </w:tr>
    </w:tbl>
    <w:p>
      <w:pPr>
        <w:pStyle w:val="BodyText"/>
        <w:spacing w:after="60"/>
        <w:jc w:val="both"/>
      </w:pPr>
      <w:r>
        <w:t xml:space="preserve">Parágrafo único. O incidente da remoção correrá em apenso aos autos do inventário.</w:t>
      </w:r>
    </w:p>
    <w:bookmarkEnd w:id="383"/>
    <w:bookmarkStart w:id="384" w:name="art.-624"/>
    <w:p>
      <w:pPr>
        <w:pStyle w:val="Heading6"/>
        <w:pBdr>
          <w:left w:val="single" w:sz="36" w:space="4" w:color="2E75B6"/>
        </w:pBdr>
        <w:shd w:val="clear" w:color="auto" w:fill="E3EEF9"/>
        <w:spacing w:before="120" w:after="60"/>
        <w:ind w:left="85"/>
      </w:pPr>
      <w:r>
        <w:rPr>
          <w:i w:val="0"/>
          <w:color w:val="1F3A5F"/>
          <w:sz w:val="22"/>
        </w:rPr>
        <w:t xml:space="preserve">Art. 624</w:t>
      </w:r>
    </w:p>
    <w:p>
      <w:pPr>
        <w:pStyle w:val="FirstParagraph"/>
        <w:keepNext/>
        <w:spacing w:after="60"/>
        <w:jc w:val="both"/>
      </w:pPr>
      <w:r>
        <w:rPr>
          <w:b/>
          <w:bCs/>
        </w:rPr>
        <w:t xml:space="preserve">Art. 624.</w:t>
      </w:r>
      <w:r>
        <w:t xml:space="preserve"> </w:t>
      </w:r>
      <w:r>
        <w:t xml:space="preserve">Decorrido o prazo, com a defesa do inventariante ou sem ela, o juiz decidirá.</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2404"/>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655"/>
          </w:tcPr>
          <w:p>
            <w:pPr>
              <w:pStyle w:val="Compact"/>
              <w:spacing w:line="276" w:lineRule="auto" w:before="40" w:after="40"/>
            </w:pPr>
            <w:r>
              <w:rPr>
                <w:rFonts w:ascii="Liberation Sans Narrow" w:hAnsi="Liberation Sans Narrow"/>
                <w:sz w:val="17"/>
              </w:rPr>
              <w:t xml:space="preserve">caput — nulidade por ausência de intimação e prejuízo (orientação de aplicação) (aplicação narrada)</w:t>
            </w:r>
          </w:p>
        </w:tc>
        <w:tc>
          <w:tcPr>
            <w:tcW w:type="dxa" w:w="1655"/>
          </w:tcPr>
          <w:p>
            <w:pPr>
              <w:pStyle w:val="Compact"/>
              <w:spacing w:line="276" w:lineRule="auto" w:before="40" w:after="40"/>
            </w:pPr>
            <w:r>
              <w:rPr>
                <w:rFonts w:ascii="Liberation Sans Narrow" w:hAnsi="Liberation Sans Narrow"/>
                <w:sz w:val="17"/>
              </w:rPr>
              <w:t xml:space="preserve">STJ, REsp 1.549.348, Quarta Turma, relatora Min. Maria Isabel Gallotti, julgado em 09/03/2026, DJEN de 13/03/2026</w:t>
            </w:r>
          </w:p>
        </w:tc>
        <w:tc>
          <w:tcPr>
            <w:tcW w:type="dxa" w:w="2404"/>
          </w:tcPr>
          <w:p>
            <w:pPr>
              <w:pStyle w:val="Compact"/>
              <w:spacing w:line="276" w:lineRule="auto" w:before="40" w:after="40"/>
            </w:pPr>
            <w:r>
              <w:rPr>
                <w:rFonts w:ascii="Liberation Sans Narrow" w:hAnsi="Liberation Sans Narrow"/>
                <w:sz w:val="17"/>
              </w:rPr>
              <w:t xml:space="preserve">A decretação de nulidade dos atos processuais, inclusive por ausência de intimação do inventariante para se defender no incidente de remoção, depende da efetiva demonstração de prejuízo (pas de nullité sans grief), prevalecendo a instrumentalidade das formas. Trecho: “A decretação de nulidade de atos processuais depende da efetiva demonstração do prejuízo (pas de nullité sans grief), por prevalência do princípio da instrumentalidade das formas, o que não foi demonstrado no caso.”</w:t>
            </w:r>
          </w:p>
        </w:tc>
      </w:tr>
    </w:tbl>
    <w:p>
      <w:pPr>
        <w:pStyle w:val="BodyText"/>
        <w:keepNext/>
        <w:spacing w:after="60"/>
        <w:jc w:val="both"/>
      </w:pPr>
      <w:r>
        <w:t xml:space="preserve">Parágrafo único. Se remover o inventariante, o juiz nomeará outro, observada a ordem estabelecida no art. 617.</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Parágrafo único — tese</w:t>
            </w:r>
          </w:p>
        </w:tc>
        <w:tc>
          <w:tcPr>
            <w:tcW w:type="dxa" w:w="1655"/>
          </w:tcPr>
          <w:p>
            <w:pPr>
              <w:pStyle w:val="Compact"/>
              <w:spacing w:line="276" w:lineRule="auto" w:before="40" w:after="40"/>
            </w:pPr>
            <w:r>
              <w:rPr>
                <w:rFonts w:ascii="Liberation Sans Narrow" w:hAnsi="Liberation Sans Narrow"/>
                <w:sz w:val="17"/>
              </w:rPr>
              <w:t xml:space="preserve">STJ, REsp 2.203.769, Terceira Turma, relator Min. Moura Ribeiro, julgado em 10/06/2025, DJEN de 23/06/2025</w:t>
            </w:r>
          </w:p>
        </w:tc>
        <w:tc>
          <w:tcPr>
            <w:tcW w:type="dxa" w:w="1905"/>
          </w:tcPr>
          <w:p>
            <w:pPr>
              <w:pStyle w:val="Compact"/>
              <w:spacing w:line="276" w:lineRule="auto" w:before="40" w:after="40"/>
            </w:pPr>
            <w:r>
              <w:rPr>
                <w:rFonts w:ascii="Liberation Sans Narrow" w:hAnsi="Liberation Sans Narrow"/>
                <w:sz w:val="17"/>
              </w:rPr>
              <w:t xml:space="preserve">A ordem de preferência do art. 617 do CPC pode ser excepcionada quando houver intensa animosidade entre as partes, hipótese que autoriza a nomeação de inventariante dativo.</w:t>
            </w:r>
          </w:p>
        </w:tc>
      </w:tr>
    </w:tbl>
    <w:bookmarkEnd w:id="384"/>
    <w:bookmarkStart w:id="385" w:name="art.-625"/>
    <w:p>
      <w:pPr>
        <w:pStyle w:val="Heading6"/>
        <w:pBdr>
          <w:left w:val="single" w:sz="36" w:space="4" w:color="2E75B6"/>
        </w:pBdr>
        <w:shd w:val="clear" w:color="auto" w:fill="E3EEF9"/>
        <w:spacing w:before="120" w:after="60"/>
        <w:ind w:left="85"/>
      </w:pPr>
      <w:r>
        <w:rPr>
          <w:i w:val="0"/>
          <w:color w:val="1F3A5F"/>
          <w:sz w:val="22"/>
        </w:rPr>
        <w:t xml:space="preserve">Art. 625</w:t>
      </w:r>
    </w:p>
    <w:p>
      <w:pPr>
        <w:pStyle w:val="FirstParagraph"/>
        <w:spacing w:after="60"/>
        <w:jc w:val="both"/>
      </w:pPr>
      <w:r>
        <w:rPr>
          <w:b/>
          <w:bCs/>
        </w:rPr>
        <w:t xml:space="preserve">Art. 625.</w:t>
      </w:r>
      <w:r>
        <w:t xml:space="preserve"> </w:t>
      </w:r>
      <w:r>
        <w:t xml:space="preserve">O inventariante removido entregará imediatamente ao substituto os bens do espólio e, caso deixe de fazê-lo, será compelido mediante mandado de busca e apreensão ou de imissão na posse, conforme se tratar de bem móvel ou imóvel, sem prejuízo da multa a ser fixada pelo juiz em montante não superior a três por cento do valor dos bens inventariados.</w:t>
      </w:r>
    </w:p>
    <w:bookmarkEnd w:id="385"/>
    <w:bookmarkEnd w:id="386"/>
    <w:bookmarkStart w:id="391" w:name="X3c3d8132b991d9a62b44513dc08136ca27bf792"/>
    <w:p>
      <w:pPr>
        <w:pStyle w:val="Heading5"/>
        <w:spacing w:before="60" w:after="20"/>
      </w:pPr>
      <w:r>
        <w:rPr>
          <w:i/>
          <w:color w:val="595959"/>
        </w:rPr>
        <w:t xml:space="preserve">Seção IV: das citações e das impugnações (arts. 626 a 629)</w:t>
      </w:r>
    </w:p>
    <w:bookmarkStart w:id="387" w:name="art.-626"/>
    <w:p>
      <w:pPr>
        <w:pStyle w:val="Heading6"/>
        <w:pBdr>
          <w:left w:val="single" w:sz="36" w:space="4" w:color="2E75B6"/>
        </w:pBdr>
        <w:shd w:val="clear" w:color="auto" w:fill="E3EEF9"/>
        <w:spacing w:before="120" w:after="60"/>
        <w:ind w:left="85"/>
      </w:pPr>
      <w:r>
        <w:rPr>
          <w:i w:val="0"/>
          <w:color w:val="1F3A5F"/>
          <w:sz w:val="22"/>
        </w:rPr>
        <w:t xml:space="preserve">Art. 626</w:t>
      </w:r>
    </w:p>
    <w:p>
      <w:pPr>
        <w:pStyle w:val="FirstParagraph"/>
        <w:spacing w:after="60"/>
        <w:jc w:val="both"/>
      </w:pPr>
      <w:r>
        <w:rPr>
          <w:b/>
          <w:bCs/>
        </w:rPr>
        <w:t xml:space="preserve">Art. 626.</w:t>
      </w:r>
      <w:r>
        <w:t xml:space="preserve"> </w:t>
      </w:r>
      <w:r>
        <w:t xml:space="preserve">Feitas as primeiras declarações, o juiz mandará citar, para os termos do inventário e da partilha, o cônjuge, o companheiro, os herdeiros e os legatários e intimar a Fazenda Pública, o Ministério Público, se houver herdeiro incapaz ou ausente, e o testamenteiro, se houver testamento.</w:t>
      </w:r>
    </w:p>
    <w:p>
      <w:pPr>
        <w:pStyle w:val="BodyText"/>
        <w:spacing w:after="60"/>
        <w:jc w:val="both"/>
      </w:pPr>
      <w:r>
        <w:t xml:space="preserve">§ 1º O cônjuge ou o companheiro, os herdeiros e os legatários serão citados pelo correio, observado o disposto no art. 247, sendo, ainda, publicado edital, nos termos do inciso III do art. 259.</w:t>
      </w:r>
    </w:p>
    <w:p>
      <w:pPr>
        <w:pStyle w:val="BodyText"/>
        <w:spacing w:after="60"/>
        <w:jc w:val="both"/>
      </w:pPr>
      <w:r>
        <w:t xml:space="preserve">§ 2º Das primeiras declarações extrair-se-ão tantas cópias quantas forem as partes.</w:t>
      </w:r>
    </w:p>
    <w:p>
      <w:pPr>
        <w:pStyle w:val="BodyText"/>
        <w:spacing w:after="60"/>
        <w:jc w:val="both"/>
      </w:pPr>
      <w:r>
        <w:t xml:space="preserve">§ 3º A citação será acompanhada de cópia das primeiras declarações.</w:t>
      </w:r>
    </w:p>
    <w:p>
      <w:pPr>
        <w:pStyle w:val="BodyText"/>
        <w:spacing w:after="60"/>
        <w:jc w:val="both"/>
      </w:pPr>
      <w:r>
        <w:t xml:space="preserve">§ 4º Incumbe ao escrivão remeter cópias à Fazenda Pública, ao Ministério Público, ao testamenteiro, se houver, e ao advogado, se a parte já estiver representada nos autos.</w:t>
      </w:r>
    </w:p>
    <w:bookmarkEnd w:id="387"/>
    <w:bookmarkStart w:id="388" w:name="art.-627"/>
    <w:p>
      <w:pPr>
        <w:pStyle w:val="Heading6"/>
        <w:pBdr>
          <w:left w:val="single" w:sz="36" w:space="4" w:color="2E75B6"/>
        </w:pBdr>
        <w:shd w:val="clear" w:color="auto" w:fill="E3EEF9"/>
        <w:spacing w:before="120" w:after="60"/>
        <w:ind w:left="85"/>
      </w:pPr>
      <w:r>
        <w:rPr>
          <w:i w:val="0"/>
          <w:color w:val="1F3A5F"/>
          <w:sz w:val="22"/>
        </w:rPr>
        <w:t xml:space="preserve">Art. 627</w:t>
      </w:r>
    </w:p>
    <w:p>
      <w:pPr>
        <w:pStyle w:val="FirstParagraph"/>
        <w:spacing w:after="60"/>
        <w:jc w:val="both"/>
      </w:pPr>
      <w:r>
        <w:rPr>
          <w:b/>
          <w:bCs/>
        </w:rPr>
        <w:t xml:space="preserve">Art. 627.</w:t>
      </w:r>
      <w:r>
        <w:t xml:space="preserve"> </w:t>
      </w:r>
      <w:r>
        <w:t xml:space="preserve">Concluídas as citações, abrir-se-á vista às partes, em cartório e pelo prazo comum de 15 (quinze) dias, para que se manifestem sobre as primeiras declarações, incumbindo às partes:</w:t>
      </w:r>
    </w:p>
    <w:p>
      <w:pPr>
        <w:pStyle w:val="BodyText"/>
        <w:spacing w:after="60"/>
        <w:jc w:val="both"/>
      </w:pPr>
      <w:r>
        <w:t xml:space="preserve">I - arguir erros, omissões e sonegação de bens;</w:t>
      </w:r>
    </w:p>
    <w:p>
      <w:pPr>
        <w:pStyle w:val="BodyText"/>
        <w:spacing w:after="60"/>
        <w:jc w:val="both"/>
      </w:pPr>
      <w:r>
        <w:t xml:space="preserve">II - reclamar contra a nomeação de inventariante</w:t>
      </w:r>
    </w:p>
    <w:p>
      <w:pPr>
        <w:pStyle w:val="BodyText"/>
        <w:spacing w:after="60"/>
        <w:jc w:val="both"/>
      </w:pPr>
      <w:r>
        <w:t xml:space="preserve">III - contestar a qualidade de quem foi incluído no título de herdeiro.</w:t>
      </w:r>
    </w:p>
    <w:p>
      <w:pPr>
        <w:pStyle w:val="BodyText"/>
        <w:spacing w:after="60"/>
        <w:jc w:val="both"/>
      </w:pPr>
      <w:r>
        <w:t xml:space="preserve">§ 1º Julgando procedente a impugnação referida no inciso I, o juiz mandará retificar as primeiras declarações.</w:t>
      </w:r>
    </w:p>
    <w:p>
      <w:pPr>
        <w:pStyle w:val="BodyText"/>
        <w:spacing w:after="60"/>
        <w:jc w:val="both"/>
      </w:pPr>
      <w:r>
        <w:t xml:space="preserve">§ 2º Se acolher o pedido de que trata o inciso II, o juiz nomeará outro inventariante, observada a preferência legal.</w:t>
      </w:r>
    </w:p>
    <w:p>
      <w:pPr>
        <w:pStyle w:val="BodyText"/>
        <w:spacing w:after="60"/>
        <w:jc w:val="both"/>
      </w:pPr>
      <w:r>
        <w:t xml:space="preserve">§ 3º Verificando que a disputa sobre a qualidade de herdeiro a que alude o inciso III demanda produção de provas que não a documental, o juiz remeterá a parte às vias ordinárias e sobrestará, até o julgamento da ação, a entrega do quinhão que na partilha couber ao herdeiro admitido.</w:t>
      </w:r>
    </w:p>
    <w:bookmarkEnd w:id="388"/>
    <w:bookmarkStart w:id="389" w:name="art.-628"/>
    <w:p>
      <w:pPr>
        <w:pStyle w:val="Heading6"/>
        <w:pBdr>
          <w:left w:val="single" w:sz="36" w:space="4" w:color="2E75B6"/>
        </w:pBdr>
        <w:shd w:val="clear" w:color="auto" w:fill="E3EEF9"/>
        <w:spacing w:before="120" w:after="60"/>
        <w:ind w:left="85"/>
      </w:pPr>
      <w:r>
        <w:rPr>
          <w:i w:val="0"/>
          <w:color w:val="1F3A5F"/>
          <w:sz w:val="22"/>
        </w:rPr>
        <w:t xml:space="preserve">Art. 628</w:t>
      </w:r>
    </w:p>
    <w:p>
      <w:pPr>
        <w:pStyle w:val="FirstParagraph"/>
        <w:spacing w:after="60"/>
        <w:jc w:val="both"/>
      </w:pPr>
      <w:r>
        <w:rPr>
          <w:b/>
          <w:bCs/>
        </w:rPr>
        <w:t xml:space="preserve">Art. 628.</w:t>
      </w:r>
      <w:r>
        <w:t xml:space="preserve"> </w:t>
      </w:r>
      <w:r>
        <w:t xml:space="preserve">Aquele que se julgar preterido poderá demandar sua admissão no inventário, requerendo-a antes da partilha.</w:t>
      </w:r>
    </w:p>
    <w:p>
      <w:pPr>
        <w:pStyle w:val="BodyText"/>
        <w:spacing w:after="60"/>
        <w:jc w:val="both"/>
      </w:pPr>
      <w:r>
        <w:t xml:space="preserve">§ 1º Ouvidas as partes no prazo de 15 (quinze) dias, o juiz decidirá.</w:t>
      </w:r>
    </w:p>
    <w:p>
      <w:pPr>
        <w:pStyle w:val="BodyText"/>
        <w:spacing w:after="60"/>
        <w:jc w:val="both"/>
      </w:pPr>
      <w:r>
        <w:t xml:space="preserve">§ 2º Se para solução da questão for necessária a produção de provas que não a documental, o juiz remeterá o requerente às vias ordinárias, mandando reservar, em poder do inventariante, o quinhão do herdeiro excluído até que se decida o litígio.</w:t>
      </w:r>
    </w:p>
    <w:bookmarkEnd w:id="389"/>
    <w:bookmarkStart w:id="390" w:name="art.-629"/>
    <w:p>
      <w:pPr>
        <w:pStyle w:val="Heading6"/>
        <w:pBdr>
          <w:left w:val="single" w:sz="36" w:space="4" w:color="2E75B6"/>
        </w:pBdr>
        <w:shd w:val="clear" w:color="auto" w:fill="E3EEF9"/>
        <w:spacing w:before="120" w:after="60"/>
        <w:ind w:left="85"/>
      </w:pPr>
      <w:r>
        <w:rPr>
          <w:i w:val="0"/>
          <w:color w:val="1F3A5F"/>
          <w:sz w:val="22"/>
        </w:rPr>
        <w:t xml:space="preserve">Art. 629</w:t>
      </w:r>
    </w:p>
    <w:p>
      <w:pPr>
        <w:pStyle w:val="FirstParagraph"/>
        <w:spacing w:after="60"/>
        <w:jc w:val="both"/>
      </w:pPr>
      <w:r>
        <w:rPr>
          <w:b/>
          <w:bCs/>
        </w:rPr>
        <w:t xml:space="preserve">Art. 629.</w:t>
      </w:r>
      <w:r>
        <w:t xml:space="preserve"> </w:t>
      </w:r>
      <w:r>
        <w:t xml:space="preserve">A Fazenda Pública, no prazo de 15 (quinze) dias, após a vista de que trata o art. 627, informará ao juízo, de acordo com os dados que constam de seu cadastro imobiliário, o valor dos bens de raiz descritos nas primeiras declarações.</w:t>
      </w:r>
    </w:p>
    <w:bookmarkEnd w:id="390"/>
    <w:bookmarkEnd w:id="391"/>
    <w:bookmarkStart w:id="401" w:name="Xf97333a604a08010f76a66c56168c43ac3e28e2"/>
    <w:p>
      <w:pPr>
        <w:pStyle w:val="Heading5"/>
        <w:spacing w:before="60" w:after="20"/>
      </w:pPr>
      <w:r>
        <w:rPr>
          <w:i/>
          <w:color w:val="595959"/>
        </w:rPr>
        <w:t xml:space="preserve">Seção V: da avaliação e do cálculo do imposto (arts. 630 a 638)</w:t>
      </w:r>
    </w:p>
    <w:bookmarkStart w:id="392" w:name="art.-630"/>
    <w:p>
      <w:pPr>
        <w:pStyle w:val="Heading6"/>
        <w:pBdr>
          <w:left w:val="single" w:sz="36" w:space="4" w:color="2E75B6"/>
        </w:pBdr>
        <w:shd w:val="clear" w:color="auto" w:fill="E3EEF9"/>
        <w:spacing w:before="120" w:after="60"/>
        <w:ind w:left="85"/>
      </w:pPr>
      <w:r>
        <w:rPr>
          <w:i w:val="0"/>
          <w:color w:val="1F3A5F"/>
          <w:sz w:val="22"/>
        </w:rPr>
        <w:t xml:space="preserve">Art. 630</w:t>
      </w:r>
    </w:p>
    <w:p>
      <w:pPr>
        <w:pStyle w:val="FirstParagraph"/>
        <w:spacing w:after="60"/>
        <w:jc w:val="both"/>
      </w:pPr>
      <w:r>
        <w:rPr>
          <w:b/>
          <w:bCs/>
        </w:rPr>
        <w:t xml:space="preserve">Art. 630.</w:t>
      </w:r>
      <w:r>
        <w:t xml:space="preserve"> </w:t>
      </w:r>
      <w:r>
        <w:t xml:space="preserve">Findo o prazo previsto no art. 627 sem impugnação ou decidida a impugnação que houver sido oposta, o juiz nomeará, se for o caso, perito para avaliar os bens do espólio, se não houver na comarca avaliador judicial.</w:t>
      </w:r>
    </w:p>
    <w:p>
      <w:pPr>
        <w:pStyle w:val="BodyText"/>
        <w:spacing w:after="60"/>
        <w:jc w:val="both"/>
      </w:pPr>
      <w:r>
        <w:t xml:space="preserve">Parágrafo único. Na hipótese prevista no art. 620, § 1º, o juiz nomeará perito para avaliação das quotas sociais ou apuração dos haveres.</w:t>
      </w:r>
    </w:p>
    <w:bookmarkEnd w:id="392"/>
    <w:bookmarkStart w:id="393" w:name="art.-631"/>
    <w:p>
      <w:pPr>
        <w:pStyle w:val="Heading6"/>
        <w:pBdr>
          <w:left w:val="single" w:sz="36" w:space="4" w:color="2E75B6"/>
        </w:pBdr>
        <w:shd w:val="clear" w:color="auto" w:fill="E3EEF9"/>
        <w:spacing w:before="120" w:after="60"/>
        <w:ind w:left="85"/>
      </w:pPr>
      <w:r>
        <w:rPr>
          <w:i w:val="0"/>
          <w:color w:val="1F3A5F"/>
          <w:sz w:val="22"/>
        </w:rPr>
        <w:t xml:space="preserve">Art. 631</w:t>
      </w:r>
    </w:p>
    <w:p>
      <w:pPr>
        <w:pStyle w:val="FirstParagraph"/>
        <w:spacing w:after="60"/>
        <w:jc w:val="both"/>
      </w:pPr>
      <w:r>
        <w:rPr>
          <w:b/>
          <w:bCs/>
        </w:rPr>
        <w:t xml:space="preserve">Art. 631.</w:t>
      </w:r>
      <w:r>
        <w:t xml:space="preserve"> </w:t>
      </w:r>
      <w:r>
        <w:t xml:space="preserve">Ao avaliar os bens do espólio, o perito observará, no que for aplicável, o disposto nos arts. 872 e 873.</w:t>
      </w:r>
    </w:p>
    <w:bookmarkEnd w:id="393"/>
    <w:bookmarkStart w:id="394" w:name="art.-632"/>
    <w:p>
      <w:pPr>
        <w:pStyle w:val="Heading6"/>
        <w:pBdr>
          <w:left w:val="single" w:sz="36" w:space="4" w:color="2E75B6"/>
        </w:pBdr>
        <w:shd w:val="clear" w:color="auto" w:fill="E3EEF9"/>
        <w:spacing w:before="120" w:after="60"/>
        <w:ind w:left="85"/>
      </w:pPr>
      <w:r>
        <w:rPr>
          <w:i w:val="0"/>
          <w:color w:val="1F3A5F"/>
          <w:sz w:val="22"/>
        </w:rPr>
        <w:t xml:space="preserve">Art. 632</w:t>
      </w:r>
    </w:p>
    <w:p>
      <w:pPr>
        <w:pStyle w:val="FirstParagraph"/>
        <w:spacing w:after="60"/>
        <w:jc w:val="both"/>
      </w:pPr>
      <w:r>
        <w:rPr>
          <w:b/>
          <w:bCs/>
        </w:rPr>
        <w:t xml:space="preserve">Art. 632.</w:t>
      </w:r>
      <w:r>
        <w:t xml:space="preserve"> </w:t>
      </w:r>
      <w:r>
        <w:t xml:space="preserve">Não se expedirá carta precatória para a avaliação de bens situados fora da comarca onde corre o inventário se eles forem de pequeno valor ou perfeitamente conhecidos do perito nomeado.</w:t>
      </w:r>
    </w:p>
    <w:bookmarkEnd w:id="394"/>
    <w:bookmarkStart w:id="395" w:name="art.-633"/>
    <w:p>
      <w:pPr>
        <w:pStyle w:val="Heading6"/>
        <w:pBdr>
          <w:left w:val="single" w:sz="36" w:space="4" w:color="2E75B6"/>
        </w:pBdr>
        <w:shd w:val="clear" w:color="auto" w:fill="E3EEF9"/>
        <w:spacing w:before="120" w:after="60"/>
        <w:ind w:left="85"/>
      </w:pPr>
      <w:r>
        <w:rPr>
          <w:i w:val="0"/>
          <w:color w:val="1F3A5F"/>
          <w:sz w:val="22"/>
        </w:rPr>
        <w:t xml:space="preserve">Art. 633</w:t>
      </w:r>
    </w:p>
    <w:p>
      <w:pPr>
        <w:pStyle w:val="FirstParagraph"/>
        <w:spacing w:after="60"/>
        <w:jc w:val="both"/>
      </w:pPr>
      <w:r>
        <w:rPr>
          <w:b/>
          <w:bCs/>
        </w:rPr>
        <w:t xml:space="preserve">Art. 633.</w:t>
      </w:r>
      <w:r>
        <w:t xml:space="preserve"> </w:t>
      </w:r>
      <w:r>
        <w:t xml:space="preserve">Sendo capazes todas as partes, não se procederá à avaliação se a Fazenda Pública, intimada pessoalmente, concordar de forma expressa com o valor atribuído, nas primeiras declarações, aos bens do espólio.</w:t>
      </w:r>
    </w:p>
    <w:bookmarkEnd w:id="395"/>
    <w:bookmarkStart w:id="396" w:name="art.-634"/>
    <w:p>
      <w:pPr>
        <w:pStyle w:val="Heading6"/>
        <w:pBdr>
          <w:left w:val="single" w:sz="36" w:space="4" w:color="2E75B6"/>
        </w:pBdr>
        <w:shd w:val="clear" w:color="auto" w:fill="E3EEF9"/>
        <w:spacing w:before="120" w:after="60"/>
        <w:ind w:left="85"/>
      </w:pPr>
      <w:r>
        <w:rPr>
          <w:i w:val="0"/>
          <w:color w:val="1F3A5F"/>
          <w:sz w:val="22"/>
        </w:rPr>
        <w:t xml:space="preserve">Art. 634</w:t>
      </w:r>
    </w:p>
    <w:p>
      <w:pPr>
        <w:pStyle w:val="FirstParagraph"/>
        <w:spacing w:after="60"/>
        <w:jc w:val="both"/>
      </w:pPr>
      <w:r>
        <w:rPr>
          <w:b/>
          <w:bCs/>
        </w:rPr>
        <w:t xml:space="preserve">Art. 634.</w:t>
      </w:r>
      <w:r>
        <w:t xml:space="preserve"> </w:t>
      </w:r>
      <w:r>
        <w:t xml:space="preserve">Se os herdeiros concordarem com o valor dos bens declarados pela Fazenda Pública, a avaliação cingir-se-á aos demais.</w:t>
      </w:r>
    </w:p>
    <w:bookmarkEnd w:id="396"/>
    <w:bookmarkStart w:id="397" w:name="art.-635"/>
    <w:p>
      <w:pPr>
        <w:pStyle w:val="Heading6"/>
        <w:pBdr>
          <w:left w:val="single" w:sz="36" w:space="4" w:color="2E75B6"/>
        </w:pBdr>
        <w:shd w:val="clear" w:color="auto" w:fill="E3EEF9"/>
        <w:spacing w:before="120" w:after="60"/>
        <w:ind w:left="85"/>
      </w:pPr>
      <w:r>
        <w:rPr>
          <w:i w:val="0"/>
          <w:color w:val="1F3A5F"/>
          <w:sz w:val="22"/>
        </w:rPr>
        <w:t xml:space="preserve">Art. 635</w:t>
      </w:r>
    </w:p>
    <w:p>
      <w:pPr>
        <w:pStyle w:val="FirstParagraph"/>
        <w:spacing w:after="60"/>
        <w:jc w:val="both"/>
      </w:pPr>
      <w:r>
        <w:rPr>
          <w:b/>
          <w:bCs/>
        </w:rPr>
        <w:t xml:space="preserve">Art. 635.</w:t>
      </w:r>
      <w:r>
        <w:t xml:space="preserve"> </w:t>
      </w:r>
      <w:r>
        <w:t xml:space="preserve">Entregue o laudo de avaliação, o juiz mandará que as partes se manifestem no prazo de 15 (quinze) dias, que correrá em cartório.</w:t>
      </w:r>
    </w:p>
    <w:p>
      <w:pPr>
        <w:pStyle w:val="BodyText"/>
        <w:spacing w:after="60"/>
        <w:jc w:val="both"/>
      </w:pPr>
      <w:r>
        <w:t xml:space="preserve">§ 1º Versando a impugnação sobre o valor dado pelo perito, o juiz a decidirá de plano, à vista do que constar dos autos.</w:t>
      </w:r>
    </w:p>
    <w:p>
      <w:pPr>
        <w:pStyle w:val="BodyText"/>
        <w:spacing w:after="60"/>
        <w:jc w:val="both"/>
      </w:pPr>
      <w:r>
        <w:t xml:space="preserve">§ 2º Julgando procedente a impugnação, o juiz determinará que o perito retifique a avaliação, observando os fundamentos da decisão.</w:t>
      </w:r>
    </w:p>
    <w:bookmarkEnd w:id="397"/>
    <w:bookmarkStart w:id="398" w:name="art.-636"/>
    <w:p>
      <w:pPr>
        <w:pStyle w:val="Heading6"/>
        <w:pBdr>
          <w:left w:val="single" w:sz="36" w:space="4" w:color="2E75B6"/>
        </w:pBdr>
        <w:shd w:val="clear" w:color="auto" w:fill="E3EEF9"/>
        <w:spacing w:before="120" w:after="60"/>
        <w:ind w:left="85"/>
      </w:pPr>
      <w:r>
        <w:rPr>
          <w:i w:val="0"/>
          <w:color w:val="1F3A5F"/>
          <w:sz w:val="22"/>
        </w:rPr>
        <w:t xml:space="preserve">Art. 636</w:t>
      </w:r>
    </w:p>
    <w:p>
      <w:pPr>
        <w:pStyle w:val="FirstParagraph"/>
        <w:spacing w:after="60"/>
        <w:jc w:val="both"/>
      </w:pPr>
      <w:r>
        <w:rPr>
          <w:b/>
          <w:bCs/>
        </w:rPr>
        <w:t xml:space="preserve">Art. 636.</w:t>
      </w:r>
      <w:r>
        <w:t xml:space="preserve"> </w:t>
      </w:r>
      <w:r>
        <w:t xml:space="preserve">Aceito o laudo ou resolvidas as impugnações suscitadas a seu respeito, lavrar-se-á em seguida o termo de últimas declarações, no qual o inventariante poderá emendar, aditar ou completar as primeiras.</w:t>
      </w:r>
    </w:p>
    <w:bookmarkEnd w:id="398"/>
    <w:bookmarkStart w:id="399" w:name="art.-637"/>
    <w:p>
      <w:pPr>
        <w:pStyle w:val="Heading6"/>
        <w:pBdr>
          <w:left w:val="single" w:sz="36" w:space="4" w:color="2E75B6"/>
        </w:pBdr>
        <w:shd w:val="clear" w:color="auto" w:fill="E3EEF9"/>
        <w:spacing w:before="120" w:after="60"/>
        <w:ind w:left="85"/>
      </w:pPr>
      <w:r>
        <w:rPr>
          <w:i w:val="0"/>
          <w:color w:val="1F3A5F"/>
          <w:sz w:val="22"/>
        </w:rPr>
        <w:t xml:space="preserve">Art. 637</w:t>
      </w:r>
    </w:p>
    <w:p>
      <w:pPr>
        <w:pStyle w:val="FirstParagraph"/>
        <w:spacing w:after="60"/>
        <w:jc w:val="both"/>
      </w:pPr>
      <w:r>
        <w:rPr>
          <w:b/>
          <w:bCs/>
        </w:rPr>
        <w:t xml:space="preserve">Art. 637.</w:t>
      </w:r>
      <w:r>
        <w:t xml:space="preserve"> </w:t>
      </w:r>
      <w:r>
        <w:t xml:space="preserve">Ouvidas as partes sobre as últimas declarações no prazo comum de 15 (quinze) dias, proceder-se-á ao cálculo do tributo.</w:t>
      </w:r>
    </w:p>
    <w:bookmarkEnd w:id="399"/>
    <w:bookmarkStart w:id="400" w:name="art.-638"/>
    <w:p>
      <w:pPr>
        <w:pStyle w:val="Heading6"/>
        <w:pBdr>
          <w:left w:val="single" w:sz="36" w:space="4" w:color="2E75B6"/>
        </w:pBdr>
        <w:shd w:val="clear" w:color="auto" w:fill="E3EEF9"/>
        <w:spacing w:before="120" w:after="60"/>
        <w:ind w:left="85"/>
      </w:pPr>
      <w:r>
        <w:rPr>
          <w:i w:val="0"/>
          <w:color w:val="1F3A5F"/>
          <w:sz w:val="22"/>
        </w:rPr>
        <w:t xml:space="preserve">Art. 638</w:t>
      </w:r>
    </w:p>
    <w:p>
      <w:pPr>
        <w:pStyle w:val="FirstParagraph"/>
        <w:spacing w:after="60"/>
        <w:jc w:val="both"/>
      </w:pPr>
      <w:r>
        <w:rPr>
          <w:b/>
          <w:bCs/>
        </w:rPr>
        <w:t xml:space="preserve">Art. 638.</w:t>
      </w:r>
      <w:r>
        <w:t xml:space="preserve"> </w:t>
      </w:r>
      <w:r>
        <w:t xml:space="preserve">Feito o cálculo, sobre ele serão ouvidas todas as partes no prazo comum de 5 (cinco) dias, que correrá em cartório, e, em seguida, a Fazenda Pública.</w:t>
      </w:r>
    </w:p>
    <w:p>
      <w:pPr>
        <w:pStyle w:val="BodyText"/>
        <w:spacing w:after="60"/>
        <w:jc w:val="both"/>
      </w:pPr>
      <w:r>
        <w:t xml:space="preserve">§ 1º Se acolher eventual impugnação, o juiz ordenará nova remessa dos autos ao contabilista, determinando as alterações que devam ser feitas no cálculo.</w:t>
      </w:r>
    </w:p>
    <w:p>
      <w:pPr>
        <w:pStyle w:val="BodyText"/>
        <w:spacing w:after="60"/>
        <w:jc w:val="both"/>
      </w:pPr>
      <w:r>
        <w:t xml:space="preserve">§ 2º Cumprido o despacho, o juiz julgará o cálculo do tributo.</w:t>
      </w:r>
    </w:p>
    <w:bookmarkEnd w:id="400"/>
    <w:bookmarkEnd w:id="401"/>
    <w:bookmarkStart w:id="405" w:name="seção-vi-das-colações-arts.-639-a-641"/>
    <w:p>
      <w:pPr>
        <w:pStyle w:val="Heading5"/>
        <w:spacing w:before="60" w:after="20"/>
      </w:pPr>
      <w:r>
        <w:rPr>
          <w:i/>
          <w:color w:val="595959"/>
        </w:rPr>
        <w:t xml:space="preserve">Seção VI: das colações (arts. 639 a 641)</w:t>
      </w:r>
    </w:p>
    <w:bookmarkStart w:id="402" w:name="art.-639"/>
    <w:p>
      <w:pPr>
        <w:pStyle w:val="Heading6"/>
        <w:pBdr>
          <w:left w:val="single" w:sz="36" w:space="4" w:color="2E75B6"/>
        </w:pBdr>
        <w:shd w:val="clear" w:color="auto" w:fill="E3EEF9"/>
        <w:spacing w:before="120" w:after="60"/>
        <w:ind w:left="85"/>
      </w:pPr>
      <w:r>
        <w:rPr>
          <w:i w:val="0"/>
          <w:color w:val="1F3A5F"/>
          <w:sz w:val="22"/>
        </w:rPr>
        <w:t xml:space="preserve">Art. 639</w:t>
      </w:r>
    </w:p>
    <w:p>
      <w:pPr>
        <w:pStyle w:val="FirstParagraph"/>
        <w:keepNext/>
        <w:spacing w:after="60"/>
        <w:jc w:val="both"/>
      </w:pPr>
      <w:r>
        <w:rPr>
          <w:b/>
          <w:bCs/>
        </w:rPr>
        <w:t xml:space="preserve">Art. 639.</w:t>
      </w:r>
      <w:r>
        <w:t xml:space="preserve"> </w:t>
      </w:r>
      <w:r>
        <w:t xml:space="preserve">No prazo estabelecido no art. 627, o herdeiro obrigado à colação conferirá por termo nos autos ou por petição à qual o termo se reportará os bens que recebeu ou, se já não os possuir, trar-lhes-á o valor.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2029"/>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655"/>
          </w:tcPr>
          <w:p>
            <w:pPr>
              <w:pStyle w:val="Compact"/>
              <w:spacing w:line="276" w:lineRule="auto" w:before="40" w:after="40"/>
            </w:pPr>
            <w:r>
              <w:rPr>
                <w:rFonts w:ascii="Liberation Sans Narrow" w:hAnsi="Liberation Sans Narrow"/>
                <w:sz w:val="17"/>
              </w:rPr>
              <w:t xml:space="preserve">caput — extensão da colação (orientação de aplicação) (aplicação narrada)</w:t>
            </w:r>
          </w:p>
        </w:tc>
        <w:tc>
          <w:tcPr>
            <w:tcW w:type="dxa" w:w="1531"/>
          </w:tcPr>
          <w:p>
            <w:pPr>
              <w:pStyle w:val="Compact"/>
              <w:spacing w:line="276" w:lineRule="auto" w:before="40" w:after="40"/>
            </w:pPr>
            <w:r>
              <w:rPr>
                <w:rFonts w:ascii="Liberation Sans Narrow" w:hAnsi="Liberation Sans Narrow"/>
                <w:sz w:val="17"/>
              </w:rPr>
              <w:t xml:space="preserve">STJ, AREsp 3.216.342, Quarta Turma, relator Min. João Otávio de Noronha, julgado em 15/06/2026</w:t>
            </w:r>
          </w:p>
        </w:tc>
        <w:tc>
          <w:tcPr>
            <w:tcW w:type="dxa" w:w="2030"/>
          </w:tcPr>
          <w:p>
            <w:pPr>
              <w:pStyle w:val="Compact"/>
              <w:spacing w:line="276" w:lineRule="auto" w:before="40" w:after="40"/>
            </w:pPr>
            <w:r>
              <w:rPr>
                <w:rFonts w:ascii="Liberation Sans Narrow" w:hAnsi="Liberation Sans Narrow"/>
                <w:sz w:val="17"/>
              </w:rPr>
              <w:t xml:space="preserve">A doação de ascendente a descendente sem dispensa expressa de colação presume adiantamento de legítima, e a colação alcança a integralidade dos bens doados, e não apenas o excedente à parte disponível; cabe ao juízo do inventário fazer a reserva e a redução necessárias. Trecho: “A Corte de origem reformou a decisão interlocutória e reconheceu o dever de colação pelos herdeiros donatários, determinando a colação da integralidade dos bens doados, incumbindo ao juízo do inventário a reserva e a redução necessárias.”</w:t>
            </w:r>
          </w:p>
        </w:tc>
      </w:tr>
    </w:tbl>
    <w:p>
      <w:pPr>
        <w:pStyle w:val="BodyText"/>
        <w:keepNext/>
        <w:spacing w:after="60"/>
        <w:jc w:val="both"/>
      </w:pPr>
      <w:r>
        <w:t xml:space="preserve">Parágrafo único. Os bens a serem conferidos na partilha, assim como as acessões e as benfeitorias que o donatário fez, calcular-se-ão pelo valor que tiverem ao tempo da abertura da sucessão.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154"/>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Parágrafo único — tese</w:t>
            </w:r>
          </w:p>
        </w:tc>
        <w:tc>
          <w:tcPr>
            <w:tcW w:type="dxa" w:w="1531"/>
          </w:tcPr>
          <w:p>
            <w:pPr>
              <w:pStyle w:val="Compact"/>
              <w:spacing w:line="276" w:lineRule="auto" w:before="40" w:after="40"/>
            </w:pPr>
            <w:r>
              <w:rPr>
                <w:rFonts w:ascii="Liberation Sans Narrow" w:hAnsi="Liberation Sans Narrow"/>
                <w:sz w:val="17"/>
              </w:rPr>
              <w:t xml:space="preserve">STJ, AREsp 3.160.120, Quarta Turma, relator Min. João Otávio de Noronha, julgado em 01/06/2026</w:t>
            </w:r>
          </w:p>
        </w:tc>
        <w:tc>
          <w:tcPr>
            <w:tcW w:type="dxa" w:w="2154"/>
          </w:tcPr>
          <w:p>
            <w:pPr>
              <w:pStyle w:val="Compact"/>
              <w:spacing w:line="276" w:lineRule="auto" w:before="40" w:after="40"/>
            </w:pPr>
            <w:r>
              <w:rPr>
                <w:rFonts w:ascii="Liberation Sans Narrow" w:hAnsi="Liberation Sans Narrow"/>
                <w:sz w:val="17"/>
              </w:rPr>
              <w:t xml:space="preserve">Aberto o inventário na vigência do CPC/2015, o valor da colação é o do bem ao tempo da abertura da sucessão, salvo se o bem já não integrar o patrimônio do donatário, caso em que se considera o valor ao tempo da alienação, corrigido monetariamente.</w:t>
            </w:r>
          </w:p>
        </w:tc>
      </w:tr>
    </w:tbl>
    <w:bookmarkEnd w:id="402"/>
    <w:bookmarkStart w:id="403" w:name="art.-640"/>
    <w:p>
      <w:pPr>
        <w:pStyle w:val="Heading6"/>
        <w:pBdr>
          <w:left w:val="single" w:sz="36" w:space="4" w:color="2E75B6"/>
        </w:pBdr>
        <w:shd w:val="clear" w:color="auto" w:fill="E3EEF9"/>
        <w:spacing w:before="120" w:after="60"/>
        <w:ind w:left="85"/>
      </w:pPr>
      <w:r>
        <w:rPr>
          <w:i w:val="0"/>
          <w:color w:val="1F3A5F"/>
          <w:sz w:val="22"/>
        </w:rPr>
        <w:t xml:space="preserve">Art. 640</w:t>
      </w:r>
    </w:p>
    <w:p>
      <w:pPr>
        <w:pStyle w:val="FirstParagraph"/>
        <w:spacing w:after="60"/>
        <w:jc w:val="both"/>
      </w:pPr>
      <w:r>
        <w:rPr>
          <w:b/>
          <w:bCs/>
        </w:rPr>
        <w:t xml:space="preserve">Art. 640.</w:t>
      </w:r>
      <w:r>
        <w:t xml:space="preserve"> </w:t>
      </w:r>
      <w:r>
        <w:t xml:space="preserve">O herdeiro que renunciou à herança ou o que dela foi excluído não se exime, pelo fato da renúncia ou da exclusão, de conferir, para o efeito de repor a parte inoficiosa, as liberalidades que obteve do doador.</w:t>
      </w:r>
    </w:p>
    <w:p>
      <w:pPr>
        <w:pStyle w:val="BodyText"/>
        <w:spacing w:after="60"/>
        <w:jc w:val="both"/>
      </w:pPr>
      <w:r>
        <w:t xml:space="preserve">§ 1º É lícito ao donatário escolher, dentre os bens doados, tantos quantos bastem para perfazer a legítima e a metade disponível, entrando na partilha o excedente para ser dividido entre os demais herdeiros.</w:t>
      </w:r>
    </w:p>
    <w:p>
      <w:pPr>
        <w:pStyle w:val="BodyText"/>
        <w:spacing w:after="60"/>
        <w:jc w:val="both"/>
      </w:pPr>
      <w:r>
        <w:t xml:space="preserve">§ 2º Se a parte inoficiosa da doação recair sobre bem imóvel que não comporte divisão cômoda, o juiz determinará que sobre ela se proceda a licitação entre os herdeiros.</w:t>
      </w:r>
    </w:p>
    <w:p>
      <w:pPr>
        <w:pStyle w:val="BodyText"/>
        <w:spacing w:after="60"/>
        <w:jc w:val="both"/>
      </w:pPr>
      <w:r>
        <w:t xml:space="preserve">§ 3º O donatário poderá concorrer na licitação referida no § 2º e, em igualdade de condições, terá preferência sobre os herdeiros.</w:t>
      </w:r>
    </w:p>
    <w:bookmarkEnd w:id="403"/>
    <w:bookmarkStart w:id="404" w:name="art.-641"/>
    <w:p>
      <w:pPr>
        <w:pStyle w:val="Heading6"/>
        <w:pBdr>
          <w:left w:val="single" w:sz="36" w:space="4" w:color="2E75B6"/>
        </w:pBdr>
        <w:shd w:val="clear" w:color="auto" w:fill="E3EEF9"/>
        <w:spacing w:before="120" w:after="60"/>
        <w:ind w:left="85"/>
      </w:pPr>
      <w:r>
        <w:rPr>
          <w:i w:val="0"/>
          <w:color w:val="1F3A5F"/>
          <w:sz w:val="22"/>
        </w:rPr>
        <w:t xml:space="preserve">Art. 641</w:t>
      </w:r>
    </w:p>
    <w:p>
      <w:pPr>
        <w:pStyle w:val="FirstParagraph"/>
        <w:spacing w:after="60"/>
        <w:jc w:val="both"/>
      </w:pPr>
      <w:r>
        <w:rPr>
          <w:b/>
          <w:bCs/>
        </w:rPr>
        <w:t xml:space="preserve">Art. 641.</w:t>
      </w:r>
      <w:r>
        <w:t xml:space="preserve"> </w:t>
      </w:r>
      <w:r>
        <w:t xml:space="preserve">Se o herdeiro negar o recebimento dos bens ou a obrigação de os conferir, o juiz, ouvidas as partes no prazo comum de 15 (quinze) dias, decidirá à vista das alegações e das provas produzidas.</w:t>
      </w:r>
    </w:p>
    <w:p>
      <w:pPr>
        <w:pStyle w:val="BodyText"/>
        <w:spacing w:after="60"/>
        <w:jc w:val="both"/>
      </w:pPr>
      <w:r>
        <w:t xml:space="preserve">§ 1º Declarada improcedente a oposição, se o herdeiro, no prazo improrrogável de 15 (quinze) dias, não proceder à conferência, o juiz mandará sequestrar-lhe, para serem inventariados e partilhados, os bens sujeitos à colação ou imputar ao seu quinhão hereditário o valor deles, se já não os possuir.</w:t>
      </w:r>
    </w:p>
    <w:p>
      <w:pPr>
        <w:pStyle w:val="BodyText"/>
        <w:spacing w:after="60"/>
        <w:jc w:val="both"/>
      </w:pPr>
      <w:r>
        <w:t xml:space="preserve">§ 2º Se a matéria exigir dilação probatória diversa da documental, o juiz remeterá as partes às vias ordinárias, não podendo o herdeiro receber o seu quinhão hereditário, enquanto pender a demanda, sem prestar caução correspondente ao valor dos bens sobre os quais versar a conferência.</w:t>
      </w:r>
    </w:p>
    <w:bookmarkEnd w:id="404"/>
    <w:bookmarkEnd w:id="405"/>
    <w:bookmarkStart w:id="411" w:name="Xf64a80c7dde7e9642afb0186db352420834416e"/>
    <w:p>
      <w:pPr>
        <w:pStyle w:val="Heading5"/>
        <w:spacing w:before="60" w:after="20"/>
      </w:pPr>
      <w:r>
        <w:rPr>
          <w:i/>
          <w:color w:val="595959"/>
        </w:rPr>
        <w:t xml:space="preserve">Seção VII: do pagamento das dívidas (arts. 642 a 646)</w:t>
      </w:r>
    </w:p>
    <w:bookmarkStart w:id="406" w:name="art.-642"/>
    <w:p>
      <w:pPr>
        <w:pStyle w:val="Heading6"/>
        <w:pBdr>
          <w:left w:val="single" w:sz="36" w:space="4" w:color="2E75B6"/>
        </w:pBdr>
        <w:shd w:val="clear" w:color="auto" w:fill="E3EEF9"/>
        <w:spacing w:before="120" w:after="60"/>
        <w:ind w:left="85"/>
      </w:pPr>
      <w:r>
        <w:rPr>
          <w:i w:val="0"/>
          <w:color w:val="1F3A5F"/>
          <w:sz w:val="22"/>
        </w:rPr>
        <w:t xml:space="preserve">Art. 642</w:t>
      </w:r>
    </w:p>
    <w:p>
      <w:pPr>
        <w:pStyle w:val="FirstParagraph"/>
        <w:keepNext/>
        <w:spacing w:after="60"/>
        <w:jc w:val="both"/>
      </w:pPr>
      <w:r>
        <w:rPr>
          <w:b/>
          <w:bCs/>
        </w:rPr>
        <w:t xml:space="preserve">Art. 642.</w:t>
      </w:r>
      <w:r>
        <w:t xml:space="preserve"> </w:t>
      </w:r>
      <w:r>
        <w:t xml:space="preserve">Antes da partilha, poderão os credores do espólio requerer ao juízo do inventário o pagamento das dívidas vencidas e exigíveis.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1780"/>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Habilitação de crédito: só o credor do espólio; credor de herdeiro vai às vias ordinárias</w:t>
            </w:r>
          </w:p>
        </w:tc>
        <w:tc>
          <w:tcPr>
            <w:tcW w:type="dxa" w:w="1655"/>
          </w:tcPr>
          <w:p>
            <w:pPr>
              <w:pStyle w:val="Compact"/>
              <w:spacing w:line="276" w:lineRule="auto" w:before="40" w:after="40"/>
            </w:pPr>
            <w:r>
              <w:rPr>
                <w:rFonts w:ascii="Liberation Sans Narrow" w:hAnsi="Liberation Sans Narrow"/>
                <w:sz w:val="17"/>
              </w:rPr>
              <w:t xml:space="preserve">STJ, REsp 1.985.045, Terceira Turma, relator Min. Ricardo Villas Bôas Cueva, julgado em 16/05/2023, DJe de 19/05/2023</w:t>
            </w:r>
          </w:p>
        </w:tc>
        <w:tc>
          <w:tcPr>
            <w:tcW w:type="dxa" w:w="1780"/>
          </w:tcPr>
          <w:p>
            <w:pPr>
              <w:pStyle w:val="Compact"/>
              <w:spacing w:line="276" w:lineRule="auto" w:before="40" w:after="40"/>
            </w:pPr>
            <w:r>
              <w:rPr>
                <w:rFonts w:ascii="Liberation Sans Narrow" w:hAnsi="Liberation Sans Narrow"/>
                <w:sz w:val="17"/>
              </w:rPr>
              <w:t xml:space="preserve">Os credores exclusivos do espólio podem pedir habilitação de crédito no inventário (art. 642); o credor individual de herdeiro, inclusive o cessionário do quinhão, não tem legitimidade ativa e deve buscar as vias ordinárias.</w:t>
            </w:r>
          </w:p>
        </w:tc>
      </w:tr>
      <w:tr>
        <w:trPr>
          <w:cantSplit/>
        </w:trPr>
        <w:tc>
          <w:tcPr>
            <w:tcW w:type="dxa" w:w="1655"/>
          </w:tcPr>
          <w:p>
            <w:pPr>
              <w:pStyle w:val="Compact"/>
              <w:spacing w:line="276" w:lineRule="auto" w:before="40" w:after="40"/>
            </w:pPr>
            <w:r>
              <w:rPr>
                <w:rFonts w:ascii="Liberation Sans Narrow" w:hAnsi="Liberation Sans Narrow"/>
                <w:sz w:val="17"/>
              </w:rPr>
              <w:t xml:space="preserve">Penhora no rosto dos autos do inventário e alcance do art. 642, caput</w:t>
            </w:r>
          </w:p>
        </w:tc>
        <w:tc>
          <w:tcPr>
            <w:tcW w:type="dxa" w:w="1655"/>
          </w:tcPr>
          <w:p>
            <w:pPr>
              <w:pStyle w:val="Compact"/>
              <w:spacing w:line="276" w:lineRule="auto" w:before="40" w:after="40"/>
            </w:pPr>
            <w:r>
              <w:rPr>
                <w:rFonts w:ascii="Liberation Sans Narrow" w:hAnsi="Liberation Sans Narrow"/>
                <w:sz w:val="17"/>
              </w:rPr>
              <w:t xml:space="preserve">STJ, REsp 1.877.738, Terceira Turma, relatora Min. Nancy Andrighi, julgado em 09/03/2021, DJe de 11/03/2021</w:t>
            </w:r>
          </w:p>
        </w:tc>
        <w:tc>
          <w:tcPr>
            <w:tcW w:type="dxa" w:w="1780"/>
          </w:tcPr>
          <w:p>
            <w:pPr>
              <w:pStyle w:val="Compact"/>
              <w:spacing w:line="276" w:lineRule="auto" w:before="40" w:after="40"/>
            </w:pPr>
            <w:r>
              <w:rPr>
                <w:rFonts w:ascii="Liberation Sans Narrow" w:hAnsi="Liberation Sans Narrow"/>
                <w:sz w:val="17"/>
              </w:rPr>
              <w:t xml:space="preserve">O art. 642, caput, trata só da habilitação de credores do espólio; a penhora no rosto dos autos do inventário para garantir crédito contra um dos herdeiros é cabível mesmo depois da homologação da partilha, nos termos do art. 860.</w:t>
            </w:r>
          </w:p>
        </w:tc>
      </w:tr>
    </w:tbl>
    <w:p>
      <w:pPr>
        <w:pStyle w:val="BodyText"/>
        <w:spacing w:after="60"/>
        <w:jc w:val="both"/>
      </w:pPr>
      <w:r>
        <w:t xml:space="preserve">§ 1º A petição, acompanhada de prova literal da dívida, será distribuída por dependência e autuada em apenso aos autos do processo de inventário.</w:t>
      </w:r>
    </w:p>
    <w:p>
      <w:pPr>
        <w:pStyle w:val="BodyText"/>
        <w:spacing w:after="60"/>
        <w:jc w:val="both"/>
      </w:pPr>
      <w:r>
        <w:t xml:space="preserve">§ 2º Concordando as partes com o pedido, o juiz, ao declarar habilitado o credor, mandará que se faça a separação de dinheiro ou, em sua falta, de bens suficientes para o pagamento.</w:t>
      </w:r>
    </w:p>
    <w:p>
      <w:pPr>
        <w:pStyle w:val="BodyText"/>
        <w:spacing w:after="60"/>
        <w:jc w:val="both"/>
      </w:pPr>
      <w:r>
        <w:t xml:space="preserve">§ 3º Separados os bens, tantos quantos forem necessários para o pagamento dos credores habilitados, o juiz mandará aliená-los, observando-se as disposições deste Código relativas à expropriação.</w:t>
      </w:r>
    </w:p>
    <w:p>
      <w:pPr>
        <w:pStyle w:val="BodyText"/>
        <w:spacing w:after="60"/>
        <w:jc w:val="both"/>
      </w:pPr>
      <w:r>
        <w:t xml:space="preserve">§ 4º Se o credor requerer que, em vez de dinheiro, lhe sejam adjudicados, para o seu pagamento, os bens já reservados, o juiz deferir-lhe-á o pedido, concordando todas as partes.</w:t>
      </w:r>
    </w:p>
    <w:p>
      <w:pPr>
        <w:pStyle w:val="BodyText"/>
        <w:spacing w:after="60"/>
        <w:jc w:val="both"/>
      </w:pPr>
      <w:r>
        <w:t xml:space="preserve">§ 5º Os donatários serão chamados a pronunciar-se sobre a aprovação das dívidas, sempre que haja possibilidade de resultar delas a redução das liberalidades.</w:t>
      </w:r>
    </w:p>
    <w:bookmarkEnd w:id="406"/>
    <w:bookmarkStart w:id="407" w:name="art.-643"/>
    <w:p>
      <w:pPr>
        <w:pStyle w:val="Heading6"/>
        <w:pBdr>
          <w:left w:val="single" w:sz="36" w:space="4" w:color="2E75B6"/>
        </w:pBdr>
        <w:shd w:val="clear" w:color="auto" w:fill="E3EEF9"/>
        <w:spacing w:before="120" w:after="60"/>
        <w:ind w:left="85"/>
      </w:pPr>
      <w:r>
        <w:rPr>
          <w:i w:val="0"/>
          <w:color w:val="1F3A5F"/>
          <w:sz w:val="22"/>
        </w:rPr>
        <w:t xml:space="preserve">Art. 643</w:t>
      </w:r>
    </w:p>
    <w:p>
      <w:pPr>
        <w:pStyle w:val="FirstParagraph"/>
        <w:keepNext/>
        <w:spacing w:after="60"/>
        <w:jc w:val="both"/>
      </w:pPr>
      <w:r>
        <w:rPr>
          <w:b/>
          <w:bCs/>
        </w:rPr>
        <w:t xml:space="preserve">Art. 643.</w:t>
      </w:r>
      <w:r>
        <w:t xml:space="preserve"> </w:t>
      </w:r>
      <w:r>
        <w:t xml:space="preserve">Não havendo concordância de todas as partes sobre o pedido de pagamento feito pelo credor, será o pedido remetido às vias ordinárias.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1780"/>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Habilitação de crédito: concordância expressa dos herdeiros</w:t>
            </w:r>
          </w:p>
        </w:tc>
        <w:tc>
          <w:tcPr>
            <w:tcW w:type="dxa" w:w="1655"/>
          </w:tcPr>
          <w:p>
            <w:pPr>
              <w:pStyle w:val="Compact"/>
              <w:spacing w:line="276" w:lineRule="auto" w:before="40" w:after="40"/>
            </w:pPr>
            <w:r>
              <w:rPr>
                <w:rFonts w:ascii="Liberation Sans Narrow" w:hAnsi="Liberation Sans Narrow"/>
                <w:sz w:val="17"/>
              </w:rPr>
              <w:t xml:space="preserve">STJ, REsp 2.176.470, Terceira Turma, relator Min. Ricardo Villas Bôas Cueva, julgado em 11/03/2025, DJEN de 18/03/2025</w:t>
            </w:r>
          </w:p>
        </w:tc>
        <w:tc>
          <w:tcPr>
            <w:tcW w:type="dxa" w:w="1780"/>
          </w:tcPr>
          <w:p>
            <w:pPr>
              <w:pStyle w:val="Compact"/>
              <w:spacing w:line="276" w:lineRule="auto" w:before="40" w:after="40"/>
            </w:pPr>
            <w:r>
              <w:rPr>
                <w:rFonts w:ascii="Liberation Sans Narrow" w:hAnsi="Liberation Sans Narrow"/>
                <w:sz w:val="17"/>
              </w:rPr>
              <w:t xml:space="preserve">A habilitação de crédito depende de consenso: a concordância dos herdeiros exigida pelos arts. 642, § 2º, e 643 deve ser inequívoca, e a inércia não equivale a concordância tácita.</w:t>
            </w:r>
          </w:p>
        </w:tc>
      </w:tr>
      <w:tr>
        <w:trPr>
          <w:cantSplit/>
        </w:trPr>
        <w:tc>
          <w:tcPr>
            <w:tcW w:type="dxa" w:w="1780"/>
          </w:tcPr>
          <w:p>
            <w:pPr>
              <w:pStyle w:val="Compact"/>
              <w:spacing w:line="276" w:lineRule="auto" w:before="40" w:after="40"/>
            </w:pPr>
            <w:r>
              <w:rPr>
                <w:rFonts w:ascii="Liberation Sans Narrow" w:hAnsi="Liberation Sans Narrow"/>
                <w:sz w:val="17"/>
              </w:rPr>
              <w:t xml:space="preserve">Impugnação da habilitação de crédito: remessa às vias ordinárias e honorários</w:t>
            </w:r>
          </w:p>
        </w:tc>
        <w:tc>
          <w:tcPr>
            <w:tcW w:type="dxa" w:w="1655"/>
          </w:tcPr>
          <w:p>
            <w:pPr>
              <w:pStyle w:val="Compact"/>
              <w:spacing w:line="276" w:lineRule="auto" w:before="40" w:after="40"/>
            </w:pPr>
            <w:r>
              <w:rPr>
                <w:rFonts w:ascii="Liberation Sans Narrow" w:hAnsi="Liberation Sans Narrow"/>
                <w:sz w:val="17"/>
              </w:rPr>
              <w:t xml:space="preserve">STJ, REsp 2.045.640, Terceira Turma, relator Min. Marco Aurélio Bellizze, julgado em 25/04/2023, DJe de 28/04/2023</w:t>
            </w:r>
          </w:p>
        </w:tc>
        <w:tc>
          <w:tcPr>
            <w:tcW w:type="dxa" w:w="1780"/>
          </w:tcPr>
          <w:p>
            <w:pPr>
              <w:pStyle w:val="Compact"/>
              <w:spacing w:line="276" w:lineRule="auto" w:before="40" w:after="40"/>
            </w:pPr>
            <w:r>
              <w:rPr>
                <w:rFonts w:ascii="Liberation Sans Narrow" w:hAnsi="Liberation Sans Narrow"/>
                <w:sz w:val="17"/>
              </w:rPr>
              <w:t xml:space="preserve">Impugnada a habilitação de crédito, o juiz do inventário remete as partes às vias ordinárias e não pode converter o pedido em ação de cobrança (art. 643); são incabíveis honorários no incidente extinto por objeção de interessado.</w:t>
            </w:r>
          </w:p>
        </w:tc>
      </w:tr>
    </w:tbl>
    <w:p>
      <w:pPr>
        <w:pStyle w:val="BodyText"/>
        <w:spacing w:after="60"/>
        <w:jc w:val="both"/>
      </w:pPr>
      <w:r>
        <w:t xml:space="preserve">Parágrafo único. O juiz mandará, porém, reservar, em poder do inventariante, bens suficientes para pagar o credor quando a dívida constar de documento que comprove suficientemente a obrigação e a impugnação não se fundar em quitação.</w:t>
      </w:r>
    </w:p>
    <w:bookmarkEnd w:id="407"/>
    <w:bookmarkStart w:id="408" w:name="art.-644"/>
    <w:p>
      <w:pPr>
        <w:pStyle w:val="Heading6"/>
        <w:pBdr>
          <w:left w:val="single" w:sz="36" w:space="4" w:color="2E75B6"/>
        </w:pBdr>
        <w:shd w:val="clear" w:color="auto" w:fill="E3EEF9"/>
        <w:spacing w:before="120" w:after="60"/>
        <w:ind w:left="85"/>
      </w:pPr>
      <w:r>
        <w:rPr>
          <w:i w:val="0"/>
          <w:color w:val="1F3A5F"/>
          <w:sz w:val="22"/>
        </w:rPr>
        <w:t xml:space="preserve">Art. 644</w:t>
      </w:r>
    </w:p>
    <w:p>
      <w:pPr>
        <w:pStyle w:val="FirstParagraph"/>
        <w:keepNext/>
        <w:spacing w:after="60"/>
        <w:jc w:val="both"/>
      </w:pPr>
      <w:r>
        <w:rPr>
          <w:b/>
          <w:bCs/>
        </w:rPr>
        <w:t xml:space="preserve">Art. 644.</w:t>
      </w:r>
      <w:r>
        <w:t xml:space="preserve"> </w:t>
      </w:r>
      <w:r>
        <w:t xml:space="preserve">O credor de dívida líquida e certa, ainda não vencida, pode requerer habilitação no inventário.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2029"/>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habilitação de crédito como faculdade do credor (tese)</w:t>
            </w:r>
          </w:p>
        </w:tc>
        <w:tc>
          <w:tcPr>
            <w:tcW w:type="dxa" w:w="1655"/>
          </w:tcPr>
          <w:p>
            <w:pPr>
              <w:pStyle w:val="Compact"/>
              <w:spacing w:line="276" w:lineRule="auto" w:before="40" w:after="40"/>
            </w:pPr>
            <w:r>
              <w:rPr>
                <w:rFonts w:ascii="Liberation Sans Narrow" w:hAnsi="Liberation Sans Narrow"/>
                <w:sz w:val="17"/>
              </w:rPr>
              <w:t xml:space="preserve">STJ, AREsp 3.099.910, Quarta Turma, relator Min. João Otávio de Noronha, julgado em 16/03/2026</w:t>
            </w:r>
          </w:p>
        </w:tc>
        <w:tc>
          <w:tcPr>
            <w:tcW w:type="dxa" w:w="2030"/>
          </w:tcPr>
          <w:p>
            <w:pPr>
              <w:pStyle w:val="Compact"/>
              <w:spacing w:line="276" w:lineRule="auto" w:before="40" w:after="40"/>
            </w:pPr>
            <w:r>
              <w:rPr>
                <w:rFonts w:ascii="Liberation Sans Narrow" w:hAnsi="Liberation Sans Narrow"/>
                <w:sz w:val="17"/>
              </w:rPr>
              <w:t xml:space="preserve">A habilitação de crédito no inventário é medida facultativa do credor e não impede o prosseguimento da execução individual contra o espólio, com penhora direta de bens quando a dívida é do próprio autor da herança.</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orientação de aplicação (aplicação narrada)</w:t>
            </w:r>
          </w:p>
        </w:tc>
        <w:tc>
          <w:tcPr>
            <w:tcW w:type="dxa" w:w="1655"/>
          </w:tcPr>
          <w:p>
            <w:pPr>
              <w:pStyle w:val="Compact"/>
              <w:spacing w:line="276" w:lineRule="auto" w:before="40" w:after="40"/>
            </w:pPr>
            <w:r>
              <w:rPr>
                <w:rFonts w:ascii="Liberation Sans Narrow" w:hAnsi="Liberation Sans Narrow"/>
                <w:sz w:val="17"/>
              </w:rPr>
              <w:t xml:space="preserve">STJ, REsp 2.197.615, Quarta Turma, relator Min. João Otávio de Noronha, julgado em 17/11/2025, DJEN de 24/11/2025</w:t>
            </w:r>
          </w:p>
        </w:tc>
        <w:tc>
          <w:tcPr>
            <w:tcW w:type="dxa" w:w="2030"/>
          </w:tcPr>
          <w:p>
            <w:pPr>
              <w:pStyle w:val="Compact"/>
              <w:spacing w:line="276" w:lineRule="auto" w:before="40" w:after="40"/>
            </w:pPr>
            <w:r>
              <w:rPr>
                <w:rFonts w:ascii="Liberation Sans Narrow" w:hAnsi="Liberation Sans Narrow"/>
                <w:sz w:val="17"/>
              </w:rPr>
              <w:t xml:space="preserve">A decisão que versa sobre habilitação de crédito em inventário tem natureza interlocutória e deve ser impugnada por agravo de instrumento, admitindo-se a fungibilidade recursal quando a condução do processo induz a erro quanto ao recurso cabível. Trecho: “A decisão que versa sobre habilitação de crédito em inventário possui natureza interlocutória e deve ser impugnada por agravo de instrumento, conforme o art.”</w:t>
            </w:r>
          </w:p>
        </w:tc>
      </w:tr>
    </w:tbl>
    <w:p>
      <w:pPr>
        <w:pStyle w:val="BodyText"/>
        <w:spacing w:after="60"/>
        <w:jc w:val="both"/>
      </w:pPr>
      <w:r>
        <w:t xml:space="preserve">Parágrafo único. Concordando as partes com o pedido referido no caput , o juiz, ao julgar habilitado o crédito, mandará que se faça separação de bens para o futuro pagamento.</w:t>
      </w:r>
    </w:p>
    <w:bookmarkEnd w:id="408"/>
    <w:bookmarkStart w:id="409" w:name="art.-645"/>
    <w:p>
      <w:pPr>
        <w:pStyle w:val="Heading6"/>
        <w:pBdr>
          <w:left w:val="single" w:sz="36" w:space="4" w:color="2E75B6"/>
        </w:pBdr>
        <w:shd w:val="clear" w:color="auto" w:fill="E3EEF9"/>
        <w:spacing w:before="120" w:after="60"/>
        <w:ind w:left="85"/>
      </w:pPr>
      <w:r>
        <w:rPr>
          <w:i w:val="0"/>
          <w:color w:val="1F3A5F"/>
          <w:sz w:val="22"/>
        </w:rPr>
        <w:t xml:space="preserve">Art. 645</w:t>
      </w:r>
    </w:p>
    <w:p>
      <w:pPr>
        <w:pStyle w:val="FirstParagraph"/>
        <w:spacing w:after="60"/>
        <w:jc w:val="both"/>
      </w:pPr>
      <w:r>
        <w:rPr>
          <w:b/>
          <w:bCs/>
        </w:rPr>
        <w:t xml:space="preserve">Art. 645.</w:t>
      </w:r>
      <w:r>
        <w:t xml:space="preserve"> </w:t>
      </w:r>
      <w:r>
        <w:t xml:space="preserve">O legatário é parte legítima para manifestar-se sobre as dívidas do espólio:</w:t>
      </w:r>
    </w:p>
    <w:p>
      <w:pPr>
        <w:pStyle w:val="BodyText"/>
        <w:spacing w:after="60"/>
        <w:jc w:val="both"/>
      </w:pPr>
      <w:r>
        <w:t xml:space="preserve">I - quando toda a herança for dividida em legados;</w:t>
      </w:r>
    </w:p>
    <w:p>
      <w:pPr>
        <w:pStyle w:val="BodyText"/>
        <w:spacing w:after="60"/>
        <w:jc w:val="both"/>
      </w:pPr>
      <w:r>
        <w:t xml:space="preserve">II - quando o reconhecimento das dívidas importar redução dos legados.</w:t>
      </w:r>
    </w:p>
    <w:bookmarkEnd w:id="409"/>
    <w:bookmarkStart w:id="410" w:name="art.-646"/>
    <w:p>
      <w:pPr>
        <w:pStyle w:val="Heading6"/>
        <w:pBdr>
          <w:left w:val="single" w:sz="36" w:space="4" w:color="2E75B6"/>
        </w:pBdr>
        <w:shd w:val="clear" w:color="auto" w:fill="E3EEF9"/>
        <w:spacing w:before="120" w:after="60"/>
        <w:ind w:left="85"/>
      </w:pPr>
      <w:r>
        <w:rPr>
          <w:i w:val="0"/>
          <w:color w:val="1F3A5F"/>
          <w:sz w:val="22"/>
        </w:rPr>
        <w:t xml:space="preserve">Art. 646</w:t>
      </w:r>
    </w:p>
    <w:p>
      <w:pPr>
        <w:pStyle w:val="FirstParagraph"/>
        <w:spacing w:after="60"/>
        <w:jc w:val="both"/>
      </w:pPr>
      <w:r>
        <w:rPr>
          <w:b/>
          <w:bCs/>
        </w:rPr>
        <w:t xml:space="preserve">Art. 646.</w:t>
      </w:r>
      <w:r>
        <w:t xml:space="preserve"> </w:t>
      </w:r>
      <w:r>
        <w:t xml:space="preserve">Sem prejuízo do disposto no art. 860, é lícito aos herdeiros, ao separarem bens para o pagamento de dívidas, autorizar que o inventariante os indique à penhora no processo em que o espólio for executado.</w:t>
      </w:r>
    </w:p>
    <w:bookmarkEnd w:id="410"/>
    <w:bookmarkEnd w:id="411"/>
    <w:bookmarkStart w:id="424" w:name="seção-viii-da-partilha-arts.-647-a-658"/>
    <w:p>
      <w:pPr>
        <w:pStyle w:val="Heading5"/>
        <w:spacing w:before="60" w:after="20"/>
      </w:pPr>
      <w:r>
        <w:rPr>
          <w:i/>
          <w:color w:val="595959"/>
        </w:rPr>
        <w:t xml:space="preserve">Seção VIII: da partilha (arts. 647 a 658)</w:t>
      </w:r>
    </w:p>
    <w:bookmarkStart w:id="412" w:name="art.-647"/>
    <w:p>
      <w:pPr>
        <w:pStyle w:val="Heading6"/>
        <w:pBdr>
          <w:left w:val="single" w:sz="36" w:space="4" w:color="2E75B6"/>
        </w:pBdr>
        <w:shd w:val="clear" w:color="auto" w:fill="E3EEF9"/>
        <w:spacing w:before="120" w:after="60"/>
        <w:ind w:left="85"/>
      </w:pPr>
      <w:r>
        <w:rPr>
          <w:i w:val="0"/>
          <w:color w:val="1F3A5F"/>
          <w:sz w:val="22"/>
        </w:rPr>
        <w:t xml:space="preserve">Art. 647</w:t>
      </w:r>
    </w:p>
    <w:p>
      <w:pPr>
        <w:pStyle w:val="FirstParagraph"/>
        <w:spacing w:after="60"/>
        <w:jc w:val="both"/>
      </w:pPr>
      <w:r>
        <w:rPr>
          <w:b/>
          <w:bCs/>
        </w:rPr>
        <w:t xml:space="preserve">Art. 647.</w:t>
      </w:r>
      <w:r>
        <w:t xml:space="preserve"> </w:t>
      </w:r>
      <w:r>
        <w:t xml:space="preserve">Cumprido o disposto no art. 642, § 3º, o juiz facultará às partes que, no prazo comum de 15 (quinze) dias, formulem o pedido de quinhão e, em seguida, proferirá a decisão de deliberação da partilha, resolvendo os pedidos das partes e designando os bens que devam constituir quinhão de cada herdeiro e legatário.</w:t>
      </w:r>
    </w:p>
    <w:p>
      <w:pPr>
        <w:pStyle w:val="BodyText"/>
        <w:spacing w:after="60"/>
        <w:jc w:val="both"/>
      </w:pPr>
      <w:r>
        <w:t xml:space="preserve">Parágrafo único. O juiz poderá, em decisão fundamentada, deferir antecipadamente a qualquer dos herdeiros o exercício dos direitos de usar e de fruir de determinado bem, com a condição de que, ao término do inventário, tal bem integre a cota desse herdeiro, cabendo a este, desde o deferimento, todos os ônus e bônus decorrentes do exercício daqueles direitos.</w:t>
      </w:r>
    </w:p>
    <w:bookmarkEnd w:id="412"/>
    <w:bookmarkStart w:id="413" w:name="art.-648"/>
    <w:p>
      <w:pPr>
        <w:pStyle w:val="Heading6"/>
        <w:pBdr>
          <w:left w:val="single" w:sz="36" w:space="4" w:color="2E75B6"/>
        </w:pBdr>
        <w:shd w:val="clear" w:color="auto" w:fill="E3EEF9"/>
        <w:spacing w:before="120" w:after="60"/>
        <w:ind w:left="85"/>
      </w:pPr>
      <w:r>
        <w:rPr>
          <w:i w:val="0"/>
          <w:color w:val="1F3A5F"/>
          <w:sz w:val="22"/>
        </w:rPr>
        <w:t xml:space="preserve">Art. 648</w:t>
      </w:r>
    </w:p>
    <w:p>
      <w:pPr>
        <w:pStyle w:val="FirstParagraph"/>
        <w:spacing w:after="60"/>
        <w:jc w:val="both"/>
      </w:pPr>
      <w:r>
        <w:rPr>
          <w:b/>
          <w:bCs/>
        </w:rPr>
        <w:t xml:space="preserve">Art. 648.</w:t>
      </w:r>
      <w:r>
        <w:t xml:space="preserve"> </w:t>
      </w:r>
      <w:r>
        <w:t xml:space="preserve">Na partilha, serão observadas as seguintes regras:</w:t>
      </w:r>
    </w:p>
    <w:p>
      <w:pPr>
        <w:pStyle w:val="BodyText"/>
        <w:keepNext/>
        <w:spacing w:after="60"/>
        <w:jc w:val="both"/>
      </w:pPr>
      <w:r>
        <w:t xml:space="preserve">I - a máxima igualdade possível quanto ao valor, à natureza e à qualidade dos bens;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1780"/>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655"/>
          </w:tcPr>
          <w:p>
            <w:pPr>
              <w:pStyle w:val="Compact"/>
              <w:spacing w:line="276" w:lineRule="auto" w:before="40" w:after="40"/>
            </w:pPr>
            <w:r>
              <w:rPr>
                <w:rFonts w:ascii="Liberation Sans Narrow" w:hAnsi="Liberation Sans Narrow"/>
                <w:sz w:val="17"/>
              </w:rPr>
              <w:t xml:space="preserve">I — máxima igualdade possível (orientação de aplicação) (aplicação narrada)</w:t>
            </w:r>
          </w:p>
        </w:tc>
        <w:tc>
          <w:tcPr>
            <w:tcW w:type="dxa" w:w="1531"/>
          </w:tcPr>
          <w:p>
            <w:pPr>
              <w:pStyle w:val="Compact"/>
              <w:spacing w:line="276" w:lineRule="auto" w:before="40" w:after="40"/>
            </w:pPr>
            <w:r>
              <w:rPr>
                <w:rFonts w:ascii="Liberation Sans Narrow" w:hAnsi="Liberation Sans Narrow"/>
                <w:sz w:val="17"/>
              </w:rPr>
              <w:t xml:space="preserve">STJ, REsp 2.225.451, Terceira Turma, relatora Min. Nancy Andrighi, julgado em 12/05/2026</w:t>
            </w:r>
          </w:p>
        </w:tc>
        <w:tc>
          <w:tcPr>
            <w:tcW w:type="dxa" w:w="1780"/>
          </w:tcPr>
          <w:p>
            <w:pPr>
              <w:pStyle w:val="Compact"/>
              <w:spacing w:line="276" w:lineRule="auto" w:before="40" w:after="40"/>
            </w:pPr>
            <w:r>
              <w:rPr>
                <w:rFonts w:ascii="Liberation Sans Narrow" w:hAnsi="Liberation Sans Narrow"/>
                <w:sz w:val="17"/>
              </w:rPr>
              <w:t xml:space="preserve">A regra da maior igualdade possível não exige igualdade absoluta entre quinhões: não há óbice à partilha amigável com quinhões desiguais, precedida de cessão de direitos, cabendo ao juiz verificar apenas a validade da manifestação de vontade. Trecho: “O juiz, ao homologar a partilha consensual, deve apenas verificar a validade da manifestação de vontade, não cabendo exigir a equivalência matemática dos quinhões desiguais, mormente quando celebrada entre herdeiros maiores e capazes.”</w:t>
            </w:r>
          </w:p>
        </w:tc>
      </w:tr>
    </w:tbl>
    <w:p>
      <w:pPr>
        <w:pStyle w:val="BodyText"/>
        <w:spacing w:after="60"/>
        <w:jc w:val="both"/>
      </w:pPr>
      <w:r>
        <w:t xml:space="preserve">II - a prevenção de litígios futuros;</w:t>
      </w:r>
    </w:p>
    <w:p>
      <w:pPr>
        <w:pStyle w:val="BodyText"/>
        <w:spacing w:after="60"/>
        <w:jc w:val="both"/>
      </w:pPr>
      <w:r>
        <w:t xml:space="preserve">III - a máxima comodidade dos coerdeiros, do cônjuge ou do companheiro, se for o caso.</w:t>
      </w:r>
    </w:p>
    <w:bookmarkEnd w:id="413"/>
    <w:bookmarkStart w:id="414" w:name="art.-649"/>
    <w:p>
      <w:pPr>
        <w:pStyle w:val="Heading6"/>
        <w:pBdr>
          <w:left w:val="single" w:sz="36" w:space="4" w:color="2E75B6"/>
        </w:pBdr>
        <w:shd w:val="clear" w:color="auto" w:fill="E3EEF9"/>
        <w:spacing w:before="120" w:after="60"/>
        <w:ind w:left="85"/>
      </w:pPr>
      <w:r>
        <w:rPr>
          <w:i w:val="0"/>
          <w:color w:val="1F3A5F"/>
          <w:sz w:val="22"/>
        </w:rPr>
        <w:t xml:space="preserve">Art. 649</w:t>
      </w:r>
    </w:p>
    <w:p>
      <w:pPr>
        <w:pStyle w:val="FirstParagraph"/>
        <w:keepNext/>
        <w:spacing w:after="60"/>
        <w:jc w:val="both"/>
      </w:pPr>
      <w:r>
        <w:rPr>
          <w:b/>
          <w:bCs/>
        </w:rPr>
        <w:t xml:space="preserve">Art. 649.</w:t>
      </w:r>
      <w:r>
        <w:t xml:space="preserve"> </w:t>
      </w:r>
      <w:r>
        <w:t xml:space="preserve">Os bens insuscetíveis de divisão cômoda que não couberem na parte do cônjuge ou companheiro supérstite ou no quinhão de um só herdeiro serão licitados entre os interessados ou vendidos judicialmente, partilhando-se o valor apurado, salvo se houver acordo para que sejam adjudicados a todos.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871"/>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871"/>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orientação de aplicação</w:t>
            </w:r>
          </w:p>
        </w:tc>
        <w:tc>
          <w:tcPr>
            <w:tcW w:type="dxa" w:w="1531"/>
          </w:tcPr>
          <w:p>
            <w:pPr>
              <w:pStyle w:val="Compact"/>
              <w:spacing w:line="276" w:lineRule="auto" w:before="40" w:after="40"/>
            </w:pPr>
            <w:r>
              <w:rPr>
                <w:rFonts w:ascii="Liberation Sans Narrow" w:hAnsi="Liberation Sans Narrow"/>
                <w:sz w:val="17"/>
              </w:rPr>
              <w:t xml:space="preserve">STJ, AREsp 2.975.668, Quarta Turma, relator Min. João Otávio de Noronha, julgado em 30/06/2026</w:t>
            </w:r>
          </w:p>
        </w:tc>
        <w:tc>
          <w:tcPr>
            <w:tcW w:type="dxa" w:w="1871"/>
          </w:tcPr>
          <w:p>
            <w:pPr>
              <w:pStyle w:val="Compact"/>
              <w:spacing w:line="276" w:lineRule="auto" w:before="40" w:after="40"/>
            </w:pPr>
            <w:r>
              <w:rPr>
                <w:rFonts w:ascii="Liberation Sans Narrow" w:hAnsi="Liberation Sans Narrow"/>
                <w:sz w:val="17"/>
              </w:rPr>
              <w:t xml:space="preserve">A herança é unidade indivisível até a partilha (CC, art. 1.791), de modo que a extinção do condomínio legal e a alienação de bem do espólio devem ser deliberadas no inventário, não se aplicando antes da partilha os arts. 1.320 e 1.322 do Código Civil.</w:t>
            </w:r>
          </w:p>
        </w:tc>
      </w:tr>
    </w:tbl>
    <w:bookmarkEnd w:id="414"/>
    <w:bookmarkStart w:id="415" w:name="art.-650"/>
    <w:p>
      <w:pPr>
        <w:pStyle w:val="Heading6"/>
        <w:pBdr>
          <w:left w:val="single" w:sz="36" w:space="4" w:color="2E75B6"/>
        </w:pBdr>
        <w:shd w:val="clear" w:color="auto" w:fill="E3EEF9"/>
        <w:spacing w:before="120" w:after="60"/>
        <w:ind w:left="85"/>
      </w:pPr>
      <w:r>
        <w:rPr>
          <w:i w:val="0"/>
          <w:color w:val="1F3A5F"/>
          <w:sz w:val="22"/>
        </w:rPr>
        <w:t xml:space="preserve">Art. 650</w:t>
      </w:r>
    </w:p>
    <w:p>
      <w:pPr>
        <w:pStyle w:val="FirstParagraph"/>
        <w:spacing w:after="60"/>
        <w:jc w:val="both"/>
      </w:pPr>
      <w:r>
        <w:rPr>
          <w:b/>
          <w:bCs/>
        </w:rPr>
        <w:t xml:space="preserve">Art. 650.</w:t>
      </w:r>
      <w:r>
        <w:t xml:space="preserve"> </w:t>
      </w:r>
      <w:r>
        <w:t xml:space="preserve">Se um dos interessados for nascituro, o quinhão que lhe caberá será reservado em poder do inventariante até o seu nascimento.</w:t>
      </w:r>
    </w:p>
    <w:bookmarkEnd w:id="415"/>
    <w:bookmarkStart w:id="416" w:name="art.-651"/>
    <w:p>
      <w:pPr>
        <w:pStyle w:val="Heading6"/>
        <w:pBdr>
          <w:left w:val="single" w:sz="36" w:space="4" w:color="2E75B6"/>
        </w:pBdr>
        <w:shd w:val="clear" w:color="auto" w:fill="E3EEF9"/>
        <w:spacing w:before="120" w:after="60"/>
        <w:ind w:left="85"/>
      </w:pPr>
      <w:r>
        <w:rPr>
          <w:i w:val="0"/>
          <w:color w:val="1F3A5F"/>
          <w:sz w:val="22"/>
        </w:rPr>
        <w:t xml:space="preserve">Art. 651</w:t>
      </w:r>
    </w:p>
    <w:p>
      <w:pPr>
        <w:pStyle w:val="FirstParagraph"/>
        <w:spacing w:after="60"/>
        <w:jc w:val="both"/>
      </w:pPr>
      <w:r>
        <w:rPr>
          <w:b/>
          <w:bCs/>
        </w:rPr>
        <w:t xml:space="preserve">Art. 651.</w:t>
      </w:r>
      <w:r>
        <w:t xml:space="preserve"> </w:t>
      </w:r>
      <w:r>
        <w:t xml:space="preserve">O partidor organizará o esboço da partilha de acordo com a decisão judicial, observando nos pagamentos a seguinte ordem:</w:t>
      </w:r>
    </w:p>
    <w:p>
      <w:pPr>
        <w:pStyle w:val="BodyText"/>
        <w:spacing w:after="60"/>
        <w:jc w:val="both"/>
      </w:pPr>
      <w:r>
        <w:t xml:space="preserve">I - dívidas atendidas;</w:t>
      </w:r>
    </w:p>
    <w:p>
      <w:pPr>
        <w:pStyle w:val="BodyText"/>
        <w:spacing w:after="60"/>
        <w:jc w:val="both"/>
      </w:pPr>
      <w:r>
        <w:t xml:space="preserve">II - meação do cônjuge;</w:t>
      </w:r>
    </w:p>
    <w:p>
      <w:pPr>
        <w:pStyle w:val="BodyText"/>
        <w:spacing w:after="60"/>
        <w:jc w:val="both"/>
      </w:pPr>
      <w:r>
        <w:t xml:space="preserve">III - meação disponível;</w:t>
      </w:r>
    </w:p>
    <w:p>
      <w:pPr>
        <w:pStyle w:val="BodyText"/>
        <w:spacing w:after="60"/>
        <w:jc w:val="both"/>
      </w:pPr>
      <w:r>
        <w:t xml:space="preserve">IV - quinhões hereditários, a começar pelo coerdeiro mais velho.</w:t>
      </w:r>
    </w:p>
    <w:bookmarkEnd w:id="416"/>
    <w:bookmarkStart w:id="417" w:name="art.-652"/>
    <w:p>
      <w:pPr>
        <w:pStyle w:val="Heading6"/>
        <w:pBdr>
          <w:left w:val="single" w:sz="36" w:space="4" w:color="2E75B6"/>
        </w:pBdr>
        <w:shd w:val="clear" w:color="auto" w:fill="E3EEF9"/>
        <w:spacing w:before="120" w:after="60"/>
        <w:ind w:left="85"/>
      </w:pPr>
      <w:r>
        <w:rPr>
          <w:i w:val="0"/>
          <w:color w:val="1F3A5F"/>
          <w:sz w:val="22"/>
        </w:rPr>
        <w:t xml:space="preserve">Art. 652</w:t>
      </w:r>
    </w:p>
    <w:p>
      <w:pPr>
        <w:pStyle w:val="FirstParagraph"/>
        <w:spacing w:after="60"/>
        <w:jc w:val="both"/>
      </w:pPr>
      <w:r>
        <w:rPr>
          <w:b/>
          <w:bCs/>
        </w:rPr>
        <w:t xml:space="preserve">Art. 652.</w:t>
      </w:r>
      <w:r>
        <w:t xml:space="preserve"> </w:t>
      </w:r>
      <w:r>
        <w:t xml:space="preserve">Feito o esboço, as partes manifestar-se-ão sobre esse no prazo comum de 15 (quinze) dias, e, resolvidas as reclamações, a partilha será lançada nos autos.</w:t>
      </w:r>
    </w:p>
    <w:bookmarkEnd w:id="417"/>
    <w:bookmarkStart w:id="418" w:name="art.-653"/>
    <w:p>
      <w:pPr>
        <w:pStyle w:val="Heading6"/>
        <w:pBdr>
          <w:left w:val="single" w:sz="36" w:space="4" w:color="2E75B6"/>
        </w:pBdr>
        <w:shd w:val="clear" w:color="auto" w:fill="E3EEF9"/>
        <w:spacing w:before="120" w:after="60"/>
        <w:ind w:left="85"/>
      </w:pPr>
      <w:r>
        <w:rPr>
          <w:i w:val="0"/>
          <w:color w:val="1F3A5F"/>
          <w:sz w:val="22"/>
        </w:rPr>
        <w:t xml:space="preserve">Art. 653</w:t>
      </w:r>
    </w:p>
    <w:p>
      <w:pPr>
        <w:pStyle w:val="FirstParagraph"/>
        <w:spacing w:after="60"/>
        <w:jc w:val="both"/>
      </w:pPr>
      <w:r>
        <w:rPr>
          <w:b/>
          <w:bCs/>
        </w:rPr>
        <w:t xml:space="preserve">Art. 653.</w:t>
      </w:r>
      <w:r>
        <w:t xml:space="preserve"> </w:t>
      </w:r>
      <w:r>
        <w:t xml:space="preserve">A partilha constará:</w:t>
      </w:r>
    </w:p>
    <w:p>
      <w:pPr>
        <w:pStyle w:val="BodyText"/>
        <w:spacing w:after="60"/>
        <w:jc w:val="both"/>
      </w:pPr>
      <w:r>
        <w:t xml:space="preserve">I - de auto de orçamento, que mencionará:</w:t>
      </w:r>
    </w:p>
    <w:p>
      <w:pPr>
        <w:pStyle w:val="BodyText"/>
        <w:spacing w:after="60"/>
        <w:jc w:val="both"/>
      </w:pPr>
      <w:r>
        <w:t xml:space="preserve">a) os nomes do autor da herança, do inventariante, do cônjuge ou companheiro supérstite, dos herdeiros, dos legatários e dos credores admitidos;</w:t>
      </w:r>
    </w:p>
    <w:p>
      <w:pPr>
        <w:pStyle w:val="BodyText"/>
        <w:spacing w:after="60"/>
        <w:jc w:val="both"/>
      </w:pPr>
      <w:r>
        <w:t xml:space="preserve">b) o ativo, o passivo e o líquido partível, com as necessárias especificações;</w:t>
      </w:r>
    </w:p>
    <w:p>
      <w:pPr>
        <w:pStyle w:val="BodyText"/>
        <w:spacing w:after="60"/>
        <w:jc w:val="both"/>
      </w:pPr>
      <w:r>
        <w:t xml:space="preserve">c) o valor de cada quinhão;</w:t>
      </w:r>
    </w:p>
    <w:p>
      <w:pPr>
        <w:pStyle w:val="BodyText"/>
        <w:spacing w:after="60"/>
        <w:jc w:val="both"/>
      </w:pPr>
      <w:r>
        <w:t xml:space="preserve">II - de folha de pagamento para cada parte, declarando a quota a pagar-lhe, a razão do pagamento e a relação dos bens que lhe compõem o quinhão, as características que os individualizam e os ônus que os gravam.</w:t>
      </w:r>
    </w:p>
    <w:p>
      <w:pPr>
        <w:pStyle w:val="BodyText"/>
        <w:spacing w:after="60"/>
        <w:jc w:val="both"/>
      </w:pPr>
      <w:r>
        <w:t xml:space="preserve">Parágrafo único. O auto e cada uma das folhas serão assinados pelo juiz e pelo escrivão.</w:t>
      </w:r>
    </w:p>
    <w:bookmarkEnd w:id="418"/>
    <w:bookmarkStart w:id="419" w:name="art.-654"/>
    <w:p>
      <w:pPr>
        <w:pStyle w:val="Heading6"/>
        <w:pBdr>
          <w:left w:val="single" w:sz="36" w:space="4" w:color="2E75B6"/>
        </w:pBdr>
        <w:shd w:val="clear" w:color="auto" w:fill="E3EEF9"/>
        <w:spacing w:before="120" w:after="60"/>
        <w:ind w:left="85"/>
      </w:pPr>
      <w:r>
        <w:rPr>
          <w:i w:val="0"/>
          <w:color w:val="1F3A5F"/>
          <w:sz w:val="22"/>
        </w:rPr>
        <w:t xml:space="preserve">Art. 654</w:t>
      </w:r>
    </w:p>
    <w:p>
      <w:pPr>
        <w:pStyle w:val="FirstParagraph"/>
        <w:spacing w:after="60"/>
        <w:jc w:val="both"/>
      </w:pPr>
      <w:r>
        <w:rPr>
          <w:b/>
          <w:bCs/>
        </w:rPr>
        <w:t xml:space="preserve">Art. 654.</w:t>
      </w:r>
      <w:r>
        <w:t xml:space="preserve"> </w:t>
      </w:r>
      <w:r>
        <w:t xml:space="preserve">Pago o imposto de transmissão a título de morte e juntada aos autos certidão ou informação negativa de dívida para com a Fazenda Pública, o juiz julgará por sentença a partilha.</w:t>
      </w:r>
    </w:p>
    <w:p>
      <w:pPr>
        <w:pStyle w:val="BodyText"/>
        <w:spacing w:after="60"/>
        <w:jc w:val="both"/>
      </w:pPr>
      <w:r>
        <w:t xml:space="preserve">Parágrafo único. A existência de dívida para com a Fazenda Pública não impedirá o julgamento da partilha, desde que o seu pagamento esteja devidamente garantido.</w:t>
      </w:r>
    </w:p>
    <w:bookmarkEnd w:id="419"/>
    <w:bookmarkStart w:id="420" w:name="art.-655"/>
    <w:p>
      <w:pPr>
        <w:pStyle w:val="Heading6"/>
        <w:pBdr>
          <w:left w:val="single" w:sz="36" w:space="4" w:color="2E75B6"/>
        </w:pBdr>
        <w:shd w:val="clear" w:color="auto" w:fill="E3EEF9"/>
        <w:spacing w:before="120" w:after="60"/>
        <w:ind w:left="85"/>
      </w:pPr>
      <w:r>
        <w:rPr>
          <w:i w:val="0"/>
          <w:color w:val="1F3A5F"/>
          <w:sz w:val="22"/>
        </w:rPr>
        <w:t xml:space="preserve">Art. 655</w:t>
      </w:r>
    </w:p>
    <w:p>
      <w:pPr>
        <w:pStyle w:val="FirstParagraph"/>
        <w:keepNext/>
        <w:spacing w:after="60"/>
        <w:jc w:val="both"/>
      </w:pPr>
      <w:r>
        <w:rPr>
          <w:b/>
          <w:bCs/>
        </w:rPr>
        <w:t xml:space="preserve">Art. 655.</w:t>
      </w:r>
      <w:r>
        <w:t xml:space="preserve"> </w:t>
      </w:r>
      <w:r>
        <w:t xml:space="preserve">Transitada em julgado a sentença mencionada no art. 654, receberá o herdeiro os bens que lhe tocarem e um formal de partilha, do qual constarão as seguintes peças: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531"/>
          </w:tcPr>
          <w:p>
            <w:pPr>
              <w:pStyle w:val="Compact"/>
              <w:spacing w:line="276" w:lineRule="auto" w:before="40" w:after="40"/>
            </w:pPr>
            <w:r>
              <w:rPr>
                <w:rFonts w:ascii="Liberation Sans Narrow" w:hAnsi="Liberation Sans Narrow"/>
                <w:sz w:val="17"/>
              </w:rPr>
              <w:t xml:space="preserve">Caput — orientação de aplicação (aplicação narrada)</w:t>
            </w:r>
          </w:p>
        </w:tc>
        <w:tc>
          <w:tcPr>
            <w:tcW w:type="dxa" w:w="1531"/>
          </w:tcPr>
          <w:p>
            <w:pPr>
              <w:pStyle w:val="Compact"/>
              <w:spacing w:line="276" w:lineRule="auto" w:before="40" w:after="40"/>
            </w:pPr>
            <w:r>
              <w:rPr>
                <w:rFonts w:ascii="Liberation Sans Narrow" w:hAnsi="Liberation Sans Narrow"/>
                <w:sz w:val="17"/>
              </w:rPr>
              <w:t xml:space="preserve">STJ, AgInt no REsp 2.256.629, Primeira Turma, relatora Min. Regina Helena Costa, julgado em 30/06/2026</w:t>
            </w:r>
          </w:p>
        </w:tc>
        <w:tc>
          <w:tcPr>
            <w:tcW w:type="dxa" w:w="2030"/>
          </w:tcPr>
          <w:p>
            <w:pPr>
              <w:pStyle w:val="Compact"/>
              <w:spacing w:line="276" w:lineRule="auto" w:before="40" w:after="40"/>
            </w:pPr>
            <w:r>
              <w:rPr>
                <w:rFonts w:ascii="Liberation Sans Narrow" w:hAnsi="Liberation Sans Narrow"/>
                <w:sz w:val="17"/>
              </w:rPr>
              <w:t xml:space="preserve">A habilitação dos herdeiros não se confunde com autorização para levantamento direto dos valores, sendo necessária a comprovação formal da partilha do crédito, mediante inventário, sobrepartilha, escritura pública ou documento equivalente. Trecho: “II - A jurisprudência desta Corte orienta-se no sentido de que a habilitação dos herdeiros não se confunde com autorização para levantamento direto dos valores, sendo necessária a comprovação formal da partilha do crédito, mediante inventário, sobrepartilha, escritura pública ou documento equivalente que relacione o bem III - Em regra, descabe a imposição da multa prevista no art.”</w:t>
            </w:r>
          </w:p>
        </w:tc>
      </w:tr>
    </w:tbl>
    <w:p>
      <w:pPr>
        <w:pStyle w:val="BodyText"/>
        <w:spacing w:after="60"/>
        <w:jc w:val="both"/>
      </w:pPr>
      <w:r>
        <w:t xml:space="preserve">I - termo de inventariante e título de herdeiros;</w:t>
      </w:r>
    </w:p>
    <w:p>
      <w:pPr>
        <w:pStyle w:val="BodyText"/>
        <w:spacing w:after="60"/>
        <w:jc w:val="both"/>
      </w:pPr>
      <w:r>
        <w:t xml:space="preserve">II - avaliação dos bens que constituíram o quinhão do herdeiro;</w:t>
      </w:r>
    </w:p>
    <w:p>
      <w:pPr>
        <w:pStyle w:val="BodyText"/>
        <w:spacing w:after="60"/>
        <w:jc w:val="both"/>
      </w:pPr>
      <w:r>
        <w:t xml:space="preserve">III - pagamento do quinhão hereditário;</w:t>
      </w:r>
    </w:p>
    <w:p>
      <w:pPr>
        <w:pStyle w:val="BodyText"/>
        <w:spacing w:after="60"/>
        <w:jc w:val="both"/>
      </w:pPr>
      <w:r>
        <w:t xml:space="preserve">IV - quitação dos impostos;</w:t>
      </w:r>
    </w:p>
    <w:p>
      <w:pPr>
        <w:pStyle w:val="BodyText"/>
        <w:spacing w:after="60"/>
        <w:jc w:val="both"/>
      </w:pPr>
      <w:r>
        <w:t xml:space="preserve">V - sentença.</w:t>
      </w:r>
    </w:p>
    <w:p>
      <w:pPr>
        <w:pStyle w:val="BodyText"/>
        <w:spacing w:after="60"/>
        <w:jc w:val="both"/>
      </w:pPr>
      <w:r>
        <w:t xml:space="preserve">Parágrafo único. O formal de partilha poderá ser substituído por certidão de pagamento do quinhão hereditário quando esse não exceder a 5 (cinco) vezes o salário-mínimo, caso em que se transcreverá nela a sentença de partilha transitada em julgado.</w:t>
      </w:r>
    </w:p>
    <w:bookmarkEnd w:id="420"/>
    <w:bookmarkStart w:id="421" w:name="art.-656"/>
    <w:p>
      <w:pPr>
        <w:pStyle w:val="Heading6"/>
        <w:pBdr>
          <w:left w:val="single" w:sz="36" w:space="4" w:color="2E75B6"/>
        </w:pBdr>
        <w:shd w:val="clear" w:color="auto" w:fill="E3EEF9"/>
        <w:spacing w:before="120" w:after="60"/>
        <w:ind w:left="85"/>
      </w:pPr>
      <w:r>
        <w:rPr>
          <w:i w:val="0"/>
          <w:color w:val="1F3A5F"/>
          <w:sz w:val="22"/>
        </w:rPr>
        <w:t xml:space="preserve">Art. 656</w:t>
      </w:r>
    </w:p>
    <w:p>
      <w:pPr>
        <w:pStyle w:val="FirstParagraph"/>
        <w:spacing w:after="60"/>
        <w:jc w:val="both"/>
      </w:pPr>
      <w:r>
        <w:rPr>
          <w:b/>
          <w:bCs/>
        </w:rPr>
        <w:t xml:space="preserve">Art. 656.</w:t>
      </w:r>
      <w:r>
        <w:t xml:space="preserve"> </w:t>
      </w:r>
      <w:r>
        <w:t xml:space="preserve">A partilha, mesmo depois de transitada em julgado a sentença, pode ser emendada nos mesmos autos do inventário, convindo todas as partes, quando tenha havido erro de fato na descrição dos bens, podendo o juiz, de ofício ou a requerimento da parte, a qualquer tempo, corrigir-lhe as inexatidões materiais.</w:t>
      </w:r>
    </w:p>
    <w:bookmarkEnd w:id="421"/>
    <w:bookmarkStart w:id="422" w:name="art.-657"/>
    <w:p>
      <w:pPr>
        <w:pStyle w:val="Heading6"/>
        <w:pBdr>
          <w:left w:val="single" w:sz="36" w:space="4" w:color="2E75B6"/>
        </w:pBdr>
        <w:shd w:val="clear" w:color="auto" w:fill="E3EEF9"/>
        <w:spacing w:before="120" w:after="60"/>
        <w:ind w:left="85"/>
      </w:pPr>
      <w:r>
        <w:rPr>
          <w:i w:val="0"/>
          <w:color w:val="1F3A5F"/>
          <w:sz w:val="22"/>
        </w:rPr>
        <w:t xml:space="preserve">Art. 657</w:t>
      </w:r>
    </w:p>
    <w:p>
      <w:pPr>
        <w:pStyle w:val="FirstParagraph"/>
        <w:spacing w:after="60"/>
        <w:jc w:val="both"/>
      </w:pPr>
      <w:r>
        <w:rPr>
          <w:b/>
          <w:bCs/>
        </w:rPr>
        <w:t xml:space="preserve">Art. 657.</w:t>
      </w:r>
      <w:r>
        <w:t xml:space="preserve"> </w:t>
      </w:r>
      <w:r>
        <w:t xml:space="preserve">A partilha amigável, lavrada em instrumento público, reduzida a termo nos autos do inventário ou constante de escrito particular homologado pelo juiz, pode ser anulada por dolo, coação, erro essencial ou intervenção de incapaz, observado o disposto no § 4º do art. 966.</w:t>
      </w:r>
    </w:p>
    <w:p>
      <w:pPr>
        <w:pStyle w:val="BodyText"/>
        <w:spacing w:after="60"/>
        <w:jc w:val="both"/>
      </w:pPr>
      <w:r>
        <w:t xml:space="preserve">Parágrafo único. O direito à anulação de partilha amigável extingue-se em 1 (um) ano, contado esse prazo:</w:t>
      </w:r>
    </w:p>
    <w:p>
      <w:pPr>
        <w:pStyle w:val="BodyText"/>
        <w:spacing w:after="60"/>
        <w:jc w:val="both"/>
      </w:pPr>
      <w:r>
        <w:t xml:space="preserve">I - no caso de coação, do dia em que ela cessou;</w:t>
      </w:r>
    </w:p>
    <w:p>
      <w:pPr>
        <w:pStyle w:val="BodyText"/>
        <w:spacing w:after="60"/>
        <w:jc w:val="both"/>
      </w:pPr>
      <w:r>
        <w:t xml:space="preserve">II - no caso de erro ou dolo, do dia em que se realizou o ato;</w:t>
      </w:r>
    </w:p>
    <w:p>
      <w:pPr>
        <w:pStyle w:val="BodyText"/>
        <w:spacing w:after="60"/>
        <w:jc w:val="both"/>
      </w:pPr>
      <w:r>
        <w:t xml:space="preserve">III - quanto ao incapaz, do dia em que cessar a incapacidade.</w:t>
      </w:r>
    </w:p>
    <w:bookmarkEnd w:id="422"/>
    <w:bookmarkStart w:id="423" w:name="art.-658"/>
    <w:p>
      <w:pPr>
        <w:pStyle w:val="Heading6"/>
        <w:pBdr>
          <w:left w:val="single" w:sz="36" w:space="4" w:color="2E75B6"/>
        </w:pBdr>
        <w:shd w:val="clear" w:color="auto" w:fill="E3EEF9"/>
        <w:spacing w:before="120" w:after="60"/>
        <w:ind w:left="85"/>
      </w:pPr>
      <w:r>
        <w:rPr>
          <w:i w:val="0"/>
          <w:color w:val="1F3A5F"/>
          <w:sz w:val="22"/>
        </w:rPr>
        <w:t xml:space="preserve">Art. 658</w:t>
      </w:r>
    </w:p>
    <w:p>
      <w:pPr>
        <w:pStyle w:val="FirstParagraph"/>
        <w:spacing w:after="60"/>
        <w:jc w:val="both"/>
      </w:pPr>
      <w:r>
        <w:rPr>
          <w:b/>
          <w:bCs/>
        </w:rPr>
        <w:t xml:space="preserve">Art. 658.</w:t>
      </w:r>
      <w:r>
        <w:t xml:space="preserve"> </w:t>
      </w:r>
      <w:r>
        <w:t xml:space="preserve">É rescindível a partilha julgada por sentença:</w:t>
      </w:r>
    </w:p>
    <w:p>
      <w:pPr>
        <w:pStyle w:val="BodyText"/>
        <w:spacing w:after="60"/>
        <w:jc w:val="both"/>
      </w:pPr>
      <w:r>
        <w:t xml:space="preserve">I - nos casos mencionados no art. 657;</w:t>
      </w:r>
    </w:p>
    <w:p>
      <w:pPr>
        <w:pStyle w:val="BodyText"/>
        <w:spacing w:after="60"/>
        <w:jc w:val="both"/>
      </w:pPr>
      <w:r>
        <w:t xml:space="preserve">II - se feita com preterição de formalidades legais;</w:t>
      </w:r>
    </w:p>
    <w:p>
      <w:pPr>
        <w:pStyle w:val="BodyText"/>
        <w:keepNext/>
        <w:spacing w:after="60"/>
        <w:jc w:val="both"/>
      </w:pPr>
      <w:r>
        <w:t xml:space="preserve">III - se preteriu herdeiro ou incluiu quem não o seja.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2029"/>
        <w:gridCol w:w="1780"/>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531"/>
          </w:tcPr>
          <w:p>
            <w:pPr>
              <w:pStyle w:val="Compact"/>
              <w:spacing w:line="276" w:lineRule="auto" w:before="40" w:after="40"/>
            </w:pPr>
            <w:r>
              <w:rPr>
                <w:rFonts w:ascii="Liberation Sans Narrow" w:hAnsi="Liberation Sans Narrow"/>
                <w:sz w:val="17"/>
              </w:rPr>
              <w:t xml:space="preserve">III — preterição de herdeiro (aplicação narrada)</w:t>
            </w:r>
          </w:p>
        </w:tc>
        <w:tc>
          <w:tcPr>
            <w:tcW w:type="dxa" w:w="2030"/>
          </w:tcPr>
          <w:p>
            <w:pPr>
              <w:pStyle w:val="Compact"/>
              <w:spacing w:line="276" w:lineRule="auto" w:before="40" w:after="40"/>
            </w:pPr>
            <w:r>
              <w:rPr>
                <w:rFonts w:ascii="Liberation Sans Narrow" w:hAnsi="Liberation Sans Narrow"/>
                <w:sz w:val="17"/>
              </w:rPr>
              <w:t xml:space="preserve">STJ, AgInt no REsp 2.164.065, Quarta Turma, relator Min. Luís Carlos Gambogi (Desembargador Convocado do Tjmg), julgado em 15/06/2026</w:t>
            </w:r>
          </w:p>
        </w:tc>
        <w:tc>
          <w:tcPr>
            <w:tcW w:type="dxa" w:w="1780"/>
          </w:tcPr>
          <w:p>
            <w:pPr>
              <w:pStyle w:val="Compact"/>
              <w:spacing w:line="276" w:lineRule="auto" w:before="40" w:after="40"/>
            </w:pPr>
            <w:r>
              <w:rPr>
                <w:rFonts w:ascii="Liberation Sans Narrow" w:hAnsi="Liberation Sans Narrow"/>
                <w:sz w:val="17"/>
              </w:rPr>
              <w:t xml:space="preserve">A preterição de herdeiro, por si só, enseja a nulidade e a revisão da partilha, hipótese não alcançada pela modulação de efeitos do Tema 809/STF. Trecho: “No caso em tela, a Corte de origem compreendeu que a partilha realizada pelo filho da de cujus fora concluída à total revelia do companheiro, não lhe sendo reservada qualquer parcela do monte-mor, além de que a preterição de herdeiro já ensejaria, por si só, a nulidade e a revisão da partilha, situação que não se enquadra na proteção conferida pela modulação do Tema 809/STF, inexistindo ofensa à segurança jurídica na aplicação do art.”</w:t>
            </w:r>
          </w:p>
        </w:tc>
      </w:tr>
    </w:tbl>
    <w:bookmarkEnd w:id="423"/>
    <w:bookmarkEnd w:id="424"/>
    <w:bookmarkStart w:id="434" w:name="seção-ix-do-arrolamento-arts.-659-a-667"/>
    <w:p>
      <w:pPr>
        <w:pStyle w:val="Heading5"/>
        <w:spacing w:before="60" w:after="20"/>
      </w:pPr>
      <w:r>
        <w:rPr>
          <w:i/>
          <w:color w:val="595959"/>
        </w:rPr>
        <w:t xml:space="preserve">Seção IX: do arrolamento (arts. 659 a 667)</w:t>
      </w:r>
    </w:p>
    <w:bookmarkStart w:id="425" w:name="art.-659"/>
    <w:p>
      <w:pPr>
        <w:pStyle w:val="Heading6"/>
        <w:pBdr>
          <w:left w:val="single" w:sz="36" w:space="4" w:color="2E75B6"/>
        </w:pBdr>
        <w:shd w:val="clear" w:color="auto" w:fill="E3EEF9"/>
        <w:spacing w:before="120" w:after="60"/>
        <w:ind w:left="85"/>
      </w:pPr>
      <w:r>
        <w:rPr>
          <w:i w:val="0"/>
          <w:color w:val="1F3A5F"/>
          <w:sz w:val="22"/>
        </w:rPr>
        <w:t xml:space="preserve">Art. 659</w:t>
      </w:r>
    </w:p>
    <w:p>
      <w:pPr>
        <w:pStyle w:val="FirstParagraph"/>
        <w:keepNext/>
        <w:spacing w:after="60"/>
        <w:jc w:val="both"/>
      </w:pPr>
      <w:r>
        <w:rPr>
          <w:b/>
          <w:bCs/>
        </w:rPr>
        <w:t xml:space="preserve">Art. 659.</w:t>
      </w:r>
      <w:r>
        <w:t xml:space="preserve"> </w:t>
      </w:r>
      <w:r>
        <w:t xml:space="preserve">A partilha amigável, celebrada entre partes capazes, nos termos da lei, será homologada de plano pelo juiz, com observância dos arts. 660 a 663.</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1780"/>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Arrolamento sumário (§ 2º): ITCMD e expedição dos títulos de partilha</w:t>
            </w:r>
          </w:p>
        </w:tc>
        <w:tc>
          <w:tcPr>
            <w:tcW w:type="dxa" w:w="1655"/>
          </w:tcPr>
          <w:p>
            <w:pPr>
              <w:pStyle w:val="Compact"/>
              <w:spacing w:line="276" w:lineRule="auto" w:before="40" w:after="40"/>
            </w:pPr>
            <w:r>
              <w:rPr>
                <w:rFonts w:ascii="Liberation Sans Narrow" w:hAnsi="Liberation Sans Narrow"/>
                <w:sz w:val="17"/>
              </w:rPr>
              <w:t xml:space="preserve">STJ, Tema Repetitivo 1074, REsp 1.896.526, Primeira Seção, relatora Min. Regina Helena Costa, julgado em 26/10/2022, DJe de 28/10/2022</w:t>
            </w:r>
          </w:p>
        </w:tc>
        <w:tc>
          <w:tcPr>
            <w:tcW w:type="dxa" w:w="1780"/>
          </w:tcPr>
          <w:p>
            <w:pPr>
              <w:pStyle w:val="Compact"/>
              <w:spacing w:line="276" w:lineRule="auto" w:before="40" w:after="40"/>
            </w:pPr>
            <w:r>
              <w:rPr>
                <w:rFonts w:ascii="Liberation Sans Narrow" w:hAnsi="Liberation Sans Narrow"/>
                <w:sz w:val="17"/>
              </w:rPr>
              <w:t xml:space="preserve">No arrolamento sumário, a homologação da partilha ou da adjudicação, bem como a expedição do formal de partilha e da carta de adjudicação, não se condicionam ao prévio recolhimento do imposto de transmissão causa mortis, devendo ser comprovado, todavia, o pagamento dos tributos relativos aos bens do espólio e às suas rendas, a teor dos arts. 659, § 2º, do CPC/2015 e 192 do CTN.</w:t>
            </w:r>
          </w:p>
        </w:tc>
      </w:tr>
    </w:tbl>
    <w:p>
      <w:pPr>
        <w:pStyle w:val="BodyText"/>
        <w:spacing w:after="60"/>
        <w:jc w:val="both"/>
      </w:pPr>
      <w:r>
        <w:t xml:space="preserve">§ 1º O disposto neste artigo aplica-se, também, ao pedido de adjudicação, quando houver herdeiro único.</w:t>
      </w:r>
    </w:p>
    <w:p>
      <w:pPr>
        <w:pStyle w:val="BodyText"/>
        <w:spacing w:after="60"/>
        <w:jc w:val="both"/>
      </w:pPr>
      <w:r>
        <w:t xml:space="preserve">§ 2º Transitada em julgado a sentença de homologação de partilha ou de adjudicação, será lavrado o formal de partilha ou elaborada a carta de adjudicação e, em seguida, serão expedidos os alvarás referentes aos bens e às rendas por ele abrangidos, intimando-se o fisco para lançamento administrativo do imposto de transmissão e de outros tributos porventura incidentes, conforme dispuser a legislação tributária, nos termos do § 2º do art. 662.</w:t>
      </w:r>
    </w:p>
    <w:bookmarkEnd w:id="425"/>
    <w:bookmarkStart w:id="426" w:name="art.-660"/>
    <w:p>
      <w:pPr>
        <w:pStyle w:val="Heading6"/>
        <w:pBdr>
          <w:left w:val="single" w:sz="36" w:space="4" w:color="2E75B6"/>
        </w:pBdr>
        <w:shd w:val="clear" w:color="auto" w:fill="E3EEF9"/>
        <w:spacing w:before="120" w:after="60"/>
        <w:ind w:left="85"/>
      </w:pPr>
      <w:r>
        <w:rPr>
          <w:i w:val="0"/>
          <w:color w:val="1F3A5F"/>
          <w:sz w:val="22"/>
        </w:rPr>
        <w:t xml:space="preserve">Art. 660</w:t>
      </w:r>
    </w:p>
    <w:p>
      <w:pPr>
        <w:pStyle w:val="FirstParagraph"/>
        <w:keepNext/>
        <w:spacing w:after="60"/>
        <w:jc w:val="both"/>
      </w:pPr>
      <w:r>
        <w:rPr>
          <w:b/>
          <w:bCs/>
        </w:rPr>
        <w:t xml:space="preserve">Art. 660.</w:t>
      </w:r>
      <w:r>
        <w:t xml:space="preserve"> </w:t>
      </w:r>
      <w:r>
        <w:t xml:space="preserve">Na petição de inventário, que se processará na forma de arrolamento sumário, independentemente da lavratura de termos de qualquer espécie, os herdeiros: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871"/>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871"/>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aplicação (aplicação narrada)</w:t>
            </w:r>
          </w:p>
        </w:tc>
        <w:tc>
          <w:tcPr>
            <w:tcW w:type="dxa" w:w="1531"/>
          </w:tcPr>
          <w:p>
            <w:pPr>
              <w:pStyle w:val="Compact"/>
              <w:spacing w:line="276" w:lineRule="auto" w:before="40" w:after="40"/>
            </w:pPr>
            <w:r>
              <w:rPr>
                <w:rFonts w:ascii="Liberation Sans Narrow" w:hAnsi="Liberation Sans Narrow"/>
                <w:sz w:val="17"/>
              </w:rPr>
              <w:t xml:space="preserve">STJ, AREsp 3.123.917, Terceira Turma, relator Min. Moura Ribeiro, julgado em 22/06/2026</w:t>
            </w:r>
          </w:p>
        </w:tc>
        <w:tc>
          <w:tcPr>
            <w:tcW w:type="dxa" w:w="1871"/>
          </w:tcPr>
          <w:p>
            <w:pPr>
              <w:pStyle w:val="Compact"/>
              <w:spacing w:line="276" w:lineRule="auto" w:before="40" w:after="40"/>
            </w:pPr>
            <w:r>
              <w:rPr>
                <w:rFonts w:ascii="Liberation Sans Narrow" w:hAnsi="Liberation Sans Narrow"/>
                <w:sz w:val="17"/>
              </w:rPr>
              <w:t xml:space="preserve">A homologação da partilha por arrolamento sumário é compatível com o consenso dos herdeiros quanto aos valores, nos termos do art. 660 do CPC. Trecho: “A homologação por arrolamento sumário é compatível com o consenso dos herdeiros quanto aos valores, nos termos do art.”</w:t>
            </w:r>
          </w:p>
        </w:tc>
      </w:tr>
    </w:tbl>
    <w:p>
      <w:pPr>
        <w:pStyle w:val="BodyText"/>
        <w:spacing w:after="60"/>
        <w:jc w:val="both"/>
      </w:pPr>
      <w:r>
        <w:t xml:space="preserve">I - requererão ao juiz a nomeação do inventariante que designarem;</w:t>
      </w:r>
    </w:p>
    <w:p>
      <w:pPr>
        <w:pStyle w:val="BodyText"/>
        <w:spacing w:after="60"/>
        <w:jc w:val="both"/>
      </w:pPr>
      <w:r>
        <w:t xml:space="preserve">II - declararão os títulos dos herdeiros e os bens do espólio, observado o disposto no art. 630;</w:t>
      </w:r>
    </w:p>
    <w:p>
      <w:pPr>
        <w:pStyle w:val="BodyText"/>
        <w:spacing w:after="60"/>
        <w:jc w:val="both"/>
      </w:pPr>
      <w:r>
        <w:t xml:space="preserve">III - atribuirão valor aos bens do espólio, para fins de partilha.</w:t>
      </w:r>
    </w:p>
    <w:bookmarkEnd w:id="426"/>
    <w:bookmarkStart w:id="427" w:name="art.-661"/>
    <w:p>
      <w:pPr>
        <w:pStyle w:val="Heading6"/>
        <w:pBdr>
          <w:left w:val="single" w:sz="36" w:space="4" w:color="2E75B6"/>
        </w:pBdr>
        <w:shd w:val="clear" w:color="auto" w:fill="E3EEF9"/>
        <w:spacing w:before="120" w:after="60"/>
        <w:ind w:left="85"/>
      </w:pPr>
      <w:r>
        <w:rPr>
          <w:i w:val="0"/>
          <w:color w:val="1F3A5F"/>
          <w:sz w:val="22"/>
        </w:rPr>
        <w:t xml:space="preserve">Art. 661</w:t>
      </w:r>
    </w:p>
    <w:p>
      <w:pPr>
        <w:pStyle w:val="FirstParagraph"/>
        <w:spacing w:after="60"/>
        <w:jc w:val="both"/>
      </w:pPr>
      <w:r>
        <w:rPr>
          <w:b/>
          <w:bCs/>
        </w:rPr>
        <w:t xml:space="preserve">Art. 661.</w:t>
      </w:r>
      <w:r>
        <w:t xml:space="preserve"> </w:t>
      </w:r>
      <w:r>
        <w:t xml:space="preserve">Ressalvada a hipótese prevista no parágrafo único do art. 663, não se procederá à avaliação dos bens do espólio para nenhuma finalidade.</w:t>
      </w:r>
    </w:p>
    <w:bookmarkEnd w:id="427"/>
    <w:bookmarkStart w:id="428" w:name="art.-662"/>
    <w:p>
      <w:pPr>
        <w:pStyle w:val="Heading6"/>
        <w:pBdr>
          <w:left w:val="single" w:sz="36" w:space="4" w:color="2E75B6"/>
        </w:pBdr>
        <w:shd w:val="clear" w:color="auto" w:fill="E3EEF9"/>
        <w:spacing w:before="120" w:after="60"/>
        <w:ind w:left="85"/>
      </w:pPr>
      <w:r>
        <w:rPr>
          <w:i w:val="0"/>
          <w:color w:val="1F3A5F"/>
          <w:sz w:val="22"/>
        </w:rPr>
        <w:t xml:space="preserve">Art. 662</w:t>
      </w:r>
    </w:p>
    <w:p>
      <w:pPr>
        <w:pStyle w:val="FirstParagraph"/>
        <w:spacing w:after="60"/>
        <w:jc w:val="both"/>
      </w:pPr>
      <w:r>
        <w:rPr>
          <w:b/>
          <w:bCs/>
        </w:rPr>
        <w:t xml:space="preserve">Art. 662.</w:t>
      </w:r>
      <w:r>
        <w:t xml:space="preserve"> </w:t>
      </w:r>
      <w:r>
        <w:t xml:space="preserve">No arrolamento, não serão conhecidas ou apreciadas questões relativas ao lançamento, ao pagamento ou à quitação de taxas judiciárias e de tributos incidentes sobre a transmissão da propriedade dos bens do espólio.</w:t>
      </w:r>
    </w:p>
    <w:p>
      <w:pPr>
        <w:pStyle w:val="BodyText"/>
        <w:spacing w:after="60"/>
        <w:jc w:val="both"/>
      </w:pPr>
      <w:r>
        <w:t xml:space="preserve">§ 1º A taxa judiciária, se devida, será calculada com base no valor atribuído pelos herdeiros, cabendo ao fisco, se apurar em processo administrativo valor diverso do estimado, exigir a eventual diferença pelos meios adequados ao lançamento de créditos tributários em geral.</w:t>
      </w:r>
    </w:p>
    <w:p>
      <w:pPr>
        <w:pStyle w:val="BodyText"/>
        <w:keepNext/>
        <w:spacing w:after="60"/>
        <w:jc w:val="both"/>
      </w:pPr>
      <w:r>
        <w:t xml:space="preserve">§ 2º O imposto de transmissão será objeto de lançamento administrativo, conforme dispuser a legislação tributária, não ficando as autoridades fazendárias adstritas aos valores dos bens do espólio atribuídos pelos herdeiros.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2029"/>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 2º — apreciação do ITCMD no arrolamento sumário</w:t>
            </w:r>
          </w:p>
        </w:tc>
        <w:tc>
          <w:tcPr>
            <w:tcW w:type="dxa" w:w="1531"/>
          </w:tcPr>
          <w:p>
            <w:pPr>
              <w:pStyle w:val="Compact"/>
              <w:spacing w:line="276" w:lineRule="auto" w:before="40" w:after="40"/>
            </w:pPr>
            <w:r>
              <w:rPr>
                <w:rFonts w:ascii="Liberation Sans Narrow" w:hAnsi="Liberation Sans Narrow"/>
                <w:sz w:val="17"/>
              </w:rPr>
              <w:t xml:space="preserve">STF, ADI 5.894, Tribunal Pleno, relator Min. André Mendonça, julgado em 24/04/2025</w:t>
            </w:r>
          </w:p>
        </w:tc>
        <w:tc>
          <w:tcPr>
            <w:tcW w:type="dxa" w:w="2030"/>
          </w:tcPr>
          <w:p>
            <w:pPr>
              <w:pStyle w:val="Compact"/>
              <w:spacing w:line="276" w:lineRule="auto" w:before="40" w:after="40"/>
            </w:pPr>
            <w:r>
              <w:rPr>
                <w:rFonts w:ascii="Liberation Sans Narrow" w:hAnsi="Liberation Sans Narrow"/>
                <w:sz w:val="17"/>
              </w:rPr>
              <w:t xml:space="preserve">É constitucional o preceito que subtrai ao juízo do arrolamento a apreciação do lançamento e da quitação do ITCMD: cuida-se de norma processual, que não invade a reserva de lei complementar em matéria tributária nem ofende a isonomia.</w:t>
            </w:r>
          </w:p>
        </w:tc>
      </w:tr>
    </w:tbl>
    <w:bookmarkEnd w:id="428"/>
    <w:bookmarkStart w:id="429" w:name="art.-663"/>
    <w:p>
      <w:pPr>
        <w:pStyle w:val="Heading6"/>
        <w:pBdr>
          <w:left w:val="single" w:sz="36" w:space="4" w:color="2E75B6"/>
        </w:pBdr>
        <w:shd w:val="clear" w:color="auto" w:fill="E3EEF9"/>
        <w:spacing w:before="120" w:after="60"/>
        <w:ind w:left="85"/>
      </w:pPr>
      <w:r>
        <w:rPr>
          <w:i w:val="0"/>
          <w:color w:val="1F3A5F"/>
          <w:sz w:val="22"/>
        </w:rPr>
        <w:t xml:space="preserve">Art. 663</w:t>
      </w:r>
    </w:p>
    <w:p>
      <w:pPr>
        <w:pStyle w:val="FirstParagraph"/>
        <w:spacing w:after="60"/>
        <w:jc w:val="both"/>
      </w:pPr>
      <w:r>
        <w:rPr>
          <w:b/>
          <w:bCs/>
        </w:rPr>
        <w:t xml:space="preserve">Art. 663.</w:t>
      </w:r>
      <w:r>
        <w:t xml:space="preserve"> </w:t>
      </w:r>
      <w:r>
        <w:t xml:space="preserve">A existência de credores do espólio não impedirá a homologação da partilha ou da adjudicação, se forem reservados bens suficientes para o pagamento da dívida.</w:t>
      </w:r>
    </w:p>
    <w:p>
      <w:pPr>
        <w:pStyle w:val="BodyText"/>
        <w:spacing w:after="60"/>
        <w:jc w:val="both"/>
      </w:pPr>
      <w:r>
        <w:t xml:space="preserve">Parágrafo único. A reserva de bens será realizada pelo valor estimado pelas partes, salvo se o credor, regularmente notificado, impugnar a estimativa, caso em que se promoverá a avaliação dos bens a serem reservados.</w:t>
      </w:r>
    </w:p>
    <w:bookmarkEnd w:id="429"/>
    <w:bookmarkStart w:id="430" w:name="art.-664"/>
    <w:p>
      <w:pPr>
        <w:pStyle w:val="Heading6"/>
        <w:pBdr>
          <w:left w:val="single" w:sz="36" w:space="4" w:color="2E75B6"/>
        </w:pBdr>
        <w:shd w:val="clear" w:color="auto" w:fill="E3EEF9"/>
        <w:spacing w:before="120" w:after="60"/>
        <w:ind w:left="85"/>
      </w:pPr>
      <w:r>
        <w:rPr>
          <w:i w:val="0"/>
          <w:color w:val="1F3A5F"/>
          <w:sz w:val="22"/>
        </w:rPr>
        <w:t xml:space="preserve">Art. 664</w:t>
      </w:r>
    </w:p>
    <w:p>
      <w:pPr>
        <w:pStyle w:val="FirstParagraph"/>
        <w:spacing w:after="60"/>
        <w:jc w:val="both"/>
      </w:pPr>
      <w:r>
        <w:rPr>
          <w:b/>
          <w:bCs/>
        </w:rPr>
        <w:t xml:space="preserve">Art. 664.</w:t>
      </w:r>
      <w:r>
        <w:t xml:space="preserve"> </w:t>
      </w:r>
      <w:r>
        <w:t xml:space="preserve">Quando o valor dos bens do espólio for igual ou inferior a 1.000 (mil) salários-mínimos, o inventário processar-se-á na forma de arrolamento, cabendo ao inventariante nomeado, independentemente de assinatura de termo de compromisso, apresentar, com suas declarações, a atribuição de valor aos bens do espólio e o plano da partilha.</w:t>
      </w:r>
    </w:p>
    <w:p>
      <w:pPr>
        <w:pStyle w:val="BodyText"/>
        <w:spacing w:after="60"/>
        <w:jc w:val="both"/>
      </w:pPr>
      <w:r>
        <w:t xml:space="preserve">§ 1º Se qualquer das partes ou o Ministério Público impugnar a estimativa, o juiz nomeará avaliador, que oferecerá laudo em 10 (dez) dias.</w:t>
      </w:r>
    </w:p>
    <w:p>
      <w:pPr>
        <w:pStyle w:val="BodyText"/>
        <w:spacing w:after="60"/>
        <w:jc w:val="both"/>
      </w:pPr>
      <w:r>
        <w:t xml:space="preserve">§ 2º Apresentado o laudo, o juiz, em audiência que designar, deliberará sobre a partilha, decidindo de plano todas as reclamações e mandando pagar as dívidas não impugnadas.</w:t>
      </w:r>
    </w:p>
    <w:p>
      <w:pPr>
        <w:pStyle w:val="BodyText"/>
        <w:spacing w:after="60"/>
        <w:jc w:val="both"/>
      </w:pPr>
      <w:r>
        <w:t xml:space="preserve">§ 3º Lavrar-se-á de tudo um só termo, assinado pelo juiz, pelo inventariante e pelas partes presentes ou por seus advogados.</w:t>
      </w:r>
    </w:p>
    <w:p>
      <w:pPr>
        <w:pStyle w:val="BodyText"/>
        <w:spacing w:after="60"/>
        <w:jc w:val="both"/>
      </w:pPr>
      <w:r>
        <w:t xml:space="preserve">§ 4º Aplicam-se a essa espécie de arrolamento, no que couber, as disposições do art. 672, relativamente ao lançamento, ao pagamento e à quitação da taxa judiciária e do imposto sobre a transmissão da propriedade dos bens do espólio.</w:t>
      </w:r>
    </w:p>
    <w:p>
      <w:pPr>
        <w:pStyle w:val="BodyText"/>
        <w:keepNext/>
        <w:spacing w:after="60"/>
        <w:jc w:val="both"/>
      </w:pPr>
      <w:r>
        <w:t xml:space="preserve">§ 5º Provada a quitação dos tributos relativos aos bens do espólio e às suas rendas, o juiz julgará a partilha.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871"/>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871"/>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 5º — tese</w:t>
            </w:r>
          </w:p>
        </w:tc>
        <w:tc>
          <w:tcPr>
            <w:tcW w:type="dxa" w:w="1531"/>
          </w:tcPr>
          <w:p>
            <w:pPr>
              <w:pStyle w:val="Compact"/>
              <w:spacing w:line="276" w:lineRule="auto" w:before="40" w:after="40"/>
            </w:pPr>
            <w:r>
              <w:rPr>
                <w:rFonts w:ascii="Liberation Sans Narrow" w:hAnsi="Liberation Sans Narrow"/>
                <w:sz w:val="17"/>
              </w:rPr>
              <w:t xml:space="preserve">STJ, REsp 2.167.136, Primeira Turma, relator Min. Gurgel de Faria, julgado em 09/06/2026</w:t>
            </w:r>
          </w:p>
        </w:tc>
        <w:tc>
          <w:tcPr>
            <w:tcW w:type="dxa" w:w="1871"/>
          </w:tcPr>
          <w:p>
            <w:pPr>
              <w:pStyle w:val="Compact"/>
              <w:spacing w:line="276" w:lineRule="auto" w:before="40" w:after="40"/>
            </w:pPr>
            <w:r>
              <w:rPr>
                <w:rFonts w:ascii="Liberation Sans Narrow" w:hAnsi="Liberation Sans Narrow"/>
                <w:sz w:val="17"/>
              </w:rPr>
              <w:t xml:space="preserve">No arrolamento sumário, a homologação da partilha e a expedição do formal de partilha não se condicionam ao prévio recolhimento do imposto de transmissão causa mortis, devendo ser comprovado o pagamento dos tributos relativos aos bens do espólio e às suas rendas (Tema 1.074/STJ).</w:t>
            </w:r>
          </w:p>
        </w:tc>
      </w:tr>
    </w:tbl>
    <w:bookmarkEnd w:id="430"/>
    <w:bookmarkStart w:id="431" w:name="art.-665"/>
    <w:p>
      <w:pPr>
        <w:pStyle w:val="Heading6"/>
        <w:pBdr>
          <w:left w:val="single" w:sz="36" w:space="4" w:color="2E75B6"/>
        </w:pBdr>
        <w:shd w:val="clear" w:color="auto" w:fill="E3EEF9"/>
        <w:spacing w:before="120" w:after="60"/>
        <w:ind w:left="85"/>
      </w:pPr>
      <w:r>
        <w:rPr>
          <w:i w:val="0"/>
          <w:color w:val="1F3A5F"/>
          <w:sz w:val="22"/>
        </w:rPr>
        <w:t xml:space="preserve">Art. 665</w:t>
      </w:r>
    </w:p>
    <w:p>
      <w:pPr>
        <w:pStyle w:val="FirstParagraph"/>
        <w:spacing w:after="60"/>
        <w:jc w:val="both"/>
      </w:pPr>
      <w:r>
        <w:rPr>
          <w:b/>
          <w:bCs/>
        </w:rPr>
        <w:t xml:space="preserve">Art. 665.</w:t>
      </w:r>
      <w:r>
        <w:t xml:space="preserve"> </w:t>
      </w:r>
      <w:r>
        <w:t xml:space="preserve">O inventário processar-se-á também na forma do art. 664, ainda que haja interessado incapaz, desde que concordem todas as partes e o Ministério Público.</w:t>
      </w:r>
    </w:p>
    <w:bookmarkEnd w:id="431"/>
    <w:bookmarkStart w:id="432" w:name="art.-666"/>
    <w:p>
      <w:pPr>
        <w:pStyle w:val="Heading6"/>
        <w:pBdr>
          <w:left w:val="single" w:sz="36" w:space="4" w:color="2E75B6"/>
        </w:pBdr>
        <w:shd w:val="clear" w:color="auto" w:fill="E3EEF9"/>
        <w:spacing w:before="120" w:after="60"/>
        <w:ind w:left="85"/>
      </w:pPr>
      <w:r>
        <w:rPr>
          <w:i w:val="0"/>
          <w:color w:val="1F3A5F"/>
          <w:sz w:val="22"/>
        </w:rPr>
        <w:t xml:space="preserve">Art. 666</w:t>
      </w:r>
    </w:p>
    <w:p>
      <w:pPr>
        <w:pStyle w:val="FirstParagraph"/>
        <w:keepNext/>
        <w:spacing w:after="60"/>
        <w:jc w:val="both"/>
      </w:pPr>
      <w:r>
        <w:rPr>
          <w:b/>
          <w:bCs/>
        </w:rPr>
        <w:t xml:space="preserve">Art. 666.</w:t>
      </w:r>
      <w:r>
        <w:t xml:space="preserve"> </w:t>
      </w:r>
      <w:r>
        <w:t xml:space="preserve">Independerá de inventário ou de arrolamento o pagamento dos valores previstos na Lei nº 6.858, de 24 de novembro de 1980.</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2404"/>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Caput — independência de inventário (aplicação)</w:t>
            </w:r>
          </w:p>
        </w:tc>
        <w:tc>
          <w:tcPr>
            <w:tcW w:type="dxa" w:w="1655"/>
          </w:tcPr>
          <w:p>
            <w:pPr>
              <w:pStyle w:val="Compact"/>
              <w:spacing w:line="276" w:lineRule="auto" w:before="40" w:after="40"/>
            </w:pPr>
            <w:r>
              <w:rPr>
                <w:rFonts w:ascii="Liberation Sans Narrow" w:hAnsi="Liberation Sans Narrow"/>
                <w:sz w:val="17"/>
              </w:rPr>
              <w:t xml:space="preserve">STJ, AREsp 2.886.822, Quarta Turma, relator Min. João Otávio de Noronha, julgado em 16/03/2026</w:t>
            </w:r>
          </w:p>
        </w:tc>
        <w:tc>
          <w:tcPr>
            <w:tcW w:type="dxa" w:w="2404"/>
          </w:tcPr>
          <w:p>
            <w:pPr>
              <w:pStyle w:val="Compact"/>
              <w:spacing w:line="276" w:lineRule="auto" w:before="40" w:after="40"/>
            </w:pPr>
            <w:r>
              <w:rPr>
                <w:rFonts w:ascii="Liberation Sans Narrow" w:hAnsi="Liberation Sans Narrow"/>
                <w:sz w:val="17"/>
              </w:rPr>
              <w:t xml:space="preserve">A Lei n. 6.858/1980 simplifica o levantamento de pequenos valores não recebidos em vida pelo titular, quando demonstradas a condição de dependente inscrito junto à previdência e a inexistência de outros bens a serem inventariados.</w:t>
            </w:r>
          </w:p>
        </w:tc>
      </w:tr>
      <w:tr>
        <w:trPr/>
        <w:tc>
          <w:tcPr>
            <w:tcW w:type="dxa" w:w="1905"/>
          </w:tcPr>
          <w:p>
            <w:pPr>
              <w:pStyle w:val="Compact"/>
              <w:spacing w:line="276" w:lineRule="auto" w:before="40" w:after="40"/>
            </w:pPr>
            <w:r>
              <w:rPr>
                <w:rFonts w:ascii="Liberation Sans Narrow" w:hAnsi="Liberation Sans Narrow"/>
                <w:sz w:val="17"/>
              </w:rPr>
              <w:t xml:space="preserve">Caput — independência de inventário (aplicação narrada)</w:t>
            </w:r>
          </w:p>
        </w:tc>
        <w:tc>
          <w:tcPr>
            <w:tcW w:type="dxa" w:w="1655"/>
          </w:tcPr>
          <w:p>
            <w:pPr>
              <w:pStyle w:val="Compact"/>
              <w:spacing w:line="276" w:lineRule="auto" w:before="40" w:after="40"/>
            </w:pPr>
            <w:r>
              <w:rPr>
                <w:rFonts w:ascii="Liberation Sans Narrow" w:hAnsi="Liberation Sans Narrow"/>
                <w:sz w:val="17"/>
              </w:rPr>
              <w:t xml:space="preserve">STJ, AgInt no REsp 2.132.010, Primeira Turma, relator Min. Paulo Sérgio Domingues, julgado em 09/06/2025, DJEN de 12/06/2025</w:t>
            </w:r>
          </w:p>
        </w:tc>
        <w:tc>
          <w:tcPr>
            <w:tcW w:type="dxa" w:w="2404"/>
          </w:tcPr>
          <w:p>
            <w:pPr>
              <w:pStyle w:val="Compact"/>
              <w:spacing w:line="276" w:lineRule="auto" w:before="40" w:after="40"/>
            </w:pPr>
            <w:r>
              <w:rPr>
                <w:rFonts w:ascii="Liberation Sans Narrow" w:hAnsi="Liberation Sans Narrow"/>
                <w:sz w:val="17"/>
              </w:rPr>
              <w:t xml:space="preserve">Os sucessores do servidor falecido têm legitimidade para pleitear valores não recebidos em vida pelo de cujus, independentemente de inventário ou arrolamento de bens. Trecho: “O Superior Tribunal de Justiça (STJ) possui o entendimento de que</w:t>
            </w:r>
            <w:r>
              <w:rPr>
                <w:rFonts w:ascii="Liberation Sans Narrow" w:hAnsi="Liberation Sans Narrow"/>
                <w:sz w:val="17"/>
              </w:rPr>
              <w:t xml:space="preserve"> </w:t>
            </w:r>
            <w:r>
              <w:rPr>
                <w:rFonts w:ascii="Liberation Sans Narrow" w:hAnsi="Liberation Sans Narrow"/>
                <w:sz w:val="17"/>
              </w:rPr>
              <w:t xml:space="preserve">“os sucessores do servidor falecido têm legitimidade para pleitear valores não recebidos em vida pelo de cujus, independentemente de inventário ou arrolamento de bens”</w:t>
            </w:r>
            <w:r>
              <w:rPr>
                <w:rFonts w:ascii="Liberation Sans Narrow" w:hAnsi="Liberation Sans Narrow"/>
                <w:sz w:val="17"/>
              </w:rPr>
              <w:t xml:space="preserve"> </w:t>
            </w:r>
            <w:r>
              <w:rPr>
                <w:rFonts w:ascii="Liberation Sans Narrow" w:hAnsi="Liberation Sans Narrow"/>
                <w:sz w:val="17"/>
              </w:rPr>
              <w:t xml:space="preserve">(AgInt no REsp 2.124.879/RJ, relator Ministro Gurgel de Faria, Primeira Turma, julgado em 26/8/2024, DJe de 3/9/2024).”</w:t>
            </w:r>
          </w:p>
        </w:tc>
      </w:tr>
    </w:tbl>
    <w:bookmarkEnd w:id="432"/>
    <w:bookmarkStart w:id="433" w:name="art.-667"/>
    <w:p>
      <w:pPr>
        <w:pStyle w:val="Heading6"/>
        <w:pBdr>
          <w:left w:val="single" w:sz="36" w:space="4" w:color="2E75B6"/>
        </w:pBdr>
        <w:shd w:val="clear" w:color="auto" w:fill="E3EEF9"/>
        <w:spacing w:before="120" w:after="60"/>
        <w:ind w:left="85"/>
      </w:pPr>
      <w:r>
        <w:rPr>
          <w:i w:val="0"/>
          <w:color w:val="1F3A5F"/>
          <w:sz w:val="22"/>
        </w:rPr>
        <w:t xml:space="preserve">Art. 667</w:t>
      </w:r>
    </w:p>
    <w:p>
      <w:pPr>
        <w:pStyle w:val="FirstParagraph"/>
        <w:spacing w:after="60"/>
        <w:jc w:val="both"/>
      </w:pPr>
      <w:r>
        <w:rPr>
          <w:b/>
          <w:bCs/>
        </w:rPr>
        <w:t xml:space="preserve">Art. 667.</w:t>
      </w:r>
      <w:r>
        <w:t xml:space="preserve"> </w:t>
      </w:r>
      <w:r>
        <w:t xml:space="preserve">Aplicam-se subsidiariamente a esta Seção as disposições das Seções VII e VIII deste Capítulo.</w:t>
      </w:r>
    </w:p>
    <w:bookmarkEnd w:id="433"/>
    <w:bookmarkEnd w:id="434"/>
    <w:bookmarkStart w:id="441" w:name="Xd1a2dc62480f4c904e9575aa73fac9cd23d0384"/>
    <w:p>
      <w:pPr>
        <w:pStyle w:val="Heading5"/>
        <w:spacing w:before="60" w:after="20"/>
      </w:pPr>
      <w:r>
        <w:rPr>
          <w:i/>
          <w:color w:val="595959"/>
        </w:rPr>
        <w:t xml:space="preserve">Seção X: disposições comuns a todas as seções (arts. 668 a 673)</w:t>
      </w:r>
    </w:p>
    <w:bookmarkStart w:id="435" w:name="art.-668"/>
    <w:p>
      <w:pPr>
        <w:pStyle w:val="Heading6"/>
        <w:pBdr>
          <w:left w:val="single" w:sz="36" w:space="4" w:color="2E75B6"/>
        </w:pBdr>
        <w:shd w:val="clear" w:color="auto" w:fill="E3EEF9"/>
        <w:spacing w:before="120" w:after="60"/>
        <w:ind w:left="85"/>
      </w:pPr>
      <w:r>
        <w:rPr>
          <w:i w:val="0"/>
          <w:color w:val="1F3A5F"/>
          <w:sz w:val="22"/>
        </w:rPr>
        <w:t xml:space="preserve">Art. 668</w:t>
      </w:r>
    </w:p>
    <w:p>
      <w:pPr>
        <w:pStyle w:val="FirstParagraph"/>
        <w:spacing w:after="60"/>
        <w:jc w:val="both"/>
      </w:pPr>
      <w:r>
        <w:rPr>
          <w:b/>
          <w:bCs/>
        </w:rPr>
        <w:t xml:space="preserve">Art. 668.</w:t>
      </w:r>
      <w:r>
        <w:t xml:space="preserve"> </w:t>
      </w:r>
      <w:r>
        <w:t xml:space="preserve">Cessa a eficácia da tutela provisória prevista nas Seções deste Capítulo:</w:t>
      </w:r>
    </w:p>
    <w:p>
      <w:pPr>
        <w:pStyle w:val="BodyText"/>
        <w:spacing w:after="60"/>
        <w:jc w:val="both"/>
      </w:pPr>
      <w:r>
        <w:t xml:space="preserve">I - se a ação não for proposta em 30 (trinta) dias contados da data em que da decisão foi intimado o impugnante, o herdeiro excluído ou o credor não admitido;</w:t>
      </w:r>
    </w:p>
    <w:p>
      <w:pPr>
        <w:pStyle w:val="BodyText"/>
        <w:spacing w:after="60"/>
        <w:jc w:val="both"/>
      </w:pPr>
      <w:r>
        <w:t xml:space="preserve">II - se o juiz extinguir o processo de inventário com ou sem resolução de mérito.</w:t>
      </w:r>
    </w:p>
    <w:bookmarkEnd w:id="435"/>
    <w:bookmarkStart w:id="436" w:name="art.-669"/>
    <w:p>
      <w:pPr>
        <w:pStyle w:val="Heading6"/>
        <w:pBdr>
          <w:left w:val="single" w:sz="36" w:space="4" w:color="2E75B6"/>
        </w:pBdr>
        <w:shd w:val="clear" w:color="auto" w:fill="E3EEF9"/>
        <w:spacing w:before="120" w:after="60"/>
        <w:ind w:left="85"/>
      </w:pPr>
      <w:r>
        <w:rPr>
          <w:i w:val="0"/>
          <w:color w:val="1F3A5F"/>
          <w:sz w:val="22"/>
        </w:rPr>
        <w:t xml:space="preserve">Art. 669</w:t>
      </w:r>
    </w:p>
    <w:p>
      <w:pPr>
        <w:pStyle w:val="FirstParagraph"/>
        <w:spacing w:after="60"/>
        <w:jc w:val="both"/>
      </w:pPr>
      <w:r>
        <w:rPr>
          <w:b/>
          <w:bCs/>
        </w:rPr>
        <w:t xml:space="preserve">Art. 669.</w:t>
      </w:r>
      <w:r>
        <w:t xml:space="preserve"> </w:t>
      </w:r>
      <w:r>
        <w:t xml:space="preserve">São sujeitos à sobrepartilha os bens:</w:t>
      </w:r>
    </w:p>
    <w:p>
      <w:pPr>
        <w:pStyle w:val="BodyText"/>
        <w:keepNext/>
        <w:spacing w:after="60"/>
        <w:jc w:val="both"/>
      </w:pPr>
      <w:r>
        <w:t xml:space="preserve">I - sonegados;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2029"/>
        <w:gridCol w:w="2154"/>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I — tese</w:t>
            </w:r>
          </w:p>
        </w:tc>
        <w:tc>
          <w:tcPr>
            <w:tcW w:type="dxa" w:w="2030"/>
          </w:tcPr>
          <w:p>
            <w:pPr>
              <w:pStyle w:val="Compact"/>
              <w:spacing w:line="276" w:lineRule="auto" w:before="40" w:after="40"/>
            </w:pPr>
            <w:r>
              <w:rPr>
                <w:rFonts w:ascii="Liberation Sans Narrow" w:hAnsi="Liberation Sans Narrow"/>
                <w:sz w:val="17"/>
              </w:rPr>
              <w:t xml:space="preserve">STJ, REsp 1.959.926, Terceira Turma, relator Min. Humberto Martins, julgado em 08/06/2026</w:t>
            </w:r>
          </w:p>
        </w:tc>
        <w:tc>
          <w:tcPr>
            <w:tcW w:type="dxa" w:w="2154"/>
          </w:tcPr>
          <w:p>
            <w:pPr>
              <w:pStyle w:val="Compact"/>
              <w:spacing w:line="276" w:lineRule="auto" w:before="40" w:after="40"/>
            </w:pPr>
            <w:r>
              <w:rPr>
                <w:rFonts w:ascii="Liberation Sans Narrow" w:hAnsi="Liberation Sans Narrow"/>
                <w:sz w:val="17"/>
              </w:rPr>
              <w:t xml:space="preserve">A sobrepartilha destina-se a bens sonegados ou desconhecidos à época da partilha, não se prestando a corrigir arrependimentos quanto à divisão já realizada.</w:t>
            </w:r>
          </w:p>
        </w:tc>
      </w:tr>
      <w:tr>
        <w:trPr/>
        <w:tc>
          <w:tcPr>
            <w:tcW w:type="dxa" w:w="1905"/>
          </w:tcPr>
          <w:p>
            <w:pPr>
              <w:pStyle w:val="Compact"/>
              <w:spacing w:line="276" w:lineRule="auto" w:before="40" w:after="40"/>
            </w:pPr>
            <w:r>
              <w:rPr>
                <w:rFonts w:ascii="Liberation Sans Narrow" w:hAnsi="Liberation Sans Narrow"/>
                <w:sz w:val="17"/>
              </w:rPr>
              <w:t xml:space="preserve">I — sobrepartilha de bens sonegados: processamento nos autos (orientação de aplicação) (aplicação narrada)</w:t>
            </w:r>
          </w:p>
        </w:tc>
        <w:tc>
          <w:tcPr>
            <w:tcW w:type="dxa" w:w="2030"/>
          </w:tcPr>
          <w:p>
            <w:pPr>
              <w:pStyle w:val="Compact"/>
              <w:spacing w:line="276" w:lineRule="auto" w:before="40" w:after="40"/>
            </w:pPr>
            <w:r>
              <w:rPr>
                <w:rFonts w:ascii="Liberation Sans Narrow" w:hAnsi="Liberation Sans Narrow"/>
                <w:sz w:val="17"/>
              </w:rPr>
              <w:t xml:space="preserve">STJ, AgInt no REsp 2.107.542, Quarta Turma, relator Min. Luís Carlos Gambogi (Desembargador Convocado do Tjmg), julgado em 19/05/2026</w:t>
            </w:r>
          </w:p>
        </w:tc>
        <w:tc>
          <w:tcPr>
            <w:tcW w:type="dxa" w:w="2154"/>
          </w:tcPr>
          <w:p>
            <w:pPr>
              <w:pStyle w:val="Compact"/>
              <w:spacing w:line="276" w:lineRule="auto" w:before="40" w:after="40"/>
            </w:pPr>
            <w:r>
              <w:rPr>
                <w:rFonts w:ascii="Liberation Sans Narrow" w:hAnsi="Liberation Sans Narrow"/>
                <w:sz w:val="17"/>
              </w:rPr>
              <w:t xml:space="preserve">A colação e a sobrepartilha de bens supostamente sonegados podem ser processadas nos próprios autos do inventário quando a prova é documental; se a controvérsia, como a alegada simulação de doações com envolvimento de terceiros, exige dilação probatória, correta a remessa às vias ordinárias (arts. 612 e 670). Trecho: “A conclusão de que a controvérsia relativa à alegada simulação de doações, com envolvimento de terceiros, não pode ser solucionada apenas com base em prova documental e dentro dos próprios autos do inventário respeita a sistemática dos arts.”</w:t>
            </w:r>
          </w:p>
        </w:tc>
      </w:tr>
    </w:tbl>
    <w:p>
      <w:pPr>
        <w:pStyle w:val="BodyText"/>
        <w:spacing w:after="60"/>
        <w:jc w:val="both"/>
      </w:pPr>
      <w:r>
        <w:t xml:space="preserve">II - da herança descobertos após a partilha;</w:t>
      </w:r>
    </w:p>
    <w:p>
      <w:pPr>
        <w:pStyle w:val="BodyText"/>
        <w:spacing w:after="60"/>
        <w:jc w:val="both"/>
      </w:pPr>
      <w:r>
        <w:t xml:space="preserve">III - litigiosos, assim como os de liquidação difícil ou morosa;</w:t>
      </w:r>
    </w:p>
    <w:p>
      <w:pPr>
        <w:pStyle w:val="BodyText"/>
        <w:spacing w:after="60"/>
        <w:jc w:val="both"/>
      </w:pPr>
      <w:r>
        <w:t xml:space="preserve">IV - situados em lugar remoto da sede do juízo onde se processa o inventário.</w:t>
      </w:r>
    </w:p>
    <w:p>
      <w:pPr>
        <w:pStyle w:val="BodyText"/>
        <w:spacing w:after="60"/>
        <w:jc w:val="both"/>
      </w:pPr>
      <w:r>
        <w:t xml:space="preserve">Parágrafo único. Os bens mencionados nos incisos III e IV serão reservados à sobrepartilha sob a guarda e a administração do mesmo ou de diverso inventariante, a consentimento da maioria dos herdeiros.</w:t>
      </w:r>
    </w:p>
    <w:bookmarkEnd w:id="436"/>
    <w:bookmarkStart w:id="437" w:name="art.-670"/>
    <w:p>
      <w:pPr>
        <w:pStyle w:val="Heading6"/>
        <w:pBdr>
          <w:left w:val="single" w:sz="36" w:space="4" w:color="2E75B6"/>
        </w:pBdr>
        <w:shd w:val="clear" w:color="auto" w:fill="E3EEF9"/>
        <w:spacing w:before="120" w:after="60"/>
        <w:ind w:left="85"/>
      </w:pPr>
      <w:r>
        <w:rPr>
          <w:i w:val="0"/>
          <w:color w:val="1F3A5F"/>
          <w:sz w:val="22"/>
        </w:rPr>
        <w:t xml:space="preserve">Art. 670</w:t>
      </w:r>
    </w:p>
    <w:p>
      <w:pPr>
        <w:pStyle w:val="FirstParagraph"/>
        <w:spacing w:after="60"/>
        <w:jc w:val="both"/>
      </w:pPr>
      <w:r>
        <w:rPr>
          <w:b/>
          <w:bCs/>
        </w:rPr>
        <w:t xml:space="preserve">Art. 670.</w:t>
      </w:r>
      <w:r>
        <w:t xml:space="preserve"> </w:t>
      </w:r>
      <w:r>
        <w:t xml:space="preserve">Na sobrepartilha dos bens, observar-se-á o processo de inventário e de partilha.</w:t>
      </w:r>
    </w:p>
    <w:p>
      <w:pPr>
        <w:pStyle w:val="BodyText"/>
        <w:spacing w:after="60"/>
        <w:jc w:val="both"/>
      </w:pPr>
      <w:r>
        <w:t xml:space="preserve">Parágrafo único. A sobrepartilha correrá nos autos do inventário do autor da herança.</w:t>
      </w:r>
    </w:p>
    <w:bookmarkEnd w:id="437"/>
    <w:bookmarkStart w:id="438" w:name="art.-671"/>
    <w:p>
      <w:pPr>
        <w:pStyle w:val="Heading6"/>
        <w:pBdr>
          <w:left w:val="single" w:sz="36" w:space="4" w:color="2E75B6"/>
        </w:pBdr>
        <w:shd w:val="clear" w:color="auto" w:fill="E3EEF9"/>
        <w:spacing w:before="120" w:after="60"/>
        <w:ind w:left="85"/>
      </w:pPr>
      <w:r>
        <w:rPr>
          <w:i w:val="0"/>
          <w:color w:val="1F3A5F"/>
          <w:sz w:val="22"/>
        </w:rPr>
        <w:t xml:space="preserve">Art. 671</w:t>
      </w:r>
    </w:p>
    <w:p>
      <w:pPr>
        <w:pStyle w:val="FirstParagraph"/>
        <w:spacing w:after="60"/>
        <w:jc w:val="both"/>
      </w:pPr>
      <w:r>
        <w:rPr>
          <w:b/>
          <w:bCs/>
        </w:rPr>
        <w:t xml:space="preserve">Art. 671.</w:t>
      </w:r>
      <w:r>
        <w:t xml:space="preserve"> </w:t>
      </w:r>
      <w:r>
        <w:t xml:space="preserve">O juiz nomeará curador especial:</w:t>
      </w:r>
    </w:p>
    <w:p>
      <w:pPr>
        <w:pStyle w:val="BodyText"/>
        <w:spacing w:after="60"/>
        <w:jc w:val="both"/>
      </w:pPr>
      <w:r>
        <w:t xml:space="preserve">I - ao ausente, se não o tiver;</w:t>
      </w:r>
    </w:p>
    <w:p>
      <w:pPr>
        <w:pStyle w:val="BodyText"/>
        <w:spacing w:after="60"/>
        <w:jc w:val="both"/>
      </w:pPr>
      <w:r>
        <w:t xml:space="preserve">II - ao incapaz, se concorrer na partilha com o seu representante, desde que exista colisão de interesses.</w:t>
      </w:r>
    </w:p>
    <w:bookmarkEnd w:id="438"/>
    <w:bookmarkStart w:id="439" w:name="art.-672"/>
    <w:p>
      <w:pPr>
        <w:pStyle w:val="Heading6"/>
        <w:pBdr>
          <w:left w:val="single" w:sz="36" w:space="4" w:color="2E75B6"/>
        </w:pBdr>
        <w:shd w:val="clear" w:color="auto" w:fill="E3EEF9"/>
        <w:spacing w:before="120" w:after="60"/>
        <w:ind w:left="85"/>
      </w:pPr>
      <w:r>
        <w:rPr>
          <w:i w:val="0"/>
          <w:color w:val="1F3A5F"/>
          <w:sz w:val="22"/>
        </w:rPr>
        <w:t xml:space="preserve">Art. 672</w:t>
      </w:r>
    </w:p>
    <w:p>
      <w:pPr>
        <w:pStyle w:val="FirstParagraph"/>
        <w:keepNext/>
        <w:spacing w:after="60"/>
        <w:jc w:val="both"/>
      </w:pPr>
      <w:r>
        <w:rPr>
          <w:b/>
          <w:bCs/>
        </w:rPr>
        <w:t xml:space="preserve">Art. 672.</w:t>
      </w:r>
      <w:r>
        <w:t xml:space="preserve"> </w:t>
      </w:r>
      <w:r>
        <w:t xml:space="preserve">É lícita a cumulação de inventários para a partilha de heranças de pessoas diversas quando houver: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2279"/>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cumulação de inventários</w:t>
            </w:r>
          </w:p>
        </w:tc>
        <w:tc>
          <w:tcPr>
            <w:tcW w:type="dxa" w:w="1531"/>
          </w:tcPr>
          <w:p>
            <w:pPr>
              <w:pStyle w:val="Compact"/>
              <w:spacing w:line="276" w:lineRule="auto" w:before="40" w:after="40"/>
            </w:pPr>
            <w:r>
              <w:rPr>
                <w:rFonts w:ascii="Liberation Sans Narrow" w:hAnsi="Liberation Sans Narrow"/>
                <w:sz w:val="17"/>
              </w:rPr>
              <w:t xml:space="preserve">STJ, AgInt no AREsp 2.859.369, Quarta Turma, relator Min. Raul Araújo</w:t>
            </w:r>
          </w:p>
        </w:tc>
        <w:tc>
          <w:tcPr>
            <w:tcW w:type="dxa" w:w="2279"/>
          </w:tcPr>
          <w:p>
            <w:pPr>
              <w:pStyle w:val="Compact"/>
              <w:spacing w:line="276" w:lineRule="auto" w:before="40" w:after="40"/>
            </w:pPr>
            <w:r>
              <w:rPr>
                <w:rFonts w:ascii="Liberation Sans Narrow" w:hAnsi="Liberation Sans Narrow"/>
                <w:sz w:val="17"/>
              </w:rPr>
              <w:t xml:space="preserve">A cumulação de inventários exige demonstração completa e inequívoca da correlação e da identidade entre as partes e os bens a serem partilhados; não demonstrada essa correspondência, é de se indeferir a reunião dos processos de inventário.</w:t>
            </w:r>
          </w:p>
        </w:tc>
      </w:tr>
    </w:tbl>
    <w:p>
      <w:pPr>
        <w:pStyle w:val="BodyText"/>
        <w:spacing w:after="60"/>
        <w:jc w:val="both"/>
      </w:pPr>
      <w:r>
        <w:t xml:space="preserve">I - identidade de pessoas entre as quais devam ser repartidos os bens;</w:t>
      </w:r>
    </w:p>
    <w:p>
      <w:pPr>
        <w:pStyle w:val="BodyText"/>
        <w:spacing w:after="60"/>
        <w:jc w:val="both"/>
      </w:pPr>
      <w:r>
        <w:t xml:space="preserve">II - heranças deixadas pelos dois cônjuges ou companheiros;</w:t>
      </w:r>
    </w:p>
    <w:p>
      <w:pPr>
        <w:pStyle w:val="BodyText"/>
        <w:spacing w:after="60"/>
        <w:jc w:val="both"/>
      </w:pPr>
      <w:r>
        <w:t xml:space="preserve">III - dependência de uma das partilhas em relação à outra.</w:t>
      </w:r>
    </w:p>
    <w:p>
      <w:pPr>
        <w:pStyle w:val="BodyText"/>
        <w:spacing w:after="60"/>
        <w:jc w:val="both"/>
      </w:pPr>
      <w:r>
        <w:t xml:space="preserve">Parágrafo único. No caso previsto no inciso III, se a dependência for parcial, por haver outros bens, o juiz pode ordenar a tramitação separada, se melhor convier ao interesse das partes ou à celeridade processual.</w:t>
      </w:r>
    </w:p>
    <w:bookmarkEnd w:id="439"/>
    <w:bookmarkStart w:id="440" w:name="art.-673"/>
    <w:p>
      <w:pPr>
        <w:pStyle w:val="Heading6"/>
        <w:pBdr>
          <w:left w:val="single" w:sz="36" w:space="4" w:color="2E75B6"/>
        </w:pBdr>
        <w:shd w:val="clear" w:color="auto" w:fill="E3EEF9"/>
        <w:spacing w:before="120" w:after="60"/>
        <w:ind w:left="85"/>
      </w:pPr>
      <w:r>
        <w:rPr>
          <w:i w:val="0"/>
          <w:color w:val="1F3A5F"/>
          <w:sz w:val="22"/>
        </w:rPr>
        <w:t xml:space="preserve">Art. 673</w:t>
      </w:r>
    </w:p>
    <w:p>
      <w:pPr>
        <w:pStyle w:val="FirstParagraph"/>
        <w:spacing w:after="60"/>
        <w:jc w:val="both"/>
      </w:pPr>
      <w:r>
        <w:rPr>
          <w:b/>
          <w:bCs/>
        </w:rPr>
        <w:t xml:space="preserve">Art. 673.</w:t>
      </w:r>
      <w:r>
        <w:t xml:space="preserve"> </w:t>
      </w:r>
      <w:r>
        <w:t xml:space="preserve">No caso previsto no art. 672, inciso II, prevalecerão as primeiras declarações, assim como o laudo de avaliação, salvo se alterado o valor dos bens.</w:t>
      </w:r>
    </w:p>
    <w:bookmarkEnd w:id="440"/>
    <w:bookmarkEnd w:id="441"/>
    <w:bookmarkEnd w:id="442"/>
    <w:bookmarkStart w:id="451" w:name="X8f98de4a64a844b50afa22fe2efa82630417465"/>
    <w:p>
      <w:pPr>
        <w:pStyle w:val="Heading4"/>
        <w:spacing w:before="80" w:after="40"/>
      </w:pPr>
      <w:r>
        <w:rPr>
          <w:smallCaps/>
          <w:color w:val="2E75B6"/>
        </w:rPr>
        <w:t xml:space="preserve">Capítulo VII: dos embargos de terceiro (arts. 674 a 681)</w:t>
      </w:r>
    </w:p>
    <w:bookmarkStart w:id="443" w:name="art.-674"/>
    <w:p>
      <w:pPr>
        <w:pStyle w:val="Heading6"/>
        <w:pBdr>
          <w:left w:val="single" w:sz="36" w:space="4" w:color="2E75B6"/>
        </w:pBdr>
        <w:shd w:val="clear" w:color="auto" w:fill="E3EEF9"/>
        <w:spacing w:before="120" w:after="60"/>
        <w:ind w:left="85"/>
      </w:pPr>
      <w:r>
        <w:rPr>
          <w:i w:val="0"/>
          <w:color w:val="1F3A5F"/>
          <w:sz w:val="22"/>
        </w:rPr>
        <w:t xml:space="preserve">Art. 674</w:t>
      </w:r>
    </w:p>
    <w:p>
      <w:pPr>
        <w:pStyle w:val="FirstParagraph"/>
        <w:keepNext/>
        <w:spacing w:after="60"/>
        <w:jc w:val="both"/>
      </w:pPr>
      <w:r>
        <w:rPr>
          <w:b/>
          <w:bCs/>
        </w:rPr>
        <w:t xml:space="preserve">Art. 674.</w:t>
      </w:r>
      <w:r>
        <w:t xml:space="preserve"> </w:t>
      </w:r>
      <w:r>
        <w:t xml:space="preserve">Quem, não sendo parte no processo, sofrer constrição ou ameaça de constrição sobre bens que possua ou sobre os quais tenha direito incompatível com o ato constritivo, poderá requerer seu desfazimento ou sua inibição por meio de embargos de terceiro.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154"/>
        <w:gridCol w:w="1655"/>
        <w:gridCol w:w="2279"/>
      </w:tblGrid>
      <w:tr>
        <w:trPr>
          <w:tblHeader w:val="on"/>
          <w:cantSplit/>
          <w:tblHeader/>
        </w:trPr>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2154"/>
          </w:tcPr>
          <w:p>
            <w:pPr>
              <w:pStyle w:val="Compact"/>
              <w:spacing w:line="276" w:lineRule="auto" w:before="40" w:after="40"/>
            </w:pPr>
            <w:r>
              <w:rPr>
                <w:rFonts w:ascii="Liberation Sans Narrow" w:hAnsi="Liberation Sans Narrow"/>
                <w:sz w:val="17"/>
              </w:rPr>
              <w:t xml:space="preserve">Fraude à execução: registro da penhora ou prova de má-fé do adquirente</w:t>
            </w:r>
          </w:p>
        </w:tc>
        <w:tc>
          <w:tcPr>
            <w:tcW w:type="dxa" w:w="1655"/>
          </w:tcPr>
          <w:p>
            <w:pPr>
              <w:pStyle w:val="Compact"/>
              <w:spacing w:line="276" w:lineRule="auto" w:before="40" w:after="40"/>
            </w:pPr>
            <w:r>
              <w:rPr>
                <w:rFonts w:ascii="Liberation Sans Narrow" w:hAnsi="Liberation Sans Narrow"/>
                <w:sz w:val="17"/>
              </w:rPr>
              <w:t xml:space="preserve">STJ, Tema Repetitivo 243, REsp 956.943, Corte Especial, relatora Min. Nancy Andrighi, julgado em 20/08/2014, DJe de 01/12/2014</w:t>
            </w:r>
          </w:p>
        </w:tc>
        <w:tc>
          <w:tcPr>
            <w:tcW w:type="dxa" w:w="2279"/>
          </w:tcPr>
          <w:p>
            <w:pPr>
              <w:pStyle w:val="Compact"/>
              <w:spacing w:line="276" w:lineRule="auto" w:before="40" w:after="40"/>
            </w:pPr>
            <w:r>
              <w:rPr>
                <w:rFonts w:ascii="Liberation Sans Narrow" w:hAnsi="Liberation Sans Narrow"/>
                <w:sz w:val="17"/>
              </w:rPr>
              <w:t xml:space="preserve">Para fins do art. 543-c do CPC, firma-se a seguinte orientação: 1.1. É indispensável citação válida para configuração da fraude de execução, ressalvada a hipótese prevista no § 3º do art. 615-A do CPC. 1.2. O reconhecimento da fraude de execução depende do registro da penhora do bem alienado ou da prova de má-fé do terceiro adquirente (Súmula n. 375/STJ). 1.3. A presunção de boa-fé é princípio geral de direito universalmente aceito, sendo milenar parêmia: a boa-fé se presume; a má-fé se prova. 1.4. Inexistindo registro da penhora na matrícula do imóvel, é do credor o ônus da prova de que o terceiro adquirente tinha conhecimento de demanda capaz de levar o alienante à insolvência, sob pena de torna-se letra morta o disposto no art. 659, § 4º, do CPC. 1.5. Conforme previsto no § 3º do art. 615-A do CPC, presume-se em fraude de execução a alienação ou oneração de bens realizada após averbação referida no dispositivo.</w:t>
            </w:r>
          </w:p>
        </w:tc>
      </w:tr>
      <w:tr>
        <w:trPr>
          <w:cantSplit/>
        </w:trPr>
        <w:tc>
          <w:tcPr>
            <w:tcW w:type="dxa" w:w="2154"/>
          </w:tcPr>
          <w:p>
            <w:pPr>
              <w:pStyle w:val="Compact"/>
              <w:spacing w:line="276" w:lineRule="auto" w:before="40" w:after="40"/>
            </w:pPr>
            <w:r>
              <w:rPr>
                <w:rFonts w:ascii="Liberation Sans Narrow" w:hAnsi="Liberation Sans Narrow"/>
                <w:sz w:val="17"/>
              </w:rPr>
              <w:t xml:space="preserve">Embargos de terceiro: posse decorrente de compromisso de compra e venda sem registro</w:t>
            </w:r>
          </w:p>
        </w:tc>
        <w:tc>
          <w:tcPr>
            <w:tcW w:type="dxa" w:w="1655"/>
          </w:tcPr>
          <w:p>
            <w:pPr>
              <w:pStyle w:val="Compact"/>
              <w:spacing w:line="276" w:lineRule="auto" w:before="40" w:after="40"/>
            </w:pPr>
            <w:r>
              <w:rPr>
                <w:rFonts w:ascii="Liberation Sans Narrow" w:hAnsi="Liberation Sans Narrow"/>
                <w:sz w:val="17"/>
              </w:rPr>
              <w:t xml:space="preserve">STJ, Súmula 84/STJ, Corte Especial (vigente; data de aprovação não informada pelo acervo)</w:t>
            </w:r>
          </w:p>
        </w:tc>
        <w:tc>
          <w:tcPr>
            <w:tcW w:type="dxa" w:w="2279"/>
          </w:tcPr>
          <w:p>
            <w:pPr>
              <w:pStyle w:val="Compact"/>
              <w:spacing w:line="276" w:lineRule="auto" w:before="40" w:after="40"/>
            </w:pPr>
            <w:r>
              <w:rPr>
                <w:rFonts w:ascii="Liberation Sans Narrow" w:hAnsi="Liberation Sans Narrow"/>
                <w:sz w:val="17"/>
              </w:rPr>
              <w:t xml:space="preserve">É admissível a oposição de embargos de terceiro fundados em alegação de posse advinda do compromisso de compra e venda de imóvel, ainda que desprovido do registro.</w:t>
            </w:r>
          </w:p>
        </w:tc>
      </w:tr>
      <w:tr>
        <w:trPr>
          <w:cantSplit/>
        </w:trPr>
        <w:tc>
          <w:tcPr>
            <w:tcW w:type="dxa" w:w="2154"/>
          </w:tcPr>
          <w:p>
            <w:pPr>
              <w:pStyle w:val="Compact"/>
              <w:spacing w:line="276" w:lineRule="auto" w:before="40" w:after="40"/>
            </w:pPr>
            <w:r>
              <w:rPr>
                <w:rFonts w:ascii="Liberation Sans Narrow" w:hAnsi="Liberation Sans Narrow"/>
                <w:sz w:val="17"/>
              </w:rPr>
              <w:t xml:space="preserve">Embargos de terceiro: fraude à execução</w:t>
            </w:r>
          </w:p>
        </w:tc>
        <w:tc>
          <w:tcPr>
            <w:tcW w:type="dxa" w:w="1655"/>
          </w:tcPr>
          <w:p>
            <w:pPr>
              <w:pStyle w:val="Compact"/>
              <w:spacing w:line="276" w:lineRule="auto" w:before="40" w:after="40"/>
            </w:pPr>
            <w:r>
              <w:rPr>
                <w:rFonts w:ascii="Liberation Sans Narrow" w:hAnsi="Liberation Sans Narrow"/>
                <w:sz w:val="17"/>
              </w:rPr>
              <w:t xml:space="preserve">STJ, Súmula 375/STJ, Corte Especial (vigente; data de aprovação não informada pelo acervo)</w:t>
            </w:r>
          </w:p>
        </w:tc>
        <w:tc>
          <w:tcPr>
            <w:tcW w:type="dxa" w:w="2279"/>
          </w:tcPr>
          <w:p>
            <w:pPr>
              <w:pStyle w:val="Compact"/>
              <w:spacing w:line="276" w:lineRule="auto" w:before="40" w:after="40"/>
            </w:pPr>
            <w:r>
              <w:rPr>
                <w:rFonts w:ascii="Liberation Sans Narrow" w:hAnsi="Liberation Sans Narrow"/>
                <w:sz w:val="17"/>
              </w:rPr>
              <w:t xml:space="preserve">O reconhecimento da fraude à execução depende do registro da penhora do bem alienado ou da prova de má-fé do terceiro adquirente.</w:t>
            </w:r>
          </w:p>
        </w:tc>
      </w:tr>
      <w:tr>
        <w:trPr>
          <w:cantSplit/>
        </w:trPr>
        <w:tc>
          <w:tcPr>
            <w:tcW w:type="dxa" w:w="2154"/>
          </w:tcPr>
          <w:p>
            <w:pPr>
              <w:pStyle w:val="Compact"/>
              <w:spacing w:line="276" w:lineRule="auto" w:before="40" w:after="40"/>
            </w:pPr>
            <w:r>
              <w:rPr>
                <w:rFonts w:ascii="Liberation Sans Narrow" w:hAnsi="Liberation Sans Narrow"/>
                <w:sz w:val="17"/>
              </w:rPr>
              <w:t xml:space="preserve">Embargos de terceiro e promessa de compra e venda não inscrita</w:t>
            </w:r>
          </w:p>
        </w:tc>
        <w:tc>
          <w:tcPr>
            <w:tcW w:type="dxa" w:w="1655"/>
          </w:tcPr>
          <w:p>
            <w:pPr>
              <w:pStyle w:val="Compact"/>
              <w:spacing w:line="276" w:lineRule="auto" w:before="40" w:after="40"/>
            </w:pPr>
            <w:r>
              <w:rPr>
                <w:rFonts w:ascii="Liberation Sans Narrow" w:hAnsi="Liberation Sans Narrow"/>
                <w:sz w:val="17"/>
              </w:rPr>
              <w:t xml:space="preserve">STF, Súmula 621/STF (aprovada; data de aprovação não informada pelo acervo)</w:t>
            </w:r>
          </w:p>
        </w:tc>
        <w:tc>
          <w:tcPr>
            <w:tcW w:type="dxa" w:w="2279"/>
          </w:tcPr>
          <w:p>
            <w:pPr>
              <w:pStyle w:val="Compact"/>
              <w:spacing w:line="276" w:lineRule="auto" w:before="40" w:after="40"/>
            </w:pPr>
            <w:r>
              <w:rPr>
                <w:rFonts w:ascii="Liberation Sans Narrow" w:hAnsi="Liberation Sans Narrow"/>
                <w:sz w:val="17"/>
              </w:rPr>
              <w:t xml:space="preserve">Não enseja embargos de terceiro à penhora a promessa de compra e venda não inscrita no registro de imóveis.</w:t>
            </w:r>
          </w:p>
        </w:tc>
      </w:tr>
      <w:tr>
        <w:trPr>
          <w:cantSplit/>
        </w:trPr>
        <w:tc>
          <w:tcPr>
            <w:tcW w:type="dxa" w:w="2154"/>
          </w:tcPr>
          <w:p>
            <w:pPr>
              <w:pStyle w:val="Compact"/>
              <w:spacing w:line="276" w:lineRule="auto" w:before="40" w:after="40"/>
            </w:pPr>
            <w:r>
              <w:rPr>
                <w:rFonts w:ascii="Liberation Sans Narrow" w:hAnsi="Liberation Sans Narrow"/>
                <w:sz w:val="17"/>
              </w:rPr>
              <w:t xml:space="preserve">Embargos de terceiro: cônjuge e defesa da meação</w:t>
            </w:r>
          </w:p>
        </w:tc>
        <w:tc>
          <w:tcPr>
            <w:tcW w:type="dxa" w:w="1655"/>
          </w:tcPr>
          <w:p>
            <w:pPr>
              <w:pStyle w:val="Compact"/>
              <w:spacing w:line="276" w:lineRule="auto" w:before="40" w:after="40"/>
            </w:pPr>
            <w:r>
              <w:rPr>
                <w:rFonts w:ascii="Liberation Sans Narrow" w:hAnsi="Liberation Sans Narrow"/>
                <w:sz w:val="17"/>
              </w:rPr>
              <w:t xml:space="preserve">STJ, Súmula 134/STJ, Segunda Seção (vigente; data de aprovação não informada pelo acervo)</w:t>
            </w:r>
          </w:p>
        </w:tc>
        <w:tc>
          <w:tcPr>
            <w:tcW w:type="dxa" w:w="2279"/>
          </w:tcPr>
          <w:p>
            <w:pPr>
              <w:pStyle w:val="Compact"/>
              <w:spacing w:line="276" w:lineRule="auto" w:before="40" w:after="40"/>
            </w:pPr>
            <w:r>
              <w:rPr>
                <w:rFonts w:ascii="Liberation Sans Narrow" w:hAnsi="Liberation Sans Narrow"/>
                <w:sz w:val="17"/>
              </w:rPr>
              <w:t xml:space="preserve">Embora intimado da penhora em imóvel do casal, o cônjuge do executado pode opor embargos de terceiro para defesa de sua meação.</w:t>
            </w:r>
          </w:p>
        </w:tc>
      </w:tr>
      <w:tr>
        <w:trPr>
          <w:cantSplit/>
        </w:trPr>
        <w:tc>
          <w:tcPr>
            <w:tcW w:type="dxa" w:w="2154"/>
          </w:tcPr>
          <w:p>
            <w:pPr>
              <w:pStyle w:val="Compact"/>
              <w:spacing w:line="276" w:lineRule="auto" w:before="40" w:after="40"/>
            </w:pPr>
            <w:r>
              <w:rPr>
                <w:rFonts w:ascii="Liberation Sans Narrow" w:hAnsi="Liberation Sans Narrow"/>
                <w:sz w:val="17"/>
              </w:rPr>
              <w:t xml:space="preserve">Embargos de terceiro: honorários a quem deu causa à constrição</w:t>
            </w:r>
          </w:p>
        </w:tc>
        <w:tc>
          <w:tcPr>
            <w:tcW w:type="dxa" w:w="1655"/>
          </w:tcPr>
          <w:p>
            <w:pPr>
              <w:pStyle w:val="Compact"/>
              <w:spacing w:line="276" w:lineRule="auto" w:before="40" w:after="40"/>
            </w:pPr>
            <w:r>
              <w:rPr>
                <w:rFonts w:ascii="Liberation Sans Narrow" w:hAnsi="Liberation Sans Narrow"/>
                <w:sz w:val="17"/>
              </w:rPr>
              <w:t xml:space="preserve">STJ, Súmula 303/STJ, Corte Especial (vigente; data de aprovação não informada pelo acervo)</w:t>
            </w:r>
          </w:p>
        </w:tc>
        <w:tc>
          <w:tcPr>
            <w:tcW w:type="dxa" w:w="2279"/>
          </w:tcPr>
          <w:p>
            <w:pPr>
              <w:pStyle w:val="Compact"/>
              <w:spacing w:line="276" w:lineRule="auto" w:before="40" w:after="40"/>
            </w:pPr>
            <w:r>
              <w:rPr>
                <w:rFonts w:ascii="Liberation Sans Narrow" w:hAnsi="Liberation Sans Narrow"/>
                <w:sz w:val="17"/>
              </w:rPr>
              <w:t xml:space="preserve">Em embargos de terceiro, quem deu causa à constrição indevida deve arcar com os honorários advocatícios.</w:t>
            </w:r>
          </w:p>
        </w:tc>
      </w:tr>
      <w:tr>
        <w:trPr>
          <w:cantSplit/>
        </w:trPr>
        <w:tc>
          <w:tcPr>
            <w:tcW w:type="dxa" w:w="2154"/>
          </w:tcPr>
          <w:p>
            <w:pPr>
              <w:pStyle w:val="Compact"/>
              <w:spacing w:line="276" w:lineRule="auto" w:before="40" w:after="40"/>
            </w:pPr>
            <w:r>
              <w:rPr>
                <w:rFonts w:ascii="Liberation Sans Narrow" w:hAnsi="Liberation Sans Narrow"/>
                <w:sz w:val="17"/>
              </w:rPr>
              <w:t xml:space="preserve">Embargos de terceiro: alienação anterior à citação e presunção de má-fé</w:t>
            </w:r>
          </w:p>
        </w:tc>
        <w:tc>
          <w:tcPr>
            <w:tcW w:type="dxa" w:w="1655"/>
          </w:tcPr>
          <w:p>
            <w:pPr>
              <w:pStyle w:val="Compact"/>
              <w:spacing w:line="276" w:lineRule="auto" w:before="40" w:after="40"/>
            </w:pPr>
            <w:r>
              <w:rPr>
                <w:rFonts w:ascii="Liberation Sans Narrow" w:hAnsi="Liberation Sans Narrow"/>
                <w:sz w:val="17"/>
              </w:rPr>
              <w:t xml:space="preserve">STJ, REsp 2.183.157, Quarta Turma, relator Min. Antonio Carlos Ferreira, julgado em 30/06/2026, DJEN de 03/07/2026</w:t>
            </w:r>
          </w:p>
        </w:tc>
        <w:tc>
          <w:tcPr>
            <w:tcW w:type="dxa" w:w="2279"/>
          </w:tcPr>
          <w:p>
            <w:pPr>
              <w:pStyle w:val="Compact"/>
              <w:spacing w:line="276" w:lineRule="auto" w:before="40" w:after="40"/>
            </w:pPr>
            <w:r>
              <w:rPr>
                <w:rFonts w:ascii="Liberation Sans Narrow" w:hAnsi="Liberation Sans Narrow"/>
                <w:sz w:val="17"/>
              </w:rPr>
              <w:t xml:space="preserve">A fraude à execução depende do registro da penhora ou da prova de má-fé do terceiro adquirente; reconhecê-la por mera presunção, com alienação anterior à citação e sem registro, contraria a Súmula 375 e o Tema 243, e os embargos de terceiro procedem.</w:t>
            </w:r>
          </w:p>
        </w:tc>
      </w:tr>
      <w:tr>
        <w:trPr>
          <w:cantSplit/>
        </w:trPr>
        <w:tc>
          <w:tcPr>
            <w:tcW w:type="dxa" w:w="2154"/>
          </w:tcPr>
          <w:p>
            <w:pPr>
              <w:pStyle w:val="Compact"/>
              <w:spacing w:line="276" w:lineRule="auto" w:before="40" w:after="40"/>
            </w:pPr>
            <w:r>
              <w:rPr>
                <w:rFonts w:ascii="Liberation Sans Narrow" w:hAnsi="Liberation Sans Narrow"/>
                <w:sz w:val="17"/>
              </w:rPr>
              <w:t xml:space="preserve">Caput — promitente comprador de imóvel em construção</w:t>
            </w:r>
          </w:p>
        </w:tc>
        <w:tc>
          <w:tcPr>
            <w:tcW w:type="dxa" w:w="1655"/>
          </w:tcPr>
          <w:p>
            <w:pPr>
              <w:pStyle w:val="Compact"/>
              <w:spacing w:line="276" w:lineRule="auto" w:before="40" w:after="40"/>
            </w:pPr>
            <w:r>
              <w:rPr>
                <w:rFonts w:ascii="Liberation Sans Narrow" w:hAnsi="Liberation Sans Narrow"/>
                <w:sz w:val="17"/>
              </w:rPr>
              <w:t xml:space="preserve">STJ, REsp 2.082.580, Quarta Turma, relator Min. João Otávio de Noronha, julgado em 09/03/2026, DJEN de 12/03/2026</w:t>
            </w:r>
          </w:p>
        </w:tc>
        <w:tc>
          <w:tcPr>
            <w:tcW w:type="dxa" w:w="2279"/>
          </w:tcPr>
          <w:p>
            <w:pPr>
              <w:pStyle w:val="Compact"/>
              <w:spacing w:line="276" w:lineRule="auto" w:before="40" w:after="40"/>
            </w:pPr>
            <w:r>
              <w:rPr>
                <w:rFonts w:ascii="Liberation Sans Narrow" w:hAnsi="Liberation Sans Narrow"/>
                <w:sz w:val="17"/>
              </w:rPr>
              <w:t xml:space="preserve">Aplica-se a Súmula 84/STJ: é admissível a oposição de embargos de terceiro por promitente comprador, ainda sem registro, inclusive em imóvel em construção. No caso, o patrimônio de afetação responde pelas dívidas vinculadas à incorporação (art. 31-A, § 1º, da Lei 4.591/1964), o que impôs o restabelecimento do arresto.</w:t>
            </w:r>
          </w:p>
        </w:tc>
      </w:tr>
      <w:tr>
        <w:trPr>
          <w:cantSplit/>
        </w:trPr>
        <w:tc>
          <w:tcPr>
            <w:tcW w:type="dxa" w:w="2154"/>
          </w:tcPr>
          <w:p>
            <w:pPr>
              <w:pStyle w:val="Compact"/>
              <w:spacing w:line="276" w:lineRule="auto" w:before="40" w:after="40"/>
            </w:pPr>
            <w:r>
              <w:rPr>
                <w:rFonts w:ascii="Liberation Sans Narrow" w:hAnsi="Liberation Sans Narrow"/>
                <w:sz w:val="17"/>
              </w:rPr>
              <w:t xml:space="preserve">Compromisso de compra e venda sem registro e fraude à execução</w:t>
            </w:r>
          </w:p>
        </w:tc>
        <w:tc>
          <w:tcPr>
            <w:tcW w:type="dxa" w:w="1655"/>
          </w:tcPr>
          <w:p>
            <w:pPr>
              <w:pStyle w:val="Compact"/>
              <w:spacing w:line="276" w:lineRule="auto" w:before="40" w:after="40"/>
            </w:pPr>
            <w:r>
              <w:rPr>
                <w:rFonts w:ascii="Liberation Sans Narrow" w:hAnsi="Liberation Sans Narrow"/>
                <w:sz w:val="17"/>
              </w:rPr>
              <w:t xml:space="preserve">STJ, REsp 2.202.047, Terceira Turma, relator Min. Ricardo Villas Bôas Cueva, julgado em 13/10/2025, DJEN de 17/10/2025</w:t>
            </w:r>
          </w:p>
        </w:tc>
        <w:tc>
          <w:tcPr>
            <w:tcW w:type="dxa" w:w="2279"/>
          </w:tcPr>
          <w:p>
            <w:pPr>
              <w:pStyle w:val="Compact"/>
              <w:spacing w:line="276" w:lineRule="auto" w:before="40" w:after="40"/>
            </w:pPr>
            <w:r>
              <w:rPr>
                <w:rFonts w:ascii="Liberation Sans Narrow" w:hAnsi="Liberation Sans Narrow"/>
                <w:sz w:val="17"/>
              </w:rPr>
              <w:t xml:space="preserve">É admissível a oposição de embargos de terceiro fundados em posse advinda de compromisso de compra e venda ainda sem registro (Súmula 84), e a fraude à execução depende do registro da penhora ou da prova de má-fé do adquirente (Súmula 375).</w:t>
            </w:r>
          </w:p>
        </w:tc>
      </w:tr>
      <w:tr>
        <w:trPr>
          <w:cantSplit/>
        </w:trPr>
        <w:tc>
          <w:tcPr>
            <w:tcW w:type="dxa" w:w="2154"/>
          </w:tcPr>
          <w:p>
            <w:pPr>
              <w:pStyle w:val="Compact"/>
              <w:spacing w:line="276" w:lineRule="auto" w:before="40" w:after="40"/>
            </w:pPr>
            <w:r>
              <w:rPr>
                <w:rFonts w:ascii="Liberation Sans Narrow" w:hAnsi="Liberation Sans Narrow"/>
                <w:sz w:val="17"/>
              </w:rPr>
              <w:t xml:space="preserve">Fraude à execução sem registro da penhora: ônus do credor de provar a má-fé</w:t>
            </w:r>
          </w:p>
        </w:tc>
        <w:tc>
          <w:tcPr>
            <w:tcW w:type="dxa" w:w="1655"/>
          </w:tcPr>
          <w:p>
            <w:pPr>
              <w:pStyle w:val="Compact"/>
              <w:spacing w:line="276" w:lineRule="auto" w:before="40" w:after="40"/>
            </w:pPr>
            <w:r>
              <w:rPr>
                <w:rFonts w:ascii="Liberation Sans Narrow" w:hAnsi="Liberation Sans Narrow"/>
                <w:sz w:val="17"/>
              </w:rPr>
              <w:t xml:space="preserve">STJ, REsp 1.959.861, Terceira Turma, relator Min. Ricardo Villas Bôas Cueva, julgado em 05/05/2025, DJEN de 09/05/2025</w:t>
            </w:r>
          </w:p>
        </w:tc>
        <w:tc>
          <w:tcPr>
            <w:tcW w:type="dxa" w:w="2279"/>
          </w:tcPr>
          <w:p>
            <w:pPr>
              <w:pStyle w:val="Compact"/>
              <w:spacing w:line="276" w:lineRule="auto" w:before="40" w:after="40"/>
            </w:pPr>
            <w:r>
              <w:rPr>
                <w:rFonts w:ascii="Liberation Sans Narrow" w:hAnsi="Liberation Sans Narrow"/>
                <w:sz w:val="17"/>
              </w:rPr>
              <w:t xml:space="preserve">Sem registro da penhora na matrícula, cabe ao credor provar que o adquirente conhecia demanda capaz de levar o alienante à insolvência; a má-fé não se presume pela falta de certidões de distribuição (Tema 243 e Súmula 375).</w:t>
            </w:r>
          </w:p>
        </w:tc>
      </w:tr>
      <w:tr>
        <w:trPr>
          <w:cantSplit/>
        </w:trPr>
        <w:tc>
          <w:tcPr>
            <w:tcW w:type="dxa" w:w="2154"/>
          </w:tcPr>
          <w:p>
            <w:pPr>
              <w:pStyle w:val="Compact"/>
              <w:spacing w:line="276" w:lineRule="auto" w:before="40" w:after="40"/>
            </w:pPr>
            <w:r>
              <w:rPr>
                <w:rFonts w:ascii="Liberation Sans Narrow" w:hAnsi="Liberation Sans Narrow"/>
                <w:sz w:val="17"/>
              </w:rPr>
              <w:t xml:space="preserve">Alienações sucessivas: a ineficácia da primeira não se estende automaticamente às seguintes</w:t>
            </w:r>
          </w:p>
        </w:tc>
        <w:tc>
          <w:tcPr>
            <w:tcW w:type="dxa" w:w="1655"/>
          </w:tcPr>
          <w:p>
            <w:pPr>
              <w:pStyle w:val="Compact"/>
              <w:spacing w:line="276" w:lineRule="auto" w:before="40" w:after="40"/>
            </w:pPr>
            <w:r>
              <w:rPr>
                <w:rFonts w:ascii="Liberation Sans Narrow" w:hAnsi="Liberation Sans Narrow"/>
                <w:sz w:val="17"/>
              </w:rPr>
              <w:t xml:space="preserve">STJ, REsp 1.863.999, Terceira Turma, relatora Min. Nancy Andrighi, julgado em 03/08/2021, DJe de 09/08/2021</w:t>
            </w:r>
          </w:p>
        </w:tc>
        <w:tc>
          <w:tcPr>
            <w:tcW w:type="dxa" w:w="2279"/>
          </w:tcPr>
          <w:p>
            <w:pPr>
              <w:pStyle w:val="Compact"/>
              <w:spacing w:line="276" w:lineRule="auto" w:before="40" w:after="40"/>
            </w:pPr>
            <w:r>
              <w:rPr>
                <w:rFonts w:ascii="Liberation Sans Narrow" w:hAnsi="Liberation Sans Narrow"/>
                <w:sz w:val="17"/>
              </w:rPr>
              <w:t xml:space="preserve">Na fraude à execução com alienações sucessivas, não se estende automaticamente às transações subsequentes a ineficácia da primeira alienação.</w:t>
            </w:r>
          </w:p>
        </w:tc>
      </w:tr>
    </w:tbl>
    <w:p>
      <w:pPr>
        <w:pStyle w:val="BodyText"/>
        <w:spacing w:after="60"/>
        <w:jc w:val="both"/>
      </w:pPr>
      <w:r>
        <w:t xml:space="preserve">§ 1º Os embargos podem ser de terceiro proprietário, inclusive fiduciário, ou possuidor.</w:t>
      </w:r>
    </w:p>
    <w:p>
      <w:pPr>
        <w:pStyle w:val="BodyText"/>
        <w:spacing w:after="60"/>
        <w:jc w:val="both"/>
      </w:pPr>
      <w:r>
        <w:t xml:space="preserve">§ 2º Considera-se terceiro, para ajuizamento dos embargos:</w:t>
      </w:r>
    </w:p>
    <w:p>
      <w:pPr>
        <w:pStyle w:val="BodyText"/>
        <w:spacing w:after="60"/>
        <w:jc w:val="both"/>
      </w:pPr>
      <w:r>
        <w:t xml:space="preserve">I - o cônjuge ou companheiro, quando defende a posse de bens próprios ou de sua meação, ressalvado o disposto no art. 843;</w:t>
      </w:r>
    </w:p>
    <w:p>
      <w:pPr>
        <w:pStyle w:val="BodyText"/>
        <w:spacing w:after="60"/>
        <w:jc w:val="both"/>
      </w:pPr>
      <w:r>
        <w:t xml:space="preserve">II - o adquirente de bens cuja constrição decorreu de decisão que declara a ineficácia da alienação realizada em fraude à execução;</w:t>
      </w:r>
    </w:p>
    <w:p>
      <w:pPr>
        <w:pStyle w:val="BodyText"/>
        <w:spacing w:after="60"/>
        <w:jc w:val="both"/>
      </w:pPr>
      <w:r>
        <w:t xml:space="preserve">III - quem sofre constrição judicial de seus bens por força de desconsideração da personalidade jurídica, de cujo incidente não fez parte;</w:t>
      </w:r>
    </w:p>
    <w:p>
      <w:pPr>
        <w:pStyle w:val="BodyText"/>
        <w:spacing w:after="60"/>
        <w:jc w:val="both"/>
      </w:pPr>
      <w:r>
        <w:t xml:space="preserve">IV - o credor com garantia real para obstar expropriação judicial do objeto de direito real de garantia, caso não tenha sido intimado, nos termos legais dos atos expropriatórios respectivos.</w:t>
      </w:r>
    </w:p>
    <w:bookmarkEnd w:id="443"/>
    <w:bookmarkStart w:id="444" w:name="art.-675"/>
    <w:p>
      <w:pPr>
        <w:pStyle w:val="Heading6"/>
        <w:pBdr>
          <w:left w:val="single" w:sz="36" w:space="4" w:color="2E75B6"/>
        </w:pBdr>
        <w:shd w:val="clear" w:color="auto" w:fill="E3EEF9"/>
        <w:spacing w:before="120" w:after="60"/>
        <w:ind w:left="85"/>
      </w:pPr>
      <w:r>
        <w:rPr>
          <w:i w:val="0"/>
          <w:color w:val="1F3A5F"/>
          <w:sz w:val="22"/>
        </w:rPr>
        <w:t xml:space="preserve">Art. 675</w:t>
      </w:r>
    </w:p>
    <w:p>
      <w:pPr>
        <w:pStyle w:val="FirstParagraph"/>
        <w:keepNext/>
        <w:spacing w:after="60"/>
        <w:jc w:val="both"/>
      </w:pPr>
      <w:r>
        <w:rPr>
          <w:b/>
          <w:bCs/>
        </w:rPr>
        <w:t xml:space="preserve">Art. 675.</w:t>
      </w:r>
      <w:r>
        <w:t xml:space="preserve"> </w:t>
      </w:r>
      <w:r>
        <w:t xml:space="preserve">Os embargos podem ser opostos a qualquer tempo no processo de conhecimento enquanto não transitada em julgado a sentença e, no cumprimento de sentença ou no processo de execução, até 5 (cinco) dias depois da adjudicação, da alienação por iniciativa particular ou da arrematação, mas sempre antes da assinatura da respectiva carta.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655"/>
        <w:gridCol w:w="2404"/>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Caput — termo inicial na execução e no cumprimento de sentença</w:t>
            </w:r>
          </w:p>
        </w:tc>
        <w:tc>
          <w:tcPr>
            <w:tcW w:type="dxa" w:w="1655"/>
          </w:tcPr>
          <w:p>
            <w:pPr>
              <w:pStyle w:val="Compact"/>
              <w:spacing w:line="276" w:lineRule="auto" w:before="40" w:after="40"/>
            </w:pPr>
            <w:r>
              <w:rPr>
                <w:rFonts w:ascii="Liberation Sans Narrow" w:hAnsi="Liberation Sans Narrow"/>
                <w:sz w:val="17"/>
              </w:rPr>
              <w:t xml:space="preserve">STJ, AgInt no AREsp 1.906.915, Quarta Turma, relator Min. Raul Araújo, julgado em 01/06/2026, DJEN de 09/06/2026</w:t>
            </w:r>
          </w:p>
        </w:tc>
        <w:tc>
          <w:tcPr>
            <w:tcW w:type="dxa" w:w="2404"/>
          </w:tcPr>
          <w:p>
            <w:pPr>
              <w:pStyle w:val="Compact"/>
              <w:spacing w:line="276" w:lineRule="auto" w:before="40" w:after="40"/>
            </w:pPr>
            <w:r>
              <w:rPr>
                <w:rFonts w:ascii="Liberation Sans Narrow" w:hAnsi="Liberation Sans Narrow"/>
                <w:sz w:val="17"/>
              </w:rPr>
              <w:t xml:space="preserve">Na fase de cumprimento de sentença ou no processo de execução, os embargos de terceiro devem ser opostos no prazo de cinco dias contados da adjudicação, da alienação por iniciativa particular ou da arrematação, sempre antes da assinatura da respectiva carta; o prazo só começa a fluir com um desses atos, ainda que o embargante já conhecesse a penhora.</w:t>
            </w:r>
          </w:p>
        </w:tc>
      </w:tr>
      <w:tr>
        <w:trPr>
          <w:cantSplit/>
        </w:trPr>
        <w:tc>
          <w:tcPr>
            <w:tcW w:type="dxa" w:w="2030"/>
          </w:tcPr>
          <w:p>
            <w:pPr>
              <w:pStyle w:val="Compact"/>
              <w:spacing w:line="276" w:lineRule="auto" w:before="40" w:after="40"/>
            </w:pPr>
            <w:r>
              <w:rPr>
                <w:rFonts w:ascii="Liberation Sans Narrow" w:hAnsi="Liberation Sans Narrow"/>
                <w:sz w:val="17"/>
              </w:rPr>
              <w:t xml:space="preserve">Caput — flexibilização do termo inicial</w:t>
            </w:r>
          </w:p>
        </w:tc>
        <w:tc>
          <w:tcPr>
            <w:tcW w:type="dxa" w:w="1655"/>
          </w:tcPr>
          <w:p>
            <w:pPr>
              <w:pStyle w:val="Compact"/>
              <w:spacing w:line="276" w:lineRule="auto" w:before="40" w:after="40"/>
            </w:pPr>
            <w:r>
              <w:rPr>
                <w:rFonts w:ascii="Liberation Sans Narrow" w:hAnsi="Liberation Sans Narrow"/>
                <w:sz w:val="17"/>
              </w:rPr>
              <w:t xml:space="preserve">STJ, AgInt no REsp 1.893.259, Segunda Turma, relator Min. Teodoro Silva Santos, DJe de 23/12/2025</w:t>
            </w:r>
          </w:p>
        </w:tc>
        <w:tc>
          <w:tcPr>
            <w:tcW w:type="dxa" w:w="2404"/>
          </w:tcPr>
          <w:p>
            <w:pPr>
              <w:pStyle w:val="Compact"/>
              <w:spacing w:line="276" w:lineRule="auto" w:before="40" w:after="40"/>
            </w:pPr>
            <w:r>
              <w:rPr>
                <w:rFonts w:ascii="Liberation Sans Narrow" w:hAnsi="Liberation Sans Narrow"/>
                <w:sz w:val="17"/>
              </w:rPr>
              <w:t xml:space="preserve">O prazo do art. 675 é de cinco dias da adjudicação, alienação ou arrematação, antes da assinatura da carta; excepcionalmente, e apenas em benefício do embargante, o termo inicial pode ser a data da turbação ou esbulho, quando o terceiro não tiver ciência da execução.</w:t>
            </w:r>
          </w:p>
        </w:tc>
      </w:tr>
    </w:tbl>
    <w:p>
      <w:pPr>
        <w:pStyle w:val="BodyText"/>
        <w:spacing w:after="60"/>
        <w:jc w:val="both"/>
      </w:pPr>
      <w:r>
        <w:t xml:space="preserve">Parágrafo único. Caso identifique a existência de terceiro titular de interesse em embargar o ato, o juiz mandará intimá-lo pessoalmente.</w:t>
      </w:r>
    </w:p>
    <w:bookmarkEnd w:id="444"/>
    <w:bookmarkStart w:id="445" w:name="art.-676"/>
    <w:p>
      <w:pPr>
        <w:pStyle w:val="Heading6"/>
        <w:pBdr>
          <w:left w:val="single" w:sz="36" w:space="4" w:color="2E75B6"/>
        </w:pBdr>
        <w:shd w:val="clear" w:color="auto" w:fill="E3EEF9"/>
        <w:spacing w:before="120" w:after="60"/>
        <w:ind w:left="85"/>
      </w:pPr>
      <w:r>
        <w:rPr>
          <w:i w:val="0"/>
          <w:color w:val="1F3A5F"/>
          <w:sz w:val="22"/>
        </w:rPr>
        <w:t xml:space="preserve">Art. 676</w:t>
      </w:r>
    </w:p>
    <w:p>
      <w:pPr>
        <w:pStyle w:val="FirstParagraph"/>
        <w:spacing w:after="60"/>
        <w:jc w:val="both"/>
      </w:pPr>
      <w:r>
        <w:rPr>
          <w:b/>
          <w:bCs/>
        </w:rPr>
        <w:t xml:space="preserve">Art. 676.</w:t>
      </w:r>
      <w:r>
        <w:t xml:space="preserve"> </w:t>
      </w:r>
      <w:r>
        <w:t xml:space="preserve">Os embargos serão distribuídos por dependência ao juízo que ordenou a constrição e autuados em apartado.</w:t>
      </w:r>
    </w:p>
    <w:p>
      <w:pPr>
        <w:pStyle w:val="BodyText"/>
        <w:spacing w:after="60"/>
        <w:jc w:val="both"/>
      </w:pPr>
      <w:r>
        <w:t xml:space="preserve">Parágrafo único. Nos casos de ato de constrição realizado por carta, os embargos serão oferecidos no juízo deprecado, salvo se indicado pelo juízo deprecante o bem constrito ou se já devolvida a carta.</w:t>
      </w:r>
    </w:p>
    <w:bookmarkEnd w:id="445"/>
    <w:bookmarkStart w:id="446" w:name="art.-677"/>
    <w:p>
      <w:pPr>
        <w:pStyle w:val="Heading6"/>
        <w:pBdr>
          <w:left w:val="single" w:sz="36" w:space="4" w:color="2E75B6"/>
        </w:pBdr>
        <w:shd w:val="clear" w:color="auto" w:fill="E3EEF9"/>
        <w:spacing w:before="120" w:after="60"/>
        <w:ind w:left="85"/>
      </w:pPr>
      <w:r>
        <w:rPr>
          <w:i w:val="0"/>
          <w:color w:val="1F3A5F"/>
          <w:sz w:val="22"/>
        </w:rPr>
        <w:t xml:space="preserve">Art. 677</w:t>
      </w:r>
    </w:p>
    <w:p>
      <w:pPr>
        <w:pStyle w:val="FirstParagraph"/>
        <w:keepNext/>
        <w:spacing w:after="60"/>
        <w:jc w:val="both"/>
      </w:pPr>
      <w:r>
        <w:rPr>
          <w:b/>
          <w:bCs/>
        </w:rPr>
        <w:t xml:space="preserve">Art. 677.</w:t>
      </w:r>
      <w:r>
        <w:t xml:space="preserve"> </w:t>
      </w:r>
      <w:r>
        <w:t xml:space="preserve">Na petição inicial, o embargante fará a prova sumária de sua posse ou de seu domínio e da qualidade de terceiro, oferecendo documentos e rol de testemunhas.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531"/>
          </w:tcPr>
          <w:p>
            <w:pPr>
              <w:pStyle w:val="Compact"/>
              <w:spacing w:line="276" w:lineRule="auto" w:before="40" w:after="40"/>
            </w:pPr>
            <w:r>
              <w:rPr>
                <w:rFonts w:ascii="Liberation Sans Narrow" w:hAnsi="Liberation Sans Narrow"/>
                <w:sz w:val="17"/>
              </w:rPr>
              <w:t xml:space="preserve">Caput — prova sumária da posse e da qualidade de terceiro (aplicação narrada)</w:t>
            </w:r>
          </w:p>
        </w:tc>
        <w:tc>
          <w:tcPr>
            <w:tcW w:type="dxa" w:w="1531"/>
          </w:tcPr>
          <w:p>
            <w:pPr>
              <w:pStyle w:val="Compact"/>
              <w:spacing w:line="276" w:lineRule="auto" w:before="40" w:after="40"/>
            </w:pPr>
            <w:r>
              <w:rPr>
                <w:rFonts w:ascii="Liberation Sans Narrow" w:hAnsi="Liberation Sans Narrow"/>
                <w:sz w:val="17"/>
              </w:rPr>
              <w:t xml:space="preserve">STJ, AgInt no AREsp 2.659.349, Terceira Turma, relator Min. Moura Ribeiro</w:t>
            </w:r>
          </w:p>
        </w:tc>
        <w:tc>
          <w:tcPr>
            <w:tcW w:type="dxa" w:w="1905"/>
          </w:tcPr>
          <w:p>
            <w:pPr>
              <w:pStyle w:val="Compact"/>
              <w:spacing w:line="276" w:lineRule="auto" w:before="40" w:after="40"/>
            </w:pPr>
            <w:r>
              <w:rPr>
                <w:rFonts w:ascii="Liberation Sans Narrow" w:hAnsi="Liberation Sans Narrow"/>
                <w:sz w:val="17"/>
              </w:rPr>
              <w:t xml:space="preserve">O acolhimento dos embargos de terceiro pressupõe a prova sumária da posse ou do domínio e da qualidade de terceiro; não demonstrada essa prova constitutiva, o pedido não prospera, e a revisão do entendimento firmado nas instâncias ordinárias esbarra na Súmula 7 do Superior Tribunal de Justiça. Trecho: “O Tribunal recorrido firmou expressamente que a recorrente não demonstrou a prova sumária da posse e a sua qualidade de terceiro, ou seja, não fez prova constitutiva do seu direito”</w:t>
            </w:r>
          </w:p>
        </w:tc>
      </w:tr>
    </w:tbl>
    <w:p>
      <w:pPr>
        <w:pStyle w:val="BodyText"/>
        <w:spacing w:after="60"/>
        <w:jc w:val="both"/>
      </w:pPr>
      <w:r>
        <w:t xml:space="preserve">§ 1º É facultada a prova da posse em audiência preliminar designada pelo juiz.</w:t>
      </w:r>
    </w:p>
    <w:p>
      <w:pPr>
        <w:pStyle w:val="BodyText"/>
        <w:spacing w:after="60"/>
        <w:jc w:val="both"/>
      </w:pPr>
      <w:r>
        <w:t xml:space="preserve">§ 2º O possuidor direto pode alegar, além da sua posse, o domínio alheio.</w:t>
      </w:r>
    </w:p>
    <w:p>
      <w:pPr>
        <w:pStyle w:val="BodyText"/>
        <w:spacing w:after="60"/>
        <w:jc w:val="both"/>
      </w:pPr>
      <w:r>
        <w:t xml:space="preserve">§ 3º A citação será pessoal, se o embargado não tiver procurador constituído nos autos da ação principal.</w:t>
      </w:r>
    </w:p>
    <w:p>
      <w:pPr>
        <w:pStyle w:val="BodyText"/>
        <w:spacing w:after="60"/>
        <w:jc w:val="both"/>
      </w:pPr>
      <w:r>
        <w:t xml:space="preserve">§ 4º Será legitimado passivo o sujeito a quem o ato de constrição aproveita, assim como o será seu adversário no processo principal quando for sua a indicação do bem para a constrição judicial.</w:t>
      </w:r>
    </w:p>
    <w:bookmarkEnd w:id="446"/>
    <w:bookmarkStart w:id="447" w:name="art.-678"/>
    <w:p>
      <w:pPr>
        <w:pStyle w:val="Heading6"/>
        <w:pBdr>
          <w:left w:val="single" w:sz="36" w:space="4" w:color="2E75B6"/>
        </w:pBdr>
        <w:shd w:val="clear" w:color="auto" w:fill="E3EEF9"/>
        <w:spacing w:before="120" w:after="60"/>
        <w:ind w:left="85"/>
      </w:pPr>
      <w:r>
        <w:rPr>
          <w:i w:val="0"/>
          <w:color w:val="1F3A5F"/>
          <w:sz w:val="22"/>
        </w:rPr>
        <w:t xml:space="preserve">Art. 678</w:t>
      </w:r>
    </w:p>
    <w:p>
      <w:pPr>
        <w:pStyle w:val="FirstParagraph"/>
        <w:spacing w:after="60"/>
        <w:jc w:val="both"/>
      </w:pPr>
      <w:r>
        <w:rPr>
          <w:b/>
          <w:bCs/>
        </w:rPr>
        <w:t xml:space="preserve">Art. 678.</w:t>
      </w:r>
      <w:r>
        <w:t xml:space="preserve"> </w:t>
      </w:r>
      <w:r>
        <w:t xml:space="preserve">A decisão que reconhecer suficientemente provado o domínio ou a posse determinará a suspensão das medidas constritivas sobre os bens litigiosos objeto dos embargos, bem como a manutenção ou a reintegração provisória da posse, se o embargante a houver requerido.</w:t>
      </w:r>
    </w:p>
    <w:p>
      <w:pPr>
        <w:pStyle w:val="BodyText"/>
        <w:spacing w:after="60"/>
        <w:jc w:val="both"/>
      </w:pPr>
      <w:r>
        <w:t xml:space="preserve">Parágrafo único. O juiz poderá condicionar a ordem de manutenção ou de reintegração provisória de posse à prestação de caução pelo requerente, ressalvada a impossibilidade da parte economicamente hipossuficiente.</w:t>
      </w:r>
    </w:p>
    <w:bookmarkEnd w:id="447"/>
    <w:bookmarkStart w:id="448" w:name="art.-679"/>
    <w:p>
      <w:pPr>
        <w:pStyle w:val="Heading6"/>
        <w:pBdr>
          <w:left w:val="single" w:sz="36" w:space="4" w:color="2E75B6"/>
        </w:pBdr>
        <w:shd w:val="clear" w:color="auto" w:fill="E3EEF9"/>
        <w:spacing w:before="120" w:after="60"/>
        <w:ind w:left="85"/>
      </w:pPr>
      <w:r>
        <w:rPr>
          <w:i w:val="0"/>
          <w:color w:val="1F3A5F"/>
          <w:sz w:val="22"/>
        </w:rPr>
        <w:t xml:space="preserve">Art. 679</w:t>
      </w:r>
    </w:p>
    <w:p>
      <w:pPr>
        <w:pStyle w:val="FirstParagraph"/>
        <w:spacing w:after="60"/>
        <w:jc w:val="both"/>
      </w:pPr>
      <w:r>
        <w:rPr>
          <w:b/>
          <w:bCs/>
        </w:rPr>
        <w:t xml:space="preserve">Art. 679.</w:t>
      </w:r>
      <w:r>
        <w:t xml:space="preserve"> </w:t>
      </w:r>
      <w:r>
        <w:t xml:space="preserve">Os embargos poderão ser contestados no prazo de 15 (quinze) dias, findo o qual se seguirá o procedimento comum.</w:t>
      </w:r>
    </w:p>
    <w:bookmarkEnd w:id="448"/>
    <w:bookmarkStart w:id="449" w:name="art.-680"/>
    <w:p>
      <w:pPr>
        <w:pStyle w:val="Heading6"/>
        <w:pBdr>
          <w:left w:val="single" w:sz="36" w:space="4" w:color="2E75B6"/>
        </w:pBdr>
        <w:shd w:val="clear" w:color="auto" w:fill="E3EEF9"/>
        <w:spacing w:before="120" w:after="60"/>
        <w:ind w:left="85"/>
      </w:pPr>
      <w:r>
        <w:rPr>
          <w:i w:val="0"/>
          <w:color w:val="1F3A5F"/>
          <w:sz w:val="22"/>
        </w:rPr>
        <w:t xml:space="preserve">Art. 680</w:t>
      </w:r>
    </w:p>
    <w:p>
      <w:pPr>
        <w:pStyle w:val="FirstParagraph"/>
        <w:spacing w:after="60"/>
        <w:jc w:val="both"/>
      </w:pPr>
      <w:r>
        <w:rPr>
          <w:b/>
          <w:bCs/>
        </w:rPr>
        <w:t xml:space="preserve">Art. 680.</w:t>
      </w:r>
      <w:r>
        <w:t xml:space="preserve"> </w:t>
      </w:r>
      <w:r>
        <w:t xml:space="preserve">Contra os embargos do credor com garantia real, o embargado somente poderá alegar que:</w:t>
      </w:r>
    </w:p>
    <w:p>
      <w:pPr>
        <w:pStyle w:val="BodyText"/>
        <w:spacing w:after="60"/>
        <w:jc w:val="both"/>
      </w:pPr>
      <w:r>
        <w:t xml:space="preserve">I - o devedor comum é insolvente;</w:t>
      </w:r>
    </w:p>
    <w:p>
      <w:pPr>
        <w:pStyle w:val="BodyText"/>
        <w:spacing w:after="60"/>
        <w:jc w:val="both"/>
      </w:pPr>
      <w:r>
        <w:t xml:space="preserve">II - o título é nulo ou não obriga a terceiro;</w:t>
      </w:r>
    </w:p>
    <w:p>
      <w:pPr>
        <w:pStyle w:val="BodyText"/>
        <w:spacing w:after="60"/>
        <w:jc w:val="both"/>
      </w:pPr>
      <w:r>
        <w:t xml:space="preserve">III - outra é a coisa dada em garantia.</w:t>
      </w:r>
    </w:p>
    <w:bookmarkEnd w:id="449"/>
    <w:bookmarkStart w:id="450" w:name="art.-681"/>
    <w:p>
      <w:pPr>
        <w:pStyle w:val="Heading6"/>
        <w:pBdr>
          <w:left w:val="single" w:sz="36" w:space="4" w:color="2E75B6"/>
        </w:pBdr>
        <w:shd w:val="clear" w:color="auto" w:fill="E3EEF9"/>
        <w:spacing w:before="120" w:after="60"/>
        <w:ind w:left="85"/>
      </w:pPr>
      <w:r>
        <w:rPr>
          <w:i w:val="0"/>
          <w:color w:val="1F3A5F"/>
          <w:sz w:val="22"/>
        </w:rPr>
        <w:t xml:space="preserve">Art. 681</w:t>
      </w:r>
    </w:p>
    <w:p>
      <w:pPr>
        <w:pStyle w:val="FirstParagraph"/>
        <w:spacing w:after="60"/>
        <w:jc w:val="both"/>
      </w:pPr>
      <w:r>
        <w:rPr>
          <w:b/>
          <w:bCs/>
        </w:rPr>
        <w:t xml:space="preserve">Art. 681.</w:t>
      </w:r>
      <w:r>
        <w:t xml:space="preserve"> </w:t>
      </w:r>
      <w:r>
        <w:t xml:space="preserve">Acolhido o pedido inicial, o ato de constrição judicial indevida será cancelado, com o reconhecimento do domínio, da manutenção da posse ou da reintegração definitiva do bem ou do direito ao embargante.</w:t>
      </w:r>
    </w:p>
    <w:bookmarkEnd w:id="450"/>
    <w:bookmarkEnd w:id="451"/>
    <w:bookmarkStart w:id="457" w:name="X96fcf1b272555e1741c927b7e4a2e81e38e9ca4"/>
    <w:p>
      <w:pPr>
        <w:pStyle w:val="Heading4"/>
        <w:spacing w:before="80" w:after="40"/>
      </w:pPr>
      <w:r>
        <w:rPr>
          <w:smallCaps/>
          <w:color w:val="2E75B6"/>
        </w:rPr>
        <w:t xml:space="preserve">Capítulo VIII: da oposição (arts. 682 a 686)</w:t>
      </w:r>
    </w:p>
    <w:bookmarkStart w:id="452" w:name="art.-682"/>
    <w:p>
      <w:pPr>
        <w:pStyle w:val="Heading6"/>
        <w:pBdr>
          <w:left w:val="single" w:sz="36" w:space="4" w:color="2E75B6"/>
        </w:pBdr>
        <w:shd w:val="clear" w:color="auto" w:fill="E3EEF9"/>
        <w:spacing w:before="120" w:after="60"/>
        <w:ind w:left="85"/>
      </w:pPr>
      <w:r>
        <w:rPr>
          <w:i w:val="0"/>
          <w:color w:val="1F3A5F"/>
          <w:sz w:val="22"/>
        </w:rPr>
        <w:t xml:space="preserve">Art. 682</w:t>
      </w:r>
    </w:p>
    <w:p>
      <w:pPr>
        <w:pStyle w:val="FirstParagraph"/>
        <w:spacing w:after="60"/>
        <w:jc w:val="both"/>
      </w:pPr>
      <w:r>
        <w:rPr>
          <w:b/>
          <w:bCs/>
        </w:rPr>
        <w:t xml:space="preserve">Art. 682.</w:t>
      </w:r>
      <w:r>
        <w:t xml:space="preserve"> </w:t>
      </w:r>
      <w:r>
        <w:t xml:space="preserve">Quem pretender, no todo ou em parte, a coisa ou o direito sobre que controvertem autor e réu poderá, até ser proferida a sentença, oferecer oposição contra ambos.</w:t>
      </w:r>
    </w:p>
    <w:bookmarkEnd w:id="452"/>
    <w:bookmarkStart w:id="453" w:name="art.-683"/>
    <w:p>
      <w:pPr>
        <w:pStyle w:val="Heading6"/>
        <w:pBdr>
          <w:left w:val="single" w:sz="36" w:space="4" w:color="2E75B6"/>
        </w:pBdr>
        <w:shd w:val="clear" w:color="auto" w:fill="E3EEF9"/>
        <w:spacing w:before="120" w:after="60"/>
        <w:ind w:left="85"/>
      </w:pPr>
      <w:r>
        <w:rPr>
          <w:i w:val="0"/>
          <w:color w:val="1F3A5F"/>
          <w:sz w:val="22"/>
        </w:rPr>
        <w:t xml:space="preserve">Art. 683</w:t>
      </w:r>
    </w:p>
    <w:p>
      <w:pPr>
        <w:pStyle w:val="FirstParagraph"/>
        <w:spacing w:after="60"/>
        <w:jc w:val="both"/>
      </w:pPr>
      <w:r>
        <w:rPr>
          <w:b/>
          <w:bCs/>
        </w:rPr>
        <w:t xml:space="preserve">Art. 683.</w:t>
      </w:r>
      <w:r>
        <w:t xml:space="preserve"> </w:t>
      </w:r>
      <w:r>
        <w:t xml:space="preserve">O opoente deduzirá o pedido em observação aos requisitos exigidos para propositura da ação.</w:t>
      </w:r>
    </w:p>
    <w:p>
      <w:pPr>
        <w:pStyle w:val="BodyText"/>
        <w:spacing w:after="60"/>
        <w:jc w:val="both"/>
      </w:pPr>
      <w:r>
        <w:t xml:space="preserve">Parágrafo único. Distribuída a oposição por dependência, serão os opostos citados, na pessoa de seus respectivos advogados, para contestar o pedido no prazo comum de 15 (quinze) dias.</w:t>
      </w:r>
    </w:p>
    <w:bookmarkEnd w:id="453"/>
    <w:bookmarkStart w:id="454" w:name="art.-684"/>
    <w:p>
      <w:pPr>
        <w:pStyle w:val="Heading6"/>
        <w:pBdr>
          <w:left w:val="single" w:sz="36" w:space="4" w:color="2E75B6"/>
        </w:pBdr>
        <w:shd w:val="clear" w:color="auto" w:fill="E3EEF9"/>
        <w:spacing w:before="120" w:after="60"/>
        <w:ind w:left="85"/>
      </w:pPr>
      <w:r>
        <w:rPr>
          <w:i w:val="0"/>
          <w:color w:val="1F3A5F"/>
          <w:sz w:val="22"/>
        </w:rPr>
        <w:t xml:space="preserve">Art. 684</w:t>
      </w:r>
    </w:p>
    <w:p>
      <w:pPr>
        <w:pStyle w:val="FirstParagraph"/>
        <w:spacing w:after="60"/>
        <w:jc w:val="both"/>
      </w:pPr>
      <w:r>
        <w:rPr>
          <w:b/>
          <w:bCs/>
        </w:rPr>
        <w:t xml:space="preserve">Art. 684.</w:t>
      </w:r>
      <w:r>
        <w:t xml:space="preserve"> </w:t>
      </w:r>
      <w:r>
        <w:t xml:space="preserve">Se um dos opostos reconhecer a procedência do pedido, contra o outro prosseguirá o opoente.</w:t>
      </w:r>
    </w:p>
    <w:bookmarkEnd w:id="454"/>
    <w:bookmarkStart w:id="455" w:name="art.-685"/>
    <w:p>
      <w:pPr>
        <w:pStyle w:val="Heading6"/>
        <w:pBdr>
          <w:left w:val="single" w:sz="36" w:space="4" w:color="2E75B6"/>
        </w:pBdr>
        <w:shd w:val="clear" w:color="auto" w:fill="E3EEF9"/>
        <w:spacing w:before="120" w:after="60"/>
        <w:ind w:left="85"/>
      </w:pPr>
      <w:r>
        <w:rPr>
          <w:i w:val="0"/>
          <w:color w:val="1F3A5F"/>
          <w:sz w:val="22"/>
        </w:rPr>
        <w:t xml:space="preserve">Art. 685</w:t>
      </w:r>
    </w:p>
    <w:p>
      <w:pPr>
        <w:pStyle w:val="FirstParagraph"/>
        <w:keepNext/>
        <w:spacing w:after="60"/>
        <w:jc w:val="both"/>
      </w:pPr>
      <w:r>
        <w:rPr>
          <w:b/>
          <w:bCs/>
        </w:rPr>
        <w:t xml:space="preserve">Art. 685.</w:t>
      </w:r>
      <w:r>
        <w:t xml:space="preserve"> </w:t>
      </w:r>
      <w:r>
        <w:t xml:space="preserve">Admitido o processamento, a oposição será apensada aos autos e tramitará simultaneamente à ação originária, sendo ambas julgadas pela mesma sentença.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653"/>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653"/>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sentença única e recurso único (tese)</w:t>
            </w:r>
          </w:p>
        </w:tc>
        <w:tc>
          <w:tcPr>
            <w:tcW w:type="dxa" w:w="1655"/>
          </w:tcPr>
          <w:p>
            <w:pPr>
              <w:pStyle w:val="Compact"/>
              <w:spacing w:line="276" w:lineRule="auto" w:before="40" w:after="40"/>
            </w:pPr>
            <w:r>
              <w:rPr>
                <w:rFonts w:ascii="Liberation Sans Narrow" w:hAnsi="Liberation Sans Narrow"/>
                <w:sz w:val="17"/>
              </w:rPr>
              <w:t xml:space="preserve">STJ, REsp 2.241.950, Quarta Turma, relatora Min. Maria Isabel Gallotti, julgado em 25/05/2026</w:t>
            </w:r>
          </w:p>
        </w:tc>
        <w:tc>
          <w:tcPr>
            <w:tcW w:type="dxa" w:w="2653"/>
          </w:tcPr>
          <w:p>
            <w:pPr>
              <w:pStyle w:val="Compact"/>
              <w:spacing w:line="276" w:lineRule="auto" w:before="40" w:after="40"/>
            </w:pPr>
            <w:r>
              <w:rPr>
                <w:rFonts w:ascii="Liberation Sans Narrow" w:hAnsi="Liberation Sans Narrow"/>
                <w:sz w:val="17"/>
              </w:rPr>
              <w:t xml:space="preserve">Proferida sentença una para o julgamento simultâneo de ações conexas, a interposição de um único recurso de apelação, com o recolhimento de um único preparo, atende aos requisitos de admissibilidade recursal: o que se impugna é a decisão em sua unidade, e não cada um dos processos resolvidos, sob pena de ofensa à unirrecorribilidade e à economia processual.</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autonomia dos recursos na sentença única</w:t>
            </w:r>
          </w:p>
        </w:tc>
        <w:tc>
          <w:tcPr>
            <w:tcW w:type="dxa" w:w="1655"/>
          </w:tcPr>
          <w:p>
            <w:pPr>
              <w:pStyle w:val="Compact"/>
              <w:spacing w:line="276" w:lineRule="auto" w:before="40" w:after="40"/>
            </w:pPr>
            <w:r>
              <w:rPr>
                <w:rFonts w:ascii="Liberation Sans Narrow" w:hAnsi="Liberation Sans Narrow"/>
                <w:sz w:val="17"/>
              </w:rPr>
              <w:t xml:space="preserve">STJ, AgInt no REsp 1.725.179, Primeira Turma, relator Min. Sérgio Kukina, julgado em 12/12/2022, DJe de 15/12/2022</w:t>
            </w:r>
          </w:p>
        </w:tc>
        <w:tc>
          <w:tcPr>
            <w:tcW w:type="dxa" w:w="2653"/>
          </w:tcPr>
          <w:p>
            <w:pPr>
              <w:pStyle w:val="Compact"/>
              <w:spacing w:line="276" w:lineRule="auto" w:before="40" w:after="40"/>
            </w:pPr>
            <w:r>
              <w:rPr>
                <w:rFonts w:ascii="Liberation Sans Narrow" w:hAnsi="Liberation Sans Narrow"/>
                <w:sz w:val="17"/>
              </w:rPr>
              <w:t xml:space="preserve">O art. 685 não sustenta a tese de que, no julgamento simultâneo, o recurso interposto em um dos processos interrompe o prazo recursal dos demais: havendo sentença que julga conjuntamente ações conexas (a ordinária e a oposição), os recursos são analisados na relação processual em que interpostos e não produzem efeitos na outra causa, que preserva autonomia e independência.</w:t>
            </w:r>
          </w:p>
        </w:tc>
      </w:tr>
    </w:tbl>
    <w:p>
      <w:pPr>
        <w:pStyle w:val="BodyText"/>
        <w:spacing w:after="60"/>
        <w:jc w:val="both"/>
      </w:pPr>
      <w:r>
        <w:t xml:space="preserve">Parágrafo único. Se a oposição for proposta após o início da audiência de instrução, o juiz suspenderá o curso do processo ao fim da produção das provas, salvo se concluir que a unidade da instrução atende melhor ao princípio da duração razoável do processo.</w:t>
      </w:r>
    </w:p>
    <w:bookmarkEnd w:id="455"/>
    <w:bookmarkStart w:id="456" w:name="art.-686"/>
    <w:p>
      <w:pPr>
        <w:pStyle w:val="Heading6"/>
        <w:pBdr>
          <w:left w:val="single" w:sz="36" w:space="4" w:color="2E75B6"/>
        </w:pBdr>
        <w:shd w:val="clear" w:color="auto" w:fill="E3EEF9"/>
        <w:spacing w:before="120" w:after="60"/>
        <w:ind w:left="85"/>
      </w:pPr>
      <w:r>
        <w:rPr>
          <w:i w:val="0"/>
          <w:color w:val="1F3A5F"/>
          <w:sz w:val="22"/>
        </w:rPr>
        <w:t xml:space="preserve">Art. 686</w:t>
      </w:r>
    </w:p>
    <w:p>
      <w:pPr>
        <w:pStyle w:val="FirstParagraph"/>
        <w:spacing w:after="60"/>
        <w:jc w:val="both"/>
      </w:pPr>
      <w:r>
        <w:rPr>
          <w:b/>
          <w:bCs/>
        </w:rPr>
        <w:t xml:space="preserve">Art. 686.</w:t>
      </w:r>
      <w:r>
        <w:t xml:space="preserve"> </w:t>
      </w:r>
      <w:r>
        <w:t xml:space="preserve">Cabendo ao juiz decidir simultaneamente a ação originária e a oposição, desta conhecerá em primeiro lugar.</w:t>
      </w:r>
    </w:p>
    <w:bookmarkEnd w:id="456"/>
    <w:bookmarkEnd w:id="457"/>
    <w:bookmarkStart w:id="464" w:name="Xd4499b52cd484e4857365db73c4e0d9428d6858"/>
    <w:p>
      <w:pPr>
        <w:pStyle w:val="Heading4"/>
        <w:spacing w:before="80" w:after="40"/>
      </w:pPr>
      <w:r>
        <w:rPr>
          <w:smallCaps/>
          <w:color w:val="2E75B6"/>
        </w:rPr>
        <w:t xml:space="preserve">Capítulo IX: da habilitação (arts. 687 a 692)</w:t>
      </w:r>
    </w:p>
    <w:bookmarkStart w:id="458" w:name="art.-687"/>
    <w:p>
      <w:pPr>
        <w:pStyle w:val="Heading6"/>
        <w:pBdr>
          <w:left w:val="single" w:sz="36" w:space="4" w:color="2E75B6"/>
        </w:pBdr>
        <w:shd w:val="clear" w:color="auto" w:fill="E3EEF9"/>
        <w:spacing w:before="120" w:after="60"/>
        <w:ind w:left="85"/>
      </w:pPr>
      <w:r>
        <w:rPr>
          <w:i w:val="0"/>
          <w:color w:val="1F3A5F"/>
          <w:sz w:val="22"/>
        </w:rPr>
        <w:t xml:space="preserve">Art. 687</w:t>
      </w:r>
    </w:p>
    <w:p>
      <w:pPr>
        <w:pStyle w:val="FirstParagraph"/>
        <w:keepNext/>
        <w:spacing w:after="60"/>
        <w:jc w:val="both"/>
      </w:pPr>
      <w:r>
        <w:rPr>
          <w:b/>
          <w:bCs/>
        </w:rPr>
        <w:t xml:space="preserve">Art. 687.</w:t>
      </w:r>
      <w:r>
        <w:t xml:space="preserve"> </w:t>
      </w:r>
      <w:r>
        <w:t xml:space="preserve">A habilitação ocorre quando, por falecimento de qualquer das partes, os interessados houverem de suceder-lhe no processo.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2029"/>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cabimento da habilitação por falecimento (aplicação narrada)</w:t>
            </w:r>
          </w:p>
        </w:tc>
        <w:tc>
          <w:tcPr>
            <w:tcW w:type="dxa" w:w="1531"/>
          </w:tcPr>
          <w:p>
            <w:pPr>
              <w:pStyle w:val="Compact"/>
              <w:spacing w:line="276" w:lineRule="auto" w:before="40" w:after="40"/>
            </w:pPr>
            <w:r>
              <w:rPr>
                <w:rFonts w:ascii="Liberation Sans Narrow" w:hAnsi="Liberation Sans Narrow"/>
                <w:sz w:val="17"/>
              </w:rPr>
              <w:t xml:space="preserve">STJ, AgInt no REsp 2.191.569, Segunda Turma, relator Min. Afrânio Vilela, julgado em 19/08/2026</w:t>
            </w:r>
          </w:p>
        </w:tc>
        <w:tc>
          <w:tcPr>
            <w:tcW w:type="dxa" w:w="2030"/>
          </w:tcPr>
          <w:p>
            <w:pPr>
              <w:pStyle w:val="Compact"/>
              <w:spacing w:line="276" w:lineRule="auto" w:before="40" w:after="40"/>
            </w:pPr>
            <w:r>
              <w:rPr>
                <w:rFonts w:ascii="Liberation Sans Narrow" w:hAnsi="Liberation Sans Narrow"/>
                <w:sz w:val="17"/>
              </w:rPr>
              <w:t xml:space="preserve">Falecida qualquer das partes, o processo é suspenso e deve proceder-se à habilitação dos sucessores nos próprios autos (arts. 313, I, e 689 do CPC). Trecho: “De fato, nos termos dos artigos 313, I, e 689 do CPC/2015 havendo o falecimento de qualquer, das partes, o processo será suspenso, devendo ser procedida à habilitação dos sucessores do falecido.”</w:t>
            </w:r>
          </w:p>
        </w:tc>
      </w:tr>
      <w:tr>
        <w:trPr/>
        <w:tc>
          <w:tcPr>
            <w:tcW w:type="dxa" w:w="1655"/>
          </w:tcPr>
          <w:p>
            <w:pPr>
              <w:pStyle w:val="Compact"/>
              <w:spacing w:line="276" w:lineRule="auto" w:before="40" w:after="40"/>
            </w:pPr>
            <w:r>
              <w:rPr>
                <w:rFonts w:ascii="Liberation Sans Narrow" w:hAnsi="Liberation Sans Narrow"/>
                <w:sz w:val="17"/>
              </w:rPr>
              <w:t xml:space="preserve">caput — ônus de promover a habilitação (orientação de aplicação) (aplicação narrada)</w:t>
            </w:r>
          </w:p>
        </w:tc>
        <w:tc>
          <w:tcPr>
            <w:tcW w:type="dxa" w:w="1531"/>
          </w:tcPr>
          <w:p>
            <w:pPr>
              <w:pStyle w:val="Compact"/>
              <w:spacing w:line="276" w:lineRule="auto" w:before="40" w:after="40"/>
            </w:pPr>
            <w:r>
              <w:rPr>
                <w:rFonts w:ascii="Liberation Sans Narrow" w:hAnsi="Liberation Sans Narrow"/>
                <w:sz w:val="17"/>
              </w:rPr>
              <w:t xml:space="preserve">STJ, AgInt no REsp 1.720.466, Quarta Turma, relatora Min. Maria Isabel Gallotti, julgado em 15/06/2026</w:t>
            </w:r>
          </w:p>
        </w:tc>
        <w:tc>
          <w:tcPr>
            <w:tcW w:type="dxa" w:w="2030"/>
          </w:tcPr>
          <w:p>
            <w:pPr>
              <w:pStyle w:val="Compact"/>
              <w:spacing w:line="276" w:lineRule="auto" w:before="40" w:after="40"/>
            </w:pPr>
            <w:r>
              <w:rPr>
                <w:rFonts w:ascii="Liberation Sans Narrow" w:hAnsi="Liberation Sans Narrow"/>
                <w:sz w:val="17"/>
              </w:rPr>
              <w:t xml:space="preserve">Determinada a intimação pessoal dos interessados para promover a habilitação e a sucessão processual do recorrente falecido, com advertência de que o não atendimento importaria o não conhecimento dos recursos, e decorrido o prazo sem manifestação, impõe-se o não conhecimento (art. 76, § 2º, I); são válidas as intimações dirigidas aos endereços constantes dos autos, ainda que o aviso de recebimento retorne com a anotação</w:t>
            </w:r>
            <w:r>
              <w:rPr>
                <w:rFonts w:ascii="Liberation Sans Narrow" w:hAnsi="Liberation Sans Narrow"/>
                <w:sz w:val="17"/>
              </w:rPr>
              <w:t xml:space="preserve"> </w:t>
            </w:r>
            <w:r>
              <w:rPr>
                <w:rFonts w:ascii="Liberation Sans Narrow" w:hAnsi="Liberation Sans Narrow"/>
                <w:sz w:val="17"/>
              </w:rPr>
              <w:t xml:space="preserve">“mudou-se”</w:t>
            </w:r>
            <w:r>
              <w:rPr>
                <w:rFonts w:ascii="Liberation Sans Narrow" w:hAnsi="Liberation Sans Narrow"/>
                <w:sz w:val="17"/>
              </w:rPr>
              <w:t xml:space="preserve">, se não houve comunicação de alteração de endereço (art. 274, parágrafo único). Trecho: “Determinada a intimação pessoal dos interessados para promoverem a habilitação e a sucessão processual do recorrente falecido, com expressa advertência de que o não atendimento da determinação importaria no não conhecimento dos recursos interpostos, decorreu o prazo assinalado sem manifestação.”</w:t>
            </w:r>
          </w:p>
        </w:tc>
      </w:tr>
    </w:tbl>
    <w:bookmarkEnd w:id="458"/>
    <w:bookmarkStart w:id="459" w:name="art.-688"/>
    <w:p>
      <w:pPr>
        <w:pStyle w:val="Heading6"/>
        <w:pBdr>
          <w:left w:val="single" w:sz="36" w:space="4" w:color="2E75B6"/>
        </w:pBdr>
        <w:shd w:val="clear" w:color="auto" w:fill="E3EEF9"/>
        <w:spacing w:before="120" w:after="60"/>
        <w:ind w:left="85"/>
      </w:pPr>
      <w:r>
        <w:rPr>
          <w:i w:val="0"/>
          <w:color w:val="1F3A5F"/>
          <w:sz w:val="22"/>
        </w:rPr>
        <w:t xml:space="preserve">Art. 688</w:t>
      </w:r>
    </w:p>
    <w:p>
      <w:pPr>
        <w:pStyle w:val="FirstParagraph"/>
        <w:spacing w:after="60"/>
        <w:jc w:val="both"/>
      </w:pPr>
      <w:r>
        <w:rPr>
          <w:b/>
          <w:bCs/>
        </w:rPr>
        <w:t xml:space="preserve">Art. 688.</w:t>
      </w:r>
      <w:r>
        <w:t xml:space="preserve"> </w:t>
      </w:r>
      <w:r>
        <w:t xml:space="preserve">A habilitação pode ser requerida:</w:t>
      </w:r>
    </w:p>
    <w:p>
      <w:pPr>
        <w:pStyle w:val="BodyText"/>
        <w:spacing w:after="60"/>
        <w:jc w:val="both"/>
      </w:pPr>
      <w:r>
        <w:t xml:space="preserve">I - pela parte, em relação aos sucessores do falecido;</w:t>
      </w:r>
    </w:p>
    <w:p>
      <w:pPr>
        <w:pStyle w:val="BodyText"/>
        <w:spacing w:after="60"/>
        <w:jc w:val="both"/>
      </w:pPr>
      <w:r>
        <w:t xml:space="preserve">II - pelos sucessores do falecido, em relação à parte.</w:t>
      </w:r>
    </w:p>
    <w:bookmarkEnd w:id="459"/>
    <w:bookmarkStart w:id="460" w:name="art.-689"/>
    <w:p>
      <w:pPr>
        <w:pStyle w:val="Heading6"/>
        <w:pBdr>
          <w:left w:val="single" w:sz="36" w:space="4" w:color="2E75B6"/>
        </w:pBdr>
        <w:shd w:val="clear" w:color="auto" w:fill="E3EEF9"/>
        <w:spacing w:before="120" w:after="60"/>
        <w:ind w:left="85"/>
      </w:pPr>
      <w:r>
        <w:rPr>
          <w:i w:val="0"/>
          <w:color w:val="1F3A5F"/>
          <w:sz w:val="22"/>
        </w:rPr>
        <w:t xml:space="preserve">Art. 689</w:t>
      </w:r>
    </w:p>
    <w:p>
      <w:pPr>
        <w:pStyle w:val="FirstParagraph"/>
        <w:keepNext/>
        <w:spacing w:after="60"/>
        <w:jc w:val="both"/>
      </w:pPr>
      <w:r>
        <w:rPr>
          <w:b/>
          <w:bCs/>
        </w:rPr>
        <w:t xml:space="preserve">Art. 689.</w:t>
      </w:r>
      <w:r>
        <w:t xml:space="preserve"> </w:t>
      </w:r>
      <w:r>
        <w:t xml:space="preserve">Proceder-se-á à habilitação nos autos do processo principal, na instância em que estiver, suspendendo-se, a partir de então, o processo.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2154"/>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655"/>
          </w:tcPr>
          <w:p>
            <w:pPr>
              <w:pStyle w:val="Compact"/>
              <w:spacing w:line="276" w:lineRule="auto" w:before="40" w:after="40"/>
            </w:pPr>
            <w:r>
              <w:rPr>
                <w:rFonts w:ascii="Liberation Sans Narrow" w:hAnsi="Liberation Sans Narrow"/>
                <w:sz w:val="17"/>
              </w:rPr>
              <w:t xml:space="preserve">caput — inércia na habilitação (aplicação narrada)</w:t>
            </w:r>
          </w:p>
        </w:tc>
        <w:tc>
          <w:tcPr>
            <w:tcW w:type="dxa" w:w="1655"/>
          </w:tcPr>
          <w:p>
            <w:pPr>
              <w:pStyle w:val="Compact"/>
              <w:spacing w:line="276" w:lineRule="auto" w:before="40" w:after="40"/>
            </w:pPr>
            <w:r>
              <w:rPr>
                <w:rFonts w:ascii="Liberation Sans Narrow" w:hAnsi="Liberation Sans Narrow"/>
                <w:sz w:val="17"/>
              </w:rPr>
              <w:t xml:space="preserve">STJ, AgInt na PET na ExeMS 20.231, Primeira Seção, relatora Min. Regina Helena Costa, julgado em 12/11/2025, DJEN de 24/11/2025</w:t>
            </w:r>
          </w:p>
        </w:tc>
        <w:tc>
          <w:tcPr>
            <w:tcW w:type="dxa" w:w="2154"/>
          </w:tcPr>
          <w:p>
            <w:pPr>
              <w:pStyle w:val="Compact"/>
              <w:spacing w:line="276" w:lineRule="auto" w:before="40" w:after="40"/>
            </w:pPr>
            <w:r>
              <w:rPr>
                <w:rFonts w:ascii="Liberation Sans Narrow" w:hAnsi="Liberation Sans Narrow"/>
                <w:sz w:val="17"/>
              </w:rPr>
              <w:t xml:space="preserve">Noticiado o falecimento do substituído, a parte foi intimada a promover a habilitação dos sucessores e, mesmo após reiteradas dilações de prazo, limitou-se a requerer nova dilação; a desídia configura falta de pressuposto de constituição e desenvolvimento válido do processo e autoriza a extinção sem resolução do mérito (art. 485, IV). Trecho: “É patente a desídia da entidade sindical pois, embora intimada há mais 3 (três) anos, não cuidou de efetuar a sucessão processual à vista da notícia de falecimento do substituído.”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orientação de aplicação (aplicação narrada)</w:t>
            </w:r>
          </w:p>
        </w:tc>
        <w:tc>
          <w:tcPr>
            <w:tcW w:type="dxa" w:w="1655"/>
          </w:tcPr>
          <w:p>
            <w:pPr>
              <w:pStyle w:val="Compact"/>
              <w:spacing w:line="276" w:lineRule="auto" w:before="40" w:after="40"/>
            </w:pPr>
            <w:r>
              <w:rPr>
                <w:rFonts w:ascii="Liberation Sans Narrow" w:hAnsi="Liberation Sans Narrow"/>
                <w:sz w:val="17"/>
              </w:rPr>
              <w:t xml:space="preserve">STJ, AgInt no REsp 2.191.569, Segunda Turma, relator Min. Afrânio Vilela, julgado em 19/08/2026, DJEN de 24/08/2026</w:t>
            </w:r>
          </w:p>
        </w:tc>
        <w:tc>
          <w:tcPr>
            <w:tcW w:type="dxa" w:w="2154"/>
          </w:tcPr>
          <w:p>
            <w:pPr>
              <w:pStyle w:val="Compact"/>
              <w:spacing w:line="276" w:lineRule="auto" w:before="40" w:after="40"/>
            </w:pPr>
            <w:r>
              <w:rPr>
                <w:rFonts w:ascii="Liberation Sans Narrow" w:hAnsi="Liberation Sans Narrow"/>
                <w:sz w:val="17"/>
              </w:rPr>
              <w:t xml:space="preserve">Falecida qualquer das partes, o processo é suspenso (art. 313, I, do CPC) e deve ser procedida a habilitação dos sucessores. Trecho: “De fato, nos termos dos artigos 313, I, e 689 do CPC/2015 havendo o falecimento de qualquer, das partes, o processo será suspenso, devendo ser procedida à habilitação dos sucessores do falecido.”</w:t>
            </w:r>
          </w:p>
        </w:tc>
      </w:tr>
    </w:tbl>
    <w:bookmarkEnd w:id="460"/>
    <w:bookmarkStart w:id="461" w:name="art.-690"/>
    <w:p>
      <w:pPr>
        <w:pStyle w:val="Heading6"/>
        <w:pBdr>
          <w:left w:val="single" w:sz="36" w:space="4" w:color="2E75B6"/>
        </w:pBdr>
        <w:shd w:val="clear" w:color="auto" w:fill="E3EEF9"/>
        <w:spacing w:before="120" w:after="60"/>
        <w:ind w:left="85"/>
      </w:pPr>
      <w:r>
        <w:rPr>
          <w:i w:val="0"/>
          <w:color w:val="1F3A5F"/>
          <w:sz w:val="22"/>
        </w:rPr>
        <w:t xml:space="preserve">Art. 690</w:t>
      </w:r>
    </w:p>
    <w:p>
      <w:pPr>
        <w:pStyle w:val="FirstParagraph"/>
        <w:spacing w:after="60"/>
        <w:jc w:val="both"/>
      </w:pPr>
      <w:r>
        <w:rPr>
          <w:b/>
          <w:bCs/>
        </w:rPr>
        <w:t xml:space="preserve">Art. 690.</w:t>
      </w:r>
      <w:r>
        <w:t xml:space="preserve"> </w:t>
      </w:r>
      <w:r>
        <w:t xml:space="preserve">Recebida a petição, o juiz ordenará a citação dos requeridos para se pronunciarem no prazo de 5 (cinco) dias.</w:t>
      </w:r>
    </w:p>
    <w:p>
      <w:pPr>
        <w:pStyle w:val="BodyText"/>
        <w:spacing w:after="60"/>
        <w:jc w:val="both"/>
      </w:pPr>
      <w:r>
        <w:t xml:space="preserve">Parágrafo único. A citação será pessoal, se a parte não tiver procurador constituído nos autos.</w:t>
      </w:r>
    </w:p>
    <w:bookmarkEnd w:id="461"/>
    <w:bookmarkStart w:id="462" w:name="art.-691"/>
    <w:p>
      <w:pPr>
        <w:pStyle w:val="Heading6"/>
        <w:pBdr>
          <w:left w:val="single" w:sz="36" w:space="4" w:color="2E75B6"/>
        </w:pBdr>
        <w:shd w:val="clear" w:color="auto" w:fill="E3EEF9"/>
        <w:spacing w:before="120" w:after="60"/>
        <w:ind w:left="85"/>
      </w:pPr>
      <w:r>
        <w:rPr>
          <w:i w:val="0"/>
          <w:color w:val="1F3A5F"/>
          <w:sz w:val="22"/>
        </w:rPr>
        <w:t xml:space="preserve">Art. 691</w:t>
      </w:r>
    </w:p>
    <w:p>
      <w:pPr>
        <w:pStyle w:val="FirstParagraph"/>
        <w:spacing w:after="60"/>
        <w:jc w:val="both"/>
      </w:pPr>
      <w:r>
        <w:rPr>
          <w:b/>
          <w:bCs/>
        </w:rPr>
        <w:t xml:space="preserve">Art. 691.</w:t>
      </w:r>
      <w:r>
        <w:t xml:space="preserve"> </w:t>
      </w:r>
      <w:r>
        <w:t xml:space="preserve">O juiz decidirá o pedido de habilitação imediatamente, salvo se este for impugnado e houver necessidade de dilação probatória diversa da documental, caso em que determinará que o pedido seja autuado em apartado e disporá sobre a instrução.</w:t>
      </w:r>
    </w:p>
    <w:bookmarkEnd w:id="462"/>
    <w:bookmarkStart w:id="463" w:name="art.-692"/>
    <w:p>
      <w:pPr>
        <w:pStyle w:val="Heading6"/>
        <w:pBdr>
          <w:left w:val="single" w:sz="36" w:space="4" w:color="2E75B6"/>
        </w:pBdr>
        <w:shd w:val="clear" w:color="auto" w:fill="E3EEF9"/>
        <w:spacing w:before="120" w:after="60"/>
        <w:ind w:left="85"/>
      </w:pPr>
      <w:r>
        <w:rPr>
          <w:i w:val="0"/>
          <w:color w:val="1F3A5F"/>
          <w:sz w:val="22"/>
        </w:rPr>
        <w:t xml:space="preserve">Art. 692</w:t>
      </w:r>
    </w:p>
    <w:p>
      <w:pPr>
        <w:pStyle w:val="FirstParagraph"/>
        <w:keepNext/>
        <w:spacing w:after="60"/>
        <w:jc w:val="both"/>
      </w:pPr>
      <w:r>
        <w:rPr>
          <w:b/>
          <w:bCs/>
        </w:rPr>
        <w:t xml:space="preserve">Art. 692.</w:t>
      </w:r>
      <w:r>
        <w:t xml:space="preserve"> </w:t>
      </w:r>
      <w:r>
        <w:t xml:space="preserve">Transitada em julgado a sentença de habilitação, o processo principal retomará o seu curso, e cópia da sentença será juntada aos autos respectivos.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4"/>
        <w:gridCol w:w="227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4"/>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retomada pelo título original (tese)</w:t>
            </w:r>
          </w:p>
        </w:tc>
        <w:tc>
          <w:tcPr>
            <w:tcW w:type="dxa" w:w="1534"/>
          </w:tcPr>
          <w:p>
            <w:pPr>
              <w:pStyle w:val="Compact"/>
              <w:spacing w:line="276" w:lineRule="auto" w:before="40" w:after="40"/>
            </w:pPr>
            <w:r>
              <w:rPr>
                <w:rFonts w:ascii="Liberation Sans Narrow" w:hAnsi="Liberation Sans Narrow"/>
                <w:sz w:val="17"/>
              </w:rPr>
              <w:t xml:space="preserve">STJ, REsp 2.238.204, Quarta Turma, relatora Min. Maria Isabel Gallotti, julgado em 11/05/2026</w:t>
            </w:r>
          </w:p>
        </w:tc>
        <w:tc>
          <w:tcPr>
            <w:tcW w:type="dxa" w:w="2279"/>
          </w:tcPr>
          <w:p>
            <w:pPr>
              <w:pStyle w:val="Compact"/>
              <w:spacing w:line="276" w:lineRule="auto" w:before="40" w:after="40"/>
            </w:pPr>
            <w:r>
              <w:rPr>
                <w:rFonts w:ascii="Liberation Sans Narrow" w:hAnsi="Liberation Sans Narrow"/>
                <w:sz w:val="17"/>
              </w:rPr>
              <w:t xml:space="preserve">A suspensão do cumprimento de sentença em razão de acordo (art. 922), descumprido posteriormente, autoriza a retomada do processo com base no título executivo original, ausente extinção da execução; a transação firmada por apenas um dos devedores não implica novação da obrigação nem extingue, por si, a responsabilidade dos demais.</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orientação de aplicação (aplicação narrada)</w:t>
            </w:r>
          </w:p>
        </w:tc>
        <w:tc>
          <w:tcPr>
            <w:tcW w:type="dxa" w:w="1534"/>
          </w:tcPr>
          <w:p>
            <w:pPr>
              <w:pStyle w:val="Compact"/>
              <w:spacing w:line="276" w:lineRule="auto" w:before="40" w:after="40"/>
            </w:pPr>
            <w:r>
              <w:rPr>
                <w:rFonts w:ascii="Liberation Sans Narrow" w:hAnsi="Liberation Sans Narrow"/>
                <w:sz w:val="17"/>
              </w:rPr>
              <w:t xml:space="preserve">STJ, AgInt no REsp 2.141.451, Terceira Turma, relator Min. Humberto Martins, julgado em 02/03/2026</w:t>
            </w:r>
          </w:p>
        </w:tc>
        <w:tc>
          <w:tcPr>
            <w:tcW w:type="dxa" w:w="2279"/>
          </w:tcPr>
          <w:p>
            <w:pPr>
              <w:pStyle w:val="Compact"/>
              <w:spacing w:line="276" w:lineRule="auto" w:before="40" w:after="40"/>
            </w:pPr>
            <w:r>
              <w:rPr>
                <w:rFonts w:ascii="Liberation Sans Narrow" w:hAnsi="Liberation Sans Narrow"/>
                <w:sz w:val="17"/>
              </w:rPr>
              <w:t xml:space="preserve">A decisão que determina a retomada do processo possui natureza interlocutória e não pode ser impugnada por apelação, sendo cabível o agravo de instrumento. Trecho: “A decisão que determina a retomada do processo possui natureza interlocutória e não pode ser impugnada por apelação, sendo cabível o agravo de instrumento.”</w:t>
            </w:r>
          </w:p>
        </w:tc>
      </w:tr>
    </w:tbl>
    <w:bookmarkEnd w:id="463"/>
    <w:bookmarkEnd w:id="464"/>
    <w:bookmarkStart w:id="472" w:name="X3a1166a4448e948299344cef0211bd89376ea3f"/>
    <w:p>
      <w:pPr>
        <w:pStyle w:val="Heading4"/>
        <w:spacing w:before="80" w:after="40"/>
      </w:pPr>
      <w:r>
        <w:rPr>
          <w:smallCaps/>
          <w:color w:val="2E75B6"/>
        </w:rPr>
        <w:t xml:space="preserve">Capítulo X: das ações de família (arts. 693 a 699)</w:t>
      </w:r>
    </w:p>
    <w:bookmarkStart w:id="465" w:name="art.-693"/>
    <w:p>
      <w:pPr>
        <w:pStyle w:val="Heading6"/>
        <w:pBdr>
          <w:left w:val="single" w:sz="36" w:space="4" w:color="2E75B6"/>
        </w:pBdr>
        <w:shd w:val="clear" w:color="auto" w:fill="E3EEF9"/>
        <w:spacing w:before="120" w:after="60"/>
        <w:ind w:left="85"/>
      </w:pPr>
      <w:r>
        <w:rPr>
          <w:i w:val="0"/>
          <w:color w:val="1F3A5F"/>
          <w:sz w:val="22"/>
        </w:rPr>
        <w:t xml:space="preserve">Art. 693</w:t>
      </w:r>
    </w:p>
    <w:p>
      <w:pPr>
        <w:pStyle w:val="FirstParagraph"/>
        <w:spacing w:after="60"/>
        <w:jc w:val="both"/>
      </w:pPr>
      <w:r>
        <w:rPr>
          <w:b/>
          <w:bCs/>
        </w:rPr>
        <w:t xml:space="preserve">Art. 693.</w:t>
      </w:r>
      <w:r>
        <w:t xml:space="preserve"> </w:t>
      </w:r>
      <w:r>
        <w:t xml:space="preserve">As normas deste Capítulo aplicam-se aos processos contenciosos de divórcio, separação, reconhecimento e extinção de união estável, guarda, visitação e filiação.</w:t>
      </w:r>
    </w:p>
    <w:p>
      <w:pPr>
        <w:pStyle w:val="BodyText"/>
        <w:spacing w:after="60"/>
        <w:jc w:val="both"/>
      </w:pPr>
      <w:r>
        <w:t xml:space="preserve">Parágrafo único. A ação de alimentos e a que versar sobre interesse de criança ou de adolescente observarão o procedimento previsto em legislação específica, aplicando-se, no que couber, as disposições deste Capítulo.</w:t>
      </w:r>
    </w:p>
    <w:bookmarkEnd w:id="465"/>
    <w:bookmarkStart w:id="466" w:name="art.-694"/>
    <w:p>
      <w:pPr>
        <w:pStyle w:val="Heading6"/>
        <w:pBdr>
          <w:left w:val="single" w:sz="36" w:space="4" w:color="2E75B6"/>
        </w:pBdr>
        <w:shd w:val="clear" w:color="auto" w:fill="E3EEF9"/>
        <w:spacing w:before="120" w:after="60"/>
        <w:ind w:left="85"/>
      </w:pPr>
      <w:r>
        <w:rPr>
          <w:i w:val="0"/>
          <w:color w:val="1F3A5F"/>
          <w:sz w:val="22"/>
        </w:rPr>
        <w:t xml:space="preserve">Art. 694</w:t>
      </w:r>
    </w:p>
    <w:p>
      <w:pPr>
        <w:pStyle w:val="FirstParagraph"/>
        <w:spacing w:after="60"/>
        <w:jc w:val="both"/>
      </w:pPr>
      <w:r>
        <w:rPr>
          <w:b/>
          <w:bCs/>
        </w:rPr>
        <w:t xml:space="preserve">Art. 694.</w:t>
      </w:r>
      <w:r>
        <w:t xml:space="preserve"> </w:t>
      </w:r>
      <w:r>
        <w:t xml:space="preserve">Nas ações de família, todos os esforços serão empreendidos para a solução consensual da controvérsia, devendo o juiz dispor do auxílio de profissionais de outras áreas de conhecimento para a mediação e conciliação.</w:t>
      </w:r>
    </w:p>
    <w:p>
      <w:pPr>
        <w:pStyle w:val="BodyText"/>
        <w:spacing w:after="60"/>
        <w:jc w:val="both"/>
      </w:pPr>
      <w:r>
        <w:t xml:space="preserve">Parágrafo único. A requerimento das partes, o juiz pode determinar a suspensão do processo enquanto os litigantes se submetem a mediação extrajudicial ou a atendimento multidisciplinar.</w:t>
      </w:r>
    </w:p>
    <w:bookmarkEnd w:id="466"/>
    <w:bookmarkStart w:id="467" w:name="art.-695"/>
    <w:p>
      <w:pPr>
        <w:pStyle w:val="Heading6"/>
        <w:pBdr>
          <w:left w:val="single" w:sz="36" w:space="4" w:color="2E75B6"/>
        </w:pBdr>
        <w:shd w:val="clear" w:color="auto" w:fill="E3EEF9"/>
        <w:spacing w:before="120" w:after="60"/>
        <w:ind w:left="85"/>
      </w:pPr>
      <w:r>
        <w:rPr>
          <w:i w:val="0"/>
          <w:color w:val="1F3A5F"/>
          <w:sz w:val="22"/>
        </w:rPr>
        <w:t xml:space="preserve">Art. 695</w:t>
      </w:r>
    </w:p>
    <w:p>
      <w:pPr>
        <w:pStyle w:val="FirstParagraph"/>
        <w:spacing w:after="60"/>
        <w:jc w:val="both"/>
      </w:pPr>
      <w:r>
        <w:rPr>
          <w:b/>
          <w:bCs/>
        </w:rPr>
        <w:t xml:space="preserve">Art. 695.</w:t>
      </w:r>
      <w:r>
        <w:t xml:space="preserve"> </w:t>
      </w:r>
      <w:r>
        <w:t xml:space="preserve">Recebida a petição inicial e, se for o caso, tomadas as providências referentes à tutela provisória, o juiz ordenará a citação do réu para comparecer à audiência de mediação e conciliação, observado o disposto no art. 694.</w:t>
      </w:r>
    </w:p>
    <w:p>
      <w:pPr>
        <w:pStyle w:val="BodyText"/>
        <w:spacing w:after="60"/>
        <w:jc w:val="both"/>
      </w:pPr>
      <w:r>
        <w:t xml:space="preserve">§ 1º O mandado de citação conterá apenas os dados necessários à audiência e deverá estar desacompanhado de cópia da petição inicial, assegurado ao réu o direito de examinar seu conteúdo a qualquer tempo.</w:t>
      </w:r>
    </w:p>
    <w:p>
      <w:pPr>
        <w:pStyle w:val="BodyText"/>
        <w:spacing w:after="60"/>
        <w:jc w:val="both"/>
      </w:pPr>
      <w:r>
        <w:t xml:space="preserve">§ 2º A citação ocorrerá com antecedência mínima de 15 (quinze) dias da data designada para a audiência.</w:t>
      </w:r>
    </w:p>
    <w:p>
      <w:pPr>
        <w:pStyle w:val="BodyText"/>
        <w:spacing w:after="60"/>
        <w:jc w:val="both"/>
      </w:pPr>
      <w:r>
        <w:t xml:space="preserve">§ 3º A citação será feita na pessoa do réu.</w:t>
      </w:r>
    </w:p>
    <w:p>
      <w:pPr>
        <w:pStyle w:val="BodyText"/>
        <w:spacing w:after="60"/>
        <w:jc w:val="both"/>
      </w:pPr>
      <w:r>
        <w:t xml:space="preserve">§ 4º Na audiência, as partes deverão estar acompanhadas de seus advogados ou de defensores públicos.</w:t>
      </w:r>
    </w:p>
    <w:bookmarkEnd w:id="467"/>
    <w:bookmarkStart w:id="468" w:name="art.-696"/>
    <w:p>
      <w:pPr>
        <w:pStyle w:val="Heading6"/>
        <w:pBdr>
          <w:left w:val="single" w:sz="36" w:space="4" w:color="2E75B6"/>
        </w:pBdr>
        <w:shd w:val="clear" w:color="auto" w:fill="E3EEF9"/>
        <w:spacing w:before="120" w:after="60"/>
        <w:ind w:left="85"/>
      </w:pPr>
      <w:r>
        <w:rPr>
          <w:i w:val="0"/>
          <w:color w:val="1F3A5F"/>
          <w:sz w:val="22"/>
        </w:rPr>
        <w:t xml:space="preserve">Art. 696</w:t>
      </w:r>
    </w:p>
    <w:p>
      <w:pPr>
        <w:pStyle w:val="FirstParagraph"/>
        <w:spacing w:after="60"/>
        <w:jc w:val="both"/>
      </w:pPr>
      <w:r>
        <w:rPr>
          <w:b/>
          <w:bCs/>
        </w:rPr>
        <w:t xml:space="preserve">Art. 696.</w:t>
      </w:r>
      <w:r>
        <w:t xml:space="preserve"> </w:t>
      </w:r>
      <w:r>
        <w:t xml:space="preserve">A audiência de mediação e conciliação poderá dividir-se em tantas sessões quantas sejam necessárias para viabilizar a solução consensual, sem prejuízo de providências jurisdicionais para evitar o perecimento do direito.</w:t>
      </w:r>
    </w:p>
    <w:bookmarkEnd w:id="468"/>
    <w:bookmarkStart w:id="469" w:name="art.-697"/>
    <w:p>
      <w:pPr>
        <w:pStyle w:val="Heading6"/>
        <w:pBdr>
          <w:left w:val="single" w:sz="36" w:space="4" w:color="2E75B6"/>
        </w:pBdr>
        <w:shd w:val="clear" w:color="auto" w:fill="E3EEF9"/>
        <w:spacing w:before="120" w:after="60"/>
        <w:ind w:left="85"/>
      </w:pPr>
      <w:r>
        <w:rPr>
          <w:i w:val="0"/>
          <w:color w:val="1F3A5F"/>
          <w:sz w:val="22"/>
        </w:rPr>
        <w:t xml:space="preserve">Art. 697</w:t>
      </w:r>
    </w:p>
    <w:p>
      <w:pPr>
        <w:pStyle w:val="FirstParagraph"/>
        <w:spacing w:after="60"/>
        <w:jc w:val="both"/>
      </w:pPr>
      <w:r>
        <w:rPr>
          <w:b/>
          <w:bCs/>
        </w:rPr>
        <w:t xml:space="preserve">Art. 697.</w:t>
      </w:r>
      <w:r>
        <w:t xml:space="preserve"> </w:t>
      </w:r>
      <w:r>
        <w:t xml:space="preserve">Não realizado o acordo, passarão a incidir, a partir de então, as normas do procedimento comum, observado o art. 335.</w:t>
      </w:r>
    </w:p>
    <w:bookmarkEnd w:id="469"/>
    <w:bookmarkStart w:id="470" w:name="art.-698"/>
    <w:p>
      <w:pPr>
        <w:pStyle w:val="Heading6"/>
        <w:pBdr>
          <w:left w:val="single" w:sz="36" w:space="4" w:color="2E75B6"/>
        </w:pBdr>
        <w:shd w:val="clear" w:color="auto" w:fill="E3EEF9"/>
        <w:spacing w:before="120" w:after="60"/>
        <w:ind w:left="85"/>
      </w:pPr>
      <w:r>
        <w:rPr>
          <w:i w:val="0"/>
          <w:color w:val="1F3A5F"/>
          <w:sz w:val="22"/>
        </w:rPr>
        <w:t xml:space="preserve">Art. 698</w:t>
      </w:r>
    </w:p>
    <w:p>
      <w:pPr>
        <w:pStyle w:val="FirstParagraph"/>
        <w:spacing w:after="60"/>
        <w:jc w:val="both"/>
      </w:pPr>
      <w:r>
        <w:rPr>
          <w:b/>
          <w:bCs/>
        </w:rPr>
        <w:t xml:space="preserve">Art. 698.</w:t>
      </w:r>
      <w:r>
        <w:t xml:space="preserve"> </w:t>
      </w:r>
      <w:r>
        <w:t xml:space="preserve">Nas ações de família, o Ministério Público somente intervirá quando houver interesse de incapaz e deverá ser ouvido previamente à homologação de acordo.</w:t>
      </w:r>
    </w:p>
    <w:p>
      <w:pPr>
        <w:pStyle w:val="BodyText"/>
        <w:spacing w:after="60"/>
        <w:jc w:val="both"/>
      </w:pPr>
      <w:r>
        <w:t xml:space="preserve">Parágrafo único. O Ministério Público intervirá, quando não for parte, nas ações de família em que figure como parte vítima de violência doméstica e familiar, nos termos da Lei nº 11.340, de 7 de agosto de 2006 (Lei Maria da Penha). (Incluído pela Lei nº 13.894, de 2019)</w:t>
      </w:r>
    </w:p>
    <w:bookmarkEnd w:id="470"/>
    <w:bookmarkStart w:id="471" w:name="art.-699"/>
    <w:p>
      <w:pPr>
        <w:pStyle w:val="Heading6"/>
        <w:pBdr>
          <w:left w:val="single" w:sz="36" w:space="4" w:color="2E75B6"/>
        </w:pBdr>
        <w:shd w:val="clear" w:color="auto" w:fill="E3EEF9"/>
        <w:spacing w:before="120" w:after="60"/>
        <w:ind w:left="85"/>
      </w:pPr>
      <w:r>
        <w:rPr>
          <w:i w:val="0"/>
          <w:color w:val="1F3A5F"/>
          <w:sz w:val="22"/>
        </w:rPr>
        <w:t xml:space="preserve">Art. 699</w:t>
      </w:r>
    </w:p>
    <w:p>
      <w:pPr>
        <w:pStyle w:val="FirstParagraph"/>
        <w:spacing w:after="60"/>
        <w:jc w:val="both"/>
      </w:pPr>
      <w:r>
        <w:rPr>
          <w:b/>
          <w:bCs/>
        </w:rPr>
        <w:t xml:space="preserve">Art. 699.</w:t>
      </w:r>
      <w:r>
        <w:t xml:space="preserve"> </w:t>
      </w:r>
      <w:r>
        <w:t xml:space="preserve">Quando o processo envolver discussão sobre fato relacionado a abuso ou a alienação parental, o juiz, ao tomar o depoimento do incapaz, deverá estar acompanhado por especialista.</w:t>
      </w:r>
    </w:p>
    <w:bookmarkEnd w:id="471"/>
    <w:bookmarkEnd w:id="472"/>
    <w:bookmarkStart w:id="476" w:name="X19238066bc3b94a8feb1f22a344f483813462e6"/>
    <w:p>
      <w:pPr>
        <w:pStyle w:val="Heading4"/>
        <w:spacing w:before="80" w:after="40"/>
      </w:pPr>
      <w:r>
        <w:rPr>
          <w:smallCaps/>
          <w:color w:val="2E75B6"/>
        </w:rPr>
        <w:t xml:space="preserve">Capítulo XI: da ação monitória (arts. 700 a 702)</w:t>
      </w:r>
    </w:p>
    <w:bookmarkStart w:id="473" w:name="art.-700"/>
    <w:p>
      <w:pPr>
        <w:pStyle w:val="Heading6"/>
        <w:pBdr>
          <w:left w:val="single" w:sz="36" w:space="4" w:color="2E75B6"/>
        </w:pBdr>
        <w:shd w:val="clear" w:color="auto" w:fill="E3EEF9"/>
        <w:spacing w:before="120" w:after="60"/>
        <w:ind w:left="85"/>
      </w:pPr>
      <w:r>
        <w:rPr>
          <w:i w:val="0"/>
          <w:color w:val="1F3A5F"/>
          <w:sz w:val="22"/>
        </w:rPr>
        <w:t xml:space="preserve">Art. 700</w:t>
      </w:r>
    </w:p>
    <w:p>
      <w:pPr>
        <w:pStyle w:val="FirstParagraph"/>
        <w:keepNext/>
        <w:spacing w:after="60"/>
        <w:jc w:val="both"/>
      </w:pPr>
      <w:r>
        <w:rPr>
          <w:b/>
          <w:bCs/>
        </w:rPr>
        <w:t xml:space="preserve">Art. 700.</w:t>
      </w:r>
      <w:r>
        <w:t xml:space="preserve"> </w:t>
      </w:r>
      <w:r>
        <w:t xml:space="preserve">A ação monitória pode ser proposta por aquele que afirmar, com base em prova escrita sem eficácia de título executivo, ter direito de exigir do devedor capaz:</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708"/>
        <w:gridCol w:w="1693"/>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709"/>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693"/>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Ação monitória contra a Fazenda Pública</w:t>
            </w:r>
          </w:p>
        </w:tc>
        <w:tc>
          <w:tcPr>
            <w:tcW w:type="dxa" w:w="1709"/>
          </w:tcPr>
          <w:p>
            <w:pPr>
              <w:pStyle w:val="Compact"/>
              <w:spacing w:line="276" w:lineRule="auto" w:before="40" w:after="40"/>
            </w:pPr>
            <w:r>
              <w:rPr>
                <w:rFonts w:ascii="Liberation Sans Narrow" w:hAnsi="Liberation Sans Narrow"/>
                <w:sz w:val="17"/>
              </w:rPr>
              <w:t xml:space="preserve">STJ, Súmula 339/STJ, Corte Especial (vigente; data de aprovação não informada pelo acervo)</w:t>
            </w:r>
          </w:p>
        </w:tc>
        <w:tc>
          <w:tcPr>
            <w:tcW w:type="dxa" w:w="1693"/>
          </w:tcPr>
          <w:p>
            <w:pPr>
              <w:pStyle w:val="Compact"/>
              <w:spacing w:line="276" w:lineRule="auto" w:before="40" w:after="40"/>
            </w:pPr>
            <w:r>
              <w:rPr>
                <w:rFonts w:ascii="Liberation Sans Narrow" w:hAnsi="Liberation Sans Narrow"/>
                <w:sz w:val="17"/>
              </w:rPr>
              <w:t xml:space="preserve">É cabível ação monitória contra a Fazenda Pública.</w:t>
            </w:r>
          </w:p>
        </w:tc>
      </w:tr>
      <w:tr>
        <w:trPr>
          <w:cantSplit/>
        </w:trPr>
        <w:tc>
          <w:tcPr>
            <w:tcW w:type="dxa" w:w="1531"/>
          </w:tcPr>
          <w:p>
            <w:pPr>
              <w:pStyle w:val="Compact"/>
              <w:spacing w:line="276" w:lineRule="auto" w:before="40" w:after="40"/>
            </w:pPr>
            <w:r>
              <w:rPr>
                <w:rFonts w:ascii="Liberation Sans Narrow" w:hAnsi="Liberation Sans Narrow"/>
                <w:sz w:val="17"/>
              </w:rPr>
              <w:t xml:space="preserve">Ação monitória fundada em cheque prescrito</w:t>
            </w:r>
          </w:p>
        </w:tc>
        <w:tc>
          <w:tcPr>
            <w:tcW w:type="dxa" w:w="1709"/>
          </w:tcPr>
          <w:p>
            <w:pPr>
              <w:pStyle w:val="Compact"/>
              <w:spacing w:line="276" w:lineRule="auto" w:before="40" w:after="40"/>
            </w:pPr>
            <w:r>
              <w:rPr>
                <w:rFonts w:ascii="Liberation Sans Narrow" w:hAnsi="Liberation Sans Narrow"/>
                <w:sz w:val="17"/>
              </w:rPr>
              <w:t xml:space="preserve">STJ, Súmula 299/STJ, Segunda Seção (vigente; data de aprovação não informada pelo acervo)</w:t>
            </w:r>
          </w:p>
        </w:tc>
        <w:tc>
          <w:tcPr>
            <w:tcW w:type="dxa" w:w="1693"/>
          </w:tcPr>
          <w:p>
            <w:pPr>
              <w:pStyle w:val="Compact"/>
              <w:spacing w:line="276" w:lineRule="auto" w:before="40" w:after="40"/>
            </w:pPr>
            <w:r>
              <w:rPr>
                <w:rFonts w:ascii="Liberation Sans Narrow" w:hAnsi="Liberation Sans Narrow"/>
                <w:sz w:val="17"/>
              </w:rPr>
              <w:t xml:space="preserve">É admissível a ação monitória fundada em cheque prescrito.</w:t>
            </w:r>
          </w:p>
        </w:tc>
      </w:tr>
      <w:tr>
        <w:trPr>
          <w:cantSplit/>
        </w:trPr>
        <w:tc>
          <w:tcPr>
            <w:tcW w:type="dxa" w:w="1531"/>
          </w:tcPr>
          <w:p>
            <w:pPr>
              <w:pStyle w:val="Compact"/>
              <w:spacing w:line="276" w:lineRule="auto" w:before="40" w:after="40"/>
            </w:pPr>
            <w:r>
              <w:rPr>
                <w:rFonts w:ascii="Liberation Sans Narrow" w:hAnsi="Liberation Sans Narrow"/>
                <w:sz w:val="17"/>
              </w:rPr>
              <w:t xml:space="preserve">Prova escrita sem eficácia de título executivo: cópia e relação contratual</w:t>
            </w:r>
          </w:p>
        </w:tc>
        <w:tc>
          <w:tcPr>
            <w:tcW w:type="dxa" w:w="1709"/>
          </w:tcPr>
          <w:p>
            <w:pPr>
              <w:pStyle w:val="Compact"/>
              <w:spacing w:line="276" w:lineRule="auto" w:before="40" w:after="40"/>
            </w:pPr>
            <w:r>
              <w:rPr>
                <w:rFonts w:ascii="Liberation Sans Narrow" w:hAnsi="Liberation Sans Narrow"/>
                <w:sz w:val="17"/>
              </w:rPr>
              <w:t xml:space="preserve">STJ, AREsp 2.895.747, Quarta Turma, relator Min. Raul Araújo, julgado em 20/10/2025, DJEN de 29/10/2025</w:t>
            </w:r>
          </w:p>
        </w:tc>
        <w:tc>
          <w:tcPr>
            <w:tcW w:type="dxa" w:w="1693"/>
          </w:tcPr>
          <w:p>
            <w:pPr>
              <w:pStyle w:val="Compact"/>
              <w:spacing w:line="276" w:lineRule="auto" w:before="40" w:after="40"/>
            </w:pPr>
            <w:r>
              <w:rPr>
                <w:rFonts w:ascii="Liberation Sans Narrow" w:hAnsi="Liberation Sans Narrow"/>
                <w:sz w:val="17"/>
              </w:rPr>
              <w:t xml:space="preserve">A ação monitória pode ser instruída com prova escrita sem eficácia de título executivo, como fotocópias, desde que demonstre a relação contratual entre as partes (art. 700).</w:t>
            </w:r>
          </w:p>
        </w:tc>
      </w:tr>
    </w:tbl>
    <w:p>
      <w:pPr>
        <w:pStyle w:val="BodyText"/>
        <w:spacing w:after="60"/>
        <w:jc w:val="both"/>
      </w:pPr>
      <w:r>
        <w:t xml:space="preserve">I - o pagamento de quantia em dinheiro;</w:t>
      </w:r>
    </w:p>
    <w:p>
      <w:pPr>
        <w:pStyle w:val="BodyText"/>
        <w:spacing w:after="60"/>
        <w:jc w:val="both"/>
      </w:pPr>
      <w:r>
        <w:t xml:space="preserve">II - a entrega de coisa fungível ou infungível ou de bem móvel ou imóvel;</w:t>
      </w:r>
    </w:p>
    <w:p>
      <w:pPr>
        <w:pStyle w:val="BodyText"/>
        <w:spacing w:after="60"/>
        <w:jc w:val="both"/>
      </w:pPr>
      <w:r>
        <w:t xml:space="preserve">III - o adimplemento de obrigação de fazer ou de não fazer.</w:t>
      </w:r>
    </w:p>
    <w:p>
      <w:pPr>
        <w:pStyle w:val="BodyText"/>
        <w:spacing w:after="60"/>
        <w:jc w:val="both"/>
      </w:pPr>
      <w:r>
        <w:t xml:space="preserve">§ 1º A prova escrita pode consistir em prova oral documentada, produzida antecipadamente nos termos do art. 381.</w:t>
      </w:r>
    </w:p>
    <w:p>
      <w:pPr>
        <w:pStyle w:val="BodyText"/>
        <w:spacing w:after="60"/>
        <w:jc w:val="both"/>
      </w:pPr>
      <w:r>
        <w:t xml:space="preserve">§ 2º Na petição inicial, incumbe ao autor explicitar, conforme o caso:</w:t>
      </w:r>
    </w:p>
    <w:p>
      <w:pPr>
        <w:pStyle w:val="BodyText"/>
        <w:spacing w:after="60"/>
        <w:jc w:val="both"/>
      </w:pPr>
      <w:r>
        <w:t xml:space="preserve">I - a importância devida, instruindo-a com memória de cálculo;</w:t>
      </w:r>
    </w:p>
    <w:p>
      <w:pPr>
        <w:pStyle w:val="BodyText"/>
        <w:spacing w:after="60"/>
        <w:jc w:val="both"/>
      </w:pPr>
      <w:r>
        <w:t xml:space="preserve">II - o valor atual da coisa reclamada;</w:t>
      </w:r>
    </w:p>
    <w:p>
      <w:pPr>
        <w:pStyle w:val="BodyText"/>
        <w:spacing w:after="60"/>
        <w:jc w:val="both"/>
      </w:pPr>
      <w:r>
        <w:t xml:space="preserve">III - o conteúdo patrimonial em discussão ou o proveito econômico perseguido.</w:t>
      </w:r>
    </w:p>
    <w:p>
      <w:pPr>
        <w:pStyle w:val="BodyText"/>
        <w:spacing w:after="60"/>
        <w:jc w:val="both"/>
      </w:pPr>
      <w:r>
        <w:t xml:space="preserve">§ 3º O valor da causa deverá corresponder à importância prevista no § 2º, incisos I a III.</w:t>
      </w:r>
    </w:p>
    <w:p>
      <w:pPr>
        <w:pStyle w:val="BodyText"/>
        <w:spacing w:after="60"/>
        <w:jc w:val="both"/>
      </w:pPr>
      <w:r>
        <w:t xml:space="preserve">§ 4º Além das hipóteses do art. 330, a petição inicial será indeferida quando não atendido o disposto no § 2º deste artigo.</w:t>
      </w:r>
    </w:p>
    <w:p>
      <w:pPr>
        <w:pStyle w:val="BodyText"/>
        <w:spacing w:after="60"/>
        <w:jc w:val="both"/>
      </w:pPr>
      <w:r>
        <w:t xml:space="preserve">§ 5º Havendo dúvida quanto à idoneidade de prova documental apresentada pelo autor, o juiz intimá-lo-á para, querendo, emendar a petição inicial, adaptando-a ao procedimento comum.</w:t>
      </w:r>
    </w:p>
    <w:p>
      <w:pPr>
        <w:pStyle w:val="BodyText"/>
        <w:spacing w:after="60"/>
        <w:jc w:val="both"/>
      </w:pPr>
      <w:r>
        <w:t xml:space="preserve">§ 6º É admissível ação monitória em face da Fazenda Pública.</w:t>
      </w:r>
    </w:p>
    <w:p>
      <w:pPr>
        <w:pStyle w:val="BodyText"/>
        <w:spacing w:after="60"/>
        <w:jc w:val="both"/>
      </w:pPr>
      <w:r>
        <w:t xml:space="preserve">§ 7º Na ação monitória, admite-se citação por qualquer dos meios permitidos para o procedimento comum.</w:t>
      </w:r>
    </w:p>
    <w:bookmarkEnd w:id="473"/>
    <w:bookmarkStart w:id="474" w:name="art.-701"/>
    <w:p>
      <w:pPr>
        <w:pStyle w:val="Heading6"/>
        <w:pBdr>
          <w:left w:val="single" w:sz="36" w:space="4" w:color="2E75B6"/>
        </w:pBdr>
        <w:shd w:val="clear" w:color="auto" w:fill="E3EEF9"/>
        <w:spacing w:before="120" w:after="60"/>
        <w:ind w:left="85"/>
      </w:pPr>
      <w:r>
        <w:rPr>
          <w:i w:val="0"/>
          <w:color w:val="1F3A5F"/>
          <w:sz w:val="22"/>
        </w:rPr>
        <w:t xml:space="preserve">Art. 701</w:t>
      </w:r>
    </w:p>
    <w:p>
      <w:pPr>
        <w:pStyle w:val="FirstParagraph"/>
        <w:spacing w:after="60"/>
        <w:jc w:val="both"/>
      </w:pPr>
      <w:r>
        <w:rPr>
          <w:b/>
          <w:bCs/>
        </w:rPr>
        <w:t xml:space="preserve">Art. 701.</w:t>
      </w:r>
      <w:r>
        <w:t xml:space="preserve"> </w:t>
      </w:r>
      <w:r>
        <w:t xml:space="preserve">Sendo evidente o direito do autor, o juiz deferirá a expedição de mandado de pagamento, de entrega de coisa ou para execução de obrigação de fazer ou de não fazer, concedendo ao réu prazo de 15 (quinze) dias para o cumprimento e o pagamento de honorários advocatícios de cinco por cento do valor atribuído à causa.</w:t>
      </w:r>
    </w:p>
    <w:p>
      <w:pPr>
        <w:pStyle w:val="BodyText"/>
        <w:spacing w:after="60"/>
        <w:jc w:val="both"/>
      </w:pPr>
      <w:r>
        <w:t xml:space="preserve">§ 1º O réu será isento do pagamento de custas processuais se cumprir o mandado no prazo.</w:t>
      </w:r>
    </w:p>
    <w:p>
      <w:pPr>
        <w:pStyle w:val="BodyText"/>
        <w:keepNext/>
        <w:spacing w:after="60"/>
        <w:jc w:val="both"/>
      </w:pPr>
      <w:r>
        <w:t xml:space="preserve">§ 2º Constituir-se-á de pleno direito o título executivo judicial, independentemente de qualquer formalidade, se não realizado o pagamento e não apresentados os embargos previstos no art. 702, observando-se, no que couber, o Título II do Livro I da Parte Especial .</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2404"/>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655"/>
          </w:tcPr>
          <w:p>
            <w:pPr>
              <w:pStyle w:val="Compact"/>
              <w:spacing w:line="276" w:lineRule="auto" w:before="40" w:after="40"/>
            </w:pPr>
            <w:r>
              <w:rPr>
                <w:rFonts w:ascii="Liberation Sans Narrow" w:hAnsi="Liberation Sans Narrow"/>
                <w:sz w:val="17"/>
              </w:rPr>
              <w:t xml:space="preserve">§ 2º: conversão do mandado monitório em executivo e preclusão das defesas</w:t>
            </w:r>
          </w:p>
        </w:tc>
        <w:tc>
          <w:tcPr>
            <w:tcW w:type="dxa" w:w="1655"/>
          </w:tcPr>
          <w:p>
            <w:pPr>
              <w:pStyle w:val="Compact"/>
              <w:spacing w:line="276" w:lineRule="auto" w:before="40" w:after="40"/>
            </w:pPr>
            <w:r>
              <w:rPr>
                <w:rFonts w:ascii="Liberation Sans Narrow" w:hAnsi="Liberation Sans Narrow"/>
                <w:sz w:val="17"/>
              </w:rPr>
              <w:t xml:space="preserve">STJ, AREsp 2.764.416, Quarta Turma, relator Min. João Otávio de Noronha, julgado em 04/05/2026, DJEN de 07/05/2026</w:t>
            </w:r>
          </w:p>
        </w:tc>
        <w:tc>
          <w:tcPr>
            <w:tcW w:type="dxa" w:w="2404"/>
          </w:tcPr>
          <w:p>
            <w:pPr>
              <w:pStyle w:val="Compact"/>
              <w:spacing w:line="276" w:lineRule="auto" w:before="40" w:after="40"/>
            </w:pPr>
            <w:r>
              <w:rPr>
                <w:rFonts w:ascii="Liberation Sans Narrow" w:hAnsi="Liberation Sans Narrow"/>
                <w:sz w:val="17"/>
              </w:rPr>
              <w:t xml:space="preserve">Sem pagamento e sem embargos tempestivos, o mandado monitório se converte automaticamente em executivo e o título judicial se constitui de pleno direito (art. 701, § 2º), sem necessidade de decisão sobre a probabilidade do direito. O juiz verifica apenas, de forma objetiva, os requisitos do art. 700; a inconformidade se deduz em embargos, sob pena de preclusão, e a falta de embargos não gera inexigibilidade do título no cumprimento (art. 525, § 1º, III).</w:t>
            </w:r>
          </w:p>
        </w:tc>
      </w:tr>
      <w:tr>
        <w:trPr>
          <w:cantSplit/>
        </w:trPr>
        <w:tc>
          <w:tcPr>
            <w:tcW w:type="dxa" w:w="1655"/>
          </w:tcPr>
          <w:p>
            <w:pPr>
              <w:pStyle w:val="Compact"/>
              <w:spacing w:line="276" w:lineRule="auto" w:before="40" w:after="40"/>
            </w:pPr>
            <w:r>
              <w:rPr>
                <w:rFonts w:ascii="Liberation Sans Narrow" w:hAnsi="Liberation Sans Narrow"/>
                <w:sz w:val="17"/>
              </w:rPr>
              <w:t xml:space="preserve">§ 2º — conversão automática do mandado e natureza dos atos posteriores</w:t>
            </w:r>
          </w:p>
        </w:tc>
        <w:tc>
          <w:tcPr>
            <w:tcW w:type="dxa" w:w="1655"/>
          </w:tcPr>
          <w:p>
            <w:pPr>
              <w:pStyle w:val="Compact"/>
              <w:spacing w:line="276" w:lineRule="auto" w:before="40" w:after="40"/>
            </w:pPr>
            <w:r>
              <w:rPr>
                <w:rFonts w:ascii="Liberation Sans Narrow" w:hAnsi="Liberation Sans Narrow"/>
                <w:sz w:val="17"/>
              </w:rPr>
              <w:t xml:space="preserve">STJ, REsp 2.011.406, Terceira Turma, relatora Min. Nancy Andrighi, julgado em 12/12/2023, DJe de 15/12/2023</w:t>
            </w:r>
          </w:p>
        </w:tc>
        <w:tc>
          <w:tcPr>
            <w:tcW w:type="dxa" w:w="2404"/>
          </w:tcPr>
          <w:p>
            <w:pPr>
              <w:pStyle w:val="Compact"/>
              <w:spacing w:line="276" w:lineRule="auto" w:before="40" w:after="40"/>
            </w:pPr>
            <w:r>
              <w:rPr>
                <w:rFonts w:ascii="Liberation Sans Narrow" w:hAnsi="Liberation Sans Narrow"/>
                <w:sz w:val="17"/>
              </w:rPr>
              <w:t xml:space="preserve">A ausência de pagamento e de embargos tempestivos implica, por si só, a conversão automática do mandado monitório em executivo, independentemente de pronunciamento judicial; o ato que determina a conversão é mero despacho, sem conteúdo decisório, e, formado o título executivo judicial ope legis, inicia-se o cumprimento de sentença, de modo que todo pronunciamento decisório posterior é decisão interlocutória, salvo a extinção do processo.</w:t>
            </w:r>
          </w:p>
        </w:tc>
      </w:tr>
    </w:tbl>
    <w:p>
      <w:pPr>
        <w:pStyle w:val="BodyText"/>
        <w:spacing w:after="60"/>
        <w:jc w:val="both"/>
      </w:pPr>
      <w:r>
        <w:t xml:space="preserve">§ 3º É cabível ação rescisória da decisão prevista no caput quando ocorrer a hipótese do § 2º.</w:t>
      </w:r>
    </w:p>
    <w:p>
      <w:pPr>
        <w:pStyle w:val="BodyText"/>
        <w:spacing w:after="60"/>
        <w:jc w:val="both"/>
      </w:pPr>
      <w:r>
        <w:t xml:space="preserve">§ 4º Sendo a ré Fazenda Pública, não apresentados os embargos previstos no art. 702, aplicar-se-á o disposto no art. 496, observando-se, a seguir, no que couber, o Título II do Livro I da Parte Especial.</w:t>
      </w:r>
    </w:p>
    <w:p>
      <w:pPr>
        <w:pStyle w:val="BodyText"/>
        <w:spacing w:after="60"/>
        <w:jc w:val="both"/>
      </w:pPr>
      <w:r>
        <w:t xml:space="preserve">§ 5º Aplica-se à ação monitória, no que couber, o art. 916.</w:t>
      </w:r>
    </w:p>
    <w:bookmarkEnd w:id="474"/>
    <w:bookmarkStart w:id="475" w:name="art.-702"/>
    <w:p>
      <w:pPr>
        <w:pStyle w:val="Heading6"/>
        <w:pBdr>
          <w:left w:val="single" w:sz="36" w:space="4" w:color="2E75B6"/>
        </w:pBdr>
        <w:shd w:val="clear" w:color="auto" w:fill="E3EEF9"/>
        <w:spacing w:before="120" w:after="60"/>
        <w:ind w:left="85"/>
      </w:pPr>
      <w:r>
        <w:rPr>
          <w:i w:val="0"/>
          <w:color w:val="1F3A5F"/>
          <w:sz w:val="22"/>
        </w:rPr>
        <w:t xml:space="preserve">Art. 702</w:t>
      </w:r>
    </w:p>
    <w:p>
      <w:pPr>
        <w:pStyle w:val="FirstParagraph"/>
        <w:keepNext/>
        <w:spacing w:after="60"/>
        <w:jc w:val="both"/>
      </w:pPr>
      <w:r>
        <w:rPr>
          <w:b/>
          <w:bCs/>
        </w:rPr>
        <w:t xml:space="preserve">Art. 702.</w:t>
      </w:r>
      <w:r>
        <w:t xml:space="preserve"> </w:t>
      </w:r>
      <w:r>
        <w:t xml:space="preserve">Independentemente de prévia segurança do juízo, o réu poderá opor, nos próprios autos, no prazo previsto no art. 701, embargos à ação monitória.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154"/>
        <w:gridCol w:w="1655"/>
        <w:gridCol w:w="2029"/>
      </w:tblGrid>
      <w:tr>
        <w:trPr>
          <w:tblHeader w:val="on"/>
          <w:cantSplit/>
          <w:tblHeader/>
        </w:trPr>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154"/>
          </w:tcPr>
          <w:p>
            <w:pPr>
              <w:pStyle w:val="Compact"/>
              <w:spacing w:line="276" w:lineRule="auto" w:before="40" w:after="40"/>
            </w:pPr>
            <w:r>
              <w:rPr>
                <w:rFonts w:ascii="Liberation Sans Narrow" w:hAnsi="Liberation Sans Narrow"/>
                <w:sz w:val="17"/>
              </w:rPr>
              <w:t xml:space="preserve">Reconvenção na ação monitória</w:t>
            </w:r>
          </w:p>
        </w:tc>
        <w:tc>
          <w:tcPr>
            <w:tcW w:type="dxa" w:w="1655"/>
          </w:tcPr>
          <w:p>
            <w:pPr>
              <w:pStyle w:val="Compact"/>
              <w:spacing w:line="276" w:lineRule="auto" w:before="40" w:after="40"/>
            </w:pPr>
            <w:r>
              <w:rPr>
                <w:rFonts w:ascii="Liberation Sans Narrow" w:hAnsi="Liberation Sans Narrow"/>
                <w:sz w:val="17"/>
              </w:rPr>
              <w:t xml:space="preserve">STJ, Súmula 292/STJ, Corte Especial (vigente; data de aprovação não informada pelo acervo)</w:t>
            </w:r>
          </w:p>
        </w:tc>
        <w:tc>
          <w:tcPr>
            <w:tcW w:type="dxa" w:w="2030"/>
          </w:tcPr>
          <w:p>
            <w:pPr>
              <w:pStyle w:val="Compact"/>
              <w:spacing w:line="276" w:lineRule="auto" w:before="40" w:after="40"/>
            </w:pPr>
            <w:r>
              <w:rPr>
                <w:rFonts w:ascii="Liberation Sans Narrow" w:hAnsi="Liberation Sans Narrow"/>
                <w:sz w:val="17"/>
              </w:rPr>
              <w:t xml:space="preserve">A reconvenção é cabível na ação monitória, após a conversão do procedimento em ordinário.</w:t>
            </w:r>
          </w:p>
        </w:tc>
      </w:tr>
      <w:tr>
        <w:trPr>
          <w:cantSplit/>
        </w:trPr>
        <w:tc>
          <w:tcPr>
            <w:tcW w:type="dxa" w:w="2154"/>
          </w:tcPr>
          <w:p>
            <w:pPr>
              <w:pStyle w:val="Compact"/>
              <w:spacing w:line="276" w:lineRule="auto" w:before="40" w:after="40"/>
            </w:pPr>
            <w:r>
              <w:rPr>
                <w:rFonts w:ascii="Liberation Sans Narrow" w:hAnsi="Liberation Sans Narrow"/>
                <w:sz w:val="17"/>
              </w:rPr>
              <w:t xml:space="preserve">Embargos monitórios: rito comum e impossibilidade de extinguir por inaptidão da prova escrita</w:t>
            </w:r>
          </w:p>
        </w:tc>
        <w:tc>
          <w:tcPr>
            <w:tcW w:type="dxa" w:w="1655"/>
          </w:tcPr>
          <w:p>
            <w:pPr>
              <w:pStyle w:val="Compact"/>
              <w:spacing w:line="276" w:lineRule="auto" w:before="40" w:after="40"/>
            </w:pPr>
            <w:r>
              <w:rPr>
                <w:rFonts w:ascii="Liberation Sans Narrow" w:hAnsi="Liberation Sans Narrow"/>
                <w:sz w:val="17"/>
              </w:rPr>
              <w:t xml:space="preserve">STJ, AREsp 3.054.913, Quarta Turma, relator Min. João Otávio de Noronha, julgado em 11/05/2026, DJEN de 14/05/2026</w:t>
            </w:r>
          </w:p>
        </w:tc>
        <w:tc>
          <w:tcPr>
            <w:tcW w:type="dxa" w:w="2030"/>
          </w:tcPr>
          <w:p>
            <w:pPr>
              <w:pStyle w:val="Compact"/>
              <w:spacing w:line="276" w:lineRule="auto" w:before="40" w:after="40"/>
            </w:pPr>
            <w:r>
              <w:rPr>
                <w:rFonts w:ascii="Liberation Sans Narrow" w:hAnsi="Liberation Sans Narrow"/>
                <w:sz w:val="17"/>
              </w:rPr>
              <w:t xml:space="preserve">Opostos os embargos, o rito se converte em comum, com cognição exauriente e ampla dilação probatória; é inviável extinguir a demanda por inaptidão da prova escrita inicial, admitindo-se complementação documental e emenda após os embargos (arts. 9º, 10, 369 e 700, § 5º).</w:t>
            </w:r>
          </w:p>
        </w:tc>
      </w:tr>
    </w:tbl>
    <w:p>
      <w:pPr>
        <w:pStyle w:val="BodyText"/>
        <w:spacing w:after="60"/>
        <w:jc w:val="both"/>
      </w:pPr>
      <w:r>
        <w:t xml:space="preserve">§ 1º Os embargos podem se fundar em matéria passível de alegação como defesa no procedimento comum.</w:t>
      </w:r>
    </w:p>
    <w:p>
      <w:pPr>
        <w:pStyle w:val="BodyText"/>
        <w:keepNext/>
        <w:spacing w:after="60"/>
        <w:jc w:val="both"/>
      </w:pPr>
      <w:r>
        <w:t xml:space="preserve">§ 2º Quando o réu alegar que o autor pleiteia quantia superior à devida, cumprir-lhe-á declarar de imediato o valor que entende correto, apresentando demonstrativo discriminado e atualizado da dívida.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2154"/>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655"/>
          </w:tcPr>
          <w:p>
            <w:pPr>
              <w:pStyle w:val="Compact"/>
              <w:spacing w:line="276" w:lineRule="auto" w:before="40" w:after="40"/>
            </w:pPr>
            <w:r>
              <w:rPr>
                <w:rFonts w:ascii="Liberation Sans Narrow" w:hAnsi="Liberation Sans Narrow"/>
                <w:sz w:val="17"/>
              </w:rPr>
              <w:t xml:space="preserve">§§ 2º e 3º — rejeição liminar dos embargos (orientação de aplicação) (aplicação narrada)</w:t>
            </w:r>
          </w:p>
        </w:tc>
        <w:tc>
          <w:tcPr>
            <w:tcW w:type="dxa" w:w="1531"/>
          </w:tcPr>
          <w:p>
            <w:pPr>
              <w:pStyle w:val="Compact"/>
              <w:spacing w:line="276" w:lineRule="auto" w:before="40" w:after="40"/>
            </w:pPr>
            <w:r>
              <w:rPr>
                <w:rFonts w:ascii="Liberation Sans Narrow" w:hAnsi="Liberation Sans Narrow"/>
                <w:sz w:val="17"/>
              </w:rPr>
              <w:t xml:space="preserve">STJ, AREsp 2.858.590, Terceira Turma, relator Min. Moura Ribeiro, julgado em 16/03/2026</w:t>
            </w:r>
          </w:p>
        </w:tc>
        <w:tc>
          <w:tcPr>
            <w:tcW w:type="dxa" w:w="2154"/>
          </w:tcPr>
          <w:p>
            <w:pPr>
              <w:pStyle w:val="Compact"/>
              <w:spacing w:line="276" w:lineRule="auto" w:before="40" w:after="40"/>
            </w:pPr>
            <w:r>
              <w:rPr>
                <w:rFonts w:ascii="Liberation Sans Narrow" w:hAnsi="Liberation Sans Narrow"/>
                <w:sz w:val="17"/>
              </w:rPr>
              <w:t xml:space="preserve">A ausência de demonstrativo de cálculo e de indicação do valor incontroverso nos embargos à monitória, exigidos pelo art. 702, §§ 2º e 3º, evidencia carência de pressuposto processual específico de admissibilidade da defesa e enseja a rejeição liminar dos embargos; sendo matéria de ordem pública, pode ser conhecida de ofício pelo tribunal, por efeito translativo da apelação. Trecho: “A ausência de apresentação de demonstrativo de cálculo e de indicação do valor incontroverso nos embargos à monitória, conforme exigido pelo art.”</w:t>
            </w:r>
          </w:p>
        </w:tc>
      </w:tr>
    </w:tbl>
    <w:p>
      <w:pPr>
        <w:pStyle w:val="BodyText"/>
        <w:spacing w:after="60"/>
        <w:jc w:val="both"/>
      </w:pPr>
      <w:r>
        <w:t xml:space="preserve">§ 3º Não apontado o valor correto ou não apresentado o demonstrativo, os embargos serão liminarmente rejeitados, se esse for o seu único fundamento, e, se houver outro fundamento, os embargos serão processados, mas o juiz deixará de examinar a alegação de excesso.</w:t>
      </w:r>
    </w:p>
    <w:p>
      <w:pPr>
        <w:pStyle w:val="BodyText"/>
        <w:spacing w:after="60"/>
        <w:jc w:val="both"/>
      </w:pPr>
      <w:r>
        <w:t xml:space="preserve">§ 4º A oposição dos embargos suspende a eficácia da decisão referida no caput do art. 701 até o julgamento em primeiro grau.</w:t>
      </w:r>
    </w:p>
    <w:p>
      <w:pPr>
        <w:pStyle w:val="BodyText"/>
        <w:spacing w:after="60"/>
        <w:jc w:val="both"/>
      </w:pPr>
      <w:r>
        <w:t xml:space="preserve">§ 5º O autor será intimado para responder aos embargos no prazo de 15 (quinze) dias.</w:t>
      </w:r>
    </w:p>
    <w:p>
      <w:pPr>
        <w:pStyle w:val="BodyText"/>
        <w:spacing w:after="60"/>
        <w:jc w:val="both"/>
      </w:pPr>
      <w:r>
        <w:t xml:space="preserve">§ 6º Na ação monitória admite-se a reconvenção, sendo vedado o oferecimento de reconvenção à reconvenção.</w:t>
      </w:r>
    </w:p>
    <w:p>
      <w:pPr>
        <w:pStyle w:val="BodyText"/>
        <w:spacing w:after="60"/>
        <w:jc w:val="both"/>
      </w:pPr>
      <w:r>
        <w:t xml:space="preserve">§ 7º A critério do juiz, os embargos serão autuados em apartado, se parciais, constituindo-se de pleno direito o título executivo judicial em relação à parcela incontroversa.</w:t>
      </w:r>
    </w:p>
    <w:p>
      <w:pPr>
        <w:pStyle w:val="BodyText"/>
        <w:spacing w:after="60"/>
        <w:jc w:val="both"/>
      </w:pPr>
      <w:r>
        <w:t xml:space="preserve">§ 8º Rejeitados os embargos, constituir-se-á de pleno direito o título executivo judicial, prosseguindo-se o processo em observância ao disposto no Título II do Livro I da Parte Especial, no que for cabível.</w:t>
      </w:r>
    </w:p>
    <w:p>
      <w:pPr>
        <w:pStyle w:val="BodyText"/>
        <w:spacing w:after="60"/>
        <w:jc w:val="both"/>
      </w:pPr>
      <w:r>
        <w:t xml:space="preserve">§ 9º Cabe apelação contra a sentença que acolhe ou rejeita os embargos.</w:t>
      </w:r>
    </w:p>
    <w:p>
      <w:pPr>
        <w:pStyle w:val="BodyText"/>
        <w:spacing w:after="60"/>
        <w:jc w:val="both"/>
      </w:pPr>
      <w:r>
        <w:t xml:space="preserve">§ 10. O juiz condenará o autor de ação monitória proposta indevidamente e de má-fé ao pagamento, em favor do réu, de multa de até dez por cento sobre o valor da causa.</w:t>
      </w:r>
    </w:p>
    <w:p>
      <w:pPr>
        <w:pStyle w:val="BodyText"/>
        <w:spacing w:after="60"/>
        <w:jc w:val="both"/>
      </w:pPr>
      <w:r>
        <w:t xml:space="preserve">§ 11. O juiz condenará o réu que de má-fé opuser embargos à ação monitória ao pagamento de multa de até dez por cento sobre o valor atribuído à causa, em favor do autor.</w:t>
      </w:r>
    </w:p>
    <w:bookmarkEnd w:id="475"/>
    <w:bookmarkEnd w:id="476"/>
    <w:bookmarkStart w:id="481" w:name="X0a68caf5c6bc6bf310f53d654605b0a9cfac4b0"/>
    <w:p>
      <w:pPr>
        <w:pStyle w:val="Heading4"/>
        <w:spacing w:before="80" w:after="40"/>
      </w:pPr>
      <w:r>
        <w:rPr>
          <w:smallCaps/>
          <w:color w:val="2E75B6"/>
        </w:rPr>
        <w:t xml:space="preserve">Capítulo XII: da homologação do penhor legal (arts. 703 a 706)</w:t>
      </w:r>
    </w:p>
    <w:bookmarkStart w:id="477" w:name="art.-703"/>
    <w:p>
      <w:pPr>
        <w:pStyle w:val="Heading6"/>
        <w:pBdr>
          <w:left w:val="single" w:sz="36" w:space="4" w:color="2E75B6"/>
        </w:pBdr>
        <w:shd w:val="clear" w:color="auto" w:fill="E3EEF9"/>
        <w:spacing w:before="120" w:after="60"/>
        <w:ind w:left="85"/>
      </w:pPr>
      <w:r>
        <w:rPr>
          <w:i w:val="0"/>
          <w:color w:val="1F3A5F"/>
          <w:sz w:val="22"/>
        </w:rPr>
        <w:t xml:space="preserve">Art. 703</w:t>
      </w:r>
    </w:p>
    <w:p>
      <w:pPr>
        <w:pStyle w:val="FirstParagraph"/>
        <w:keepNext/>
        <w:spacing w:after="60"/>
        <w:jc w:val="both"/>
      </w:pPr>
      <w:r>
        <w:rPr>
          <w:b/>
          <w:bCs/>
        </w:rPr>
        <w:t xml:space="preserve">Art. 703.</w:t>
      </w:r>
      <w:r>
        <w:t xml:space="preserve"> </w:t>
      </w:r>
      <w:r>
        <w:t xml:space="preserve">Tomado o penhor legal nos casos previstos em lei, requererá o credor, ato contínuo, a homologação.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2029"/>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homologação do penhor legal</w:t>
            </w:r>
          </w:p>
        </w:tc>
        <w:tc>
          <w:tcPr>
            <w:tcW w:type="dxa" w:w="1655"/>
          </w:tcPr>
          <w:p>
            <w:pPr>
              <w:pStyle w:val="Compact"/>
              <w:spacing w:line="276" w:lineRule="auto" w:before="40" w:after="40"/>
            </w:pPr>
            <w:r>
              <w:rPr>
                <w:rFonts w:ascii="Liberation Sans Narrow" w:hAnsi="Liberation Sans Narrow"/>
                <w:sz w:val="17"/>
              </w:rPr>
              <w:t xml:space="preserve">STJ, REsp 2.233.511, Terceira Turma, relator Min. Ricardo Villas Bôas Cueva, julgado em 10/02/2026, DJEN de 13/02/2026</w:t>
            </w:r>
          </w:p>
        </w:tc>
        <w:tc>
          <w:tcPr>
            <w:tcW w:type="dxa" w:w="2030"/>
          </w:tcPr>
          <w:p>
            <w:pPr>
              <w:pStyle w:val="Compact"/>
              <w:spacing w:line="276" w:lineRule="auto" w:before="40" w:after="40"/>
            </w:pPr>
            <w:r>
              <w:rPr>
                <w:rFonts w:ascii="Liberation Sans Narrow" w:hAnsi="Liberation Sans Narrow"/>
                <w:sz w:val="17"/>
              </w:rPr>
              <w:t xml:space="preserve">O penhor legal do locador, direito real de garantia decorrente exclusivamente da lei e forma excepcional de autotutela, é compatível com a garantia convencional do contrato de locação; a vedação de cumulação de garantias contratuais não impede o seu exercício.</w:t>
            </w:r>
          </w:p>
        </w:tc>
      </w:tr>
    </w:tbl>
    <w:p>
      <w:pPr>
        <w:pStyle w:val="BodyText"/>
        <w:spacing w:after="60"/>
        <w:jc w:val="both"/>
      </w:pPr>
      <w:r>
        <w:t xml:space="preserve">§ 1º Na petição inicial, instruída com o contrato de locação ou a conta pormenorizada das despesas, a tabela dos preços e a relação dos objetos retidos, o credor pedirá a citação do devedor para pagar ou contestar na audiência preliminar que for designada.</w:t>
      </w:r>
    </w:p>
    <w:p>
      <w:pPr>
        <w:pStyle w:val="BodyText"/>
        <w:spacing w:after="60"/>
        <w:jc w:val="both"/>
      </w:pPr>
      <w:r>
        <w:t xml:space="preserve">§ 2º A homologação do penhor legal poderá ser promovida pela via extrajudicial mediante requerimento, que conterá os requisitos previstos no § 1º deste artigo, do credor a notário de sua livre escolha.</w:t>
      </w:r>
    </w:p>
    <w:p>
      <w:pPr>
        <w:pStyle w:val="BodyText"/>
        <w:spacing w:after="60"/>
        <w:jc w:val="both"/>
      </w:pPr>
      <w:r>
        <w:t xml:space="preserve">§ 3º Recebido o requerimento, o notário promoverá a notificação extrajudicial do devedor para, no prazo de 5 (cinco) dias, pagar o débito ou impugnar sua cobrança, alegando por escrito uma das causas previstas no art. 704, hipótese em que o procedimento será encaminhado ao juízo competente para decisão.</w:t>
      </w:r>
    </w:p>
    <w:p>
      <w:pPr>
        <w:pStyle w:val="BodyText"/>
        <w:spacing w:after="60"/>
        <w:jc w:val="both"/>
      </w:pPr>
      <w:r>
        <w:t xml:space="preserve">§ 4º Transcorrido o prazo sem manifestação do devedor, o notário formalizará a homologação do penhor legal por escritura pública.</w:t>
      </w:r>
    </w:p>
    <w:bookmarkEnd w:id="477"/>
    <w:bookmarkStart w:id="478" w:name="art.-704"/>
    <w:p>
      <w:pPr>
        <w:pStyle w:val="Heading6"/>
        <w:pBdr>
          <w:left w:val="single" w:sz="36" w:space="4" w:color="2E75B6"/>
        </w:pBdr>
        <w:shd w:val="clear" w:color="auto" w:fill="E3EEF9"/>
        <w:spacing w:before="120" w:after="60"/>
        <w:ind w:left="85"/>
      </w:pPr>
      <w:r>
        <w:rPr>
          <w:i w:val="0"/>
          <w:color w:val="1F3A5F"/>
          <w:sz w:val="22"/>
        </w:rPr>
        <w:t xml:space="preserve">Art. 704</w:t>
      </w:r>
    </w:p>
    <w:p>
      <w:pPr>
        <w:pStyle w:val="FirstParagraph"/>
        <w:spacing w:after="60"/>
        <w:jc w:val="both"/>
      </w:pPr>
      <w:r>
        <w:rPr>
          <w:b/>
          <w:bCs/>
        </w:rPr>
        <w:t xml:space="preserve">Art. 704.</w:t>
      </w:r>
      <w:r>
        <w:t xml:space="preserve"> </w:t>
      </w:r>
      <w:r>
        <w:t xml:space="preserve">A defesa só pode consistir em:</w:t>
      </w:r>
    </w:p>
    <w:p>
      <w:pPr>
        <w:pStyle w:val="BodyText"/>
        <w:spacing w:after="60"/>
        <w:jc w:val="both"/>
      </w:pPr>
      <w:r>
        <w:t xml:space="preserve">I - nulidade do processo;</w:t>
      </w:r>
    </w:p>
    <w:p>
      <w:pPr>
        <w:pStyle w:val="BodyText"/>
        <w:spacing w:after="60"/>
        <w:jc w:val="both"/>
      </w:pPr>
      <w:r>
        <w:t xml:space="preserve">II - extinção da obrigação;</w:t>
      </w:r>
    </w:p>
    <w:p>
      <w:pPr>
        <w:pStyle w:val="BodyText"/>
        <w:spacing w:after="60"/>
        <w:jc w:val="both"/>
      </w:pPr>
      <w:r>
        <w:t xml:space="preserve">III - não estar a dívida compreendida entre as previstas em lei ou não estarem os bens sujeitos a penhor legal;</w:t>
      </w:r>
    </w:p>
    <w:p>
      <w:pPr>
        <w:pStyle w:val="BodyText"/>
        <w:spacing w:after="60"/>
        <w:jc w:val="both"/>
      </w:pPr>
      <w:r>
        <w:t xml:space="preserve">IV - alegação de haver sido ofertada caução idônea, rejeitada pelo credor.</w:t>
      </w:r>
    </w:p>
    <w:bookmarkEnd w:id="478"/>
    <w:bookmarkStart w:id="479" w:name="art.-705"/>
    <w:p>
      <w:pPr>
        <w:pStyle w:val="Heading6"/>
        <w:pBdr>
          <w:left w:val="single" w:sz="36" w:space="4" w:color="2E75B6"/>
        </w:pBdr>
        <w:shd w:val="clear" w:color="auto" w:fill="E3EEF9"/>
        <w:spacing w:before="120" w:after="60"/>
        <w:ind w:left="85"/>
      </w:pPr>
      <w:r>
        <w:rPr>
          <w:i w:val="0"/>
          <w:color w:val="1F3A5F"/>
          <w:sz w:val="22"/>
        </w:rPr>
        <w:t xml:space="preserve">Art. 705</w:t>
      </w:r>
    </w:p>
    <w:p>
      <w:pPr>
        <w:pStyle w:val="FirstParagraph"/>
        <w:spacing w:after="60"/>
        <w:jc w:val="both"/>
      </w:pPr>
      <w:r>
        <w:rPr>
          <w:b/>
          <w:bCs/>
        </w:rPr>
        <w:t xml:space="preserve">Art. 705.</w:t>
      </w:r>
      <w:r>
        <w:t xml:space="preserve"> </w:t>
      </w:r>
      <w:r>
        <w:t xml:space="preserve">A partir da audiência preliminar, observar-se-á o procedimento comum.</w:t>
      </w:r>
    </w:p>
    <w:bookmarkEnd w:id="479"/>
    <w:bookmarkStart w:id="480" w:name="art.-706"/>
    <w:p>
      <w:pPr>
        <w:pStyle w:val="Heading6"/>
        <w:pBdr>
          <w:left w:val="single" w:sz="36" w:space="4" w:color="2E75B6"/>
        </w:pBdr>
        <w:shd w:val="clear" w:color="auto" w:fill="E3EEF9"/>
        <w:spacing w:before="120" w:after="60"/>
        <w:ind w:left="85"/>
      </w:pPr>
      <w:r>
        <w:rPr>
          <w:i w:val="0"/>
          <w:color w:val="1F3A5F"/>
          <w:sz w:val="22"/>
        </w:rPr>
        <w:t xml:space="preserve">Art. 706</w:t>
      </w:r>
    </w:p>
    <w:p>
      <w:pPr>
        <w:pStyle w:val="FirstParagraph"/>
        <w:spacing w:after="60"/>
        <w:jc w:val="both"/>
      </w:pPr>
      <w:r>
        <w:rPr>
          <w:b/>
          <w:bCs/>
        </w:rPr>
        <w:t xml:space="preserve">Art. 706.</w:t>
      </w:r>
      <w:r>
        <w:t xml:space="preserve"> </w:t>
      </w:r>
      <w:r>
        <w:t xml:space="preserve">Homologado judicialmente o penhor legal, consolidar-se-á a posse do autor sobre o objeto.</w:t>
      </w:r>
    </w:p>
    <w:p>
      <w:pPr>
        <w:pStyle w:val="BodyText"/>
        <w:spacing w:after="60"/>
        <w:jc w:val="both"/>
      </w:pPr>
      <w:r>
        <w:t xml:space="preserve">§ 1º Negada a homologação, o objeto será entregue ao réu, ressalvado ao autor o direito de cobrar a dívida pelo procedimento comum, salvo se acolhida a alegação de extinção da obrigação.</w:t>
      </w:r>
    </w:p>
    <w:p>
      <w:pPr>
        <w:pStyle w:val="BodyText"/>
        <w:spacing w:after="60"/>
        <w:jc w:val="both"/>
      </w:pPr>
      <w:r>
        <w:t xml:space="preserve">§ 2º Contra a sentença caberá apelação, e, na pendência de recurso, poderá o relator ordenar que a coisa permaneça depositada ou em poder do autor.</w:t>
      </w:r>
    </w:p>
    <w:bookmarkEnd w:id="480"/>
    <w:bookmarkEnd w:id="481"/>
    <w:bookmarkStart w:id="487" w:name="X9f211066ecaf8cd5925c334c2ce18489a2eee61"/>
    <w:p>
      <w:pPr>
        <w:pStyle w:val="Heading4"/>
        <w:spacing w:before="80" w:after="40"/>
      </w:pPr>
      <w:r>
        <w:rPr>
          <w:smallCaps/>
          <w:color w:val="2E75B6"/>
        </w:rPr>
        <w:t xml:space="preserve">Capítulo XIII: da regulação de avaria grossa (arts. 707 a 711)</w:t>
      </w:r>
    </w:p>
    <w:bookmarkStart w:id="482" w:name="art.-707"/>
    <w:p>
      <w:pPr>
        <w:pStyle w:val="Heading6"/>
        <w:pBdr>
          <w:left w:val="single" w:sz="36" w:space="4" w:color="2E75B6"/>
        </w:pBdr>
        <w:shd w:val="clear" w:color="auto" w:fill="E3EEF9"/>
        <w:spacing w:before="120" w:after="60"/>
        <w:ind w:left="85"/>
      </w:pPr>
      <w:r>
        <w:rPr>
          <w:i w:val="0"/>
          <w:color w:val="1F3A5F"/>
          <w:sz w:val="22"/>
        </w:rPr>
        <w:t xml:space="preserve">Art. 707</w:t>
      </w:r>
    </w:p>
    <w:p>
      <w:pPr>
        <w:pStyle w:val="FirstParagraph"/>
        <w:spacing w:after="60"/>
        <w:jc w:val="both"/>
      </w:pPr>
      <w:r>
        <w:rPr>
          <w:b/>
          <w:bCs/>
        </w:rPr>
        <w:t xml:space="preserve">Art. 707.</w:t>
      </w:r>
      <w:r>
        <w:t xml:space="preserve"> </w:t>
      </w:r>
      <w:r>
        <w:t xml:space="preserve">Quando inexistir consenso acerca da nomeação de um regulador de avarias, o juiz de direito da comarca do primeiro porto onde o navio houver chegado, provocado por qualquer parte interessada, nomeará um de notório conhecimento.</w:t>
      </w:r>
    </w:p>
    <w:bookmarkEnd w:id="482"/>
    <w:bookmarkStart w:id="483" w:name="art.-708"/>
    <w:p>
      <w:pPr>
        <w:pStyle w:val="Heading6"/>
        <w:pBdr>
          <w:left w:val="single" w:sz="36" w:space="4" w:color="2E75B6"/>
        </w:pBdr>
        <w:shd w:val="clear" w:color="auto" w:fill="E3EEF9"/>
        <w:spacing w:before="120" w:after="60"/>
        <w:ind w:left="85"/>
      </w:pPr>
      <w:r>
        <w:rPr>
          <w:i w:val="0"/>
          <w:color w:val="1F3A5F"/>
          <w:sz w:val="22"/>
        </w:rPr>
        <w:t xml:space="preserve">Art. 708</w:t>
      </w:r>
    </w:p>
    <w:p>
      <w:pPr>
        <w:pStyle w:val="FirstParagraph"/>
        <w:spacing w:after="60"/>
        <w:jc w:val="both"/>
      </w:pPr>
      <w:r>
        <w:rPr>
          <w:b/>
          <w:bCs/>
        </w:rPr>
        <w:t xml:space="preserve">Art. 708.</w:t>
      </w:r>
      <w:r>
        <w:t xml:space="preserve"> </w:t>
      </w:r>
      <w:r>
        <w:t xml:space="preserve">O regulador declarará justificadamente se os danos são passíveis de rateio na forma de avaria grossa e exigirá das partes envolvidas a apresentação de garantias idôneas para que possam ser liberadas as cargas aos consignatários.</w:t>
      </w:r>
    </w:p>
    <w:p>
      <w:pPr>
        <w:pStyle w:val="BodyText"/>
        <w:spacing w:after="60"/>
        <w:jc w:val="both"/>
      </w:pPr>
      <w:r>
        <w:t xml:space="preserve">§ 1º A parte que não concordar com o regulador quanto à declaração de abertura da avaria grossa deverá justificar suas razões ao juiz, que decidirá no prazo de 10 (dez) dias.</w:t>
      </w:r>
    </w:p>
    <w:p>
      <w:pPr>
        <w:pStyle w:val="BodyText"/>
        <w:spacing w:after="60"/>
        <w:jc w:val="both"/>
      </w:pPr>
      <w:r>
        <w:t xml:space="preserve">§ 2º Se o consignatário não apresentar garantia idônea a critério do regulador, este fixará o valor da contribuição provisória com base nos fatos narrados e nos documentos que instruírem a petição inicial, que deverá ser caucionado sob a forma de depósito judicial ou de garantia bancária.</w:t>
      </w:r>
    </w:p>
    <w:p>
      <w:pPr>
        <w:pStyle w:val="BodyText"/>
        <w:spacing w:after="60"/>
        <w:jc w:val="both"/>
      </w:pPr>
      <w:r>
        <w:t xml:space="preserve">§ 3º Recusando-se o consignatário a prestar caução, o regulador requererá ao juiz a alienação judicial de sua carga na forma dos arts. 879 a 903.</w:t>
      </w:r>
    </w:p>
    <w:p>
      <w:pPr>
        <w:pStyle w:val="BodyText"/>
        <w:spacing w:after="60"/>
        <w:jc w:val="both"/>
      </w:pPr>
      <w:r>
        <w:t xml:space="preserve">§ 4º É permitido o levantamento, por alvará, das quantias necessárias ao pagamento das despesas da alienação a serem arcadas pelo consignatário, mantendo-se o saldo remanescente em depósito judicial até o encerramento da regulação.</w:t>
      </w:r>
    </w:p>
    <w:bookmarkEnd w:id="483"/>
    <w:bookmarkStart w:id="484" w:name="art.-709"/>
    <w:p>
      <w:pPr>
        <w:pStyle w:val="Heading6"/>
        <w:pBdr>
          <w:left w:val="single" w:sz="36" w:space="4" w:color="2E75B6"/>
        </w:pBdr>
        <w:shd w:val="clear" w:color="auto" w:fill="E3EEF9"/>
        <w:spacing w:before="120" w:after="60"/>
        <w:ind w:left="85"/>
      </w:pPr>
      <w:r>
        <w:rPr>
          <w:i w:val="0"/>
          <w:color w:val="1F3A5F"/>
          <w:sz w:val="22"/>
        </w:rPr>
        <w:t xml:space="preserve">Art. 709</w:t>
      </w:r>
    </w:p>
    <w:p>
      <w:pPr>
        <w:pStyle w:val="FirstParagraph"/>
        <w:spacing w:after="60"/>
        <w:jc w:val="both"/>
      </w:pPr>
      <w:r>
        <w:rPr>
          <w:b/>
          <w:bCs/>
        </w:rPr>
        <w:t xml:space="preserve">Art. 709.</w:t>
      </w:r>
      <w:r>
        <w:t xml:space="preserve"> </w:t>
      </w:r>
      <w:r>
        <w:t xml:space="preserve">As partes deverão apresentar nos autos os documentos necessários à regulação da avaria grossa em prazo razoável a ser fixado pelo regulador.</w:t>
      </w:r>
    </w:p>
    <w:bookmarkEnd w:id="484"/>
    <w:bookmarkStart w:id="485" w:name="art.-710"/>
    <w:p>
      <w:pPr>
        <w:pStyle w:val="Heading6"/>
        <w:pBdr>
          <w:left w:val="single" w:sz="36" w:space="4" w:color="2E75B6"/>
        </w:pBdr>
        <w:shd w:val="clear" w:color="auto" w:fill="E3EEF9"/>
        <w:spacing w:before="120" w:after="60"/>
        <w:ind w:left="85"/>
      </w:pPr>
      <w:r>
        <w:rPr>
          <w:i w:val="0"/>
          <w:color w:val="1F3A5F"/>
          <w:sz w:val="22"/>
        </w:rPr>
        <w:t xml:space="preserve">Art. 710</w:t>
      </w:r>
    </w:p>
    <w:p>
      <w:pPr>
        <w:pStyle w:val="FirstParagraph"/>
        <w:spacing w:after="60"/>
        <w:jc w:val="both"/>
      </w:pPr>
      <w:r>
        <w:rPr>
          <w:b/>
          <w:bCs/>
        </w:rPr>
        <w:t xml:space="preserve">Art. 710.</w:t>
      </w:r>
      <w:r>
        <w:t xml:space="preserve"> </w:t>
      </w:r>
      <w:r>
        <w:t xml:space="preserve">O regulador apresentará o regulamento da avaria grossa no prazo de até 12 (doze) meses, contado da data da entrega dos documentos nos autos pelas partes, podendo o prazo ser estendido a critério do juiz.</w:t>
      </w:r>
    </w:p>
    <w:p>
      <w:pPr>
        <w:pStyle w:val="BodyText"/>
        <w:spacing w:after="60"/>
        <w:jc w:val="both"/>
      </w:pPr>
      <w:r>
        <w:t xml:space="preserve">§ 1º Oferecido o regulamento da avaria grossa, dele terão vista as partes pelo prazo comum de 15 (quinze) dias, e, não havendo impugnação, o regulamento será homologado por sentença.</w:t>
      </w:r>
    </w:p>
    <w:p>
      <w:pPr>
        <w:pStyle w:val="BodyText"/>
        <w:spacing w:after="60"/>
        <w:jc w:val="both"/>
      </w:pPr>
      <w:r>
        <w:t xml:space="preserve">§ 2º Havendo impugnação ao regulamento, o juiz decidirá no prazo de 10 (dez) dias, após a oitiva do regulador.</w:t>
      </w:r>
    </w:p>
    <w:bookmarkEnd w:id="485"/>
    <w:bookmarkStart w:id="486" w:name="art.-711"/>
    <w:p>
      <w:pPr>
        <w:pStyle w:val="Heading6"/>
        <w:pBdr>
          <w:left w:val="single" w:sz="36" w:space="4" w:color="2E75B6"/>
        </w:pBdr>
        <w:shd w:val="clear" w:color="auto" w:fill="E3EEF9"/>
        <w:spacing w:before="120" w:after="60"/>
        <w:ind w:left="85"/>
      </w:pPr>
      <w:r>
        <w:rPr>
          <w:i w:val="0"/>
          <w:color w:val="1F3A5F"/>
          <w:sz w:val="22"/>
        </w:rPr>
        <w:t xml:space="preserve">Art. 711</w:t>
      </w:r>
    </w:p>
    <w:p>
      <w:pPr>
        <w:pStyle w:val="FirstParagraph"/>
        <w:spacing w:after="60"/>
        <w:jc w:val="both"/>
      </w:pPr>
      <w:r>
        <w:rPr>
          <w:b/>
          <w:bCs/>
        </w:rPr>
        <w:t xml:space="preserve">Art. 711.</w:t>
      </w:r>
      <w:r>
        <w:t xml:space="preserve"> </w:t>
      </w:r>
      <w:r>
        <w:t xml:space="preserve">Aplicam-se ao regulador de avarias os arts. 156 a 158, no que couber.</w:t>
      </w:r>
    </w:p>
    <w:bookmarkEnd w:id="486"/>
    <w:bookmarkEnd w:id="487"/>
    <w:bookmarkStart w:id="495" w:name="Xb48bcfb01c9ab110f64a9ab02fcc199bb9e77d7"/>
    <w:p>
      <w:pPr>
        <w:pStyle w:val="Heading4"/>
        <w:spacing w:before="80" w:after="40"/>
      </w:pPr>
      <w:r>
        <w:rPr>
          <w:smallCaps/>
          <w:color w:val="2E75B6"/>
        </w:rPr>
        <w:t xml:space="preserve">Capítulo XIV: da restauração de autos (arts. 712 a 718)</w:t>
      </w:r>
    </w:p>
    <w:bookmarkStart w:id="488" w:name="art.-712"/>
    <w:p>
      <w:pPr>
        <w:pStyle w:val="Heading6"/>
        <w:pBdr>
          <w:left w:val="single" w:sz="36" w:space="4" w:color="2E75B6"/>
        </w:pBdr>
        <w:shd w:val="clear" w:color="auto" w:fill="E3EEF9"/>
        <w:spacing w:before="120" w:after="60"/>
        <w:ind w:left="85"/>
      </w:pPr>
      <w:r>
        <w:rPr>
          <w:i w:val="0"/>
          <w:color w:val="1F3A5F"/>
          <w:sz w:val="22"/>
        </w:rPr>
        <w:t xml:space="preserve">Art. 712</w:t>
      </w:r>
    </w:p>
    <w:p>
      <w:pPr>
        <w:pStyle w:val="FirstParagraph"/>
        <w:keepNext/>
        <w:spacing w:after="60"/>
        <w:jc w:val="both"/>
      </w:pPr>
      <w:r>
        <w:rPr>
          <w:b/>
          <w:bCs/>
        </w:rPr>
        <w:t xml:space="preserve">Art. 712.</w:t>
      </w:r>
      <w:r>
        <w:t xml:space="preserve"> </w:t>
      </w:r>
      <w:r>
        <w:t xml:space="preserve">Verificado o desaparecimento dos autos, eletrônicos ou não, pode o juiz, de ofício, qualquer das partes ou o Ministério Público, se for o caso, promover-lhes a restauração.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2154"/>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Restauração de autos: a Corregedoria local não pode fixar prazo para o pedido</w:t>
            </w:r>
          </w:p>
        </w:tc>
        <w:tc>
          <w:tcPr>
            <w:tcW w:type="dxa" w:w="1655"/>
          </w:tcPr>
          <w:p>
            <w:pPr>
              <w:pStyle w:val="Compact"/>
              <w:spacing w:line="276" w:lineRule="auto" w:before="40" w:after="40"/>
            </w:pPr>
            <w:r>
              <w:rPr>
                <w:rFonts w:ascii="Liberation Sans Narrow" w:hAnsi="Liberation Sans Narrow"/>
                <w:sz w:val="17"/>
              </w:rPr>
              <w:t xml:space="preserve">STJ, REsp 1.722.633, Terceira Turma, relatora Min. Nancy Andrighi, julgado em 07/08/2018, DJe de 10/08/2018</w:t>
            </w:r>
          </w:p>
        </w:tc>
        <w:tc>
          <w:tcPr>
            <w:tcW w:type="dxa" w:w="2154"/>
          </w:tcPr>
          <w:p>
            <w:pPr>
              <w:pStyle w:val="Compact"/>
              <w:spacing w:line="276" w:lineRule="auto" w:before="40" w:after="40"/>
            </w:pPr>
            <w:r>
              <w:rPr>
                <w:rFonts w:ascii="Liberation Sans Narrow" w:hAnsi="Liberation Sans Narrow"/>
                <w:sz w:val="17"/>
              </w:rPr>
              <w:t xml:space="preserve">O CPC não prevê prazo para a ação de restauração de autos; o prazo fixado por provimento da Corregedoria local é norma processual, de competência privativa da União, e viola o devido processo legal, pois cria prazo decadencial em prejuízo de quem não deu causa ao desaparecimento dos autos.</w:t>
            </w:r>
          </w:p>
        </w:tc>
      </w:tr>
    </w:tbl>
    <w:p>
      <w:pPr>
        <w:pStyle w:val="BodyText"/>
        <w:spacing w:after="60"/>
        <w:jc w:val="both"/>
      </w:pPr>
      <w:r>
        <w:t xml:space="preserve">Parágrafo único. Havendo autos suplementares, nesses prosseguirá o processo.</w:t>
      </w:r>
    </w:p>
    <w:bookmarkEnd w:id="488"/>
    <w:bookmarkStart w:id="489" w:name="art.-713"/>
    <w:p>
      <w:pPr>
        <w:pStyle w:val="Heading6"/>
        <w:pBdr>
          <w:left w:val="single" w:sz="36" w:space="4" w:color="2E75B6"/>
        </w:pBdr>
        <w:shd w:val="clear" w:color="auto" w:fill="E3EEF9"/>
        <w:spacing w:before="120" w:after="60"/>
        <w:ind w:left="85"/>
      </w:pPr>
      <w:r>
        <w:rPr>
          <w:i w:val="0"/>
          <w:color w:val="1F3A5F"/>
          <w:sz w:val="22"/>
        </w:rPr>
        <w:t xml:space="preserve">Art. 713</w:t>
      </w:r>
    </w:p>
    <w:p>
      <w:pPr>
        <w:pStyle w:val="FirstParagraph"/>
        <w:spacing w:after="60"/>
        <w:jc w:val="both"/>
      </w:pPr>
      <w:r>
        <w:rPr>
          <w:b/>
          <w:bCs/>
        </w:rPr>
        <w:t xml:space="preserve">Art. 713.</w:t>
      </w:r>
      <w:r>
        <w:t xml:space="preserve"> </w:t>
      </w:r>
      <w:r>
        <w:t xml:space="preserve">Na petição inicial, declarará a parte o estado do processo ao tempo do desaparecimento dos autos, oferecendo:</w:t>
      </w:r>
    </w:p>
    <w:p>
      <w:pPr>
        <w:pStyle w:val="BodyText"/>
        <w:spacing w:after="60"/>
        <w:jc w:val="both"/>
      </w:pPr>
      <w:r>
        <w:t xml:space="preserve">I - certidões dos atos constantes do protocolo de audiências do cartório por onde haja corrido o processo;</w:t>
      </w:r>
    </w:p>
    <w:p>
      <w:pPr>
        <w:pStyle w:val="BodyText"/>
        <w:spacing w:after="60"/>
        <w:jc w:val="both"/>
      </w:pPr>
      <w:r>
        <w:t xml:space="preserve">II - cópia das peças que tenha em seu poder;</w:t>
      </w:r>
    </w:p>
    <w:p>
      <w:pPr>
        <w:pStyle w:val="BodyText"/>
        <w:spacing w:after="60"/>
        <w:jc w:val="both"/>
      </w:pPr>
      <w:r>
        <w:t xml:space="preserve">III - qualquer outro documento que facilite a restauração.</w:t>
      </w:r>
    </w:p>
    <w:bookmarkEnd w:id="489"/>
    <w:bookmarkStart w:id="490" w:name="art.-714"/>
    <w:p>
      <w:pPr>
        <w:pStyle w:val="Heading6"/>
        <w:pBdr>
          <w:left w:val="single" w:sz="36" w:space="4" w:color="2E75B6"/>
        </w:pBdr>
        <w:shd w:val="clear" w:color="auto" w:fill="E3EEF9"/>
        <w:spacing w:before="120" w:after="60"/>
        <w:ind w:left="85"/>
      </w:pPr>
      <w:r>
        <w:rPr>
          <w:i w:val="0"/>
          <w:color w:val="1F3A5F"/>
          <w:sz w:val="22"/>
        </w:rPr>
        <w:t xml:space="preserve">Art. 714</w:t>
      </w:r>
    </w:p>
    <w:p>
      <w:pPr>
        <w:pStyle w:val="FirstParagraph"/>
        <w:spacing w:after="60"/>
        <w:jc w:val="both"/>
      </w:pPr>
      <w:r>
        <w:rPr>
          <w:b/>
          <w:bCs/>
        </w:rPr>
        <w:t xml:space="preserve">Art. 714.</w:t>
      </w:r>
      <w:r>
        <w:t xml:space="preserve"> </w:t>
      </w:r>
      <w:r>
        <w:t xml:space="preserve">A parte contrária será citada para contestar o pedido no prazo de 5 (cinco) dias, cabendo-lhe exibir as cópias, as contrafés e as reproduções dos atos e dos documentos que estiverem em seu poder.</w:t>
      </w:r>
    </w:p>
    <w:p>
      <w:pPr>
        <w:pStyle w:val="BodyText"/>
        <w:keepNext/>
        <w:spacing w:after="60"/>
        <w:jc w:val="both"/>
      </w:pPr>
      <w:r>
        <w:t xml:space="preserve">§ 1º Se a parte concordar com a restauração, lavrar-se-á o auto que, assinado pelas partes e homologado pelo juiz, suprirá o processo desaparecido.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1905"/>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 1º — natureza do ato que homologa ou julga a restauração</w:t>
            </w:r>
          </w:p>
        </w:tc>
        <w:tc>
          <w:tcPr>
            <w:tcW w:type="dxa" w:w="1655"/>
          </w:tcPr>
          <w:p>
            <w:pPr>
              <w:pStyle w:val="Compact"/>
              <w:spacing w:line="276" w:lineRule="auto" w:before="40" w:after="40"/>
            </w:pPr>
            <w:r>
              <w:rPr>
                <w:rFonts w:ascii="Liberation Sans Narrow" w:hAnsi="Liberation Sans Narrow"/>
                <w:sz w:val="17"/>
              </w:rPr>
              <w:t xml:space="preserve">STJ, REsp 2.207.935, Terceira Turma, relatora Min. Nancy Andrighi, julgado em 16/10/2025, DJEN de 23/10/2025</w:t>
            </w:r>
          </w:p>
        </w:tc>
        <w:tc>
          <w:tcPr>
            <w:tcW w:type="dxa" w:w="1905"/>
          </w:tcPr>
          <w:p>
            <w:pPr>
              <w:pStyle w:val="Compact"/>
              <w:spacing w:line="276" w:lineRule="auto" w:before="40" w:after="40"/>
            </w:pPr>
            <w:r>
              <w:rPr>
                <w:rFonts w:ascii="Liberation Sans Narrow" w:hAnsi="Liberation Sans Narrow"/>
                <w:sz w:val="17"/>
              </w:rPr>
              <w:t xml:space="preserve">O ato que homologa a restauração (art. 714, § 1º) ou a julga (art. 716) tem natureza de sentença, porque põe fim ao procedimento especial e encerra a cognição da ação incidental, e o recurso cabível é a apelação; havendo divergência na interpretação sobre essa natureza, a dúvida objetiva autoriza a fungibilidade do agravo de instrumento, afastado o erro grosseiro.</w:t>
            </w:r>
          </w:p>
        </w:tc>
      </w:tr>
    </w:tbl>
    <w:p>
      <w:pPr>
        <w:pStyle w:val="BodyText"/>
        <w:spacing w:after="60"/>
        <w:jc w:val="both"/>
      </w:pPr>
      <w:r>
        <w:t xml:space="preserve">§ 2º Se a parte não contestar ou se a concordância for parcial, observar-se-á o procedimento comum.</w:t>
      </w:r>
    </w:p>
    <w:bookmarkEnd w:id="490"/>
    <w:bookmarkStart w:id="491" w:name="art.-715"/>
    <w:p>
      <w:pPr>
        <w:pStyle w:val="Heading6"/>
        <w:pBdr>
          <w:left w:val="single" w:sz="36" w:space="4" w:color="2E75B6"/>
        </w:pBdr>
        <w:shd w:val="clear" w:color="auto" w:fill="E3EEF9"/>
        <w:spacing w:before="120" w:after="60"/>
        <w:ind w:left="85"/>
      </w:pPr>
      <w:r>
        <w:rPr>
          <w:i w:val="0"/>
          <w:color w:val="1F3A5F"/>
          <w:sz w:val="22"/>
        </w:rPr>
        <w:t xml:space="preserve">Art. 715</w:t>
      </w:r>
    </w:p>
    <w:p>
      <w:pPr>
        <w:pStyle w:val="FirstParagraph"/>
        <w:spacing w:after="60"/>
        <w:jc w:val="both"/>
      </w:pPr>
      <w:r>
        <w:rPr>
          <w:b/>
          <w:bCs/>
        </w:rPr>
        <w:t xml:space="preserve">Art. 715.</w:t>
      </w:r>
      <w:r>
        <w:t xml:space="preserve"> </w:t>
      </w:r>
      <w:r>
        <w:t xml:space="preserve">Se a perda dos autos tiver ocorrido depois da produção das provas em audiência, o juiz, se necessário, mandará repeti-las.</w:t>
      </w:r>
    </w:p>
    <w:p>
      <w:pPr>
        <w:pStyle w:val="BodyText"/>
        <w:spacing w:after="60"/>
        <w:jc w:val="both"/>
      </w:pPr>
      <w:r>
        <w:t xml:space="preserve">§ 1º Serão reinquiridas as mesmas testemunhas, que, em caso de impossibilidade, poderão ser substituídas de ofício ou a requerimento.</w:t>
      </w:r>
    </w:p>
    <w:p>
      <w:pPr>
        <w:pStyle w:val="BodyText"/>
        <w:spacing w:after="60"/>
        <w:jc w:val="both"/>
      </w:pPr>
      <w:r>
        <w:t xml:space="preserve">§ 2º Não havendo certidão ou cópia do laudo, far-se-á nova perícia, sempre que possível pelo mesmo perito.</w:t>
      </w:r>
    </w:p>
    <w:p>
      <w:pPr>
        <w:pStyle w:val="BodyText"/>
        <w:spacing w:after="60"/>
        <w:jc w:val="both"/>
      </w:pPr>
      <w:r>
        <w:t xml:space="preserve">§ 3º Não havendo certidão de documentos, esses serão reconstituídos mediante cópias ou, na falta dessas, pelos meios ordinários de prova.</w:t>
      </w:r>
    </w:p>
    <w:p>
      <w:pPr>
        <w:pStyle w:val="BodyText"/>
        <w:spacing w:after="60"/>
        <w:jc w:val="both"/>
      </w:pPr>
      <w:r>
        <w:t xml:space="preserve">§ 4º Os serventuários e os auxiliares da justiça não podem eximir-se de depor como testemunhas a respeito de atos que tenham praticado ou assistido.</w:t>
      </w:r>
    </w:p>
    <w:p>
      <w:pPr>
        <w:pStyle w:val="BodyText"/>
        <w:spacing w:after="60"/>
        <w:jc w:val="both"/>
      </w:pPr>
      <w:r>
        <w:t xml:space="preserve">§ 5º Se o juiz houver proferido sentença da qual ele próprio ou o escrivão possua cópia, esta será juntada aos autos e terá a mesma autoridade da original.</w:t>
      </w:r>
    </w:p>
    <w:bookmarkEnd w:id="491"/>
    <w:bookmarkStart w:id="492" w:name="art.-716"/>
    <w:p>
      <w:pPr>
        <w:pStyle w:val="Heading6"/>
        <w:pBdr>
          <w:left w:val="single" w:sz="36" w:space="4" w:color="2E75B6"/>
        </w:pBdr>
        <w:shd w:val="clear" w:color="auto" w:fill="E3EEF9"/>
        <w:spacing w:before="120" w:after="60"/>
        <w:ind w:left="85"/>
      </w:pPr>
      <w:r>
        <w:rPr>
          <w:i w:val="0"/>
          <w:color w:val="1F3A5F"/>
          <w:sz w:val="22"/>
        </w:rPr>
        <w:t xml:space="preserve">Art. 716</w:t>
      </w:r>
    </w:p>
    <w:p>
      <w:pPr>
        <w:pStyle w:val="FirstParagraph"/>
        <w:keepNext/>
        <w:spacing w:after="60"/>
        <w:jc w:val="both"/>
      </w:pPr>
      <w:r>
        <w:rPr>
          <w:b/>
          <w:bCs/>
        </w:rPr>
        <w:t xml:space="preserve">Art. 716.</w:t>
      </w:r>
      <w:r>
        <w:t xml:space="preserve"> </w:t>
      </w:r>
      <w:r>
        <w:t xml:space="preserve">Julgada a restauração, seguirá o processo os seus termos.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531"/>
          </w:tcPr>
          <w:p>
            <w:pPr>
              <w:pStyle w:val="Compact"/>
              <w:spacing w:line="276" w:lineRule="auto" w:before="40" w:after="40"/>
            </w:pPr>
            <w:r>
              <w:rPr>
                <w:rFonts w:ascii="Liberation Sans Narrow" w:hAnsi="Liberation Sans Narrow"/>
                <w:sz w:val="17"/>
              </w:rPr>
              <w:t xml:space="preserve">Caput — orientação de aplicação (aplicação narrada)</w:t>
            </w:r>
          </w:p>
        </w:tc>
        <w:tc>
          <w:tcPr>
            <w:tcW w:type="dxa" w:w="1655"/>
          </w:tcPr>
          <w:p>
            <w:pPr>
              <w:pStyle w:val="Compact"/>
              <w:spacing w:line="276" w:lineRule="auto" w:before="40" w:after="40"/>
            </w:pPr>
            <w:r>
              <w:rPr>
                <w:rFonts w:ascii="Liberation Sans Narrow" w:hAnsi="Liberation Sans Narrow"/>
                <w:sz w:val="17"/>
              </w:rPr>
              <w:t xml:space="preserve">STJ, REsp 2.207.935, Terceira Turma, relatora Min. Nancy Andrighi, julgado em 16/10/2025, DJEN de 23/10/2025</w:t>
            </w:r>
          </w:p>
        </w:tc>
        <w:tc>
          <w:tcPr>
            <w:tcW w:type="dxa" w:w="1905"/>
          </w:tcPr>
          <w:p>
            <w:pPr>
              <w:pStyle w:val="Compact"/>
              <w:spacing w:line="276" w:lineRule="auto" w:before="40" w:after="40"/>
            </w:pPr>
            <w:r>
              <w:rPr>
                <w:rFonts w:ascii="Liberation Sans Narrow" w:hAnsi="Liberation Sans Narrow"/>
                <w:sz w:val="17"/>
              </w:rPr>
              <w:t xml:space="preserve">O ato judicial que homologa (art. 714, § 1º) ou julga a restauração de autos (art. 716) tem natureza de sentença, por pôr fim ao procedimento especial, de modo que o recurso cabível é a apelação, admitida a fungibilidade quando houver dúvida objetiva quanto ao recurso. Trecho: “O ato judicial que homologa (art. 714, § 1º, do CPC) ou julga a restauração de autos (art. 716 do CPC) tem natureza jurídica de sentença, uma vez que põe fim ao procedimento especial, encerrando a cognição própria daquela autônoma ação incidental”</w:t>
            </w:r>
          </w:p>
        </w:tc>
      </w:tr>
    </w:tbl>
    <w:p>
      <w:pPr>
        <w:pStyle w:val="BodyText"/>
        <w:spacing w:after="60"/>
        <w:jc w:val="both"/>
      </w:pPr>
      <w:r>
        <w:t xml:space="preserve">Parágrafo único. Aparecendo os autos originais, neles se prosseguirá, sendo-lhes apensados os autos da restauração.</w:t>
      </w:r>
    </w:p>
    <w:bookmarkEnd w:id="492"/>
    <w:bookmarkStart w:id="493" w:name="art.-717"/>
    <w:p>
      <w:pPr>
        <w:pStyle w:val="Heading6"/>
        <w:pBdr>
          <w:left w:val="single" w:sz="36" w:space="4" w:color="2E75B6"/>
        </w:pBdr>
        <w:shd w:val="clear" w:color="auto" w:fill="E3EEF9"/>
        <w:spacing w:before="120" w:after="60"/>
        <w:ind w:left="85"/>
      </w:pPr>
      <w:r>
        <w:rPr>
          <w:i w:val="0"/>
          <w:color w:val="1F3A5F"/>
          <w:sz w:val="22"/>
        </w:rPr>
        <w:t xml:space="preserve">Art. 717</w:t>
      </w:r>
    </w:p>
    <w:p>
      <w:pPr>
        <w:pStyle w:val="FirstParagraph"/>
        <w:spacing w:after="60"/>
        <w:jc w:val="both"/>
      </w:pPr>
      <w:r>
        <w:rPr>
          <w:b/>
          <w:bCs/>
        </w:rPr>
        <w:t xml:space="preserve">Art. 717.</w:t>
      </w:r>
      <w:r>
        <w:t xml:space="preserve"> </w:t>
      </w:r>
      <w:r>
        <w:t xml:space="preserve">Se o desaparecimento dos autos tiver ocorrido no tribunal, o processo de restauração será distribuído, sempre que possível, ao relator do processo.</w:t>
      </w:r>
    </w:p>
    <w:p>
      <w:pPr>
        <w:pStyle w:val="BodyText"/>
        <w:spacing w:after="60"/>
        <w:jc w:val="both"/>
      </w:pPr>
      <w:r>
        <w:t xml:space="preserve">§ 1º A restauração far-se-á no juízo de origem quanto aos atos nele realizados.</w:t>
      </w:r>
    </w:p>
    <w:p>
      <w:pPr>
        <w:pStyle w:val="BodyText"/>
        <w:spacing w:after="60"/>
        <w:jc w:val="both"/>
      </w:pPr>
      <w:r>
        <w:t xml:space="preserve">§ 2º Remetidos os autos ao tribunal, nele completar-se-á a restauração e proceder-se-á ao julgamento.</w:t>
      </w:r>
    </w:p>
    <w:bookmarkEnd w:id="493"/>
    <w:bookmarkStart w:id="494" w:name="art.-718"/>
    <w:p>
      <w:pPr>
        <w:pStyle w:val="Heading6"/>
        <w:pBdr>
          <w:left w:val="single" w:sz="36" w:space="4" w:color="2E75B6"/>
        </w:pBdr>
        <w:shd w:val="clear" w:color="auto" w:fill="E3EEF9"/>
        <w:spacing w:before="120" w:after="60"/>
        <w:ind w:left="85"/>
      </w:pPr>
      <w:r>
        <w:rPr>
          <w:i w:val="0"/>
          <w:color w:val="1F3A5F"/>
          <w:sz w:val="22"/>
        </w:rPr>
        <w:t xml:space="preserve">Art. 718</w:t>
      </w:r>
    </w:p>
    <w:p>
      <w:pPr>
        <w:pStyle w:val="FirstParagraph"/>
        <w:spacing w:after="60"/>
        <w:jc w:val="both"/>
      </w:pPr>
      <w:r>
        <w:rPr>
          <w:b/>
          <w:bCs/>
        </w:rPr>
        <w:t xml:space="preserve">Art. 718.</w:t>
      </w:r>
      <w:r>
        <w:t xml:space="preserve"> </w:t>
      </w:r>
      <w:r>
        <w:t xml:space="preserve">Quem houver dado causa ao desaparecimento dos autos responderá pelas custas da restauração e pelos honorários de advogado, sem prejuízo da responsabilidade civil ou penal em que incorrer.</w:t>
      </w:r>
    </w:p>
    <w:bookmarkEnd w:id="494"/>
    <w:bookmarkEnd w:id="495"/>
    <w:bookmarkStart w:id="560" w:name="X63fbf3e33072cd035a42e7c199f19bf1364ad63"/>
    <w:p>
      <w:pPr>
        <w:pStyle w:val="Heading4"/>
        <w:spacing w:before="80" w:after="40"/>
      </w:pPr>
      <w:r>
        <w:rPr>
          <w:smallCaps/>
          <w:color w:val="2E75B6"/>
        </w:rPr>
        <w:t xml:space="preserve">Capítulo XV: dos procedimentos de jurisdição voluntária (arts. 719 a 770)</w:t>
      </w:r>
    </w:p>
    <w:bookmarkStart w:id="503" w:name="Xaabea7b7feb6209b33cd0e9e917a9ee3d4ca34c"/>
    <w:p>
      <w:pPr>
        <w:pStyle w:val="Heading5"/>
        <w:spacing w:before="60" w:after="20"/>
      </w:pPr>
      <w:r>
        <w:rPr>
          <w:i/>
          <w:color w:val="595959"/>
        </w:rPr>
        <w:t xml:space="preserve">Seção I: disposições gerais (arts. 719 a 725)</w:t>
      </w:r>
    </w:p>
    <w:bookmarkStart w:id="496" w:name="art.-719"/>
    <w:p>
      <w:pPr>
        <w:pStyle w:val="Heading6"/>
        <w:pBdr>
          <w:left w:val="single" w:sz="36" w:space="4" w:color="2E75B6"/>
        </w:pBdr>
        <w:shd w:val="clear" w:color="auto" w:fill="E3EEF9"/>
        <w:spacing w:before="120" w:after="60"/>
        <w:ind w:left="85"/>
      </w:pPr>
      <w:r>
        <w:rPr>
          <w:i w:val="0"/>
          <w:color w:val="1F3A5F"/>
          <w:sz w:val="22"/>
        </w:rPr>
        <w:t xml:space="preserve">Art. 719</w:t>
      </w:r>
    </w:p>
    <w:p>
      <w:pPr>
        <w:pStyle w:val="FirstParagraph"/>
        <w:keepNext/>
        <w:spacing w:after="60"/>
        <w:jc w:val="both"/>
      </w:pPr>
      <w:r>
        <w:rPr>
          <w:b/>
          <w:bCs/>
        </w:rPr>
        <w:t xml:space="preserve">Art. 719.</w:t>
      </w:r>
      <w:r>
        <w:t xml:space="preserve"> </w:t>
      </w:r>
      <w:r>
        <w:t xml:space="preserve">Quando este Código não estabelecer procedimento especial, regem os procedimentos de jurisdição voluntária as disposições constantes desta Seção.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530"/>
        <w:gridCol w:w="1905"/>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905"/>
          </w:tcPr>
          <w:p>
            <w:pPr>
              <w:pStyle w:val="Compact"/>
              <w:spacing w:line="276" w:lineRule="auto" w:before="40" w:after="40"/>
            </w:pPr>
            <w:r>
              <w:rPr>
                <w:rFonts w:ascii="Liberation Sans Narrow" w:hAnsi="Liberation Sans Narrow"/>
                <w:sz w:val="17"/>
              </w:rPr>
              <w:t xml:space="preserve">caput — exame dos requisitos extrínsecos (orientação de aplicação) (aplicação narrada)</w:t>
            </w:r>
          </w:p>
        </w:tc>
        <w:tc>
          <w:tcPr>
            <w:tcW w:type="dxa" w:w="1531"/>
          </w:tcPr>
          <w:p>
            <w:pPr>
              <w:pStyle w:val="Compact"/>
              <w:spacing w:line="276" w:lineRule="auto" w:before="40" w:after="40"/>
            </w:pPr>
            <w:r>
              <w:rPr>
                <w:rFonts w:ascii="Liberation Sans Narrow" w:hAnsi="Liberation Sans Narrow"/>
                <w:sz w:val="17"/>
              </w:rPr>
              <w:t xml:space="preserve">STJ, REsp 2.115.909, Terceira Turma, relator Min. Moura Ribeiro, julgado em 16/06/2026</w:t>
            </w:r>
          </w:p>
        </w:tc>
        <w:tc>
          <w:tcPr>
            <w:tcW w:type="dxa" w:w="1905"/>
          </w:tcPr>
          <w:p>
            <w:pPr>
              <w:pStyle w:val="Compact"/>
              <w:spacing w:line="276" w:lineRule="auto" w:before="40" w:after="40"/>
            </w:pPr>
            <w:r>
              <w:rPr>
                <w:rFonts w:ascii="Liberation Sans Narrow" w:hAnsi="Liberation Sans Narrow"/>
                <w:sz w:val="17"/>
              </w:rPr>
              <w:t xml:space="preserve">Nos procedimentos de jurisdição voluntária, a verificação dos requisitos extrínsecos do ato se faz de plano; a citação dos interessados e a dilação probatória não se prestam a suprir a ausência dos requisitos legais de validade, quando a lei exige forma escrita e assinada. Trecho: “A dilação probatória e a citação de herdeiros não se prestam a suprir a inexistência de assinatura e de leitura perante testemunhas, pois prova oral não cria testamento onde a lei exige forma escrita e assinada.”</w:t>
            </w:r>
          </w:p>
        </w:tc>
      </w:tr>
      <w:tr>
        <w:trPr>
          <w:cantSplit/>
        </w:trPr>
        <w:tc>
          <w:tcPr>
            <w:tcW w:type="dxa" w:w="1905"/>
          </w:tcPr>
          <w:p>
            <w:pPr>
              <w:pStyle w:val="Compact"/>
              <w:spacing w:line="276" w:lineRule="auto" w:before="40" w:after="40"/>
            </w:pPr>
            <w:r>
              <w:rPr>
                <w:rFonts w:ascii="Liberation Sans Narrow" w:hAnsi="Liberation Sans Narrow"/>
                <w:sz w:val="17"/>
              </w:rPr>
              <w:t xml:space="preserve">Caput — honorários na jurisdição voluntária com litigiosidade</w:t>
            </w:r>
          </w:p>
        </w:tc>
        <w:tc>
          <w:tcPr>
            <w:tcW w:type="dxa" w:w="1531"/>
          </w:tcPr>
          <w:p>
            <w:pPr>
              <w:pStyle w:val="Compact"/>
              <w:spacing w:line="276" w:lineRule="auto" w:before="40" w:after="40"/>
            </w:pPr>
            <w:r>
              <w:rPr>
                <w:rFonts w:ascii="Liberation Sans Narrow" w:hAnsi="Liberation Sans Narrow"/>
                <w:sz w:val="17"/>
              </w:rPr>
              <w:t xml:space="preserve">STJ, AgInt no AREsp 1.562.651, Terceira Turma, relator Min. Moura Ribeiro, DJe de 13/05/2021</w:t>
            </w:r>
          </w:p>
        </w:tc>
        <w:tc>
          <w:tcPr>
            <w:tcW w:type="dxa" w:w="1905"/>
          </w:tcPr>
          <w:p>
            <w:pPr>
              <w:pStyle w:val="Compact"/>
              <w:spacing w:line="276" w:lineRule="auto" w:before="40" w:after="40"/>
            </w:pPr>
            <w:r>
              <w:rPr>
                <w:rFonts w:ascii="Liberation Sans Narrow" w:hAnsi="Liberation Sans Narrow"/>
                <w:sz w:val="17"/>
              </w:rPr>
              <w:t xml:space="preserve">Em procedimento de jurisdição voluntária, a existência de litigiosidade excepciona a regra de não cabimento de condenação em honorários advocatícios; no caso, a discordância dos herdeiros na habilitação de crédito em inventário tornou o procedimento contencioso e autorizou a verba.</w:t>
            </w:r>
          </w:p>
        </w:tc>
      </w:tr>
    </w:tbl>
    <w:bookmarkEnd w:id="496"/>
    <w:bookmarkStart w:id="497" w:name="art.-720"/>
    <w:p>
      <w:pPr>
        <w:pStyle w:val="Heading6"/>
        <w:pBdr>
          <w:left w:val="single" w:sz="36" w:space="4" w:color="2E75B6"/>
        </w:pBdr>
        <w:shd w:val="clear" w:color="auto" w:fill="E3EEF9"/>
        <w:spacing w:before="120" w:after="60"/>
        <w:ind w:left="85"/>
      </w:pPr>
      <w:r>
        <w:rPr>
          <w:i w:val="0"/>
          <w:color w:val="1F3A5F"/>
          <w:sz w:val="22"/>
        </w:rPr>
        <w:t xml:space="preserve">Art. 720</w:t>
      </w:r>
    </w:p>
    <w:p>
      <w:pPr>
        <w:pStyle w:val="FirstParagraph"/>
        <w:keepNext/>
        <w:spacing w:after="60"/>
        <w:jc w:val="both"/>
      </w:pPr>
      <w:r>
        <w:rPr>
          <w:b/>
          <w:bCs/>
        </w:rPr>
        <w:t xml:space="preserve">Art. 720.</w:t>
      </w:r>
      <w:r>
        <w:t xml:space="preserve"> </w:t>
      </w:r>
      <w:r>
        <w:t xml:space="preserve">O procedimento terá início por provocação do interessado, do Ministério Público ou da Defensoria Pública, cabendo-lhes formular o pedido devidamente instruído com os documentos necessários e com a indicação da providência judicial.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531"/>
          </w:tcPr>
          <w:p>
            <w:pPr>
              <w:pStyle w:val="Compact"/>
              <w:spacing w:line="276" w:lineRule="auto" w:before="40" w:after="40"/>
            </w:pPr>
            <w:r>
              <w:rPr>
                <w:rFonts w:ascii="Liberation Sans Narrow" w:hAnsi="Liberation Sans Narrow"/>
                <w:sz w:val="17"/>
              </w:rPr>
              <w:t xml:space="preserve">Caput — orientação de aplicação (aplicação narrada)</w:t>
            </w:r>
          </w:p>
        </w:tc>
        <w:tc>
          <w:tcPr>
            <w:tcW w:type="dxa" w:w="1655"/>
          </w:tcPr>
          <w:p>
            <w:pPr>
              <w:pStyle w:val="Compact"/>
              <w:spacing w:line="276" w:lineRule="auto" w:before="40" w:after="40"/>
            </w:pPr>
            <w:r>
              <w:rPr>
                <w:rFonts w:ascii="Liberation Sans Narrow" w:hAnsi="Liberation Sans Narrow"/>
                <w:sz w:val="17"/>
              </w:rPr>
              <w:t xml:space="preserve">STJ, REsp 2.118.304, Terceira Turma, relator Min. Humberto Martins, julgado em 12/08/2026, DJEN de 17/08/2026</w:t>
            </w:r>
          </w:p>
        </w:tc>
        <w:tc>
          <w:tcPr>
            <w:tcW w:type="dxa" w:w="2030"/>
          </w:tcPr>
          <w:p>
            <w:pPr>
              <w:pStyle w:val="Compact"/>
              <w:spacing w:line="276" w:lineRule="auto" w:before="40" w:after="40"/>
            </w:pPr>
            <w:r>
              <w:rPr>
                <w:rFonts w:ascii="Liberation Sans Narrow" w:hAnsi="Liberation Sans Narrow"/>
                <w:sz w:val="17"/>
              </w:rPr>
              <w:t xml:space="preserve">Em procedimento de jurisdição voluntária que envolve ato de disposição patrimonial por curador em nome de interdito, incide com intensidade o dever de cautela do magistrado (art. 723 do CPC), que pode exigir os documentos indispensáveis à aferição da higidez do negócio, inclusive o comprovante de quitação do preço e o formal de partilha ou equivalente. Trecho: “Em procedimento de jurisdição voluntária que envolve ato de disposição patrimonial por curador em nome de interdito, incide com intensidade o dever de cautela do magistrado (art.”</w:t>
            </w:r>
          </w:p>
        </w:tc>
      </w:tr>
    </w:tbl>
    <w:bookmarkEnd w:id="497"/>
    <w:bookmarkStart w:id="498" w:name="art.-721"/>
    <w:p>
      <w:pPr>
        <w:pStyle w:val="Heading6"/>
        <w:pBdr>
          <w:left w:val="single" w:sz="36" w:space="4" w:color="2E75B6"/>
        </w:pBdr>
        <w:shd w:val="clear" w:color="auto" w:fill="E3EEF9"/>
        <w:spacing w:before="120" w:after="60"/>
        <w:ind w:left="85"/>
      </w:pPr>
      <w:r>
        <w:rPr>
          <w:i w:val="0"/>
          <w:color w:val="1F3A5F"/>
          <w:sz w:val="22"/>
        </w:rPr>
        <w:t xml:space="preserve">Art. 721</w:t>
      </w:r>
    </w:p>
    <w:p>
      <w:pPr>
        <w:pStyle w:val="FirstParagraph"/>
        <w:spacing w:after="60"/>
        <w:jc w:val="both"/>
      </w:pPr>
      <w:r>
        <w:rPr>
          <w:b/>
          <w:bCs/>
        </w:rPr>
        <w:t xml:space="preserve">Art. 721.</w:t>
      </w:r>
      <w:r>
        <w:t xml:space="preserve"> </w:t>
      </w:r>
      <w:r>
        <w:t xml:space="preserve">Serão citados todos os interessados, bem como intimado o Ministério Público, nos casos do art. 178, para que se manifestem, querendo, no prazo de 15 (quinze) dias.</w:t>
      </w:r>
    </w:p>
    <w:bookmarkEnd w:id="498"/>
    <w:bookmarkStart w:id="499" w:name="art.-722"/>
    <w:p>
      <w:pPr>
        <w:pStyle w:val="Heading6"/>
        <w:pBdr>
          <w:left w:val="single" w:sz="36" w:space="4" w:color="2E75B6"/>
        </w:pBdr>
        <w:shd w:val="clear" w:color="auto" w:fill="E3EEF9"/>
        <w:spacing w:before="120" w:after="60"/>
        <w:ind w:left="85"/>
      </w:pPr>
      <w:r>
        <w:rPr>
          <w:i w:val="0"/>
          <w:color w:val="1F3A5F"/>
          <w:sz w:val="22"/>
        </w:rPr>
        <w:t xml:space="preserve">Art. 722</w:t>
      </w:r>
    </w:p>
    <w:p>
      <w:pPr>
        <w:pStyle w:val="FirstParagraph"/>
        <w:spacing w:after="60"/>
        <w:jc w:val="both"/>
      </w:pPr>
      <w:r>
        <w:rPr>
          <w:b/>
          <w:bCs/>
        </w:rPr>
        <w:t xml:space="preserve">Art. 722.</w:t>
      </w:r>
      <w:r>
        <w:t xml:space="preserve"> </w:t>
      </w:r>
      <w:r>
        <w:t xml:space="preserve">A Fazenda Pública será sempre ouvida nos casos em que tiver interesse.</w:t>
      </w:r>
    </w:p>
    <w:bookmarkEnd w:id="499"/>
    <w:bookmarkStart w:id="500" w:name="art.-723"/>
    <w:p>
      <w:pPr>
        <w:pStyle w:val="Heading6"/>
        <w:pBdr>
          <w:left w:val="single" w:sz="36" w:space="4" w:color="2E75B6"/>
        </w:pBdr>
        <w:shd w:val="clear" w:color="auto" w:fill="E3EEF9"/>
        <w:spacing w:before="120" w:after="60"/>
        <w:ind w:left="85"/>
      </w:pPr>
      <w:r>
        <w:rPr>
          <w:i w:val="0"/>
          <w:color w:val="1F3A5F"/>
          <w:sz w:val="22"/>
        </w:rPr>
        <w:t xml:space="preserve">Art. 723</w:t>
      </w:r>
    </w:p>
    <w:p>
      <w:pPr>
        <w:pStyle w:val="FirstParagraph"/>
        <w:spacing w:after="60"/>
        <w:jc w:val="both"/>
      </w:pPr>
      <w:r>
        <w:rPr>
          <w:b/>
          <w:bCs/>
        </w:rPr>
        <w:t xml:space="preserve">Art. 723.</w:t>
      </w:r>
      <w:r>
        <w:t xml:space="preserve"> </w:t>
      </w:r>
      <w:r>
        <w:t xml:space="preserve">O juiz decidirá o pedido no prazo de 10 (dez) dias.</w:t>
      </w:r>
    </w:p>
    <w:p>
      <w:pPr>
        <w:pStyle w:val="BodyText"/>
        <w:spacing w:after="60"/>
        <w:jc w:val="both"/>
      </w:pPr>
      <w:r>
        <w:t xml:space="preserve">Parágrafo único. O juiz não é obrigado a observar critério de legalidade estrita, podendo adotar em cada caso a solução que considerar mais conveniente ou oportuna.</w:t>
      </w:r>
    </w:p>
    <w:bookmarkEnd w:id="500"/>
    <w:bookmarkStart w:id="501" w:name="art.-724"/>
    <w:p>
      <w:pPr>
        <w:pStyle w:val="Heading6"/>
        <w:pBdr>
          <w:left w:val="single" w:sz="36" w:space="4" w:color="2E75B6"/>
        </w:pBdr>
        <w:shd w:val="clear" w:color="auto" w:fill="E3EEF9"/>
        <w:spacing w:before="120" w:after="60"/>
        <w:ind w:left="85"/>
      </w:pPr>
      <w:r>
        <w:rPr>
          <w:i w:val="0"/>
          <w:color w:val="1F3A5F"/>
          <w:sz w:val="22"/>
        </w:rPr>
        <w:t xml:space="preserve">Art. 724</w:t>
      </w:r>
    </w:p>
    <w:p>
      <w:pPr>
        <w:pStyle w:val="FirstParagraph"/>
        <w:spacing w:after="60"/>
        <w:jc w:val="both"/>
      </w:pPr>
      <w:r>
        <w:rPr>
          <w:b/>
          <w:bCs/>
        </w:rPr>
        <w:t xml:space="preserve">Art. 724.</w:t>
      </w:r>
      <w:r>
        <w:t xml:space="preserve"> </w:t>
      </w:r>
      <w:r>
        <w:t xml:space="preserve">Da sentença caberá apelação.</w:t>
      </w:r>
    </w:p>
    <w:bookmarkEnd w:id="501"/>
    <w:bookmarkStart w:id="502" w:name="art.-725"/>
    <w:p>
      <w:pPr>
        <w:pStyle w:val="Heading6"/>
        <w:pBdr>
          <w:left w:val="single" w:sz="36" w:space="4" w:color="2E75B6"/>
        </w:pBdr>
        <w:shd w:val="clear" w:color="auto" w:fill="E3EEF9"/>
        <w:spacing w:before="120" w:after="60"/>
        <w:ind w:left="85"/>
      </w:pPr>
      <w:r>
        <w:rPr>
          <w:i w:val="0"/>
          <w:color w:val="1F3A5F"/>
          <w:sz w:val="22"/>
        </w:rPr>
        <w:t xml:space="preserve">Art. 725</w:t>
      </w:r>
    </w:p>
    <w:p>
      <w:pPr>
        <w:pStyle w:val="FirstParagraph"/>
        <w:spacing w:after="60"/>
        <w:jc w:val="both"/>
      </w:pPr>
      <w:r>
        <w:rPr>
          <w:b/>
          <w:bCs/>
        </w:rPr>
        <w:t xml:space="preserve">Art. 725.</w:t>
      </w:r>
      <w:r>
        <w:t xml:space="preserve"> </w:t>
      </w:r>
      <w:r>
        <w:t xml:space="preserve">Processar-se-á na forma estabelecida nesta Seção o pedido de:</w:t>
      </w:r>
    </w:p>
    <w:p>
      <w:pPr>
        <w:pStyle w:val="BodyText"/>
        <w:spacing w:after="60"/>
        <w:jc w:val="both"/>
      </w:pPr>
      <w:r>
        <w:t xml:space="preserve">I - emancipação;</w:t>
      </w:r>
    </w:p>
    <w:p>
      <w:pPr>
        <w:pStyle w:val="BodyText"/>
        <w:spacing w:after="60"/>
        <w:jc w:val="both"/>
      </w:pPr>
      <w:r>
        <w:t xml:space="preserve">II - sub-rogação;</w:t>
      </w:r>
    </w:p>
    <w:p>
      <w:pPr>
        <w:pStyle w:val="BodyText"/>
        <w:spacing w:after="60"/>
        <w:jc w:val="both"/>
      </w:pPr>
      <w:r>
        <w:t xml:space="preserve">III - alienação, arrendamento ou oneração de bens de crianças ou adolescentes, de órfãos e de interditos;</w:t>
      </w:r>
    </w:p>
    <w:p>
      <w:pPr>
        <w:pStyle w:val="BodyText"/>
        <w:spacing w:after="60"/>
        <w:jc w:val="both"/>
      </w:pPr>
      <w:r>
        <w:t xml:space="preserve">IV - alienação, locação e administração da coisa comum;</w:t>
      </w:r>
    </w:p>
    <w:p>
      <w:pPr>
        <w:pStyle w:val="BodyText"/>
        <w:spacing w:after="60"/>
        <w:jc w:val="both"/>
      </w:pPr>
      <w:r>
        <w:t xml:space="preserve">V - alienação de quinhão em coisa comum;</w:t>
      </w:r>
    </w:p>
    <w:p>
      <w:pPr>
        <w:pStyle w:val="BodyText"/>
        <w:keepNext/>
        <w:spacing w:after="60"/>
        <w:jc w:val="both"/>
      </w:pPr>
      <w:r>
        <w:t xml:space="preserve">VI - extinção de usufruto, quando não decorrer da morte do usufrutuário, do termo da sua duração ou da consolidação, e de fideicomisso, quando decorrer de renúncia ou quando ocorrer antes do evento que caracterizar a condição resolutória;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VI — aplicação (aplicação narrada)</w:t>
            </w:r>
          </w:p>
        </w:tc>
        <w:tc>
          <w:tcPr>
            <w:tcW w:type="dxa" w:w="1655"/>
          </w:tcPr>
          <w:p>
            <w:pPr>
              <w:pStyle w:val="Compact"/>
              <w:spacing w:line="276" w:lineRule="auto" w:before="40" w:after="40"/>
            </w:pPr>
            <w:r>
              <w:rPr>
                <w:rFonts w:ascii="Liberation Sans Narrow" w:hAnsi="Liberation Sans Narrow"/>
                <w:sz w:val="17"/>
              </w:rPr>
              <w:t xml:space="preserve">STJ, AREsp 2.601.607, Quarta Turma, relator Min. Raul Araújo, julgado em 22/09/2025, DJEN de 26/09/2025</w:t>
            </w:r>
          </w:p>
        </w:tc>
        <w:tc>
          <w:tcPr>
            <w:tcW w:type="dxa" w:w="2030"/>
          </w:tcPr>
          <w:p>
            <w:pPr>
              <w:pStyle w:val="Compact"/>
              <w:spacing w:line="276" w:lineRule="auto" w:before="40" w:after="40"/>
            </w:pPr>
            <w:r>
              <w:rPr>
                <w:rFonts w:ascii="Liberation Sans Narrow" w:hAnsi="Liberation Sans Narrow"/>
                <w:sz w:val="17"/>
              </w:rPr>
              <w:t xml:space="preserve">A extinção do usufruto por descumprimento das obrigações do usufrutuário deve ser apurada em procedimento judicial próprio, na forma do art. 725, VI, do CPC. Trecho: “A extinção do usufruto por descumprimento das obrigações do usufrutuário deve ser apurada em procedimento judicial próprio, conforme art.”</w:t>
            </w:r>
          </w:p>
        </w:tc>
      </w:tr>
    </w:tbl>
    <w:p>
      <w:pPr>
        <w:pStyle w:val="BodyText"/>
        <w:spacing w:after="60"/>
        <w:jc w:val="both"/>
      </w:pPr>
      <w:r>
        <w:t xml:space="preserve">VII - expedição de alvará judicial;</w:t>
      </w:r>
    </w:p>
    <w:p>
      <w:pPr>
        <w:pStyle w:val="BodyText"/>
        <w:spacing w:after="60"/>
        <w:jc w:val="both"/>
      </w:pPr>
      <w:r>
        <w:t xml:space="preserve">VIII - homologação de autocomposição extrajudicial, de qualquer natureza ou valor.</w:t>
      </w:r>
    </w:p>
    <w:p>
      <w:pPr>
        <w:pStyle w:val="BodyText"/>
        <w:spacing w:after="60"/>
        <w:jc w:val="both"/>
      </w:pPr>
      <w:r>
        <w:t xml:space="preserve">Parágrafo único. As normas desta Seção aplicam-se, no que couber, aos procedimentos regulados nas seções seguintes.</w:t>
      </w:r>
    </w:p>
    <w:bookmarkEnd w:id="502"/>
    <w:bookmarkEnd w:id="503"/>
    <w:bookmarkStart w:id="508" w:name="Xb12b26786314680f9428c186d322a794d3a03c1"/>
    <w:p>
      <w:pPr>
        <w:pStyle w:val="Heading5"/>
        <w:spacing w:before="60" w:after="20"/>
      </w:pPr>
      <w:r>
        <w:rPr>
          <w:i/>
          <w:color w:val="595959"/>
        </w:rPr>
        <w:t xml:space="preserve">Seção II: da notificação e da interpelação (arts. 726 a 729)</w:t>
      </w:r>
    </w:p>
    <w:bookmarkStart w:id="504" w:name="art.-726"/>
    <w:p>
      <w:pPr>
        <w:pStyle w:val="Heading6"/>
        <w:pBdr>
          <w:left w:val="single" w:sz="36" w:space="4" w:color="2E75B6"/>
        </w:pBdr>
        <w:shd w:val="clear" w:color="auto" w:fill="E3EEF9"/>
        <w:spacing w:before="120" w:after="60"/>
        <w:ind w:left="85"/>
      </w:pPr>
      <w:r>
        <w:rPr>
          <w:i w:val="0"/>
          <w:color w:val="1F3A5F"/>
          <w:sz w:val="22"/>
        </w:rPr>
        <w:t xml:space="preserve">Art. 726</w:t>
      </w:r>
    </w:p>
    <w:p>
      <w:pPr>
        <w:pStyle w:val="FirstParagraph"/>
        <w:keepNext/>
        <w:spacing w:after="60"/>
        <w:jc w:val="both"/>
      </w:pPr>
      <w:r>
        <w:rPr>
          <w:b/>
          <w:bCs/>
        </w:rPr>
        <w:t xml:space="preserve">Art. 726.</w:t>
      </w:r>
      <w:r>
        <w:t xml:space="preserve"> </w:t>
      </w:r>
      <w:r>
        <w:t xml:space="preserve">Quem tiver interesse em manifestar formalmente sua vontade a outrem sobre assunto juridicamente relevante poderá notificar pessoas participantes da mesma relação jurídica para dar-lhes ciência de seu propósito.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27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Protesto contra a alienação de bens: legítimo interesse e bem de família</w:t>
            </w:r>
          </w:p>
        </w:tc>
        <w:tc>
          <w:tcPr>
            <w:tcW w:type="dxa" w:w="1655"/>
          </w:tcPr>
          <w:p>
            <w:pPr>
              <w:pStyle w:val="Compact"/>
              <w:spacing w:line="276" w:lineRule="auto" w:before="40" w:after="40"/>
            </w:pPr>
            <w:r>
              <w:rPr>
                <w:rFonts w:ascii="Liberation Sans Narrow" w:hAnsi="Liberation Sans Narrow"/>
                <w:sz w:val="17"/>
              </w:rPr>
              <w:t xml:space="preserve">STJ, REsp 1.236.057, Quarta Turma, relator Min. Antonio Carlos Ferreira, julgado em 06/04/2021, DJe de 28/04/2021</w:t>
            </w:r>
          </w:p>
        </w:tc>
        <w:tc>
          <w:tcPr>
            <w:tcW w:type="dxa" w:w="2279"/>
          </w:tcPr>
          <w:p>
            <w:pPr>
              <w:pStyle w:val="Compact"/>
              <w:spacing w:line="276" w:lineRule="auto" w:before="40" w:after="40"/>
            </w:pPr>
            <w:r>
              <w:rPr>
                <w:rFonts w:ascii="Liberation Sans Narrow" w:hAnsi="Liberation Sans Narrow"/>
                <w:sz w:val="17"/>
              </w:rPr>
              <w:t xml:space="preserve">O protesto contra a alienação de bens pressupõe legítimo interesse e não prejudicialidade efetiva da medida. Quanto ao bem de família, ele não impede nem anula a venda: apenas informa terceiros de boa-fé da pretensão do credor, caso se afaste a proteção da Lei 8.009/1990.</w:t>
            </w:r>
          </w:p>
        </w:tc>
      </w:tr>
      <w:tr>
        <w:trPr>
          <w:cantSplit/>
        </w:trPr>
        <w:tc>
          <w:tcPr>
            <w:tcW w:type="dxa" w:w="1531"/>
          </w:tcPr>
          <w:p>
            <w:pPr>
              <w:pStyle w:val="Compact"/>
              <w:spacing w:line="276" w:lineRule="auto" w:before="40" w:after="40"/>
            </w:pPr>
            <w:r>
              <w:rPr>
                <w:rFonts w:ascii="Liberation Sans Narrow" w:hAnsi="Liberation Sans Narrow"/>
                <w:sz w:val="17"/>
              </w:rPr>
              <w:t xml:space="preserve">Embargos de terceiro contra a averbação do protesto: falta de interesse processual</w:t>
            </w:r>
          </w:p>
        </w:tc>
        <w:tc>
          <w:tcPr>
            <w:tcW w:type="dxa" w:w="1655"/>
          </w:tcPr>
          <w:p>
            <w:pPr>
              <w:pStyle w:val="Compact"/>
              <w:spacing w:line="276" w:lineRule="auto" w:before="40" w:after="40"/>
            </w:pPr>
            <w:r>
              <w:rPr>
                <w:rFonts w:ascii="Liberation Sans Narrow" w:hAnsi="Liberation Sans Narrow"/>
                <w:sz w:val="17"/>
              </w:rPr>
              <w:t xml:space="preserve">STJ, REsp 1.758.858, Terceira Turma, relatora Min. Nancy Andrighi, julgado em 19/05/2020, DJe de 25/05/2020</w:t>
            </w:r>
          </w:p>
        </w:tc>
        <w:tc>
          <w:tcPr>
            <w:tcW w:type="dxa" w:w="2279"/>
          </w:tcPr>
          <w:p>
            <w:pPr>
              <w:pStyle w:val="Compact"/>
              <w:spacing w:line="276" w:lineRule="auto" w:before="40" w:after="40"/>
            </w:pPr>
            <w:r>
              <w:rPr>
                <w:rFonts w:ascii="Liberation Sans Narrow" w:hAnsi="Liberation Sans Narrow"/>
                <w:sz w:val="17"/>
              </w:rPr>
              <w:t xml:space="preserve">A averbação do protesto contra a alienação de bens na matrícula é mera publicidade da manifestação de vontade do promovente, sem efeito sobre as relações jurídicas nem apreensão judicial; faltam necessidade, utilidade e adequação aos embargos de terceiro contra a decisão que a defere.</w:t>
            </w:r>
          </w:p>
        </w:tc>
      </w:tr>
    </w:tbl>
    <w:p>
      <w:pPr>
        <w:pStyle w:val="BodyText"/>
        <w:spacing w:after="60"/>
        <w:jc w:val="both"/>
      </w:pPr>
      <w:r>
        <w:t xml:space="preserve">§ 1º Se a pretensão for a de dar conhecimento geral ao público, mediante edital, o juiz só a deferirá se a tiver por fundada e necessária ao resguardo de direito.</w:t>
      </w:r>
    </w:p>
    <w:p>
      <w:pPr>
        <w:pStyle w:val="BodyText"/>
        <w:spacing w:after="60"/>
        <w:jc w:val="both"/>
      </w:pPr>
      <w:r>
        <w:t xml:space="preserve">§ 2º Aplica-se o disposto nesta Seção, no que couber, ao protesto judicial.</w:t>
      </w:r>
    </w:p>
    <w:bookmarkEnd w:id="504"/>
    <w:bookmarkStart w:id="505" w:name="art.-727"/>
    <w:p>
      <w:pPr>
        <w:pStyle w:val="Heading6"/>
        <w:pBdr>
          <w:left w:val="single" w:sz="36" w:space="4" w:color="2E75B6"/>
        </w:pBdr>
        <w:shd w:val="clear" w:color="auto" w:fill="E3EEF9"/>
        <w:spacing w:before="120" w:after="60"/>
        <w:ind w:left="85"/>
      </w:pPr>
      <w:r>
        <w:rPr>
          <w:i w:val="0"/>
          <w:color w:val="1F3A5F"/>
          <w:sz w:val="22"/>
        </w:rPr>
        <w:t xml:space="preserve">Art. 727</w:t>
      </w:r>
    </w:p>
    <w:p>
      <w:pPr>
        <w:pStyle w:val="FirstParagraph"/>
        <w:spacing w:after="60"/>
        <w:jc w:val="both"/>
      </w:pPr>
      <w:r>
        <w:rPr>
          <w:b/>
          <w:bCs/>
        </w:rPr>
        <w:t xml:space="preserve">Art. 727.</w:t>
      </w:r>
      <w:r>
        <w:t xml:space="preserve"> </w:t>
      </w:r>
      <w:r>
        <w:t xml:space="preserve">Também poderá o interessado interpelar o requerido, no caso do art. 726, para que faça ou deixe de fazer o que o requerente entenda ser de seu direito.</w:t>
      </w:r>
    </w:p>
    <w:bookmarkEnd w:id="505"/>
    <w:bookmarkStart w:id="506" w:name="art.-728"/>
    <w:p>
      <w:pPr>
        <w:pStyle w:val="Heading6"/>
        <w:pBdr>
          <w:left w:val="single" w:sz="36" w:space="4" w:color="2E75B6"/>
        </w:pBdr>
        <w:shd w:val="clear" w:color="auto" w:fill="E3EEF9"/>
        <w:spacing w:before="120" w:after="60"/>
        <w:ind w:left="85"/>
      </w:pPr>
      <w:r>
        <w:rPr>
          <w:i w:val="0"/>
          <w:color w:val="1F3A5F"/>
          <w:sz w:val="22"/>
        </w:rPr>
        <w:t xml:space="preserve">Art. 728</w:t>
      </w:r>
    </w:p>
    <w:p>
      <w:pPr>
        <w:pStyle w:val="FirstParagraph"/>
        <w:spacing w:after="60"/>
        <w:jc w:val="both"/>
      </w:pPr>
      <w:r>
        <w:rPr>
          <w:b/>
          <w:bCs/>
        </w:rPr>
        <w:t xml:space="preserve">Art. 728.</w:t>
      </w:r>
      <w:r>
        <w:t xml:space="preserve"> </w:t>
      </w:r>
      <w:r>
        <w:t xml:space="preserve">O requerido será previamente ouvido antes do deferimento da notificação ou do respectivo edital:</w:t>
      </w:r>
    </w:p>
    <w:p>
      <w:pPr>
        <w:pStyle w:val="BodyText"/>
        <w:spacing w:after="60"/>
        <w:jc w:val="both"/>
      </w:pPr>
      <w:r>
        <w:t xml:space="preserve">I - se houver suspeita de que o requerente, por meio da notificação ou do edital, pretende alcançar fim ilícito;</w:t>
      </w:r>
    </w:p>
    <w:p>
      <w:pPr>
        <w:pStyle w:val="BodyText"/>
        <w:spacing w:after="60"/>
        <w:jc w:val="both"/>
      </w:pPr>
      <w:r>
        <w:t xml:space="preserve">II - se tiver sido requerida a averbação da notificação em registro público.</w:t>
      </w:r>
    </w:p>
    <w:bookmarkEnd w:id="506"/>
    <w:bookmarkStart w:id="507" w:name="art.-729"/>
    <w:p>
      <w:pPr>
        <w:pStyle w:val="Heading6"/>
        <w:pBdr>
          <w:left w:val="single" w:sz="36" w:space="4" w:color="2E75B6"/>
        </w:pBdr>
        <w:shd w:val="clear" w:color="auto" w:fill="E3EEF9"/>
        <w:spacing w:before="120" w:after="60"/>
        <w:ind w:left="85"/>
      </w:pPr>
      <w:r>
        <w:rPr>
          <w:i w:val="0"/>
          <w:color w:val="1F3A5F"/>
          <w:sz w:val="22"/>
        </w:rPr>
        <w:t xml:space="preserve">Art. 729</w:t>
      </w:r>
    </w:p>
    <w:p>
      <w:pPr>
        <w:pStyle w:val="FirstParagraph"/>
        <w:spacing w:after="60"/>
        <w:jc w:val="both"/>
      </w:pPr>
      <w:r>
        <w:rPr>
          <w:b/>
          <w:bCs/>
        </w:rPr>
        <w:t xml:space="preserve">Art. 729.</w:t>
      </w:r>
      <w:r>
        <w:t xml:space="preserve"> </w:t>
      </w:r>
      <w:r>
        <w:t xml:space="preserve">Deferida e realizada a notificação ou interpelação, os autos serão entregues ao requerente.</w:t>
      </w:r>
    </w:p>
    <w:bookmarkEnd w:id="507"/>
    <w:bookmarkEnd w:id="508"/>
    <w:bookmarkStart w:id="510" w:name="Xff371f75cd0baac22874d58646ea593dc9b6983"/>
    <w:p>
      <w:pPr>
        <w:pStyle w:val="Heading5"/>
        <w:spacing w:before="60" w:after="20"/>
      </w:pPr>
      <w:r>
        <w:rPr>
          <w:i/>
          <w:color w:val="595959"/>
        </w:rPr>
        <w:t xml:space="preserve">Seção III: da alienação judicial (arts. 730)</w:t>
      </w:r>
    </w:p>
    <w:bookmarkStart w:id="509" w:name="art.-730"/>
    <w:p>
      <w:pPr>
        <w:pStyle w:val="Heading6"/>
        <w:pBdr>
          <w:left w:val="single" w:sz="36" w:space="4" w:color="2E75B6"/>
        </w:pBdr>
        <w:shd w:val="clear" w:color="auto" w:fill="E3EEF9"/>
        <w:spacing w:before="120" w:after="60"/>
        <w:ind w:left="85"/>
      </w:pPr>
      <w:r>
        <w:rPr>
          <w:i w:val="0"/>
          <w:color w:val="1F3A5F"/>
          <w:sz w:val="22"/>
        </w:rPr>
        <w:t xml:space="preserve">Art. 730</w:t>
      </w:r>
    </w:p>
    <w:p>
      <w:pPr>
        <w:pStyle w:val="FirstParagraph"/>
        <w:keepNext/>
        <w:spacing w:after="60"/>
        <w:jc w:val="both"/>
      </w:pPr>
      <w:r>
        <w:rPr>
          <w:b/>
          <w:bCs/>
        </w:rPr>
        <w:t xml:space="preserve">Art. 730.</w:t>
      </w:r>
      <w:r>
        <w:t xml:space="preserve"> </w:t>
      </w:r>
      <w:r>
        <w:t xml:space="preserve">Nos casos expressos em lei, não havendo acordo entre os interessados sobre o modo como se deve realizar a alienação do bem, o juiz, de ofício ou a requerimento dos interessados ou do depositário, mandará aliená-lo em leilão, observando-se o disposto na Seção I deste Capítulo e, no que couber, o disposto nos arts. 879 a 903.</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655"/>
        <w:gridCol w:w="2404"/>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Caput — extinção de condomínio e prosseguimento nos próprios autos</w:t>
            </w:r>
          </w:p>
        </w:tc>
        <w:tc>
          <w:tcPr>
            <w:tcW w:type="dxa" w:w="1655"/>
          </w:tcPr>
          <w:p>
            <w:pPr>
              <w:pStyle w:val="Compact"/>
              <w:spacing w:line="276" w:lineRule="auto" w:before="40" w:after="40"/>
            </w:pPr>
            <w:r>
              <w:rPr>
                <w:rFonts w:ascii="Liberation Sans Narrow" w:hAnsi="Liberation Sans Narrow"/>
                <w:sz w:val="17"/>
              </w:rPr>
              <w:t xml:space="preserve">STJ, REsp 2.175.109, Quarta Turma, relator Min. João Otávio de Noronha, julgado em 09/03/2026, DJEN de 12/03/2026</w:t>
            </w:r>
          </w:p>
        </w:tc>
        <w:tc>
          <w:tcPr>
            <w:tcW w:type="dxa" w:w="2404"/>
          </w:tcPr>
          <w:p>
            <w:pPr>
              <w:pStyle w:val="Compact"/>
              <w:spacing w:line="276" w:lineRule="auto" w:before="40" w:after="40"/>
            </w:pPr>
            <w:r>
              <w:rPr>
                <w:rFonts w:ascii="Liberation Sans Narrow" w:hAnsi="Liberation Sans Narrow"/>
                <w:sz w:val="17"/>
              </w:rPr>
              <w:t xml:space="preserve">O art. 730 impõe que, inexistindo acordo entre todos os condôminos, o juiz designe leilão e prossiga nos próprios autos, em procedimento de jurisdição voluntária (art. 725, IV), e não por cumprimentos de sentença individualizados. A ementa também afirma que o art. 942 não autoriza julgamento estendido em agravo de instrumento contra decisão interlocutória.</w:t>
            </w:r>
          </w:p>
        </w:tc>
      </w:tr>
    </w:tbl>
    <w:bookmarkEnd w:id="509"/>
    <w:bookmarkEnd w:id="510"/>
    <w:bookmarkStart w:id="515" w:name="Xa75f707143ca4c6484a02d287e3a70dbfc64e60"/>
    <w:p>
      <w:pPr>
        <w:pStyle w:val="Heading5"/>
        <w:spacing w:before="60" w:after="20"/>
      </w:pPr>
      <w:r>
        <w:rPr>
          <w:i/>
          <w:color w:val="595959"/>
        </w:rPr>
        <w:t xml:space="preserve">Seção IV: do divórcio e da separação consensuais, da extinção consensual de união estável e da alteração do regime de bens do matrimônio (arts. 731 a 734)</w:t>
      </w:r>
    </w:p>
    <w:bookmarkStart w:id="511" w:name="art.-731"/>
    <w:p>
      <w:pPr>
        <w:pStyle w:val="Heading6"/>
        <w:pBdr>
          <w:left w:val="single" w:sz="36" w:space="4" w:color="2E75B6"/>
        </w:pBdr>
        <w:shd w:val="clear" w:color="auto" w:fill="E3EEF9"/>
        <w:spacing w:before="120" w:after="60"/>
        <w:ind w:left="85"/>
      </w:pPr>
      <w:r>
        <w:rPr>
          <w:i w:val="0"/>
          <w:color w:val="1F3A5F"/>
          <w:sz w:val="22"/>
        </w:rPr>
        <w:t xml:space="preserve">Art. 731</w:t>
      </w:r>
    </w:p>
    <w:p>
      <w:pPr>
        <w:pStyle w:val="FirstParagraph"/>
        <w:keepNext/>
        <w:spacing w:after="60"/>
        <w:jc w:val="both"/>
      </w:pPr>
      <w:r>
        <w:rPr>
          <w:b/>
          <w:bCs/>
        </w:rPr>
        <w:t xml:space="preserve">Art. 731.</w:t>
      </w:r>
      <w:r>
        <w:t xml:space="preserve"> </w:t>
      </w:r>
      <w:r>
        <w:t xml:space="preserve">A homologação do divórcio ou da separação consensuais, observados os requisitos legais, poderá ser requerida em petição assinada por ambos os cônjuges, da qual constarão: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2279"/>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Divórcio consensual: desistência unilateral do acordo antes da homologação</w:t>
            </w:r>
          </w:p>
        </w:tc>
        <w:tc>
          <w:tcPr>
            <w:tcW w:type="dxa" w:w="1655"/>
          </w:tcPr>
          <w:p>
            <w:pPr>
              <w:pStyle w:val="Compact"/>
              <w:spacing w:line="276" w:lineRule="auto" w:before="40" w:after="40"/>
            </w:pPr>
            <w:r>
              <w:rPr>
                <w:rFonts w:ascii="Liberation Sans Narrow" w:hAnsi="Liberation Sans Narrow"/>
                <w:sz w:val="17"/>
              </w:rPr>
              <w:t xml:space="preserve">STJ, REsp 2.162.164, Quarta Turma, relator Min. João Otávio de Noronha, julgado em 16/03/2026, DJEN de 19/03/2026</w:t>
            </w:r>
          </w:p>
        </w:tc>
        <w:tc>
          <w:tcPr>
            <w:tcW w:type="dxa" w:w="2279"/>
          </w:tcPr>
          <w:p>
            <w:pPr>
              <w:pStyle w:val="Compact"/>
              <w:spacing w:line="276" w:lineRule="auto" w:before="40" w:after="40"/>
            </w:pPr>
            <w:r>
              <w:rPr>
                <w:rFonts w:ascii="Liberation Sans Narrow" w:hAnsi="Liberation Sans Narrow"/>
                <w:sz w:val="17"/>
              </w:rPr>
              <w:t xml:space="preserve">Concluída a transação, nenhuma das partes pode se arrepender unilateralmente, mesmo antes da homologação judicial; o acordo só se rescinde por dolo, coação ou erro essencial (Código Civil, art. 849), e a desistência unilateral não impede a homologação do divórcio consensual.</w:t>
            </w:r>
          </w:p>
        </w:tc>
      </w:tr>
    </w:tbl>
    <w:p>
      <w:pPr>
        <w:pStyle w:val="BodyText"/>
        <w:spacing w:after="60"/>
        <w:jc w:val="both"/>
      </w:pPr>
      <w:r>
        <w:t xml:space="preserve">I - as disposições relativas à descrição e à partilha dos bens comuns;</w:t>
      </w:r>
    </w:p>
    <w:p>
      <w:pPr>
        <w:pStyle w:val="BodyText"/>
        <w:spacing w:after="60"/>
        <w:jc w:val="both"/>
      </w:pPr>
      <w:r>
        <w:t xml:space="preserve">II - as disposições relativas à pensão alimentícia entre os cônjuges;</w:t>
      </w:r>
    </w:p>
    <w:p>
      <w:pPr>
        <w:pStyle w:val="BodyText"/>
        <w:spacing w:after="60"/>
        <w:jc w:val="both"/>
      </w:pPr>
      <w:r>
        <w:t xml:space="preserve">III - o acordo relativo à guarda dos filhos incapazes e ao regime de visitas; e</w:t>
      </w:r>
    </w:p>
    <w:p>
      <w:pPr>
        <w:pStyle w:val="BodyText"/>
        <w:spacing w:after="60"/>
        <w:jc w:val="both"/>
      </w:pPr>
      <w:r>
        <w:t xml:space="preserve">IV - o valor da contribuição para criar e educar os filhos.</w:t>
      </w:r>
    </w:p>
    <w:p>
      <w:pPr>
        <w:pStyle w:val="BodyText"/>
        <w:spacing w:after="60"/>
        <w:jc w:val="both"/>
      </w:pPr>
      <w:r>
        <w:t xml:space="preserve">Parágrafo único. Se os cônjuges não acordarem sobre a partilha dos bens, far-se-á esta depois de homologado o divórcio, na forma estabelecida nos arts. 647 a 658.</w:t>
      </w:r>
    </w:p>
    <w:bookmarkEnd w:id="511"/>
    <w:bookmarkStart w:id="512" w:name="art.-732"/>
    <w:p>
      <w:pPr>
        <w:pStyle w:val="Heading6"/>
        <w:pBdr>
          <w:left w:val="single" w:sz="36" w:space="4" w:color="2E75B6"/>
        </w:pBdr>
        <w:shd w:val="clear" w:color="auto" w:fill="E3EEF9"/>
        <w:spacing w:before="120" w:after="60"/>
        <w:ind w:left="85"/>
      </w:pPr>
      <w:r>
        <w:rPr>
          <w:i w:val="0"/>
          <w:color w:val="1F3A5F"/>
          <w:sz w:val="22"/>
        </w:rPr>
        <w:t xml:space="preserve">Art. 732</w:t>
      </w:r>
    </w:p>
    <w:p>
      <w:pPr>
        <w:pStyle w:val="FirstParagraph"/>
        <w:spacing w:after="60"/>
        <w:jc w:val="both"/>
      </w:pPr>
      <w:r>
        <w:rPr>
          <w:b/>
          <w:bCs/>
        </w:rPr>
        <w:t xml:space="preserve">Art. 732.</w:t>
      </w:r>
      <w:r>
        <w:t xml:space="preserve"> </w:t>
      </w:r>
      <w:r>
        <w:t xml:space="preserve">As disposições relativas ao processo de homologação judicial de divórcio ou de separação consensuais aplicam-se, no que couber, ao processo de homologação da extinção consensual de união estável.</w:t>
      </w:r>
    </w:p>
    <w:bookmarkEnd w:id="512"/>
    <w:bookmarkStart w:id="513" w:name="art.-733"/>
    <w:p>
      <w:pPr>
        <w:pStyle w:val="Heading6"/>
        <w:pBdr>
          <w:left w:val="single" w:sz="36" w:space="4" w:color="2E75B6"/>
        </w:pBdr>
        <w:shd w:val="clear" w:color="auto" w:fill="E3EEF9"/>
        <w:spacing w:before="120" w:after="60"/>
        <w:ind w:left="85"/>
      </w:pPr>
      <w:r>
        <w:rPr>
          <w:i w:val="0"/>
          <w:color w:val="1F3A5F"/>
          <w:sz w:val="22"/>
        </w:rPr>
        <w:t xml:space="preserve">Art. 733</w:t>
      </w:r>
    </w:p>
    <w:p>
      <w:pPr>
        <w:pStyle w:val="FirstParagraph"/>
        <w:keepNext/>
        <w:spacing w:after="60"/>
        <w:jc w:val="both"/>
      </w:pPr>
      <w:r>
        <w:rPr>
          <w:b/>
          <w:bCs/>
        </w:rPr>
        <w:t xml:space="preserve">Art. 733.</w:t>
      </w:r>
      <w:r>
        <w:t xml:space="preserve"> </w:t>
      </w:r>
      <w:r>
        <w:t xml:space="preserve">O divórcio consensual, a separação consensual e a extinção consensual de união estável, não havendo nascituro ou filhos incapazes e observados os requisitos legais, poderão ser realizados por escritura pública, da qual constarão as disposições de que trata o art. 731.</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1780"/>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escritura pública (orientação de aplicação)</w:t>
            </w:r>
          </w:p>
        </w:tc>
        <w:tc>
          <w:tcPr>
            <w:tcW w:type="dxa" w:w="1655"/>
          </w:tcPr>
          <w:p>
            <w:pPr>
              <w:pStyle w:val="Compact"/>
              <w:spacing w:line="276" w:lineRule="auto" w:before="40" w:after="40"/>
            </w:pPr>
            <w:r>
              <w:rPr>
                <w:rFonts w:ascii="Liberation Sans Narrow" w:hAnsi="Liberation Sans Narrow"/>
                <w:sz w:val="17"/>
              </w:rPr>
              <w:t xml:space="preserve">STJ, AgInt no REsp 1.960.527, Segunda Turma, relator Min. Humberto Martins, julgado em 13/02/2023, DJe de 16/02/2023</w:t>
            </w:r>
          </w:p>
        </w:tc>
        <w:tc>
          <w:tcPr>
            <w:tcW w:type="dxa" w:w="1780"/>
          </w:tcPr>
          <w:p>
            <w:pPr>
              <w:pStyle w:val="Compact"/>
              <w:spacing w:line="276" w:lineRule="auto" w:before="40" w:after="40"/>
            </w:pPr>
            <w:r>
              <w:rPr>
                <w:rFonts w:ascii="Liberation Sans Narrow" w:hAnsi="Liberation Sans Narrow"/>
                <w:sz w:val="17"/>
              </w:rPr>
              <w:t xml:space="preserve">O divórcio consensual pode ser realizado por escritura pública, sem homologação judicial, desde que não haja nascituro ou filhos incapazes, nela podendo constar as disposições sobre partilha dos bens comuns e pensão alimentícia.</w:t>
            </w:r>
          </w:p>
        </w:tc>
      </w:tr>
    </w:tbl>
    <w:p>
      <w:pPr>
        <w:pStyle w:val="BodyText"/>
        <w:keepNext/>
        <w:spacing w:after="60"/>
        <w:jc w:val="both"/>
      </w:pPr>
      <w:r>
        <w:t xml:space="preserve">§ 1º A escritura não depende de homologação judicial e constitui título hábil para qualquer ato de registro, bem como para levantamento de importância depositada em instituições financeiras.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531"/>
          </w:tcPr>
          <w:p>
            <w:pPr>
              <w:pStyle w:val="Compact"/>
              <w:spacing w:line="276" w:lineRule="auto" w:before="40" w:after="40"/>
            </w:pPr>
            <w:r>
              <w:rPr>
                <w:rFonts w:ascii="Liberation Sans Narrow" w:hAnsi="Liberation Sans Narrow"/>
                <w:sz w:val="17"/>
              </w:rPr>
              <w:t xml:space="preserve">§ 1º — escritura pública como título e prova do pagamento (aplicação narrada)</w:t>
            </w:r>
          </w:p>
        </w:tc>
        <w:tc>
          <w:tcPr>
            <w:tcW w:type="dxa" w:w="1655"/>
          </w:tcPr>
          <w:p>
            <w:pPr>
              <w:pStyle w:val="Compact"/>
              <w:spacing w:line="276" w:lineRule="auto" w:before="40" w:after="40"/>
            </w:pPr>
            <w:r>
              <w:rPr>
                <w:rFonts w:ascii="Liberation Sans Narrow" w:hAnsi="Liberation Sans Narrow"/>
                <w:sz w:val="17"/>
              </w:rPr>
              <w:t xml:space="preserve">STJ, REsp 2.161.064, Quarta Turma, relatora Min. Maria Isabel Gallotti, julgado em 09/03/2026, DJEN de 13/03/2026</w:t>
            </w:r>
          </w:p>
        </w:tc>
        <w:tc>
          <w:tcPr>
            <w:tcW w:type="dxa" w:w="1905"/>
          </w:tcPr>
          <w:p>
            <w:pPr>
              <w:pStyle w:val="Compact"/>
              <w:spacing w:line="276" w:lineRule="auto" w:before="40" w:after="40"/>
            </w:pPr>
            <w:r>
              <w:rPr>
                <w:rFonts w:ascii="Liberation Sans Narrow" w:hAnsi="Liberation Sans Narrow"/>
                <w:sz w:val="17"/>
              </w:rPr>
              <w:t xml:space="preserve">A escritura pública de divórcio consensual constitui título executivo; não havendo no título designação de conta específica para o pagamento, os depósitos feitos nas datas e valores ajustados, ainda que em contas de familiares da credora, comunicados a ela e sem oposição, comprovam o adimplemento da obrigação. Trecho: “O Tribunal de origem reconheceu, com base na prova dos autos, o adimplemento integral da reposição onerosa prevista na escritura de divórcio, mediante depósitos efetuados nas datas e valores ajustados, ainda que em contas de familiares da credora, circunstância comunicada à recorrente por e-mails sem nenhuma oposição.”</w:t>
            </w:r>
          </w:p>
        </w:tc>
      </w:tr>
    </w:tbl>
    <w:p>
      <w:pPr>
        <w:pStyle w:val="BodyText"/>
        <w:spacing w:after="60"/>
        <w:jc w:val="both"/>
      </w:pPr>
      <w:r>
        <w:t xml:space="preserve">§ 2º O tabelião somente lavrará a escritura se os interessados estiverem assistidos por advogado ou por defensor público, cuja qualificação e assinatura constarão do ato notarial.</w:t>
      </w:r>
    </w:p>
    <w:bookmarkEnd w:id="513"/>
    <w:bookmarkStart w:id="514" w:name="art.-734"/>
    <w:p>
      <w:pPr>
        <w:pStyle w:val="Heading6"/>
        <w:pBdr>
          <w:left w:val="single" w:sz="36" w:space="4" w:color="2E75B6"/>
        </w:pBdr>
        <w:shd w:val="clear" w:color="auto" w:fill="E3EEF9"/>
        <w:spacing w:before="120" w:after="60"/>
        <w:ind w:left="85"/>
      </w:pPr>
      <w:r>
        <w:rPr>
          <w:i w:val="0"/>
          <w:color w:val="1F3A5F"/>
          <w:sz w:val="22"/>
        </w:rPr>
        <w:t xml:space="preserve">Art. 734</w:t>
      </w:r>
    </w:p>
    <w:p>
      <w:pPr>
        <w:pStyle w:val="FirstParagraph"/>
        <w:spacing w:after="60"/>
        <w:jc w:val="both"/>
      </w:pPr>
      <w:r>
        <w:rPr>
          <w:b/>
          <w:bCs/>
        </w:rPr>
        <w:t xml:space="preserve">Art. 734.</w:t>
      </w:r>
      <w:r>
        <w:t xml:space="preserve"> </w:t>
      </w:r>
      <w:r>
        <w:t xml:space="preserve">A alteração do regime de bens do casamento, observados os requisitos legais, poderá ser requerida, motivadamente, em petição assinada por ambos os cônjuges, na qual serão expostas as razões que justificam a alteração, ressalvados os direitos de terceiros.</w:t>
      </w:r>
    </w:p>
    <w:p>
      <w:pPr>
        <w:pStyle w:val="BodyText"/>
        <w:spacing w:after="60"/>
        <w:jc w:val="both"/>
      </w:pPr>
      <w:r>
        <w:t xml:space="preserve">§ 1º Ao receber a petição inicial, o juiz determinará a intimação do Ministério Público e a publicação de edital que divulgue a pretendida alteração de bens, somente podendo decidir depois de decorrido o prazo de 30 (trinta) dias da publicação do edital.</w:t>
      </w:r>
    </w:p>
    <w:p>
      <w:pPr>
        <w:pStyle w:val="BodyText"/>
        <w:spacing w:after="60"/>
        <w:jc w:val="both"/>
      </w:pPr>
      <w:r>
        <w:t xml:space="preserve">§ 2º Os cônjuges, na petição inicial ou em petição avulsa, podem propor ao juiz meio alternativo de divulgação da alteração do regime de bens, a fim de resguardar direitos de terceiros.</w:t>
      </w:r>
    </w:p>
    <w:p>
      <w:pPr>
        <w:pStyle w:val="BodyText"/>
        <w:spacing w:after="60"/>
        <w:jc w:val="both"/>
      </w:pPr>
      <w:r>
        <w:t xml:space="preserve">§ 3º Após o trânsito em julgado da sentença, serão expedidos mandados de averbação aos cartórios de registro civil e de imóveis e, caso qualquer dos cônjuges seja empresário, ao Registro Público de Empresas Mercantis e Atividades Afins.</w:t>
      </w:r>
    </w:p>
    <w:bookmarkEnd w:id="514"/>
    <w:bookmarkEnd w:id="515"/>
    <w:bookmarkStart w:id="519" w:name="X3fef2dbe661ff163c1b287b6e916df3b5ae20cb"/>
    <w:p>
      <w:pPr>
        <w:pStyle w:val="Heading5"/>
        <w:spacing w:before="60" w:after="20"/>
      </w:pPr>
      <w:r>
        <w:rPr>
          <w:i/>
          <w:color w:val="595959"/>
        </w:rPr>
        <w:t xml:space="preserve">Seção V: dos testamentos e dos codicilos (arts. 735 a 737)</w:t>
      </w:r>
    </w:p>
    <w:bookmarkStart w:id="516" w:name="art.-735"/>
    <w:p>
      <w:pPr>
        <w:pStyle w:val="Heading6"/>
        <w:pBdr>
          <w:left w:val="single" w:sz="36" w:space="4" w:color="2E75B6"/>
        </w:pBdr>
        <w:shd w:val="clear" w:color="auto" w:fill="E3EEF9"/>
        <w:spacing w:before="120" w:after="60"/>
        <w:ind w:left="85"/>
      </w:pPr>
      <w:r>
        <w:rPr>
          <w:i w:val="0"/>
          <w:color w:val="1F3A5F"/>
          <w:sz w:val="22"/>
        </w:rPr>
        <w:t xml:space="preserve">Art. 735</w:t>
      </w:r>
    </w:p>
    <w:p>
      <w:pPr>
        <w:pStyle w:val="FirstParagraph"/>
        <w:spacing w:after="60"/>
        <w:jc w:val="both"/>
      </w:pPr>
      <w:r>
        <w:rPr>
          <w:b/>
          <w:bCs/>
        </w:rPr>
        <w:t xml:space="preserve">Art. 735.</w:t>
      </w:r>
      <w:r>
        <w:t xml:space="preserve"> </w:t>
      </w:r>
      <w:r>
        <w:t xml:space="preserve">Recebendo testamento cerrado, o juiz, se não achar vício externo que o torne suspeito de nulidade ou falsidade, o abrirá e mandará que o escrivão o leia em presença do apresentante.</w:t>
      </w:r>
    </w:p>
    <w:p>
      <w:pPr>
        <w:pStyle w:val="BodyText"/>
        <w:spacing w:after="60"/>
        <w:jc w:val="both"/>
      </w:pPr>
      <w:r>
        <w:t xml:space="preserve">§ 1º Do termo de abertura constarão o nome do apresentante e como ele obteve o testamento, a data e o lugar do falecimento do testador, com as respectivas provas, e qualquer circunstância digna de nota.</w:t>
      </w:r>
    </w:p>
    <w:p>
      <w:pPr>
        <w:pStyle w:val="BodyText"/>
        <w:spacing w:after="60"/>
        <w:jc w:val="both"/>
      </w:pPr>
      <w:r>
        <w:t xml:space="preserve">§ 2º Depois de ouvido o Ministério Público, não havendo dúvidas a serem esclarecidas, o juiz mandará registrar, arquivar e cumprir o testamento.</w:t>
      </w:r>
    </w:p>
    <w:p>
      <w:pPr>
        <w:pStyle w:val="BodyText"/>
        <w:spacing w:after="60"/>
        <w:jc w:val="both"/>
      </w:pPr>
      <w:r>
        <w:t xml:space="preserve">§ 3º Feito o registro, será intimado o testamenteiro para assinar o termo da testamentária.</w:t>
      </w:r>
    </w:p>
    <w:p>
      <w:pPr>
        <w:pStyle w:val="BodyText"/>
        <w:spacing w:after="60"/>
        <w:jc w:val="both"/>
      </w:pPr>
      <w:r>
        <w:t xml:space="preserve">§ 4º Se não houver testamenteiro nomeado ou se ele estiver ausente ou não aceitar o encargo, o juiz nomeará testamenteiro dativo, observando-se a preferência legal.</w:t>
      </w:r>
    </w:p>
    <w:p>
      <w:pPr>
        <w:pStyle w:val="BodyText"/>
        <w:spacing w:after="60"/>
        <w:jc w:val="both"/>
      </w:pPr>
      <w:r>
        <w:t xml:space="preserve">§ 5º O testamenteiro deverá cumprir as disposições testamentárias e prestar contas em juízo do que recebeu e despendeu, observando-se o disposto em lei.</w:t>
      </w:r>
    </w:p>
    <w:bookmarkEnd w:id="516"/>
    <w:bookmarkStart w:id="517" w:name="art.-736"/>
    <w:p>
      <w:pPr>
        <w:pStyle w:val="Heading6"/>
        <w:pBdr>
          <w:left w:val="single" w:sz="36" w:space="4" w:color="2E75B6"/>
        </w:pBdr>
        <w:shd w:val="clear" w:color="auto" w:fill="E3EEF9"/>
        <w:spacing w:before="120" w:after="60"/>
        <w:ind w:left="85"/>
      </w:pPr>
      <w:r>
        <w:rPr>
          <w:i w:val="0"/>
          <w:color w:val="1F3A5F"/>
          <w:sz w:val="22"/>
        </w:rPr>
        <w:t xml:space="preserve">Art. 736</w:t>
      </w:r>
    </w:p>
    <w:p>
      <w:pPr>
        <w:pStyle w:val="FirstParagraph"/>
        <w:keepNext/>
        <w:spacing w:after="60"/>
        <w:jc w:val="both"/>
      </w:pPr>
      <w:r>
        <w:rPr>
          <w:b/>
          <w:bCs/>
        </w:rPr>
        <w:t xml:space="preserve">Art. 736.</w:t>
      </w:r>
      <w:r>
        <w:t xml:space="preserve"> </w:t>
      </w:r>
      <w:r>
        <w:t xml:space="preserve">Qualquer interessado, exibindo o traslado ou a certidão de testamento público, poderá requerer ao juiz que ordene o seu cumprimento, observando-se, no que couber, o disposto nos parágrafos do art. 735.</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531"/>
          </w:tcPr>
          <w:p>
            <w:pPr>
              <w:pStyle w:val="Compact"/>
              <w:spacing w:line="276" w:lineRule="auto" w:before="40" w:after="40"/>
            </w:pPr>
            <w:r>
              <w:rPr>
                <w:rFonts w:ascii="Liberation Sans Narrow" w:hAnsi="Liberation Sans Narrow"/>
                <w:sz w:val="17"/>
              </w:rPr>
              <w:t xml:space="preserve">Caput — orientação de aplicação (aplicação narrada)</w:t>
            </w:r>
          </w:p>
        </w:tc>
        <w:tc>
          <w:tcPr>
            <w:tcW w:type="dxa" w:w="1655"/>
          </w:tcPr>
          <w:p>
            <w:pPr>
              <w:pStyle w:val="Compact"/>
              <w:spacing w:line="276" w:lineRule="auto" w:before="40" w:after="40"/>
            </w:pPr>
            <w:r>
              <w:rPr>
                <w:rFonts w:ascii="Liberation Sans Narrow" w:hAnsi="Liberation Sans Narrow"/>
                <w:sz w:val="17"/>
              </w:rPr>
              <w:t xml:space="preserve">STJ, REsp 2.207.430, Terceira Turma, relatora Min. Nancy Andrighi, julgado em 11/11/2025, DJEN de 19/11/2025</w:t>
            </w:r>
          </w:p>
        </w:tc>
        <w:tc>
          <w:tcPr>
            <w:tcW w:type="dxa" w:w="1905"/>
          </w:tcPr>
          <w:p>
            <w:pPr>
              <w:pStyle w:val="Compact"/>
              <w:spacing w:line="276" w:lineRule="auto" w:before="40" w:after="40"/>
            </w:pPr>
            <w:r>
              <w:rPr>
                <w:rFonts w:ascii="Liberation Sans Narrow" w:hAnsi="Liberation Sans Narrow"/>
                <w:sz w:val="17"/>
              </w:rPr>
              <w:t xml:space="preserve">Na ausência de registro do testamento em livro próprio da serventia, o termo inicial do prazo decadencial de cinco anos conta-se da decisão judicial que reconhece a autenticidade ou validade do testamento e autoriza seu cumprimento. Trecho: “Na ausência de registro em livro próprio da serventia judicial, o termo inicial do prazo decadencial de cinco anos deve ser contado a partir da decisão judicial que reconhece a autenticidade ou validade do testamento e autoriza seu cumprimento.”</w:t>
            </w:r>
          </w:p>
        </w:tc>
      </w:tr>
    </w:tbl>
    <w:bookmarkEnd w:id="517"/>
    <w:bookmarkStart w:id="518" w:name="art.-737"/>
    <w:p>
      <w:pPr>
        <w:pStyle w:val="Heading6"/>
        <w:pBdr>
          <w:left w:val="single" w:sz="36" w:space="4" w:color="2E75B6"/>
        </w:pBdr>
        <w:shd w:val="clear" w:color="auto" w:fill="E3EEF9"/>
        <w:spacing w:before="120" w:after="60"/>
        <w:ind w:left="85"/>
      </w:pPr>
      <w:r>
        <w:rPr>
          <w:i w:val="0"/>
          <w:color w:val="1F3A5F"/>
          <w:sz w:val="22"/>
        </w:rPr>
        <w:t xml:space="preserve">Art. 737</w:t>
      </w:r>
    </w:p>
    <w:p>
      <w:pPr>
        <w:pStyle w:val="FirstParagraph"/>
        <w:keepNext/>
        <w:spacing w:after="60"/>
        <w:jc w:val="both"/>
      </w:pPr>
      <w:r>
        <w:rPr>
          <w:b/>
          <w:bCs/>
        </w:rPr>
        <w:t xml:space="preserve">Art. 737.</w:t>
      </w:r>
      <w:r>
        <w:t xml:space="preserve"> </w:t>
      </w:r>
      <w:r>
        <w:t xml:space="preserve">A publicação do testamento particular poderá ser requerida, depois da morte do testador, pelo herdeiro, pelo legatário ou pelo testamenteiro, bem como pelo terceiro detentor do testamento, se impossibilitado de entregá-lo a algum dos outros legitimados para requerê-la.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404"/>
        <w:gridCol w:w="1655"/>
        <w:gridCol w:w="2528"/>
      </w:tblGrid>
      <w:tr>
        <w:trPr>
          <w:tblHeader w:val="on"/>
          <w:cantSplit/>
          <w:tblHeader/>
        </w:trPr>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52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404"/>
          </w:tcPr>
          <w:p>
            <w:pPr>
              <w:pStyle w:val="Compact"/>
              <w:spacing w:line="276" w:lineRule="auto" w:before="40" w:after="40"/>
            </w:pPr>
            <w:r>
              <w:rPr>
                <w:rFonts w:ascii="Liberation Sans Narrow" w:hAnsi="Liberation Sans Narrow"/>
                <w:sz w:val="17"/>
              </w:rPr>
              <w:t xml:space="preserve">Testamento particular assinado em momentos e locais distintos: vício formal superável</w:t>
            </w:r>
          </w:p>
        </w:tc>
        <w:tc>
          <w:tcPr>
            <w:tcW w:type="dxa" w:w="1655"/>
          </w:tcPr>
          <w:p>
            <w:pPr>
              <w:pStyle w:val="Compact"/>
              <w:spacing w:line="276" w:lineRule="auto" w:before="40" w:after="40"/>
            </w:pPr>
            <w:r>
              <w:rPr>
                <w:rFonts w:ascii="Liberation Sans Narrow" w:hAnsi="Liberation Sans Narrow"/>
                <w:sz w:val="17"/>
              </w:rPr>
              <w:t xml:space="preserve">STJ, REsp 2.033.581, Terceira Turma, relator Min. Marco Aurélio Bellizze, julgado em 03/09/2024, DJe de 06/09/2024</w:t>
            </w:r>
          </w:p>
        </w:tc>
        <w:tc>
          <w:tcPr>
            <w:tcW w:type="dxa" w:w="2529"/>
          </w:tcPr>
          <w:p>
            <w:pPr>
              <w:pStyle w:val="Compact"/>
              <w:spacing w:line="276" w:lineRule="auto" w:before="40" w:after="40"/>
            </w:pPr>
            <w:r>
              <w:rPr>
                <w:rFonts w:ascii="Liberation Sans Narrow" w:hAnsi="Liberation Sans Narrow"/>
                <w:sz w:val="17"/>
              </w:rPr>
              <w:t xml:space="preserve">A assinatura da testadora e das testemunhas em momentos e locais distintos é vício formal superável: as formalidades não podem ser levadas a extremos que prejudiquem o cumprimento da última vontade, e prevalecem as disposições de última vontade.</w:t>
            </w:r>
          </w:p>
        </w:tc>
      </w:tr>
      <w:tr>
        <w:trPr>
          <w:cantSplit/>
        </w:trPr>
        <w:tc>
          <w:tcPr>
            <w:tcW w:type="dxa" w:w="2404"/>
          </w:tcPr>
          <w:p>
            <w:pPr>
              <w:pStyle w:val="Compact"/>
              <w:spacing w:line="276" w:lineRule="auto" w:before="40" w:after="40"/>
            </w:pPr>
            <w:r>
              <w:rPr>
                <w:rFonts w:ascii="Liberation Sans Narrow" w:hAnsi="Liberation Sans Narrow"/>
                <w:sz w:val="17"/>
              </w:rPr>
              <w:t xml:space="preserve">Confirmação do testamento particular: requisitos alternativos e flexibilização</w:t>
            </w:r>
          </w:p>
        </w:tc>
        <w:tc>
          <w:tcPr>
            <w:tcW w:type="dxa" w:w="1655"/>
          </w:tcPr>
          <w:p>
            <w:pPr>
              <w:pStyle w:val="Compact"/>
              <w:spacing w:line="276" w:lineRule="auto" w:before="40" w:after="40"/>
            </w:pPr>
            <w:r>
              <w:rPr>
                <w:rFonts w:ascii="Liberation Sans Narrow" w:hAnsi="Liberation Sans Narrow"/>
                <w:sz w:val="17"/>
              </w:rPr>
              <w:t xml:space="preserve">STJ, REsp 2.080.530, Terceira Turma, relatora Min. Nancy Andrighi, julgado em 17/10/2023, DJe de 30/10/2023</w:t>
            </w:r>
          </w:p>
        </w:tc>
        <w:tc>
          <w:tcPr>
            <w:tcW w:type="dxa" w:w="2529"/>
          </w:tcPr>
          <w:p>
            <w:pPr>
              <w:pStyle w:val="Compact"/>
              <w:spacing w:line="276" w:lineRule="auto" w:before="40" w:after="40"/>
            </w:pPr>
            <w:r>
              <w:rPr>
                <w:rFonts w:ascii="Liberation Sans Narrow" w:hAnsi="Liberation Sans Narrow"/>
                <w:sz w:val="17"/>
              </w:rPr>
              <w:t xml:space="preserve">A confirmação do testamento particular exige requisitos alternativos: as testemunhas confirmam o fato da disposição, ou que o testamento foi lido perante elas e que as assinaturas são verdadeiras. A imprecisão ou a ausência de respostas das testemunhas, o distanciamento temporal e a falta de leitura a uma delas são formalidades flexibilizáveis, em preservação da última vontade.</w:t>
            </w:r>
          </w:p>
        </w:tc>
      </w:tr>
      <w:tr>
        <w:trPr>
          <w:cantSplit/>
        </w:trPr>
        <w:tc>
          <w:tcPr>
            <w:tcW w:type="dxa" w:w="2404"/>
          </w:tcPr>
          <w:p>
            <w:pPr>
              <w:pStyle w:val="Compact"/>
              <w:spacing w:line="276" w:lineRule="auto" w:before="40" w:after="40"/>
            </w:pPr>
            <w:r>
              <w:rPr>
                <w:rFonts w:ascii="Liberation Sans Narrow" w:hAnsi="Liberation Sans Narrow"/>
                <w:sz w:val="17"/>
              </w:rPr>
              <w:t xml:space="preserve">Testamento de próprio punho sem testemunhas e com dúvida sobre a vontade</w:t>
            </w:r>
          </w:p>
        </w:tc>
        <w:tc>
          <w:tcPr>
            <w:tcW w:type="dxa" w:w="1655"/>
          </w:tcPr>
          <w:p>
            <w:pPr>
              <w:pStyle w:val="Compact"/>
              <w:spacing w:line="276" w:lineRule="auto" w:before="40" w:after="40"/>
            </w:pPr>
            <w:r>
              <w:rPr>
                <w:rFonts w:ascii="Liberation Sans Narrow" w:hAnsi="Liberation Sans Narrow"/>
                <w:sz w:val="17"/>
              </w:rPr>
              <w:t xml:space="preserve">STJ, REsp 2.000.938, Terceira Turma, relatora Min. Nancy Andrighi, julgado em 08/08/2023, DJe de 25/08/2023</w:t>
            </w:r>
          </w:p>
        </w:tc>
        <w:tc>
          <w:tcPr>
            <w:tcW w:type="dxa" w:w="2529"/>
          </w:tcPr>
          <w:p>
            <w:pPr>
              <w:pStyle w:val="Compact"/>
              <w:spacing w:line="276" w:lineRule="auto" w:before="40" w:after="40"/>
            </w:pPr>
            <w:r>
              <w:rPr>
                <w:rFonts w:ascii="Liberation Sans Narrow" w:hAnsi="Liberation Sans Narrow"/>
                <w:sz w:val="17"/>
              </w:rPr>
              <w:t xml:space="preserve">Não se confirma o testamento particular sem testemunhas presenciais e sem declaração de circunstância excepcional que as dispense, quando há dúvida quanto à real vontade do testador, por falta de assinatura em todas as folhas e feitura em mais de uma assentada.</w:t>
            </w:r>
          </w:p>
        </w:tc>
      </w:tr>
      <w:tr>
        <w:trPr>
          <w:cantSplit/>
        </w:trPr>
        <w:tc>
          <w:tcPr>
            <w:tcW w:type="dxa" w:w="2404"/>
          </w:tcPr>
          <w:p>
            <w:pPr>
              <w:pStyle w:val="Compact"/>
              <w:spacing w:line="276" w:lineRule="auto" w:before="40" w:after="40"/>
            </w:pPr>
            <w:r>
              <w:rPr>
                <w:rFonts w:ascii="Liberation Sans Narrow" w:hAnsi="Liberation Sans Narrow"/>
                <w:sz w:val="17"/>
              </w:rPr>
              <w:t xml:space="preserve">Testamento particular: vícios formais superáveis e vícios formais-materiais insuperáveis</w:t>
            </w:r>
          </w:p>
        </w:tc>
        <w:tc>
          <w:tcPr>
            <w:tcW w:type="dxa" w:w="1655"/>
          </w:tcPr>
          <w:p>
            <w:pPr>
              <w:pStyle w:val="Compact"/>
              <w:spacing w:line="276" w:lineRule="auto" w:before="40" w:after="40"/>
            </w:pPr>
            <w:r>
              <w:rPr>
                <w:rFonts w:ascii="Liberation Sans Narrow" w:hAnsi="Liberation Sans Narrow"/>
                <w:sz w:val="17"/>
              </w:rPr>
              <w:t xml:space="preserve">STJ, REsp 2.005.877, Terceira Turma, relatora Min. Nancy Andrighi, julgado em 30/08/2022, DJe de 01/09/2022</w:t>
            </w:r>
          </w:p>
        </w:tc>
        <w:tc>
          <w:tcPr>
            <w:tcW w:type="dxa" w:w="2529"/>
          </w:tcPr>
          <w:p>
            <w:pPr>
              <w:pStyle w:val="Compact"/>
              <w:spacing w:line="276" w:lineRule="auto" w:before="40" w:after="40"/>
            </w:pPr>
            <w:r>
              <w:rPr>
                <w:rFonts w:ascii="Liberation Sans Narrow" w:hAnsi="Liberation Sans Narrow"/>
                <w:sz w:val="17"/>
              </w:rPr>
              <w:t xml:space="preserve">Pode-se afastar vícios puramente formais, ligados a aspectos externos, mas não os vícios formais-materiais, capazes de contaminar o conteúdo e pôr em dúvida a real vontade do testador; é nulo o testamento escrito de próprio punho, sem leitura perante testemunhas, sem circunstância excepcional que justifique a falta e sem prova técnica da assinatura.</w:t>
            </w:r>
          </w:p>
        </w:tc>
      </w:tr>
      <w:tr>
        <w:trPr>
          <w:cantSplit/>
        </w:trPr>
        <w:tc>
          <w:tcPr>
            <w:tcW w:type="dxa" w:w="2404"/>
          </w:tcPr>
          <w:p>
            <w:pPr>
              <w:pStyle w:val="Compact"/>
              <w:spacing w:line="276" w:lineRule="auto" w:before="40" w:after="40"/>
            </w:pPr>
            <w:r>
              <w:rPr>
                <w:rFonts w:ascii="Liberation Sans Narrow" w:hAnsi="Liberation Sans Narrow"/>
                <w:sz w:val="17"/>
              </w:rPr>
              <w:t xml:space="preserve">Testamento particular: assinatura do testador indispensável, sem assinatura a rogo</w:t>
            </w:r>
          </w:p>
        </w:tc>
        <w:tc>
          <w:tcPr>
            <w:tcW w:type="dxa" w:w="1655"/>
          </w:tcPr>
          <w:p>
            <w:pPr>
              <w:pStyle w:val="Compact"/>
              <w:spacing w:line="276" w:lineRule="auto" w:before="40" w:after="40"/>
            </w:pPr>
            <w:r>
              <w:rPr>
                <w:rFonts w:ascii="Liberation Sans Narrow" w:hAnsi="Liberation Sans Narrow"/>
                <w:sz w:val="17"/>
              </w:rPr>
              <w:t xml:space="preserve">STJ, REsp 1.618.754, Terceira Turma, relatora Min. Nancy Andrighi, julgado em 26/09/2017, DJe de 13/10/2017</w:t>
            </w:r>
          </w:p>
        </w:tc>
        <w:tc>
          <w:tcPr>
            <w:tcW w:type="dxa" w:w="2529"/>
          </w:tcPr>
          <w:p>
            <w:pPr>
              <w:pStyle w:val="Compact"/>
              <w:spacing w:line="276" w:lineRule="auto" w:before="40" w:after="40"/>
            </w:pPr>
            <w:r>
              <w:rPr>
                <w:rFonts w:ascii="Liberation Sans Narrow" w:hAnsi="Liberation Sans Narrow"/>
                <w:sz w:val="17"/>
              </w:rPr>
              <w:t xml:space="preserve">A assinatura do testador é requisito essencial de validade do testamento particular, e não se admite a assinatura a rogo; a flexibilização das formalidades quanto às testemunhas exige que o documento tenha sido escrito e assinado pelo testador.</w:t>
            </w:r>
          </w:p>
        </w:tc>
      </w:tr>
    </w:tbl>
    <w:p>
      <w:pPr>
        <w:pStyle w:val="BodyText"/>
        <w:spacing w:after="60"/>
        <w:jc w:val="both"/>
      </w:pPr>
      <w:r>
        <w:t xml:space="preserve">§ 1º Serão intimados os herdeiros que não tiverem requerido a publicação do testamento.</w:t>
      </w:r>
    </w:p>
    <w:p>
      <w:pPr>
        <w:pStyle w:val="BodyText"/>
        <w:spacing w:after="60"/>
        <w:jc w:val="both"/>
      </w:pPr>
      <w:r>
        <w:t xml:space="preserve">§ 2º Verificando a presença dos requisitos da lei, ouvido o Ministério Público, o juiz confirmará o testamento.</w:t>
      </w:r>
    </w:p>
    <w:p>
      <w:pPr>
        <w:pStyle w:val="BodyText"/>
        <w:spacing w:after="60"/>
        <w:jc w:val="both"/>
      </w:pPr>
      <w:r>
        <w:t xml:space="preserve">§ 3º Aplica-se o disposto neste artigo ao codicilo e aos testamentos marítimo, aeronáutico, militar e nuncupativo.</w:t>
      </w:r>
    </w:p>
    <w:p>
      <w:pPr>
        <w:pStyle w:val="BodyText"/>
        <w:spacing w:after="60"/>
        <w:jc w:val="both"/>
      </w:pPr>
      <w:r>
        <w:t xml:space="preserve">§ 4º Observar-se-á, no cumprimento do testamento, o disposto nos parágrafos do art. 735.</w:t>
      </w:r>
    </w:p>
    <w:bookmarkEnd w:id="518"/>
    <w:bookmarkEnd w:id="519"/>
    <w:bookmarkStart w:id="526" w:name="X9ab0ffae4ab3fad6032e85009334043b57b077d"/>
    <w:p>
      <w:pPr>
        <w:pStyle w:val="Heading5"/>
        <w:spacing w:before="60" w:after="20"/>
      </w:pPr>
      <w:r>
        <w:rPr>
          <w:i/>
          <w:color w:val="595959"/>
        </w:rPr>
        <w:t xml:space="preserve">Seção VI: da herança jacente (arts. 738 a 743)</w:t>
      </w:r>
    </w:p>
    <w:bookmarkStart w:id="520" w:name="art.-738"/>
    <w:p>
      <w:pPr>
        <w:pStyle w:val="Heading6"/>
        <w:pBdr>
          <w:left w:val="single" w:sz="36" w:space="4" w:color="2E75B6"/>
        </w:pBdr>
        <w:shd w:val="clear" w:color="auto" w:fill="E3EEF9"/>
        <w:spacing w:before="120" w:after="60"/>
        <w:ind w:left="85"/>
      </w:pPr>
      <w:r>
        <w:rPr>
          <w:i w:val="0"/>
          <w:color w:val="1F3A5F"/>
          <w:sz w:val="22"/>
        </w:rPr>
        <w:t xml:space="preserve">Art. 738</w:t>
      </w:r>
    </w:p>
    <w:p>
      <w:pPr>
        <w:pStyle w:val="FirstParagraph"/>
        <w:spacing w:after="60"/>
        <w:jc w:val="both"/>
      </w:pPr>
      <w:r>
        <w:rPr>
          <w:b/>
          <w:bCs/>
        </w:rPr>
        <w:t xml:space="preserve">Art. 738.</w:t>
      </w:r>
      <w:r>
        <w:t xml:space="preserve"> </w:t>
      </w:r>
      <w:r>
        <w:t xml:space="preserve">Nos casos em que a lei considere jacente a herança, o juiz em cuja comarca tiver domicílio o falecido procederá imediatamente à arrecadação dos respectivos bens.</w:t>
      </w:r>
    </w:p>
    <w:bookmarkEnd w:id="520"/>
    <w:bookmarkStart w:id="521" w:name="art.-739"/>
    <w:p>
      <w:pPr>
        <w:pStyle w:val="Heading6"/>
        <w:pBdr>
          <w:left w:val="single" w:sz="36" w:space="4" w:color="2E75B6"/>
        </w:pBdr>
        <w:shd w:val="clear" w:color="auto" w:fill="E3EEF9"/>
        <w:spacing w:before="120" w:after="60"/>
        <w:ind w:left="85"/>
      </w:pPr>
      <w:r>
        <w:rPr>
          <w:i w:val="0"/>
          <w:color w:val="1F3A5F"/>
          <w:sz w:val="22"/>
        </w:rPr>
        <w:t xml:space="preserve">Art. 739</w:t>
      </w:r>
    </w:p>
    <w:p>
      <w:pPr>
        <w:pStyle w:val="FirstParagraph"/>
        <w:spacing w:after="60"/>
        <w:jc w:val="both"/>
      </w:pPr>
      <w:r>
        <w:rPr>
          <w:b/>
          <w:bCs/>
        </w:rPr>
        <w:t xml:space="preserve">Art. 739.</w:t>
      </w:r>
      <w:r>
        <w:t xml:space="preserve"> </w:t>
      </w:r>
      <w:r>
        <w:t xml:space="preserve">A herança jacente ficará sob a guarda, a conservação e a administração de um curador até a respectiva entrega ao sucessor legalmente habilitado ou até a declaração de vacância.</w:t>
      </w:r>
    </w:p>
    <w:p>
      <w:pPr>
        <w:pStyle w:val="BodyText"/>
        <w:spacing w:after="60"/>
        <w:jc w:val="both"/>
      </w:pPr>
      <w:r>
        <w:t xml:space="preserve">§ 1º Incumbe ao curador:</w:t>
      </w:r>
    </w:p>
    <w:p>
      <w:pPr>
        <w:pStyle w:val="BodyText"/>
        <w:spacing w:after="60"/>
        <w:jc w:val="both"/>
      </w:pPr>
      <w:r>
        <w:t xml:space="preserve">I - representar a herança em juízo ou fora dele, com intervenção do Ministério Público;</w:t>
      </w:r>
    </w:p>
    <w:p>
      <w:pPr>
        <w:pStyle w:val="BodyText"/>
        <w:spacing w:after="60"/>
        <w:jc w:val="both"/>
      </w:pPr>
      <w:r>
        <w:t xml:space="preserve">II - ter em boa guarda e conservação os bens arrecadados e promover a arrecadação de outros porventura existentes;</w:t>
      </w:r>
    </w:p>
    <w:p>
      <w:pPr>
        <w:pStyle w:val="BodyText"/>
        <w:spacing w:after="60"/>
        <w:jc w:val="both"/>
      </w:pPr>
      <w:r>
        <w:t xml:space="preserve">III - executar as medidas conservatórias dos direitos da herança;</w:t>
      </w:r>
    </w:p>
    <w:p>
      <w:pPr>
        <w:pStyle w:val="BodyText"/>
        <w:spacing w:after="60"/>
        <w:jc w:val="both"/>
      </w:pPr>
      <w:r>
        <w:t xml:space="preserve">IV - apresentar mensalmente ao juiz balancete da receita e da despesa;</w:t>
      </w:r>
    </w:p>
    <w:p>
      <w:pPr>
        <w:pStyle w:val="BodyText"/>
        <w:spacing w:after="60"/>
        <w:jc w:val="both"/>
      </w:pPr>
      <w:r>
        <w:t xml:space="preserve">V - prestar contas ao final de sua gestão.</w:t>
      </w:r>
    </w:p>
    <w:p>
      <w:pPr>
        <w:pStyle w:val="BodyText"/>
        <w:spacing w:after="60"/>
        <w:jc w:val="both"/>
      </w:pPr>
      <w:r>
        <w:t xml:space="preserve">§ 2º Aplica-se ao curador o disposto nos arts. 159 a 161.</w:t>
      </w:r>
    </w:p>
    <w:bookmarkEnd w:id="521"/>
    <w:bookmarkStart w:id="522" w:name="art.-740"/>
    <w:p>
      <w:pPr>
        <w:pStyle w:val="Heading6"/>
        <w:pBdr>
          <w:left w:val="single" w:sz="36" w:space="4" w:color="2E75B6"/>
        </w:pBdr>
        <w:shd w:val="clear" w:color="auto" w:fill="E3EEF9"/>
        <w:spacing w:before="120" w:after="60"/>
        <w:ind w:left="85"/>
      </w:pPr>
      <w:r>
        <w:rPr>
          <w:i w:val="0"/>
          <w:color w:val="1F3A5F"/>
          <w:sz w:val="22"/>
        </w:rPr>
        <w:t xml:space="preserve">Art. 740</w:t>
      </w:r>
    </w:p>
    <w:p>
      <w:pPr>
        <w:pStyle w:val="FirstParagraph"/>
        <w:spacing w:after="60"/>
        <w:jc w:val="both"/>
      </w:pPr>
      <w:r>
        <w:rPr>
          <w:b/>
          <w:bCs/>
        </w:rPr>
        <w:t xml:space="preserve">Art. 740.</w:t>
      </w:r>
      <w:r>
        <w:t xml:space="preserve"> </w:t>
      </w:r>
      <w:r>
        <w:t xml:space="preserve">O juiz ordenará que o oficial de justiça, acompanhado do escrivão ou do chefe de secretaria e do curador, arrole os bens e descreva-os em auto circunstanciado.</w:t>
      </w:r>
    </w:p>
    <w:p>
      <w:pPr>
        <w:pStyle w:val="BodyText"/>
        <w:spacing w:after="60"/>
        <w:jc w:val="both"/>
      </w:pPr>
      <w:r>
        <w:t xml:space="preserve">§ 1º Não podendo comparecer ao local, o juiz requisitará à autoridade policial que proceda à arrecadação e ao arrolamento dos bens, com 2 (duas) testemunhas, que assistirão às diligências.</w:t>
      </w:r>
    </w:p>
    <w:p>
      <w:pPr>
        <w:pStyle w:val="BodyText"/>
        <w:spacing w:after="60"/>
        <w:jc w:val="both"/>
      </w:pPr>
      <w:r>
        <w:t xml:space="preserve">§ 2º Não estando ainda nomeado o curador, o juiz designará depositário e lhe entregará os bens, mediante simples termo nos autos, depois de compromissado.</w:t>
      </w:r>
    </w:p>
    <w:p>
      <w:pPr>
        <w:pStyle w:val="BodyText"/>
        <w:spacing w:after="60"/>
        <w:jc w:val="both"/>
      </w:pPr>
      <w:r>
        <w:t xml:space="preserve">§ 3º Durante a arrecadação, o juiz ou a autoridade policial inquirirá os moradores da casa e da vizinhança sobre a qualificação do falecido, o paradeiro de seus sucessores e a existência de outros bens, lavrando-se de tudo auto de inquirição e informação.</w:t>
      </w:r>
    </w:p>
    <w:p>
      <w:pPr>
        <w:pStyle w:val="BodyText"/>
        <w:spacing w:after="60"/>
        <w:jc w:val="both"/>
      </w:pPr>
      <w:r>
        <w:t xml:space="preserve">§ 4º O juiz examinará reservadamente os papéis, as cartas missivas e os livros domésticos e, verificando que não apresentam interesse, mandará empacotá-los e lacrá-los para serem assim entregues aos sucessores do falecido ou queimados quando os bens forem declarados vacantes.</w:t>
      </w:r>
    </w:p>
    <w:p>
      <w:pPr>
        <w:pStyle w:val="BodyText"/>
        <w:spacing w:after="60"/>
        <w:jc w:val="both"/>
      </w:pPr>
      <w:r>
        <w:t xml:space="preserve">§ 5º Se constar ao juiz a existência de bens em outra comarca, mandará expedir carta precatória a fim de serem arrecadados.</w:t>
      </w:r>
    </w:p>
    <w:p>
      <w:pPr>
        <w:pStyle w:val="BodyText"/>
        <w:spacing w:after="60"/>
        <w:jc w:val="both"/>
      </w:pPr>
      <w:r>
        <w:t xml:space="preserve">§ 6º Não se fará a arrecadação, ou essa será suspensa, quando, iniciada, apresentarem-se para reclamar os bens o cônjuge ou companheiro, o herdeiro ou o testamenteiro notoriamente reconhecido e não houver oposição motivada do curador, de qualquer interessado, do Ministério Público ou do representante da Fazenda Pública.</w:t>
      </w:r>
    </w:p>
    <w:bookmarkEnd w:id="522"/>
    <w:bookmarkStart w:id="523" w:name="art.-741"/>
    <w:p>
      <w:pPr>
        <w:pStyle w:val="Heading6"/>
        <w:pBdr>
          <w:left w:val="single" w:sz="36" w:space="4" w:color="2E75B6"/>
        </w:pBdr>
        <w:shd w:val="clear" w:color="auto" w:fill="E3EEF9"/>
        <w:spacing w:before="120" w:after="60"/>
        <w:ind w:left="85"/>
      </w:pPr>
      <w:r>
        <w:rPr>
          <w:i w:val="0"/>
          <w:color w:val="1F3A5F"/>
          <w:sz w:val="22"/>
        </w:rPr>
        <w:t xml:space="preserve">Art. 741</w:t>
      </w:r>
    </w:p>
    <w:p>
      <w:pPr>
        <w:pStyle w:val="FirstParagraph"/>
        <w:spacing w:after="60"/>
        <w:jc w:val="both"/>
      </w:pPr>
      <w:r>
        <w:rPr>
          <w:b/>
          <w:bCs/>
        </w:rPr>
        <w:t xml:space="preserve">Art. 741.</w:t>
      </w:r>
      <w:r>
        <w:t xml:space="preserve"> </w:t>
      </w:r>
      <w:r>
        <w:t xml:space="preserve">Ultimada a arrecadação, o juiz mandará expedir edital, que será publicado na rede mundial de computadores, no sítio do tribunal a que estiver vinculado o juízo e na plataforma de editais do Conselho Nacional de Justiça, onde permanecerá por 3 (três) meses, ou, não havendo sítio, no órgão oficial e na imprensa da comarca, por 3 (três) vezes com intervalos de 1 (um) mês, para que os sucessores do falecido venham a habilitar-se no prazo de 6 (seis) meses contado da primeira publicação.</w:t>
      </w:r>
    </w:p>
    <w:p>
      <w:pPr>
        <w:pStyle w:val="BodyText"/>
        <w:spacing w:after="60"/>
        <w:jc w:val="both"/>
      </w:pPr>
      <w:r>
        <w:t xml:space="preserve">§ 1º Verificada a existência de sucessor ou de testamenteiro em lugar certo, far-se-á a sua citação, sem prejuízo do edital.</w:t>
      </w:r>
    </w:p>
    <w:p>
      <w:pPr>
        <w:pStyle w:val="BodyText"/>
        <w:spacing w:after="60"/>
        <w:jc w:val="both"/>
      </w:pPr>
      <w:r>
        <w:t xml:space="preserve">§ 2º Quando o falecido for estrangeiro, será também comunicado o fato à autoridade consular.</w:t>
      </w:r>
    </w:p>
    <w:p>
      <w:pPr>
        <w:pStyle w:val="BodyText"/>
        <w:spacing w:after="60"/>
        <w:jc w:val="both"/>
      </w:pPr>
      <w:r>
        <w:t xml:space="preserve">§ 3º Julgada a habilitação do herdeiro, reconhecida a qualidade do testamenteiro ou provada a identidade do cônjuge ou companheiro, a arrecadação converter-se-á em inventário.</w:t>
      </w:r>
    </w:p>
    <w:p>
      <w:pPr>
        <w:pStyle w:val="BodyText"/>
        <w:spacing w:after="60"/>
        <w:jc w:val="both"/>
      </w:pPr>
      <w:r>
        <w:t xml:space="preserve">§ 4º Os credores da herança poderão habilitar-se como nos inventários ou propor a ação de cobrança.</w:t>
      </w:r>
    </w:p>
    <w:bookmarkEnd w:id="523"/>
    <w:bookmarkStart w:id="524" w:name="art.-742"/>
    <w:p>
      <w:pPr>
        <w:pStyle w:val="Heading6"/>
        <w:pBdr>
          <w:left w:val="single" w:sz="36" w:space="4" w:color="2E75B6"/>
        </w:pBdr>
        <w:shd w:val="clear" w:color="auto" w:fill="E3EEF9"/>
        <w:spacing w:before="120" w:after="60"/>
        <w:ind w:left="85"/>
      </w:pPr>
      <w:r>
        <w:rPr>
          <w:i w:val="0"/>
          <w:color w:val="1F3A5F"/>
          <w:sz w:val="22"/>
        </w:rPr>
        <w:t xml:space="preserve">Art. 742</w:t>
      </w:r>
    </w:p>
    <w:p>
      <w:pPr>
        <w:pStyle w:val="FirstParagraph"/>
        <w:spacing w:after="60"/>
        <w:jc w:val="both"/>
      </w:pPr>
      <w:r>
        <w:rPr>
          <w:b/>
          <w:bCs/>
        </w:rPr>
        <w:t xml:space="preserve">Art. 742.</w:t>
      </w:r>
      <w:r>
        <w:t xml:space="preserve"> </w:t>
      </w:r>
      <w:r>
        <w:t xml:space="preserve">O juiz poderá autorizar a alienação:</w:t>
      </w:r>
    </w:p>
    <w:p>
      <w:pPr>
        <w:pStyle w:val="BodyText"/>
        <w:spacing w:after="60"/>
        <w:jc w:val="both"/>
      </w:pPr>
      <w:r>
        <w:t xml:space="preserve">I - de bens móveis, se forem de conservação difícil ou dispendiosa;</w:t>
      </w:r>
    </w:p>
    <w:p>
      <w:pPr>
        <w:pStyle w:val="BodyText"/>
        <w:spacing w:after="60"/>
        <w:jc w:val="both"/>
      </w:pPr>
      <w:r>
        <w:t xml:space="preserve">II - de semoventes, quando não empregados na exploração de alguma indústria;</w:t>
      </w:r>
    </w:p>
    <w:p>
      <w:pPr>
        <w:pStyle w:val="BodyText"/>
        <w:spacing w:after="60"/>
        <w:jc w:val="both"/>
      </w:pPr>
      <w:r>
        <w:t xml:space="preserve">III - de títulos e papéis de crédito, havendo fundado receio de depreciação;</w:t>
      </w:r>
    </w:p>
    <w:p>
      <w:pPr>
        <w:pStyle w:val="BodyText"/>
        <w:spacing w:after="60"/>
        <w:jc w:val="both"/>
      </w:pPr>
      <w:r>
        <w:t xml:space="preserve">IV - de ações de sociedade quando, reclamada a integralização, não dispuser a herança de dinheiro para o pagamento;</w:t>
      </w:r>
    </w:p>
    <w:p>
      <w:pPr>
        <w:pStyle w:val="BodyText"/>
        <w:spacing w:after="60"/>
        <w:jc w:val="both"/>
      </w:pPr>
      <w:r>
        <w:t xml:space="preserve">V - de bens imóveis:</w:t>
      </w:r>
    </w:p>
    <w:p>
      <w:pPr>
        <w:pStyle w:val="BodyText"/>
        <w:spacing w:after="60"/>
        <w:jc w:val="both"/>
      </w:pPr>
      <w:r>
        <w:t xml:space="preserve">a) se ameaçarem ruína, não convindo a reparação;</w:t>
      </w:r>
    </w:p>
    <w:p>
      <w:pPr>
        <w:pStyle w:val="BodyText"/>
        <w:spacing w:after="60"/>
        <w:jc w:val="both"/>
      </w:pPr>
      <w:r>
        <w:t xml:space="preserve">b) se estiverem hipotecados e vencer-se a dívida, não havendo dinheiro para o pagamento.</w:t>
      </w:r>
    </w:p>
    <w:p>
      <w:pPr>
        <w:pStyle w:val="BodyText"/>
        <w:spacing w:after="60"/>
        <w:jc w:val="both"/>
      </w:pPr>
      <w:r>
        <w:t xml:space="preserve">§ 1º Não se procederá, entretanto, à venda se a Fazenda Pública ou o habilitando adiantar a importância para as despesas.</w:t>
      </w:r>
    </w:p>
    <w:p>
      <w:pPr>
        <w:pStyle w:val="BodyText"/>
        <w:spacing w:after="60"/>
        <w:jc w:val="both"/>
      </w:pPr>
      <w:r>
        <w:t xml:space="preserve">§ 2º Os bens com valor de afeição, como retratos, objetos de uso pessoal, livros e obras de arte, só serão alienados depois de declarada a vacância da herança.</w:t>
      </w:r>
    </w:p>
    <w:bookmarkEnd w:id="524"/>
    <w:bookmarkStart w:id="525" w:name="art.-743"/>
    <w:p>
      <w:pPr>
        <w:pStyle w:val="Heading6"/>
        <w:pBdr>
          <w:left w:val="single" w:sz="36" w:space="4" w:color="2E75B6"/>
        </w:pBdr>
        <w:shd w:val="clear" w:color="auto" w:fill="E3EEF9"/>
        <w:spacing w:before="120" w:after="60"/>
        <w:ind w:left="85"/>
      </w:pPr>
      <w:r>
        <w:rPr>
          <w:i w:val="0"/>
          <w:color w:val="1F3A5F"/>
          <w:sz w:val="22"/>
        </w:rPr>
        <w:t xml:space="preserve">Art. 743</w:t>
      </w:r>
    </w:p>
    <w:p>
      <w:pPr>
        <w:pStyle w:val="FirstParagraph"/>
        <w:spacing w:after="60"/>
        <w:jc w:val="both"/>
      </w:pPr>
      <w:r>
        <w:rPr>
          <w:b/>
          <w:bCs/>
        </w:rPr>
        <w:t xml:space="preserve">Art. 743.</w:t>
      </w:r>
      <w:r>
        <w:t xml:space="preserve"> </w:t>
      </w:r>
      <w:r>
        <w:t xml:space="preserve">Passado 1 (um) ano da primeira publicação do edital e não havendo herdeiro habilitado nem habilitação pendente, será a herança declarada vacante.</w:t>
      </w:r>
    </w:p>
    <w:p>
      <w:pPr>
        <w:pStyle w:val="BodyText"/>
        <w:spacing w:after="60"/>
        <w:jc w:val="both"/>
      </w:pPr>
      <w:r>
        <w:t xml:space="preserve">§ 1º Pendendo habilitação, a vacância será declarada pela mesma sentença que a julgar improcedente, aguardando-se, no caso de serem diversas as habilitações, o julgamento da última.</w:t>
      </w:r>
    </w:p>
    <w:p>
      <w:pPr>
        <w:pStyle w:val="BodyText"/>
        <w:spacing w:after="60"/>
        <w:jc w:val="both"/>
      </w:pPr>
      <w:r>
        <w:t xml:space="preserve">§ 2º Transitada em julgado a sentença que declarou a vacância, o cônjuge, o companheiro, os herdeiros e os credores só poderão reclamar o seu direito por ação direta.</w:t>
      </w:r>
    </w:p>
    <w:bookmarkEnd w:id="525"/>
    <w:bookmarkEnd w:id="526"/>
    <w:bookmarkStart w:id="529" w:name="Xa053b2e96478f8de70325080fb1ae231329f6f5"/>
    <w:p>
      <w:pPr>
        <w:pStyle w:val="Heading5"/>
        <w:spacing w:before="60" w:after="20"/>
      </w:pPr>
      <w:r>
        <w:rPr>
          <w:i/>
          <w:color w:val="595959"/>
        </w:rPr>
        <w:t xml:space="preserve">Seção VII: dos bens dos ausentes (arts. 744 a 745)</w:t>
      </w:r>
    </w:p>
    <w:bookmarkStart w:id="527" w:name="art.-744"/>
    <w:p>
      <w:pPr>
        <w:pStyle w:val="Heading6"/>
        <w:pBdr>
          <w:left w:val="single" w:sz="36" w:space="4" w:color="2E75B6"/>
        </w:pBdr>
        <w:shd w:val="clear" w:color="auto" w:fill="E3EEF9"/>
        <w:spacing w:before="120" w:after="60"/>
        <w:ind w:left="85"/>
      </w:pPr>
      <w:r>
        <w:rPr>
          <w:i w:val="0"/>
          <w:color w:val="1F3A5F"/>
          <w:sz w:val="22"/>
        </w:rPr>
        <w:t xml:space="preserve">Art. 744</w:t>
      </w:r>
    </w:p>
    <w:p>
      <w:pPr>
        <w:pStyle w:val="FirstParagraph"/>
        <w:spacing w:after="60"/>
        <w:jc w:val="both"/>
      </w:pPr>
      <w:r>
        <w:rPr>
          <w:b/>
          <w:bCs/>
        </w:rPr>
        <w:t xml:space="preserve">Art. 744.</w:t>
      </w:r>
      <w:r>
        <w:t xml:space="preserve"> </w:t>
      </w:r>
      <w:r>
        <w:t xml:space="preserve">Declarada a ausência nos casos previstos em lei, o juiz mandará arrecadar os bens do ausente e nomear-lhes-á curador na forma estabelecida na Seção VI, observando-se o disposto em lei.</w:t>
      </w:r>
    </w:p>
    <w:bookmarkEnd w:id="527"/>
    <w:bookmarkStart w:id="528" w:name="art.-745"/>
    <w:p>
      <w:pPr>
        <w:pStyle w:val="Heading6"/>
        <w:pBdr>
          <w:left w:val="single" w:sz="36" w:space="4" w:color="2E75B6"/>
        </w:pBdr>
        <w:shd w:val="clear" w:color="auto" w:fill="E3EEF9"/>
        <w:spacing w:before="120" w:after="60"/>
        <w:ind w:left="85"/>
      </w:pPr>
      <w:r>
        <w:rPr>
          <w:i w:val="0"/>
          <w:color w:val="1F3A5F"/>
          <w:sz w:val="22"/>
        </w:rPr>
        <w:t xml:space="preserve">Art. 745</w:t>
      </w:r>
    </w:p>
    <w:p>
      <w:pPr>
        <w:pStyle w:val="FirstParagraph"/>
        <w:spacing w:after="60"/>
        <w:jc w:val="both"/>
      </w:pPr>
      <w:r>
        <w:rPr>
          <w:b/>
          <w:bCs/>
        </w:rPr>
        <w:t xml:space="preserve">Art. 745.</w:t>
      </w:r>
      <w:r>
        <w:t xml:space="preserve"> </w:t>
      </w:r>
      <w:r>
        <w:t xml:space="preserve">Feita a arrecadação, o juiz mandará publicar editais na rede mundial de computadores, no sítio do tribunal a que estiver vinculado e na plataforma de editais do Conselho Nacional de Justiça, onde permanecerá por 1 (um) ano, ou, não havendo sítio, no órgão oficial e na imprensa da comarca, durante 1 (um) ano, reproduzida de 2 (dois) em 2 (dois) meses, anunciando a arrecadação e chamando o ausente a entrar na posse de seus bens.</w:t>
      </w:r>
    </w:p>
    <w:p>
      <w:pPr>
        <w:pStyle w:val="BodyText"/>
        <w:spacing w:after="60"/>
        <w:jc w:val="both"/>
      </w:pPr>
      <w:r>
        <w:t xml:space="preserve">§ 1º Findo o prazo previsto no edital, poderão os interessados requerer a abertura da sucessão provisória, observando-se o disposto em lei.</w:t>
      </w:r>
    </w:p>
    <w:p>
      <w:pPr>
        <w:pStyle w:val="BodyText"/>
        <w:spacing w:after="60"/>
        <w:jc w:val="both"/>
      </w:pPr>
      <w:r>
        <w:t xml:space="preserve">§ 2º O interessado, ao requerer a abertura da sucessão provisória, pedirá a citação pessoal dos herdeiros presentes e do curador e, por editais, a dos ausentes para requererem habilitação, na forma dos arts. 689 a 692.</w:t>
      </w:r>
    </w:p>
    <w:p>
      <w:pPr>
        <w:pStyle w:val="BodyText"/>
        <w:spacing w:after="60"/>
        <w:jc w:val="both"/>
      </w:pPr>
      <w:r>
        <w:t xml:space="preserve">§ 3º Presentes os requisitos legais, poderá ser requerida a conversão da sucessão provisória em definitiva.</w:t>
      </w:r>
    </w:p>
    <w:p>
      <w:pPr>
        <w:pStyle w:val="BodyText"/>
        <w:spacing w:after="60"/>
        <w:jc w:val="both"/>
      </w:pPr>
      <w:r>
        <w:t xml:space="preserve">§ 4º Regressando o ausente ou algum de seus descendentes ou ascendentes para requerer ao juiz a entrega de bens, serão citados para contestar o pedido os sucessores provisórios ou definitivos, o Ministério Público e o representante da Fazenda Pública, seguindo-se o procedimento comum.</w:t>
      </w:r>
    </w:p>
    <w:bookmarkEnd w:id="528"/>
    <w:bookmarkEnd w:id="529"/>
    <w:bookmarkStart w:id="531" w:name="seção-viii-das-coisas-vagas-arts.-746"/>
    <w:p>
      <w:pPr>
        <w:pStyle w:val="Heading5"/>
        <w:spacing w:before="60" w:after="20"/>
      </w:pPr>
      <w:r>
        <w:rPr>
          <w:i/>
          <w:color w:val="595959"/>
        </w:rPr>
        <w:t xml:space="preserve">Seção VIII: das coisas vagas (arts. 746)</w:t>
      </w:r>
    </w:p>
    <w:bookmarkStart w:id="530" w:name="art.-746"/>
    <w:p>
      <w:pPr>
        <w:pStyle w:val="Heading6"/>
        <w:pBdr>
          <w:left w:val="single" w:sz="36" w:space="4" w:color="2E75B6"/>
        </w:pBdr>
        <w:shd w:val="clear" w:color="auto" w:fill="E3EEF9"/>
        <w:spacing w:before="120" w:after="60"/>
        <w:ind w:left="85"/>
      </w:pPr>
      <w:r>
        <w:rPr>
          <w:i w:val="0"/>
          <w:color w:val="1F3A5F"/>
          <w:sz w:val="22"/>
        </w:rPr>
        <w:t xml:space="preserve">Art. 746</w:t>
      </w:r>
    </w:p>
    <w:p>
      <w:pPr>
        <w:pStyle w:val="FirstParagraph"/>
        <w:spacing w:after="60"/>
        <w:jc w:val="both"/>
      </w:pPr>
      <w:r>
        <w:rPr>
          <w:b/>
          <w:bCs/>
        </w:rPr>
        <w:t xml:space="preserve">Art. 746.</w:t>
      </w:r>
      <w:r>
        <w:t xml:space="preserve"> </w:t>
      </w:r>
      <w:r>
        <w:t xml:space="preserve">Recebendo do descobridor coisa alheia perdida, o juiz mandará lavrar o respectivo auto, do qual constará a descrição do bem e as declarações do descobridor.</w:t>
      </w:r>
    </w:p>
    <w:p>
      <w:pPr>
        <w:pStyle w:val="BodyText"/>
        <w:spacing w:after="60"/>
        <w:jc w:val="both"/>
      </w:pPr>
      <w:r>
        <w:t xml:space="preserve">§ 1º Recebida a coisa por autoridade policial, esta a remeterá em seguida ao juízo competente.</w:t>
      </w:r>
    </w:p>
    <w:p>
      <w:pPr>
        <w:pStyle w:val="BodyText"/>
        <w:spacing w:after="60"/>
        <w:jc w:val="both"/>
      </w:pPr>
      <w:r>
        <w:t xml:space="preserve">§ 2º Depositada a coisa, o juiz mandará publicar edital na rede mundial de computadores, no sítio do tribunal a que estiver vinculado e na plataforma de editais do Conselho Nacional de Justiça ou, não havendo sítio, no órgão oficial e na imprensa da comarca, para que o dono ou o legítimo possuidor a reclame, salvo se se tratar de coisa de pequeno valor e não for possível a publicação no sítio do tribunal, caso em que o edital será apenas afixado no átrio do edifício do fórum.</w:t>
      </w:r>
    </w:p>
    <w:p>
      <w:pPr>
        <w:pStyle w:val="BodyText"/>
        <w:spacing w:after="60"/>
        <w:jc w:val="both"/>
      </w:pPr>
      <w:r>
        <w:t xml:space="preserve">§ 3º Observar-se-á, quanto ao mais, o disposto em lei.</w:t>
      </w:r>
    </w:p>
    <w:bookmarkEnd w:id="530"/>
    <w:bookmarkEnd w:id="531"/>
    <w:bookmarkStart w:id="544" w:name="seção-ix-da-interdição-arts.-747-a-758"/>
    <w:p>
      <w:pPr>
        <w:pStyle w:val="Heading5"/>
        <w:spacing w:before="60" w:after="20"/>
      </w:pPr>
      <w:r>
        <w:rPr>
          <w:i/>
          <w:color w:val="595959"/>
        </w:rPr>
        <w:t xml:space="preserve">Seção IX: da interdição (arts. 747 a 758)</w:t>
      </w:r>
    </w:p>
    <w:bookmarkStart w:id="532" w:name="art.-747"/>
    <w:p>
      <w:pPr>
        <w:pStyle w:val="Heading6"/>
        <w:pBdr>
          <w:left w:val="single" w:sz="36" w:space="4" w:color="2E75B6"/>
        </w:pBdr>
        <w:shd w:val="clear" w:color="auto" w:fill="E3EEF9"/>
        <w:spacing w:before="120" w:after="60"/>
        <w:ind w:left="85"/>
      </w:pPr>
      <w:r>
        <w:rPr>
          <w:i w:val="0"/>
          <w:color w:val="1F3A5F"/>
          <w:sz w:val="22"/>
        </w:rPr>
        <w:t xml:space="preserve">Art. 747</w:t>
      </w:r>
    </w:p>
    <w:p>
      <w:pPr>
        <w:pStyle w:val="FirstParagraph"/>
        <w:keepNext/>
        <w:spacing w:after="60"/>
        <w:jc w:val="both"/>
      </w:pPr>
      <w:r>
        <w:rPr>
          <w:b/>
          <w:bCs/>
        </w:rPr>
        <w:t xml:space="preserve">Art. 747.</w:t>
      </w:r>
      <w:r>
        <w:t xml:space="preserve"> </w:t>
      </w:r>
      <w:r>
        <w:t xml:space="preserve">A interdição pode ser promovida: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2404"/>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Legitimidade ativa para a interdição: rol taxativo, sem ordem preferencial</w:t>
            </w:r>
          </w:p>
        </w:tc>
        <w:tc>
          <w:tcPr>
            <w:tcW w:type="dxa" w:w="1655"/>
          </w:tcPr>
          <w:p>
            <w:pPr>
              <w:pStyle w:val="Compact"/>
              <w:spacing w:line="276" w:lineRule="auto" w:before="40" w:after="40"/>
            </w:pPr>
            <w:r>
              <w:rPr>
                <w:rFonts w:ascii="Liberation Sans Narrow" w:hAnsi="Liberation Sans Narrow"/>
                <w:sz w:val="17"/>
              </w:rPr>
              <w:t xml:space="preserve">STJ, REsp 2.156.970, Quarta Turma, relator Min. João Otávio de Noronha, julgado em 12/08/2026, DJEN de 17/08/2026</w:t>
            </w:r>
          </w:p>
        </w:tc>
        <w:tc>
          <w:tcPr>
            <w:tcW w:type="dxa" w:w="2404"/>
          </w:tcPr>
          <w:p>
            <w:pPr>
              <w:pStyle w:val="Compact"/>
              <w:spacing w:line="276" w:lineRule="auto" w:before="40" w:after="40"/>
            </w:pPr>
            <w:r>
              <w:rPr>
                <w:rFonts w:ascii="Liberation Sans Narrow" w:hAnsi="Liberation Sans Narrow"/>
                <w:sz w:val="17"/>
              </w:rPr>
              <w:t xml:space="preserve">O rol de legitimados para propor a interdição (art. 747) é taxativo, embora não estabeleça ordem preferencial; havendo intervenção posterior de parentes legitimados, regulariza-se o polo ativo e aproveitam-se os atos, em prestígio ao julgamento de mérito, à proteção da pessoa vulnerável e à instrumentalidade das formas.</w:t>
            </w:r>
          </w:p>
        </w:tc>
      </w:tr>
    </w:tbl>
    <w:p>
      <w:pPr>
        <w:pStyle w:val="BodyText"/>
        <w:spacing w:after="60"/>
        <w:jc w:val="both"/>
      </w:pPr>
      <w:r>
        <w:t xml:space="preserve">I - pelo cônjuge ou companheiro;</w:t>
      </w:r>
    </w:p>
    <w:p>
      <w:pPr>
        <w:pStyle w:val="BodyText"/>
        <w:spacing w:after="60"/>
        <w:jc w:val="both"/>
      </w:pPr>
      <w:r>
        <w:t xml:space="preserve">II - pelos parentes ou tutores;</w:t>
      </w:r>
    </w:p>
    <w:p>
      <w:pPr>
        <w:pStyle w:val="BodyText"/>
        <w:spacing w:after="60"/>
        <w:jc w:val="both"/>
      </w:pPr>
      <w:r>
        <w:t xml:space="preserve">III - pelo representante da entidade em que se encontra abrigado o interditando;</w:t>
      </w:r>
    </w:p>
    <w:p>
      <w:pPr>
        <w:pStyle w:val="BodyText"/>
        <w:spacing w:after="60"/>
        <w:jc w:val="both"/>
      </w:pPr>
      <w:r>
        <w:t xml:space="preserve">IV - pelo Ministério Público.</w:t>
      </w:r>
    </w:p>
    <w:p>
      <w:pPr>
        <w:pStyle w:val="BodyText"/>
        <w:spacing w:after="60"/>
        <w:jc w:val="both"/>
      </w:pPr>
      <w:r>
        <w:t xml:space="preserve">Parágrafo único. A legitimidade deverá ser comprovada por documentação que acompanhe a petição inicial.</w:t>
      </w:r>
    </w:p>
    <w:bookmarkEnd w:id="532"/>
    <w:bookmarkStart w:id="533" w:name="art.-748"/>
    <w:p>
      <w:pPr>
        <w:pStyle w:val="Heading6"/>
        <w:pBdr>
          <w:left w:val="single" w:sz="36" w:space="4" w:color="2E75B6"/>
        </w:pBdr>
        <w:shd w:val="clear" w:color="auto" w:fill="E3EEF9"/>
        <w:spacing w:before="120" w:after="60"/>
        <w:ind w:left="85"/>
      </w:pPr>
      <w:r>
        <w:rPr>
          <w:i w:val="0"/>
          <w:color w:val="1F3A5F"/>
          <w:sz w:val="22"/>
        </w:rPr>
        <w:t xml:space="preserve">Art. 748</w:t>
      </w:r>
    </w:p>
    <w:p>
      <w:pPr>
        <w:pStyle w:val="FirstParagraph"/>
        <w:spacing w:after="60"/>
        <w:jc w:val="both"/>
      </w:pPr>
      <w:r>
        <w:rPr>
          <w:b/>
          <w:bCs/>
        </w:rPr>
        <w:t xml:space="preserve">Art. 748.</w:t>
      </w:r>
      <w:r>
        <w:t xml:space="preserve"> </w:t>
      </w:r>
      <w:r>
        <w:t xml:space="preserve">O Ministério Público só promoverá interdição em caso de doença mental grave:</w:t>
      </w:r>
    </w:p>
    <w:p>
      <w:pPr>
        <w:pStyle w:val="BodyText"/>
        <w:spacing w:after="60"/>
        <w:jc w:val="both"/>
      </w:pPr>
      <w:r>
        <w:t xml:space="preserve">I - se as pessoas designadas nos incisos I, II e III do art. 747 não existirem ou não promoverem a interdição;</w:t>
      </w:r>
    </w:p>
    <w:p>
      <w:pPr>
        <w:pStyle w:val="BodyText"/>
        <w:spacing w:after="60"/>
        <w:jc w:val="both"/>
      </w:pPr>
      <w:r>
        <w:t xml:space="preserve">II - se, existindo, forem incapazes as pessoas mencionadas nos incisos I e II do art. 747.</w:t>
      </w:r>
    </w:p>
    <w:bookmarkEnd w:id="533"/>
    <w:bookmarkStart w:id="534" w:name="art.-749"/>
    <w:p>
      <w:pPr>
        <w:pStyle w:val="Heading6"/>
        <w:pBdr>
          <w:left w:val="single" w:sz="36" w:space="4" w:color="2E75B6"/>
        </w:pBdr>
        <w:shd w:val="clear" w:color="auto" w:fill="E3EEF9"/>
        <w:spacing w:before="120" w:after="60"/>
        <w:ind w:left="85"/>
      </w:pPr>
      <w:r>
        <w:rPr>
          <w:i w:val="0"/>
          <w:color w:val="1F3A5F"/>
          <w:sz w:val="22"/>
        </w:rPr>
        <w:t xml:space="preserve">Art. 749</w:t>
      </w:r>
    </w:p>
    <w:p>
      <w:pPr>
        <w:pStyle w:val="FirstParagraph"/>
        <w:spacing w:after="60"/>
        <w:jc w:val="both"/>
      </w:pPr>
      <w:r>
        <w:rPr>
          <w:b/>
          <w:bCs/>
        </w:rPr>
        <w:t xml:space="preserve">Art. 749.</w:t>
      </w:r>
      <w:r>
        <w:t xml:space="preserve"> </w:t>
      </w:r>
      <w:r>
        <w:t xml:space="preserve">Incumbe ao autor, na petição inicial, especificar os fatos que demonstram a incapacidade do interditando para administrar seus bens e, se for o caso, para praticar atos da vida civil, bem como o momento em que a incapacidade se revelou.</w:t>
      </w:r>
    </w:p>
    <w:p>
      <w:pPr>
        <w:pStyle w:val="BodyText"/>
        <w:spacing w:after="60"/>
        <w:jc w:val="both"/>
      </w:pPr>
      <w:r>
        <w:t xml:space="preserve">Parágrafo único. Justificada a urgência, o juiz pode nomear curador provisório ao interditando para a prática de determinados atos.</w:t>
      </w:r>
    </w:p>
    <w:bookmarkEnd w:id="534"/>
    <w:bookmarkStart w:id="535" w:name="art.-750"/>
    <w:p>
      <w:pPr>
        <w:pStyle w:val="Heading6"/>
        <w:pBdr>
          <w:left w:val="single" w:sz="36" w:space="4" w:color="2E75B6"/>
        </w:pBdr>
        <w:shd w:val="clear" w:color="auto" w:fill="E3EEF9"/>
        <w:spacing w:before="120" w:after="60"/>
        <w:ind w:left="85"/>
      </w:pPr>
      <w:r>
        <w:rPr>
          <w:i w:val="0"/>
          <w:color w:val="1F3A5F"/>
          <w:sz w:val="22"/>
        </w:rPr>
        <w:t xml:space="preserve">Art. 750</w:t>
      </w:r>
    </w:p>
    <w:p>
      <w:pPr>
        <w:pStyle w:val="FirstParagraph"/>
        <w:keepNext/>
        <w:spacing w:after="60"/>
        <w:jc w:val="both"/>
      </w:pPr>
      <w:r>
        <w:rPr>
          <w:b/>
          <w:bCs/>
        </w:rPr>
        <w:t xml:space="preserve">Art. 750.</w:t>
      </w:r>
      <w:r>
        <w:t xml:space="preserve"> </w:t>
      </w:r>
      <w:r>
        <w:t xml:space="preserve">O requerente deverá juntar laudo médico para fazer prova de suas alegações ou informar a impossibilidade de fazê-lo.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2029"/>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780"/>
          </w:tcPr>
          <w:p>
            <w:pPr>
              <w:pStyle w:val="Compact"/>
              <w:spacing w:line="276" w:lineRule="auto" w:before="40" w:after="40"/>
            </w:pPr>
            <w:r>
              <w:rPr>
                <w:rFonts w:ascii="Liberation Sans Narrow" w:hAnsi="Liberation Sans Narrow"/>
                <w:sz w:val="17"/>
              </w:rPr>
              <w:t xml:space="preserve">Caput — dispensa do laudo quando o interditando recusa o exame</w:t>
            </w:r>
          </w:p>
        </w:tc>
        <w:tc>
          <w:tcPr>
            <w:tcW w:type="dxa" w:w="1655"/>
          </w:tcPr>
          <w:p>
            <w:pPr>
              <w:pStyle w:val="Compact"/>
              <w:spacing w:line="276" w:lineRule="auto" w:before="40" w:after="40"/>
            </w:pPr>
            <w:r>
              <w:rPr>
                <w:rFonts w:ascii="Liberation Sans Narrow" w:hAnsi="Liberation Sans Narrow"/>
                <w:sz w:val="17"/>
              </w:rPr>
              <w:t xml:space="preserve">STJ, REsp 1.933.597, Terceira Turma, relatora Min. Nancy Andrighi, julgado em 26/10/2021, DJe de 03/11/2021</w:t>
            </w:r>
          </w:p>
        </w:tc>
        <w:tc>
          <w:tcPr>
            <w:tcW w:type="dxa" w:w="2030"/>
          </w:tcPr>
          <w:p>
            <w:pPr>
              <w:pStyle w:val="Compact"/>
              <w:spacing w:line="276" w:lineRule="auto" w:before="40" w:after="40"/>
            </w:pPr>
            <w:r>
              <w:rPr>
                <w:rFonts w:ascii="Liberation Sans Narrow" w:hAnsi="Liberation Sans Narrow"/>
                <w:sz w:val="17"/>
              </w:rPr>
              <w:t xml:space="preserve">O laudo médico do art. 750 é documento necessário à propositura da ação de interdição, mas sua juntada pode ser flexibilizada: o laudo não substitui a prova pericial e serve apenas para conferir plausibilidade jurídica à petição inicial. A recusa do interditando em se submeter ao exame médico autoriza providência substitutiva — a audiência de justificação —, e o indeferimento dessa providência impede a extinção do processo sem resolução do mérito por excesso de rigor e violação do acesso à justiça.</w:t>
            </w:r>
          </w:p>
        </w:tc>
      </w:tr>
    </w:tbl>
    <w:bookmarkEnd w:id="535"/>
    <w:bookmarkStart w:id="536" w:name="art.-751"/>
    <w:p>
      <w:pPr>
        <w:pStyle w:val="Heading6"/>
        <w:pBdr>
          <w:left w:val="single" w:sz="36" w:space="4" w:color="2E75B6"/>
        </w:pBdr>
        <w:shd w:val="clear" w:color="auto" w:fill="E3EEF9"/>
        <w:spacing w:before="120" w:after="60"/>
        <w:ind w:left="85"/>
      </w:pPr>
      <w:r>
        <w:rPr>
          <w:i w:val="0"/>
          <w:color w:val="1F3A5F"/>
          <w:sz w:val="22"/>
        </w:rPr>
        <w:t xml:space="preserve">Art. 751</w:t>
      </w:r>
    </w:p>
    <w:p>
      <w:pPr>
        <w:pStyle w:val="FirstParagraph"/>
        <w:spacing w:after="60"/>
        <w:jc w:val="both"/>
      </w:pPr>
      <w:r>
        <w:rPr>
          <w:b/>
          <w:bCs/>
        </w:rPr>
        <w:t xml:space="preserve">Art. 751.</w:t>
      </w:r>
      <w:r>
        <w:t xml:space="preserve"> </w:t>
      </w:r>
      <w:r>
        <w:t xml:space="preserve">O interditando será citado para, em dia designado, comparecer perante o juiz, que o entrevistará minuciosamente acerca de sua vida, negócios, bens, vontades, preferências e laços familiares e afetivos e sobre o que mais lhe parecer necessário para convencimento quanto à sua capacidade para praticar atos da vida civil, devendo ser reduzidas a termo as perguntas e respostas.</w:t>
      </w:r>
    </w:p>
    <w:p>
      <w:pPr>
        <w:pStyle w:val="BodyText"/>
        <w:spacing w:after="60"/>
        <w:jc w:val="both"/>
      </w:pPr>
      <w:r>
        <w:t xml:space="preserve">§ 1º Não podendo o interditando deslocar-se, o juiz o ouvirá no local onde estiver.</w:t>
      </w:r>
    </w:p>
    <w:p>
      <w:pPr>
        <w:pStyle w:val="BodyText"/>
        <w:spacing w:after="60"/>
        <w:jc w:val="both"/>
      </w:pPr>
      <w:r>
        <w:t xml:space="preserve">§ 2º A entrevista poderá ser acompanhada por especialista.</w:t>
      </w:r>
    </w:p>
    <w:p>
      <w:pPr>
        <w:pStyle w:val="BodyText"/>
        <w:spacing w:after="60"/>
        <w:jc w:val="both"/>
      </w:pPr>
      <w:r>
        <w:t xml:space="preserve">§ 3º Durante a entrevista, é assegurado o emprego de recursos tecnológicos capazes de permitir ou de auxiliar o interditando a expressar suas vontades e preferências e a responder às perguntas formuladas.</w:t>
      </w:r>
    </w:p>
    <w:p>
      <w:pPr>
        <w:pStyle w:val="BodyText"/>
        <w:spacing w:after="60"/>
        <w:jc w:val="both"/>
      </w:pPr>
      <w:r>
        <w:t xml:space="preserve">§ 4º A critério do juiz, poderá ser requisitada a oitiva de parentes e de pessoas próximas.</w:t>
      </w:r>
    </w:p>
    <w:bookmarkEnd w:id="536"/>
    <w:bookmarkStart w:id="537" w:name="art.-752"/>
    <w:p>
      <w:pPr>
        <w:pStyle w:val="Heading6"/>
        <w:pBdr>
          <w:left w:val="single" w:sz="36" w:space="4" w:color="2E75B6"/>
        </w:pBdr>
        <w:shd w:val="clear" w:color="auto" w:fill="E3EEF9"/>
        <w:spacing w:before="120" w:after="60"/>
        <w:ind w:left="85"/>
      </w:pPr>
      <w:r>
        <w:rPr>
          <w:i w:val="0"/>
          <w:color w:val="1F3A5F"/>
          <w:sz w:val="22"/>
        </w:rPr>
        <w:t xml:space="preserve">Art. 752</w:t>
      </w:r>
    </w:p>
    <w:p>
      <w:pPr>
        <w:pStyle w:val="FirstParagraph"/>
        <w:spacing w:after="60"/>
        <w:jc w:val="both"/>
      </w:pPr>
      <w:r>
        <w:rPr>
          <w:b/>
          <w:bCs/>
        </w:rPr>
        <w:t xml:space="preserve">Art. 752.</w:t>
      </w:r>
      <w:r>
        <w:t xml:space="preserve"> </w:t>
      </w:r>
      <w:r>
        <w:t xml:space="preserve">Dentro do prazo de 15 (quinze) dias contado da entrevista, o interditando poderá impugnar o pedido.</w:t>
      </w:r>
    </w:p>
    <w:p>
      <w:pPr>
        <w:pStyle w:val="BodyText"/>
        <w:spacing w:after="60"/>
        <w:jc w:val="both"/>
      </w:pPr>
      <w:r>
        <w:t xml:space="preserve">§ 1º O Ministério Público intervirá como fiscal da ordem jurídica.</w:t>
      </w:r>
    </w:p>
    <w:p>
      <w:pPr>
        <w:pStyle w:val="BodyText"/>
        <w:spacing w:after="60"/>
        <w:jc w:val="both"/>
      </w:pPr>
      <w:r>
        <w:t xml:space="preserve">§ 2º O interditando poderá constituir advogado, e, caso não o faça, deverá ser nomeado curador especial.</w:t>
      </w:r>
    </w:p>
    <w:p>
      <w:pPr>
        <w:pStyle w:val="BodyText"/>
        <w:spacing w:after="60"/>
        <w:jc w:val="both"/>
      </w:pPr>
      <w:r>
        <w:t xml:space="preserve">§ 3º Caso o interditando não constitua advogado, o seu cônjuge, companheiro ou qualquer parente sucessível poderá intervir como assistente.</w:t>
      </w:r>
    </w:p>
    <w:bookmarkEnd w:id="537"/>
    <w:bookmarkStart w:id="538" w:name="art.-753"/>
    <w:p>
      <w:pPr>
        <w:pStyle w:val="Heading6"/>
        <w:pBdr>
          <w:left w:val="single" w:sz="36" w:space="4" w:color="2E75B6"/>
        </w:pBdr>
        <w:shd w:val="clear" w:color="auto" w:fill="E3EEF9"/>
        <w:spacing w:before="120" w:after="60"/>
        <w:ind w:left="85"/>
      </w:pPr>
      <w:r>
        <w:rPr>
          <w:i w:val="0"/>
          <w:color w:val="1F3A5F"/>
          <w:sz w:val="22"/>
        </w:rPr>
        <w:t xml:space="preserve">Art. 753</w:t>
      </w:r>
    </w:p>
    <w:p>
      <w:pPr>
        <w:pStyle w:val="FirstParagraph"/>
        <w:keepNext/>
        <w:spacing w:after="60"/>
        <w:jc w:val="both"/>
      </w:pPr>
      <w:r>
        <w:rPr>
          <w:b/>
          <w:bCs/>
        </w:rPr>
        <w:t xml:space="preserve">Art. 753.</w:t>
      </w:r>
      <w:r>
        <w:t xml:space="preserve"> </w:t>
      </w:r>
      <w:r>
        <w:t xml:space="preserve">Decorrido o prazo previsto no art. 752, o juiz determinará a produção de prova pericial para avaliação da capacidade do interditando para praticar atos da vida civil.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154"/>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orientação de aplicação</w:t>
            </w:r>
          </w:p>
        </w:tc>
        <w:tc>
          <w:tcPr>
            <w:tcW w:type="dxa" w:w="1655"/>
          </w:tcPr>
          <w:p>
            <w:pPr>
              <w:pStyle w:val="Compact"/>
              <w:spacing w:line="276" w:lineRule="auto" w:before="40" w:after="40"/>
            </w:pPr>
            <w:r>
              <w:rPr>
                <w:rFonts w:ascii="Liberation Sans Narrow" w:hAnsi="Liberation Sans Narrow"/>
                <w:sz w:val="17"/>
              </w:rPr>
              <w:t xml:space="preserve">STJ, AREsp 3.057.382, Quarta Turma, relator Min. João Otávio de Noronha, julgado em 22/04/2026, DJEN de 27/04/2026</w:t>
            </w:r>
          </w:p>
        </w:tc>
        <w:tc>
          <w:tcPr>
            <w:tcW w:type="dxa" w:w="2154"/>
          </w:tcPr>
          <w:p>
            <w:pPr>
              <w:pStyle w:val="Compact"/>
              <w:spacing w:line="276" w:lineRule="auto" w:before="40" w:after="40"/>
            </w:pPr>
            <w:r>
              <w:rPr>
                <w:rFonts w:ascii="Liberation Sans Narrow" w:hAnsi="Liberation Sans Narrow"/>
                <w:sz w:val="17"/>
              </w:rPr>
              <w:t xml:space="preserve">A perícia do art. 753 do CPC é dispensável quando os elementos probatórios dos autos são suficientes para aferir a causa justificadora da interdição, sua extensão e limites.</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tese</w:t>
            </w:r>
          </w:p>
        </w:tc>
        <w:tc>
          <w:tcPr>
            <w:tcW w:type="dxa" w:w="1655"/>
          </w:tcPr>
          <w:p>
            <w:pPr>
              <w:pStyle w:val="Compact"/>
              <w:spacing w:line="276" w:lineRule="auto" w:before="40" w:after="40"/>
            </w:pPr>
            <w:r>
              <w:rPr>
                <w:rFonts w:ascii="Liberation Sans Narrow" w:hAnsi="Liberation Sans Narrow"/>
                <w:sz w:val="17"/>
              </w:rPr>
              <w:t xml:space="preserve">STJ, REsp 2.124.428, Terceira Turma, relatora Min. Nancy Andrighi, julgado em 14/05/2024, DJe de 17/05/2024</w:t>
            </w:r>
          </w:p>
        </w:tc>
        <w:tc>
          <w:tcPr>
            <w:tcW w:type="dxa" w:w="2154"/>
          </w:tcPr>
          <w:p>
            <w:pPr>
              <w:pStyle w:val="Compact"/>
              <w:spacing w:line="276" w:lineRule="auto" w:before="40" w:after="40"/>
            </w:pPr>
            <w:r>
              <w:rPr>
                <w:rFonts w:ascii="Liberation Sans Narrow" w:hAnsi="Liberation Sans Narrow"/>
                <w:sz w:val="17"/>
              </w:rPr>
              <w:t xml:space="preserve">Na ação de interdição, a prova pericial é de fundamental importância para constatar a causa da interdição, sua extensão e seus limites, não sendo substituível por laudo médico unilateralmente produzido ou pela entrevista do interditando realizada pelo juiz.</w:t>
            </w:r>
          </w:p>
        </w:tc>
      </w:tr>
    </w:tbl>
    <w:p>
      <w:pPr>
        <w:pStyle w:val="BodyText"/>
        <w:spacing w:after="60"/>
        <w:jc w:val="both"/>
      </w:pPr>
      <w:r>
        <w:t xml:space="preserve">§ 1º A perícia pode ser realizada por equipe composta por expertos com formação multidisciplinar.</w:t>
      </w:r>
    </w:p>
    <w:p>
      <w:pPr>
        <w:pStyle w:val="BodyText"/>
        <w:spacing w:after="60"/>
        <w:jc w:val="both"/>
      </w:pPr>
      <w:r>
        <w:t xml:space="preserve">§ 2º O laudo pericial indicará especificadamente, se for o caso, os atos para os quais haverá necessidade de curatela.</w:t>
      </w:r>
    </w:p>
    <w:bookmarkEnd w:id="538"/>
    <w:bookmarkStart w:id="539" w:name="art.-754"/>
    <w:p>
      <w:pPr>
        <w:pStyle w:val="Heading6"/>
        <w:pBdr>
          <w:left w:val="single" w:sz="36" w:space="4" w:color="2E75B6"/>
        </w:pBdr>
        <w:shd w:val="clear" w:color="auto" w:fill="E3EEF9"/>
        <w:spacing w:before="120" w:after="60"/>
        <w:ind w:left="85"/>
      </w:pPr>
      <w:r>
        <w:rPr>
          <w:i w:val="0"/>
          <w:color w:val="1F3A5F"/>
          <w:sz w:val="22"/>
        </w:rPr>
        <w:t xml:space="preserve">Art. 754</w:t>
      </w:r>
    </w:p>
    <w:p>
      <w:pPr>
        <w:pStyle w:val="FirstParagraph"/>
        <w:keepNext/>
        <w:spacing w:after="60"/>
        <w:jc w:val="both"/>
      </w:pPr>
      <w:r>
        <w:rPr>
          <w:b/>
          <w:bCs/>
        </w:rPr>
        <w:t xml:space="preserve">Art. 754.</w:t>
      </w:r>
      <w:r>
        <w:t xml:space="preserve"> </w:t>
      </w:r>
      <w:r>
        <w:t xml:space="preserve">Apresentado o laudo, produzidas as demais provas e ouvidos os interessados, o juiz proferirá sentença.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orientação de aplicação (aplicação narrada)</w:t>
            </w:r>
          </w:p>
        </w:tc>
        <w:tc>
          <w:tcPr>
            <w:tcW w:type="dxa" w:w="1531"/>
          </w:tcPr>
          <w:p>
            <w:pPr>
              <w:pStyle w:val="Compact"/>
              <w:spacing w:line="276" w:lineRule="auto" w:before="40" w:after="40"/>
            </w:pPr>
            <w:r>
              <w:rPr>
                <w:rFonts w:ascii="Liberation Sans Narrow" w:hAnsi="Liberation Sans Narrow"/>
                <w:sz w:val="17"/>
              </w:rPr>
              <w:t xml:space="preserve">STJ, REsp 2.231.171, Segunda Turma, relator Min. Teodoro Silva Santos, julgado em 29/04/2026</w:t>
            </w:r>
          </w:p>
        </w:tc>
        <w:tc>
          <w:tcPr>
            <w:tcW w:type="dxa" w:w="1905"/>
          </w:tcPr>
          <w:p>
            <w:pPr>
              <w:pStyle w:val="Compact"/>
              <w:spacing w:line="276" w:lineRule="auto" w:before="40" w:after="40"/>
            </w:pPr>
            <w:r>
              <w:rPr>
                <w:rFonts w:ascii="Liberation Sans Narrow" w:hAnsi="Liberation Sans Narrow"/>
                <w:sz w:val="17"/>
              </w:rPr>
              <w:t xml:space="preserve">A sentença de interdição opera efeitos ex nunc, não tendo o condão de retroagir para afastar prescrição já consumada. Trecho: “A sentença de interdição, proferida em 2010, opera efeitos ex nunc, não tendo o condão de retroagir para afastar prescrição já consumada, máxime quando o conjunto probatório indica capacidade plena do recorrente ao tempo do licenciamento (1986).”</w:t>
            </w:r>
          </w:p>
        </w:tc>
      </w:tr>
    </w:tbl>
    <w:bookmarkEnd w:id="539"/>
    <w:bookmarkStart w:id="540" w:name="art.-755"/>
    <w:p>
      <w:pPr>
        <w:pStyle w:val="Heading6"/>
        <w:pBdr>
          <w:left w:val="single" w:sz="36" w:space="4" w:color="2E75B6"/>
        </w:pBdr>
        <w:shd w:val="clear" w:color="auto" w:fill="E3EEF9"/>
        <w:spacing w:before="120" w:after="60"/>
        <w:ind w:left="85"/>
      </w:pPr>
      <w:r>
        <w:rPr>
          <w:i w:val="0"/>
          <w:color w:val="1F3A5F"/>
          <w:sz w:val="22"/>
        </w:rPr>
        <w:t xml:space="preserve">Art. 755</w:t>
      </w:r>
    </w:p>
    <w:p>
      <w:pPr>
        <w:pStyle w:val="FirstParagraph"/>
        <w:spacing w:after="60"/>
        <w:jc w:val="both"/>
      </w:pPr>
      <w:r>
        <w:rPr>
          <w:b/>
          <w:bCs/>
        </w:rPr>
        <w:t xml:space="preserve">Art. 755.</w:t>
      </w:r>
      <w:r>
        <w:t xml:space="preserve"> </w:t>
      </w:r>
      <w:r>
        <w:t xml:space="preserve">Na sentença que decretar a interdição, o juiz:</w:t>
      </w:r>
    </w:p>
    <w:p>
      <w:pPr>
        <w:pStyle w:val="BodyText"/>
        <w:keepNext/>
        <w:spacing w:after="60"/>
        <w:jc w:val="both"/>
      </w:pPr>
      <w:r>
        <w:t xml:space="preserve">I - nomeará curador, que poderá ser o requerente da interdição, e fixará os limites da curatela, segundo o estado e o desenvolvimento mental do interdito;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2279"/>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655"/>
          </w:tcPr>
          <w:p>
            <w:pPr>
              <w:pStyle w:val="Compact"/>
              <w:spacing w:line="276" w:lineRule="auto" w:before="40" w:after="40"/>
            </w:pPr>
            <w:r>
              <w:rPr>
                <w:rFonts w:ascii="Liberation Sans Narrow" w:hAnsi="Liberation Sans Narrow"/>
                <w:sz w:val="17"/>
              </w:rPr>
              <w:t xml:space="preserve">I — fixação dos limites da curatela (orientação de aplicação) (aplicação narrada)</w:t>
            </w:r>
          </w:p>
        </w:tc>
        <w:tc>
          <w:tcPr>
            <w:tcW w:type="dxa" w:w="1655"/>
          </w:tcPr>
          <w:p>
            <w:pPr>
              <w:pStyle w:val="Compact"/>
              <w:spacing w:line="276" w:lineRule="auto" w:before="40" w:after="40"/>
            </w:pPr>
            <w:r>
              <w:rPr>
                <w:rFonts w:ascii="Liberation Sans Narrow" w:hAnsi="Liberation Sans Narrow"/>
                <w:sz w:val="17"/>
              </w:rPr>
              <w:t xml:space="preserve">STJ, REsp 2.243.242, Quarta Turma, relator Min. João Otávio de Noronha, julgado em 16/03/2026, DJEN de 19/03/2026</w:t>
            </w:r>
          </w:p>
        </w:tc>
        <w:tc>
          <w:tcPr>
            <w:tcW w:type="dxa" w:w="2279"/>
          </w:tcPr>
          <w:p>
            <w:pPr>
              <w:pStyle w:val="Compact"/>
              <w:spacing w:line="276" w:lineRule="auto" w:before="40" w:after="40"/>
            </w:pPr>
            <w:r>
              <w:rPr>
                <w:rFonts w:ascii="Liberation Sans Narrow" w:hAnsi="Liberation Sans Narrow"/>
                <w:sz w:val="17"/>
              </w:rPr>
              <w:t xml:space="preserve">Os poderes conferidos ao curador podem ser estendidos a outros atos da vida civil além dos patrimoniais e negociais, excepcionalmente e de forma fundamentada, atendidas as necessidades do curatelado. Trecho: “O acórdão recorrido está em consonância com a jurisprudência do STJ, de que os poderes conferidos ao curador podem ser estendidos para outros atos da vida civil que não apenas os de caráter patrimonial e negocial, excepcionalmente e de forma fundamentada, atendidas as necessidades do curatelado e observadas as peculiaridades do caso concreto.”</w:t>
            </w:r>
          </w:p>
        </w:tc>
      </w:tr>
    </w:tbl>
    <w:p>
      <w:pPr>
        <w:pStyle w:val="BodyText"/>
        <w:spacing w:after="60"/>
        <w:jc w:val="both"/>
      </w:pPr>
      <w:r>
        <w:t xml:space="preserve">II - considerará as características pessoais do interdito, observando suas potencialidades, habilidades, vontades e preferências.</w:t>
      </w:r>
    </w:p>
    <w:p>
      <w:pPr>
        <w:pStyle w:val="BodyText"/>
        <w:spacing w:after="60"/>
        <w:jc w:val="both"/>
      </w:pPr>
      <w:r>
        <w:t xml:space="preserve">§ 1º A curatela deve ser atribuída a quem melhor possa atender aos interesses do curatelado.</w:t>
      </w:r>
    </w:p>
    <w:p>
      <w:pPr>
        <w:pStyle w:val="BodyText"/>
        <w:spacing w:after="60"/>
        <w:jc w:val="both"/>
      </w:pPr>
      <w:r>
        <w:t xml:space="preserve">§ 2º Havendo, ao tempo da interdição, pessoa incapaz sob a guarda e a responsabilidade do interdito, o juiz atribuirá a curatela a quem melhor puder atender aos interesses do interdito e do incapaz.</w:t>
      </w:r>
    </w:p>
    <w:p>
      <w:pPr>
        <w:pStyle w:val="BodyText"/>
        <w:spacing w:after="60"/>
        <w:jc w:val="both"/>
      </w:pPr>
      <w:r>
        <w:t xml:space="preserve">§ 3º A sentença de interdição será inscrita no registro de pessoas naturais e imediatamente publicada na rede mundial de computadores, no sítio do tribunal a que estiver vinculado o juízo e na plataforma de editais do Conselho Nacional de Justiça, onde permanecerá por 6 (seis) meses, na imprensa local, 1 (uma) vez, e no órgão oficial, por 3 (três) vezes, com intervalo de 10 (dez) dias, constando do edital os nomes do interdito e do curador, a causa da interdição, os limites da curatela e, não sendo total a interdição, os atos que o interdito poderá praticar autonomamente.</w:t>
      </w:r>
    </w:p>
    <w:bookmarkEnd w:id="540"/>
    <w:bookmarkStart w:id="541" w:name="art.-756"/>
    <w:p>
      <w:pPr>
        <w:pStyle w:val="Heading6"/>
        <w:pBdr>
          <w:left w:val="single" w:sz="36" w:space="4" w:color="2E75B6"/>
        </w:pBdr>
        <w:shd w:val="clear" w:color="auto" w:fill="E3EEF9"/>
        <w:spacing w:before="120" w:after="60"/>
        <w:ind w:left="85"/>
      </w:pPr>
      <w:r>
        <w:rPr>
          <w:i w:val="0"/>
          <w:color w:val="1F3A5F"/>
          <w:sz w:val="22"/>
        </w:rPr>
        <w:t xml:space="preserve">Art. 756</w:t>
      </w:r>
    </w:p>
    <w:p>
      <w:pPr>
        <w:pStyle w:val="FirstParagraph"/>
        <w:spacing w:after="60"/>
        <w:jc w:val="both"/>
      </w:pPr>
      <w:r>
        <w:rPr>
          <w:b/>
          <w:bCs/>
        </w:rPr>
        <w:t xml:space="preserve">Art. 756.</w:t>
      </w:r>
      <w:r>
        <w:t xml:space="preserve"> </w:t>
      </w:r>
      <w:r>
        <w:t xml:space="preserve">Levantar-se-á a curatela quando cessar a causa que a determinou.</w:t>
      </w:r>
    </w:p>
    <w:p>
      <w:pPr>
        <w:pStyle w:val="BodyText"/>
        <w:spacing w:after="60"/>
        <w:jc w:val="both"/>
      </w:pPr>
      <w:r>
        <w:t xml:space="preserve">§ 1º O pedido de levantamento da curatela poderá ser feito pelo interdito, pelo curador ou pelo Ministério Público e será apensado aos autos da interdição.</w:t>
      </w:r>
    </w:p>
    <w:p>
      <w:pPr>
        <w:pStyle w:val="BodyText"/>
        <w:spacing w:after="60"/>
        <w:jc w:val="both"/>
      </w:pPr>
      <w:r>
        <w:t xml:space="preserve">§ 2º O juiz nomeará perito ou equipe multidisciplinar para proceder ao exame do interdito e designará audiência de instrução e julgamento após a apresentação do laudo.</w:t>
      </w:r>
    </w:p>
    <w:p>
      <w:pPr>
        <w:pStyle w:val="BodyText"/>
        <w:spacing w:after="60"/>
        <w:jc w:val="both"/>
      </w:pPr>
      <w:r>
        <w:t xml:space="preserve">§ 3º Acolhido o pedido, o juiz decretará o levantamento da interdição e determinará a publicação da sentença, após o trânsito em julgado, na forma do art. 755, § 3º, ou, não sendo possível, na imprensa local e no órgão oficial, por 3 (três) vezes, com intervalo de 10 (dez) dias, seguindo-se a averbação no registro de pessoas naturais.</w:t>
      </w:r>
    </w:p>
    <w:p>
      <w:pPr>
        <w:pStyle w:val="BodyText"/>
        <w:spacing w:after="60"/>
        <w:jc w:val="both"/>
      </w:pPr>
      <w:r>
        <w:t xml:space="preserve">§ 4º A interdição poderá ser levantada parcialmente quando demonstrada a capacidade do interdito para praticar alguns atos da vida civil.</w:t>
      </w:r>
    </w:p>
    <w:bookmarkEnd w:id="541"/>
    <w:bookmarkStart w:id="542" w:name="art.-757"/>
    <w:p>
      <w:pPr>
        <w:pStyle w:val="Heading6"/>
        <w:pBdr>
          <w:left w:val="single" w:sz="36" w:space="4" w:color="2E75B6"/>
        </w:pBdr>
        <w:shd w:val="clear" w:color="auto" w:fill="E3EEF9"/>
        <w:spacing w:before="120" w:after="60"/>
        <w:ind w:left="85"/>
      </w:pPr>
      <w:r>
        <w:rPr>
          <w:i w:val="0"/>
          <w:color w:val="1F3A5F"/>
          <w:sz w:val="22"/>
        </w:rPr>
        <w:t xml:space="preserve">Art. 757</w:t>
      </w:r>
    </w:p>
    <w:p>
      <w:pPr>
        <w:pStyle w:val="FirstParagraph"/>
        <w:spacing w:after="60"/>
        <w:jc w:val="both"/>
      </w:pPr>
      <w:r>
        <w:rPr>
          <w:b/>
          <w:bCs/>
        </w:rPr>
        <w:t xml:space="preserve">Art. 757.</w:t>
      </w:r>
      <w:r>
        <w:t xml:space="preserve"> </w:t>
      </w:r>
      <w:r>
        <w:t xml:space="preserve">A autoridade do curador estende-se à pessoa e aos bens do incapaz que se encontrar sob a guarda e a responsabilidade do curatelado ao tempo da interdição, salvo se o juiz considerar outra solução como mais conveniente aos interesses do incapaz.</w:t>
      </w:r>
    </w:p>
    <w:bookmarkEnd w:id="542"/>
    <w:bookmarkStart w:id="543" w:name="art.-758"/>
    <w:p>
      <w:pPr>
        <w:pStyle w:val="Heading6"/>
        <w:pBdr>
          <w:left w:val="single" w:sz="36" w:space="4" w:color="2E75B6"/>
        </w:pBdr>
        <w:shd w:val="clear" w:color="auto" w:fill="E3EEF9"/>
        <w:spacing w:before="120" w:after="60"/>
        <w:ind w:left="85"/>
      </w:pPr>
      <w:r>
        <w:rPr>
          <w:i w:val="0"/>
          <w:color w:val="1F3A5F"/>
          <w:sz w:val="22"/>
        </w:rPr>
        <w:t xml:space="preserve">Art. 758</w:t>
      </w:r>
    </w:p>
    <w:p>
      <w:pPr>
        <w:pStyle w:val="FirstParagraph"/>
        <w:spacing w:after="60"/>
        <w:jc w:val="both"/>
      </w:pPr>
      <w:r>
        <w:rPr>
          <w:b/>
          <w:bCs/>
        </w:rPr>
        <w:t xml:space="preserve">Art. 758.</w:t>
      </w:r>
      <w:r>
        <w:t xml:space="preserve"> </w:t>
      </w:r>
      <w:r>
        <w:t xml:space="preserve">O curador deverá buscar tratamento e apoio apropriados à conquista da autonomia pelo interdito.</w:t>
      </w:r>
    </w:p>
    <w:bookmarkEnd w:id="543"/>
    <w:bookmarkEnd w:id="544"/>
    <w:bookmarkStart w:id="550" w:name="X42fdab46ed01a058b9cb979250d2d74d311e9c0"/>
    <w:p>
      <w:pPr>
        <w:pStyle w:val="Heading5"/>
        <w:spacing w:before="60" w:after="20"/>
      </w:pPr>
      <w:r>
        <w:rPr>
          <w:i/>
          <w:color w:val="595959"/>
        </w:rPr>
        <w:t xml:space="preserve">Seção X: disposições comuns à tutela e à curatela (arts. 759 a 763)</w:t>
      </w:r>
    </w:p>
    <w:bookmarkStart w:id="545" w:name="art.-759"/>
    <w:p>
      <w:pPr>
        <w:pStyle w:val="Heading6"/>
        <w:pBdr>
          <w:left w:val="single" w:sz="36" w:space="4" w:color="2E75B6"/>
        </w:pBdr>
        <w:shd w:val="clear" w:color="auto" w:fill="E3EEF9"/>
        <w:spacing w:before="120" w:after="60"/>
        <w:ind w:left="85"/>
      </w:pPr>
      <w:r>
        <w:rPr>
          <w:i w:val="0"/>
          <w:color w:val="1F3A5F"/>
          <w:sz w:val="22"/>
        </w:rPr>
        <w:t xml:space="preserve">Art. 759</w:t>
      </w:r>
    </w:p>
    <w:p>
      <w:pPr>
        <w:pStyle w:val="FirstParagraph"/>
        <w:spacing w:after="60"/>
        <w:jc w:val="both"/>
      </w:pPr>
      <w:r>
        <w:rPr>
          <w:b/>
          <w:bCs/>
        </w:rPr>
        <w:t xml:space="preserve">Art. 759.</w:t>
      </w:r>
      <w:r>
        <w:t xml:space="preserve"> </w:t>
      </w:r>
      <w:r>
        <w:t xml:space="preserve">O tutor ou o curador será intimado a prestar compromisso no prazo de 5 (cinco) dias contado da:</w:t>
      </w:r>
    </w:p>
    <w:p>
      <w:pPr>
        <w:pStyle w:val="BodyText"/>
        <w:spacing w:after="60"/>
        <w:jc w:val="both"/>
      </w:pPr>
      <w:r>
        <w:t xml:space="preserve">I - nomeação feita em conformidade com a lei;</w:t>
      </w:r>
    </w:p>
    <w:p>
      <w:pPr>
        <w:pStyle w:val="BodyText"/>
        <w:spacing w:after="60"/>
        <w:jc w:val="both"/>
      </w:pPr>
      <w:r>
        <w:t xml:space="preserve">II - intimação do despacho que mandar cumprir o testamento ou o instrumento público que o houver instituído.</w:t>
      </w:r>
    </w:p>
    <w:p>
      <w:pPr>
        <w:pStyle w:val="BodyText"/>
        <w:spacing w:after="60"/>
        <w:jc w:val="both"/>
      </w:pPr>
      <w:r>
        <w:t xml:space="preserve">§ 1º O tutor ou o curador prestará o compromisso por termo em livro rubricado pelo juiz.</w:t>
      </w:r>
    </w:p>
    <w:p>
      <w:pPr>
        <w:pStyle w:val="BodyText"/>
        <w:spacing w:after="60"/>
        <w:jc w:val="both"/>
      </w:pPr>
      <w:r>
        <w:t xml:space="preserve">§ 2º Prestado o compromisso, o tutor ou o curador assume a administração dos bens do tutelado ou do interditado.</w:t>
      </w:r>
    </w:p>
    <w:bookmarkEnd w:id="545"/>
    <w:bookmarkStart w:id="546" w:name="art.-760"/>
    <w:p>
      <w:pPr>
        <w:pStyle w:val="Heading6"/>
        <w:pBdr>
          <w:left w:val="single" w:sz="36" w:space="4" w:color="2E75B6"/>
        </w:pBdr>
        <w:shd w:val="clear" w:color="auto" w:fill="E3EEF9"/>
        <w:spacing w:before="120" w:after="60"/>
        <w:ind w:left="85"/>
      </w:pPr>
      <w:r>
        <w:rPr>
          <w:i w:val="0"/>
          <w:color w:val="1F3A5F"/>
          <w:sz w:val="22"/>
        </w:rPr>
        <w:t xml:space="preserve">Art. 760</w:t>
      </w:r>
    </w:p>
    <w:p>
      <w:pPr>
        <w:pStyle w:val="FirstParagraph"/>
        <w:spacing w:after="60"/>
        <w:jc w:val="both"/>
      </w:pPr>
      <w:r>
        <w:rPr>
          <w:b/>
          <w:bCs/>
        </w:rPr>
        <w:t xml:space="preserve">Art. 760.</w:t>
      </w:r>
      <w:r>
        <w:t xml:space="preserve"> </w:t>
      </w:r>
      <w:r>
        <w:t xml:space="preserve">O tutor ou o curador poderá eximir-se do encargo apresentando escusa ao juiz no prazo de 5 (cinco) dias contado:</w:t>
      </w:r>
    </w:p>
    <w:p>
      <w:pPr>
        <w:pStyle w:val="BodyText"/>
        <w:spacing w:after="60"/>
        <w:jc w:val="both"/>
      </w:pPr>
      <w:r>
        <w:t xml:space="preserve">I - antes de aceitar o encargo, da intimação para prestar compromisso;</w:t>
      </w:r>
    </w:p>
    <w:p>
      <w:pPr>
        <w:pStyle w:val="BodyText"/>
        <w:spacing w:after="60"/>
        <w:jc w:val="both"/>
      </w:pPr>
      <w:r>
        <w:t xml:space="preserve">II - depois de entrar em exercício, do dia em que sobrevier o motivo da escusa.</w:t>
      </w:r>
    </w:p>
    <w:p>
      <w:pPr>
        <w:pStyle w:val="BodyText"/>
        <w:spacing w:after="60"/>
        <w:jc w:val="both"/>
      </w:pPr>
      <w:r>
        <w:t xml:space="preserve">§ 1º Não sendo requerida a escusa no prazo estabelecido neste artigo, considerar-se-á renunciado o direito de alegá-la.</w:t>
      </w:r>
    </w:p>
    <w:p>
      <w:pPr>
        <w:pStyle w:val="BodyText"/>
        <w:spacing w:after="60"/>
        <w:jc w:val="both"/>
      </w:pPr>
      <w:r>
        <w:t xml:space="preserve">§ 2º O juiz decidirá de plano o pedido de escusa, e, não o admitindo, exercerá o nomeado a tutela ou a curatela enquanto não for dispensado por sentença transitada em julgado.</w:t>
      </w:r>
    </w:p>
    <w:bookmarkEnd w:id="546"/>
    <w:bookmarkStart w:id="547" w:name="art.-761"/>
    <w:p>
      <w:pPr>
        <w:pStyle w:val="Heading6"/>
        <w:pBdr>
          <w:left w:val="single" w:sz="36" w:space="4" w:color="2E75B6"/>
        </w:pBdr>
        <w:shd w:val="clear" w:color="auto" w:fill="E3EEF9"/>
        <w:spacing w:before="120" w:after="60"/>
        <w:ind w:left="85"/>
      </w:pPr>
      <w:r>
        <w:rPr>
          <w:i w:val="0"/>
          <w:color w:val="1F3A5F"/>
          <w:sz w:val="22"/>
        </w:rPr>
        <w:t xml:space="preserve">Art. 761</w:t>
      </w:r>
    </w:p>
    <w:p>
      <w:pPr>
        <w:pStyle w:val="FirstParagraph"/>
        <w:spacing w:after="60"/>
        <w:jc w:val="both"/>
      </w:pPr>
      <w:r>
        <w:rPr>
          <w:b/>
          <w:bCs/>
        </w:rPr>
        <w:t xml:space="preserve">Art. 761.</w:t>
      </w:r>
      <w:r>
        <w:t xml:space="preserve"> </w:t>
      </w:r>
      <w:r>
        <w:t xml:space="preserve">Incumbe ao Ministério Público ou a quem tenha legítimo interesse requerer, nos casos previstos em lei, a remoção do tutor ou do curador.</w:t>
      </w:r>
    </w:p>
    <w:p>
      <w:pPr>
        <w:pStyle w:val="BodyText"/>
        <w:spacing w:after="60"/>
        <w:jc w:val="both"/>
      </w:pPr>
      <w:r>
        <w:t xml:space="preserve">Parágrafo único. O tutor ou o curador será citado para contestar a arguição no prazo de 5 (cinco) dias, findo o qual observar-se-á o procedimento comum.</w:t>
      </w:r>
    </w:p>
    <w:bookmarkEnd w:id="547"/>
    <w:bookmarkStart w:id="548" w:name="art.-762"/>
    <w:p>
      <w:pPr>
        <w:pStyle w:val="Heading6"/>
        <w:pBdr>
          <w:left w:val="single" w:sz="36" w:space="4" w:color="2E75B6"/>
        </w:pBdr>
        <w:shd w:val="clear" w:color="auto" w:fill="E3EEF9"/>
        <w:spacing w:before="120" w:after="60"/>
        <w:ind w:left="85"/>
      </w:pPr>
      <w:r>
        <w:rPr>
          <w:i w:val="0"/>
          <w:color w:val="1F3A5F"/>
          <w:sz w:val="22"/>
        </w:rPr>
        <w:t xml:space="preserve">Art. 762</w:t>
      </w:r>
    </w:p>
    <w:p>
      <w:pPr>
        <w:pStyle w:val="FirstParagraph"/>
        <w:spacing w:after="60"/>
        <w:jc w:val="both"/>
      </w:pPr>
      <w:r>
        <w:rPr>
          <w:b/>
          <w:bCs/>
        </w:rPr>
        <w:t xml:space="preserve">Art. 762.</w:t>
      </w:r>
      <w:r>
        <w:t xml:space="preserve"> </w:t>
      </w:r>
      <w:r>
        <w:t xml:space="preserve">Em caso de extrema gravidade, o juiz poderá suspender o tutor ou o curador do exercício de suas funções, nomeando substituto interino.</w:t>
      </w:r>
    </w:p>
    <w:bookmarkEnd w:id="548"/>
    <w:bookmarkStart w:id="549" w:name="art.-763"/>
    <w:p>
      <w:pPr>
        <w:pStyle w:val="Heading6"/>
        <w:pBdr>
          <w:left w:val="single" w:sz="36" w:space="4" w:color="2E75B6"/>
        </w:pBdr>
        <w:shd w:val="clear" w:color="auto" w:fill="E3EEF9"/>
        <w:spacing w:before="120" w:after="60"/>
        <w:ind w:left="85"/>
      </w:pPr>
      <w:r>
        <w:rPr>
          <w:i w:val="0"/>
          <w:color w:val="1F3A5F"/>
          <w:sz w:val="22"/>
        </w:rPr>
        <w:t xml:space="preserve">Art. 763</w:t>
      </w:r>
    </w:p>
    <w:p>
      <w:pPr>
        <w:pStyle w:val="FirstParagraph"/>
        <w:spacing w:after="60"/>
        <w:jc w:val="both"/>
      </w:pPr>
      <w:r>
        <w:rPr>
          <w:b/>
          <w:bCs/>
        </w:rPr>
        <w:t xml:space="preserve">Art. 763.</w:t>
      </w:r>
      <w:r>
        <w:t xml:space="preserve"> </w:t>
      </w:r>
      <w:r>
        <w:t xml:space="preserve">Cessando as funções do tutor ou do curador pelo decurso do prazo em que era obrigado a servir, ser-lhe-á lícito requerer a exoneração do encargo.</w:t>
      </w:r>
    </w:p>
    <w:p>
      <w:pPr>
        <w:pStyle w:val="BodyText"/>
        <w:spacing w:after="60"/>
        <w:jc w:val="both"/>
      </w:pPr>
      <w:r>
        <w:t xml:space="preserve">§ 1º Caso o tutor ou o curador não requeira a exoneração do encargo dentro dos 10 (dez) dias seguintes à expiração do termo, entender-se-á reconduzido, salvo se o juiz o dispensar.</w:t>
      </w:r>
    </w:p>
    <w:p>
      <w:pPr>
        <w:pStyle w:val="BodyText"/>
        <w:spacing w:after="60"/>
        <w:jc w:val="both"/>
      </w:pPr>
      <w:r>
        <w:t xml:space="preserve">§ 2º Cessada a tutela ou a curatela, é indispensável a prestação de contas pelo tutor ou pelo curador, na forma da lei civil.</w:t>
      </w:r>
    </w:p>
    <w:bookmarkEnd w:id="549"/>
    <w:bookmarkEnd w:id="550"/>
    <w:bookmarkStart w:id="553" w:name="Xb7742c9ce5290a762a4a719e51088475464abd5"/>
    <w:p>
      <w:pPr>
        <w:pStyle w:val="Heading5"/>
        <w:spacing w:before="60" w:after="20"/>
      </w:pPr>
      <w:r>
        <w:rPr>
          <w:i/>
          <w:color w:val="595959"/>
        </w:rPr>
        <w:t xml:space="preserve">Seção XI: da organização e da fiscalização das fundações (arts. 764 a 765)</w:t>
      </w:r>
    </w:p>
    <w:bookmarkStart w:id="551" w:name="art.-764"/>
    <w:p>
      <w:pPr>
        <w:pStyle w:val="Heading6"/>
        <w:pBdr>
          <w:left w:val="single" w:sz="36" w:space="4" w:color="2E75B6"/>
        </w:pBdr>
        <w:shd w:val="clear" w:color="auto" w:fill="E3EEF9"/>
        <w:spacing w:before="120" w:after="60"/>
        <w:ind w:left="85"/>
      </w:pPr>
      <w:r>
        <w:rPr>
          <w:i w:val="0"/>
          <w:color w:val="1F3A5F"/>
          <w:sz w:val="22"/>
        </w:rPr>
        <w:t xml:space="preserve">Art. 764</w:t>
      </w:r>
    </w:p>
    <w:p>
      <w:pPr>
        <w:pStyle w:val="FirstParagraph"/>
        <w:spacing w:after="60"/>
        <w:jc w:val="both"/>
      </w:pPr>
      <w:r>
        <w:rPr>
          <w:b/>
          <w:bCs/>
        </w:rPr>
        <w:t xml:space="preserve">Art. 764.</w:t>
      </w:r>
      <w:r>
        <w:t xml:space="preserve"> </w:t>
      </w:r>
      <w:r>
        <w:t xml:space="preserve">O juiz decidirá sobre a aprovação do estatuto das fundações e de suas alterações sempre que o requeira o interessado, quando:</w:t>
      </w:r>
    </w:p>
    <w:p>
      <w:pPr>
        <w:pStyle w:val="BodyText"/>
        <w:spacing w:after="60"/>
        <w:jc w:val="both"/>
      </w:pPr>
      <w:r>
        <w:t xml:space="preserve">I - ela for negada previamente pelo Ministério Público ou por este forem exigidas modificações com as quais o interessado não concorde;</w:t>
      </w:r>
    </w:p>
    <w:p>
      <w:pPr>
        <w:pStyle w:val="BodyText"/>
        <w:spacing w:after="60"/>
        <w:jc w:val="both"/>
      </w:pPr>
      <w:r>
        <w:t xml:space="preserve">II - o interessado discordar do estatuto elaborado pelo Ministério Público.</w:t>
      </w:r>
    </w:p>
    <w:p>
      <w:pPr>
        <w:pStyle w:val="BodyText"/>
        <w:spacing w:after="60"/>
        <w:jc w:val="both"/>
      </w:pPr>
      <w:r>
        <w:t xml:space="preserve">§ 1º O estatuto das fundações deve observar o disposto na Lei nº 10.406, de 10 de janeiro de 2002 (Código Civil).</w:t>
      </w:r>
    </w:p>
    <w:p>
      <w:pPr>
        <w:pStyle w:val="BodyText"/>
        <w:spacing w:after="60"/>
        <w:jc w:val="both"/>
      </w:pPr>
      <w:r>
        <w:t xml:space="preserve">§ 2º Antes de suprir a aprovação, o juiz poderá mandar fazer no estatuto modificações a fim de adaptá-lo ao objetivo do instituidor.</w:t>
      </w:r>
    </w:p>
    <w:bookmarkEnd w:id="551"/>
    <w:bookmarkStart w:id="552" w:name="art.-765"/>
    <w:p>
      <w:pPr>
        <w:pStyle w:val="Heading6"/>
        <w:pBdr>
          <w:left w:val="single" w:sz="36" w:space="4" w:color="2E75B6"/>
        </w:pBdr>
        <w:shd w:val="clear" w:color="auto" w:fill="E3EEF9"/>
        <w:spacing w:before="120" w:after="60"/>
        <w:ind w:left="85"/>
      </w:pPr>
      <w:r>
        <w:rPr>
          <w:i w:val="0"/>
          <w:color w:val="1F3A5F"/>
          <w:sz w:val="22"/>
        </w:rPr>
        <w:t xml:space="preserve">Art. 765</w:t>
      </w:r>
    </w:p>
    <w:p>
      <w:pPr>
        <w:pStyle w:val="FirstParagraph"/>
        <w:keepNext/>
        <w:spacing w:after="60"/>
        <w:jc w:val="both"/>
      </w:pPr>
      <w:r>
        <w:rPr>
          <w:b/>
          <w:bCs/>
        </w:rPr>
        <w:t xml:space="preserve">Art. 765.</w:t>
      </w:r>
      <w:r>
        <w:t xml:space="preserve"> </w:t>
      </w:r>
      <w:r>
        <w:t xml:space="preserve">Qualquer interessado ou o Ministério Público promoverá em juízo a extinção da fundação quando: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extinção judicial de fundação (aplicação narrada)</w:t>
            </w:r>
          </w:p>
        </w:tc>
        <w:tc>
          <w:tcPr>
            <w:tcW w:type="dxa" w:w="1531"/>
          </w:tcPr>
          <w:p>
            <w:pPr>
              <w:pStyle w:val="Compact"/>
              <w:spacing w:line="276" w:lineRule="auto" w:before="40" w:after="40"/>
            </w:pPr>
            <w:r>
              <w:rPr>
                <w:rFonts w:ascii="Liberation Sans Narrow" w:hAnsi="Liberation Sans Narrow"/>
                <w:sz w:val="17"/>
              </w:rPr>
              <w:t xml:space="preserve">STJ, AgInt no AREsp 2.472.778, Terceira Turma, relator Min. Humberto Martins</w:t>
            </w:r>
          </w:p>
        </w:tc>
        <w:tc>
          <w:tcPr>
            <w:tcW w:type="dxa" w:w="1905"/>
          </w:tcPr>
          <w:p>
            <w:pPr>
              <w:pStyle w:val="Compact"/>
              <w:spacing w:line="276" w:lineRule="auto" w:before="40" w:after="40"/>
            </w:pPr>
            <w:r>
              <w:rPr>
                <w:rFonts w:ascii="Liberation Sans Narrow" w:hAnsi="Liberation Sans Narrow"/>
                <w:sz w:val="17"/>
              </w:rPr>
              <w:t xml:space="preserve">A ação civil de extinção de fundação destina-se a extinguir a fundação e a incorporar o seu patrimônio a outra de igual objetivo; o indeferimento de provas inúteis à solução da controvérsia não configura cerceamento de defesa. Trecho: “Cuida-se de ação civil para extinção de fundação, objetivando a extinção da fundação requerida e a incorporação de eventual patrimônio a outra fundação que tenha o mesmo objetivo.”</w:t>
            </w:r>
          </w:p>
        </w:tc>
      </w:tr>
    </w:tbl>
    <w:p>
      <w:pPr>
        <w:pStyle w:val="BodyText"/>
        <w:spacing w:after="60"/>
        <w:jc w:val="both"/>
      </w:pPr>
      <w:r>
        <w:t xml:space="preserve">I - se tornar ilícito o seu objeto;</w:t>
      </w:r>
    </w:p>
    <w:p>
      <w:pPr>
        <w:pStyle w:val="BodyText"/>
        <w:spacing w:after="60"/>
        <w:jc w:val="both"/>
      </w:pPr>
      <w:r>
        <w:t xml:space="preserve">II - for impossível a sua manutenção;</w:t>
      </w:r>
    </w:p>
    <w:p>
      <w:pPr>
        <w:pStyle w:val="BodyText"/>
        <w:spacing w:after="60"/>
        <w:jc w:val="both"/>
      </w:pPr>
      <w:r>
        <w:t xml:space="preserve">III - vencer o prazo de sua existência.</w:t>
      </w:r>
    </w:p>
    <w:bookmarkEnd w:id="552"/>
    <w:bookmarkEnd w:id="553"/>
    <w:bookmarkStart w:id="559" w:name="X1e68d7ff67bee2546a75a15c210486b62ad5c9c"/>
    <w:p>
      <w:pPr>
        <w:pStyle w:val="Heading5"/>
        <w:spacing w:before="60" w:after="20"/>
      </w:pPr>
      <w:r>
        <w:rPr>
          <w:i/>
          <w:color w:val="595959"/>
        </w:rPr>
        <w:t xml:space="preserve">Seção XII: da ratificação dos protestos marítimos e dos processos testemunháveis formados a bordo (arts. 766 a 770)</w:t>
      </w:r>
    </w:p>
    <w:bookmarkStart w:id="554" w:name="art.-766"/>
    <w:p>
      <w:pPr>
        <w:pStyle w:val="Heading6"/>
        <w:pBdr>
          <w:left w:val="single" w:sz="36" w:space="4" w:color="2E75B6"/>
        </w:pBdr>
        <w:shd w:val="clear" w:color="auto" w:fill="E3EEF9"/>
        <w:spacing w:before="120" w:after="60"/>
        <w:ind w:left="85"/>
      </w:pPr>
      <w:r>
        <w:rPr>
          <w:i w:val="0"/>
          <w:color w:val="1F3A5F"/>
          <w:sz w:val="22"/>
        </w:rPr>
        <w:t xml:space="preserve">Art. 766</w:t>
      </w:r>
    </w:p>
    <w:p>
      <w:pPr>
        <w:pStyle w:val="FirstParagraph"/>
        <w:spacing w:after="60"/>
        <w:jc w:val="both"/>
      </w:pPr>
      <w:r>
        <w:rPr>
          <w:b/>
          <w:bCs/>
        </w:rPr>
        <w:t xml:space="preserve">Art. 766.</w:t>
      </w:r>
      <w:r>
        <w:t xml:space="preserve"> </w:t>
      </w:r>
      <w:r>
        <w:t xml:space="preserve">Todos os protestos e os processos testemunháveis formados a bordo e lançados no livro Diário da Navegação deverão ser apresentados pelo comandante ao juiz de direito do primeiro porto, nas primeiras 24 (vinte e quatro) horas de chegada da embarcação, para sua ratificação judicial.</w:t>
      </w:r>
    </w:p>
    <w:bookmarkEnd w:id="554"/>
    <w:bookmarkStart w:id="555" w:name="art.-767"/>
    <w:p>
      <w:pPr>
        <w:pStyle w:val="Heading6"/>
        <w:pBdr>
          <w:left w:val="single" w:sz="36" w:space="4" w:color="2E75B6"/>
        </w:pBdr>
        <w:shd w:val="clear" w:color="auto" w:fill="E3EEF9"/>
        <w:spacing w:before="120" w:after="60"/>
        <w:ind w:left="85"/>
      </w:pPr>
      <w:r>
        <w:rPr>
          <w:i w:val="0"/>
          <w:color w:val="1F3A5F"/>
          <w:sz w:val="22"/>
        </w:rPr>
        <w:t xml:space="preserve">Art. 767</w:t>
      </w:r>
    </w:p>
    <w:p>
      <w:pPr>
        <w:pStyle w:val="FirstParagraph"/>
        <w:spacing w:after="60"/>
        <w:jc w:val="both"/>
      </w:pPr>
      <w:r>
        <w:rPr>
          <w:b/>
          <w:bCs/>
        </w:rPr>
        <w:t xml:space="preserve">Art. 767.</w:t>
      </w:r>
      <w:r>
        <w:t xml:space="preserve"> </w:t>
      </w:r>
      <w:r>
        <w:t xml:space="preserve">A petição inicial conterá a transcrição dos termos lançados no livro Diário da Navegação e deverá ser instruída com cópias das páginas que contenham os termos que serão ratificados, dos documentos de identificação do comandante e das testemunhas arroladas, do rol de tripulantes, do documento de registro da embarcação e, quando for o caso, do manifesto das cargas sinistradas e a qualificação de seus consignatários, traduzidos, quando for o caso, de forma livre para o português.</w:t>
      </w:r>
    </w:p>
    <w:bookmarkEnd w:id="555"/>
    <w:bookmarkStart w:id="556" w:name="art.-768"/>
    <w:p>
      <w:pPr>
        <w:pStyle w:val="Heading6"/>
        <w:pBdr>
          <w:left w:val="single" w:sz="36" w:space="4" w:color="2E75B6"/>
        </w:pBdr>
        <w:shd w:val="clear" w:color="auto" w:fill="E3EEF9"/>
        <w:spacing w:before="120" w:after="60"/>
        <w:ind w:left="85"/>
      </w:pPr>
      <w:r>
        <w:rPr>
          <w:i w:val="0"/>
          <w:color w:val="1F3A5F"/>
          <w:sz w:val="22"/>
        </w:rPr>
        <w:t xml:space="preserve">Art. 768</w:t>
      </w:r>
    </w:p>
    <w:p>
      <w:pPr>
        <w:pStyle w:val="FirstParagraph"/>
        <w:spacing w:after="60"/>
        <w:jc w:val="both"/>
      </w:pPr>
      <w:r>
        <w:rPr>
          <w:b/>
          <w:bCs/>
        </w:rPr>
        <w:t xml:space="preserve">Art. 768.</w:t>
      </w:r>
      <w:r>
        <w:t xml:space="preserve"> </w:t>
      </w:r>
      <w:r>
        <w:t xml:space="preserve">A petição inicial deverá ser distribuída com urgência e encaminhada ao juiz, que ouvirá, sob compromisso a ser prestado no mesmo dia, o comandante e as testemunhas em número mínimo de 2 (duas) e máximo de 4 (quatro), que deverão comparecer ao ato independentemente de intimação.</w:t>
      </w:r>
    </w:p>
    <w:p>
      <w:pPr>
        <w:pStyle w:val="BodyText"/>
        <w:spacing w:after="60"/>
        <w:jc w:val="both"/>
      </w:pPr>
      <w:r>
        <w:t xml:space="preserve">§ 1º Tratando-se de estrangeiros que não dominem a língua portuguesa, o autor deverá fazer-se acompanhar por tradutor, que prestará compromisso em audiência.</w:t>
      </w:r>
    </w:p>
    <w:p>
      <w:pPr>
        <w:pStyle w:val="BodyText"/>
        <w:spacing w:after="60"/>
        <w:jc w:val="both"/>
      </w:pPr>
      <w:r>
        <w:t xml:space="preserve">§ 2º Caso o autor não se faça acompanhar por tradutor, o juiz deverá nomear outro que preste compromisso em audiência.</w:t>
      </w:r>
    </w:p>
    <w:bookmarkEnd w:id="556"/>
    <w:bookmarkStart w:id="557" w:name="art.-769"/>
    <w:p>
      <w:pPr>
        <w:pStyle w:val="Heading6"/>
        <w:pBdr>
          <w:left w:val="single" w:sz="36" w:space="4" w:color="2E75B6"/>
        </w:pBdr>
        <w:shd w:val="clear" w:color="auto" w:fill="E3EEF9"/>
        <w:spacing w:before="120" w:after="60"/>
        <w:ind w:left="85"/>
      </w:pPr>
      <w:r>
        <w:rPr>
          <w:i w:val="0"/>
          <w:color w:val="1F3A5F"/>
          <w:sz w:val="22"/>
        </w:rPr>
        <w:t xml:space="preserve">Art. 769</w:t>
      </w:r>
    </w:p>
    <w:p>
      <w:pPr>
        <w:pStyle w:val="FirstParagraph"/>
        <w:spacing w:after="60"/>
        <w:jc w:val="both"/>
      </w:pPr>
      <w:r>
        <w:rPr>
          <w:b/>
          <w:bCs/>
        </w:rPr>
        <w:t xml:space="preserve">Art. 769.</w:t>
      </w:r>
      <w:r>
        <w:t xml:space="preserve"> </w:t>
      </w:r>
      <w:r>
        <w:t xml:space="preserve">Aberta a audiência, o juiz mandará apregoar os consignatários das cargas indicados na petição inicial e outros eventuais interessados, nomeando para os ausentes curador para o ato.</w:t>
      </w:r>
    </w:p>
    <w:bookmarkEnd w:id="557"/>
    <w:bookmarkStart w:id="558" w:name="art.-770"/>
    <w:p>
      <w:pPr>
        <w:pStyle w:val="Heading6"/>
        <w:pBdr>
          <w:left w:val="single" w:sz="36" w:space="4" w:color="2E75B6"/>
        </w:pBdr>
        <w:shd w:val="clear" w:color="auto" w:fill="E3EEF9"/>
        <w:spacing w:before="120" w:after="60"/>
        <w:ind w:left="85"/>
      </w:pPr>
      <w:r>
        <w:rPr>
          <w:i w:val="0"/>
          <w:color w:val="1F3A5F"/>
          <w:sz w:val="22"/>
        </w:rPr>
        <w:t xml:space="preserve">Art. 770</w:t>
      </w:r>
    </w:p>
    <w:p>
      <w:pPr>
        <w:pStyle w:val="FirstParagraph"/>
        <w:spacing w:after="60"/>
        <w:jc w:val="both"/>
      </w:pPr>
      <w:r>
        <w:rPr>
          <w:b/>
          <w:bCs/>
        </w:rPr>
        <w:t xml:space="preserve">Art. 770.</w:t>
      </w:r>
      <w:r>
        <w:t xml:space="preserve"> </w:t>
      </w:r>
      <w:r>
        <w:t xml:space="preserve">Inquiridos o comandante e as testemunhas, o juiz, convencido da veracidade dos termos lançados no Diário da Navegação, em audiência, ratificará por sentença o protesto ou o processo testemunhável lavrado a bordo, dispensado o relatório.</w:t>
      </w:r>
    </w:p>
    <w:p>
      <w:pPr>
        <w:pStyle w:val="BodyText"/>
        <w:spacing w:after="60"/>
        <w:jc w:val="both"/>
      </w:pPr>
      <w:r>
        <w:t xml:space="preserve">Parágrafo único. Independentemente do trânsito em julgado, o juiz determinará a entrega dos autos ao autor ou ao seu advogado, mediante a apresentação de traslado.</w:t>
      </w:r>
    </w:p>
    <w:bookmarkEnd w:id="558"/>
    <w:bookmarkEnd w:id="559"/>
    <w:bookmarkEnd w:id="560"/>
    <w:bookmarkEnd w:id="561"/>
    <w:bookmarkEnd w:id="562"/>
    <w:bookmarkStart w:id="747" w:name="X9aef69d15195bad4e25523d55135b787cb19b23"/>
    <w:p>
      <w:pPr>
        <w:spacing w:before="0" w:after="0" w:line="20" w:lineRule="exact"/>
        <w:sectPr>
          <w:headerReference w:type="default" r:id="rId10"/>
          <w:footnotePr>
            <w:numRestart w:val="eachSect"/>
          </w:footnotePr>
          <w:pgSz w:w="11906" w:h="16838"/>
          <w:pgMar w:top="850" w:left="850" w:bottom="964" w:right="850"/>
          <w:cols w:num="2" w:space="340"/>
        </w:sectPr>
      </w:pPr>
    </w:p>
    <w:p>
      <w:pPr>
        <w:pStyle w:val="Heading2"/>
        <w:shd w:val="clear" w:color="auto" w:fill="1F3A5F"/>
        <w:spacing w:before="0" w:after="60"/>
        <w:ind w:left="113"/>
      </w:pPr>
      <w:r>
        <w:rPr>
          <w:color w:val="FFFFFF"/>
          <w:sz w:val="26"/>
        </w:rPr>
        <w:t xml:space="preserve">Livro II: do processo de execução (arts. 771 a 925)</w:t>
      </w:r>
    </w:p>
    <w:bookmarkStart w:id="596" w:name="X3f9fbfc48e22bf8961f138f009e301634d5a112"/>
    <w:p>
      <w:pPr>
        <w:pStyle w:val="Heading3"/>
        <w:pBdr>
          <w:bottom w:val="single" w:sz="8" w:space="2" w:color="2E75B6"/>
        </w:pBdr>
        <w:spacing w:before="120" w:after="60"/>
      </w:pPr>
      <w:r>
        <w:rPr>
          <w:sz w:val="22"/>
        </w:rPr>
        <w:t xml:space="preserve">Título I: da execução em geral (arts. 771 a 796)</w:t>
      </w:r>
    </w:p>
    <w:bookmarkStart w:id="570" w:name="X447a5764b0e1ca44cee9e53076935b0862785b2"/>
    <w:p>
      <w:pPr>
        <w:pStyle w:val="Heading4"/>
        <w:spacing w:before="80" w:after="40"/>
      </w:pPr>
      <w:r>
        <w:rPr>
          <w:smallCaps/>
          <w:color w:val="2E75B6"/>
        </w:rPr>
        <w:t xml:space="preserve">Capítulo I: disposições gerais (arts. 771 a 777)</w:t>
      </w:r>
    </w:p>
    <w:bookmarkStart w:id="563" w:name="art.-771"/>
    <w:p>
      <w:pPr>
        <w:pStyle w:val="Heading6"/>
        <w:pBdr>
          <w:left w:val="single" w:sz="36" w:space="4" w:color="2E75B6"/>
        </w:pBdr>
        <w:shd w:val="clear" w:color="auto" w:fill="E3EEF9"/>
        <w:spacing w:before="120" w:after="60"/>
        <w:ind w:left="85"/>
      </w:pPr>
      <w:r>
        <w:rPr>
          <w:i w:val="0"/>
          <w:color w:val="1F3A5F"/>
          <w:sz w:val="22"/>
        </w:rPr>
        <w:t xml:space="preserve">Art. 771</w:t>
      </w:r>
    </w:p>
    <w:p>
      <w:pPr>
        <w:pStyle w:val="FirstParagraph"/>
        <w:spacing w:after="60"/>
        <w:jc w:val="both"/>
      </w:pPr>
      <w:r>
        <w:rPr>
          <w:b/>
          <w:bCs/>
        </w:rPr>
        <w:t xml:space="preserve">Art. 771.</w:t>
      </w:r>
      <w:r>
        <w:t xml:space="preserve"> </w:t>
      </w:r>
      <w:r>
        <w:t xml:space="preserve">Este Livro regula o procedimento da execução fundada em título extrajudicial, e suas disposições aplicam-se, também, no que couber, aos procedimentos especiais de execução, aos atos executivos realizados no procedimento de cumprimento de sentença, bem como aos efeitos de atos ou fatos processuais a que a lei atribuir força executiva.</w:t>
      </w:r>
    </w:p>
    <w:p>
      <w:pPr>
        <w:pStyle w:val="BodyText"/>
        <w:spacing w:after="60"/>
        <w:jc w:val="both"/>
      </w:pPr>
      <w:r>
        <w:t xml:space="preserve">Parágrafo único. Aplicam-se subsidiariamente à execução as disposições do Livro I da Parte Especial.</w:t>
      </w:r>
    </w:p>
    <w:bookmarkEnd w:id="563"/>
    <w:bookmarkStart w:id="564" w:name="art.-772"/>
    <w:p>
      <w:pPr>
        <w:pStyle w:val="Heading6"/>
        <w:pBdr>
          <w:left w:val="single" w:sz="36" w:space="4" w:color="2E75B6"/>
        </w:pBdr>
        <w:shd w:val="clear" w:color="auto" w:fill="E3EEF9"/>
        <w:spacing w:before="120" w:after="60"/>
        <w:ind w:left="85"/>
      </w:pPr>
      <w:r>
        <w:rPr>
          <w:i w:val="0"/>
          <w:color w:val="1F3A5F"/>
          <w:sz w:val="22"/>
        </w:rPr>
        <w:t xml:space="preserve">Art. 772</w:t>
      </w:r>
    </w:p>
    <w:p>
      <w:pPr>
        <w:pStyle w:val="FirstParagraph"/>
        <w:spacing w:after="60"/>
        <w:jc w:val="both"/>
      </w:pPr>
      <w:r>
        <w:rPr>
          <w:b/>
          <w:bCs/>
        </w:rPr>
        <w:t xml:space="preserve">Art. 772.</w:t>
      </w:r>
      <w:r>
        <w:t xml:space="preserve"> </w:t>
      </w:r>
      <w:r>
        <w:t xml:space="preserve">O juiz pode, em qualquer momento do processo:</w:t>
      </w:r>
    </w:p>
    <w:p>
      <w:pPr>
        <w:pStyle w:val="BodyText"/>
        <w:spacing w:after="60"/>
        <w:jc w:val="both"/>
      </w:pPr>
      <w:r>
        <w:t xml:space="preserve">I - ordenar o comparecimento das partes;</w:t>
      </w:r>
    </w:p>
    <w:p>
      <w:pPr>
        <w:pStyle w:val="BodyText"/>
        <w:spacing w:after="60"/>
        <w:jc w:val="both"/>
      </w:pPr>
      <w:r>
        <w:t xml:space="preserve">II - advertir o executado de que seu procedimento constitui ato atentatório à dignidade da justiça;</w:t>
      </w:r>
    </w:p>
    <w:p>
      <w:pPr>
        <w:pStyle w:val="BodyText"/>
        <w:keepNext/>
        <w:spacing w:after="60"/>
        <w:jc w:val="both"/>
      </w:pPr>
      <w:r>
        <w:t xml:space="preserve">III - determinar que sujeitos indicados pelo exequente forneçam informações em geral relacionadas ao objeto da execução, tais como documentos e dados que tenham em seu poder, assinando-lhes prazo razoável.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2154"/>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III — requisição de informações a terceiros</w:t>
            </w:r>
          </w:p>
        </w:tc>
        <w:tc>
          <w:tcPr>
            <w:tcW w:type="dxa" w:w="1531"/>
          </w:tcPr>
          <w:p>
            <w:pPr>
              <w:pStyle w:val="Compact"/>
              <w:spacing w:line="276" w:lineRule="auto" w:before="40" w:after="40"/>
            </w:pPr>
            <w:r>
              <w:rPr>
                <w:rFonts w:ascii="Liberation Sans Narrow" w:hAnsi="Liberation Sans Narrow"/>
                <w:sz w:val="17"/>
              </w:rPr>
              <w:t xml:space="preserve">STJ, AgInt no REsp 2.139.858, Segunda Turma, relator Min. Marco Aurélio Bellizze, julgado em 12/08/2026</w:t>
            </w:r>
          </w:p>
        </w:tc>
        <w:tc>
          <w:tcPr>
            <w:tcW w:type="dxa" w:w="2154"/>
          </w:tcPr>
          <w:p>
            <w:pPr>
              <w:pStyle w:val="Compact"/>
              <w:spacing w:line="276" w:lineRule="auto" w:before="40" w:after="40"/>
            </w:pPr>
            <w:r>
              <w:rPr>
                <w:rFonts w:ascii="Liberation Sans Narrow" w:hAnsi="Liberation Sans Narrow"/>
                <w:sz w:val="17"/>
              </w:rPr>
              <w:t xml:space="preserve">A expedição de ofício à Receita Federal para obter informações fiscais do executado (DOI, DIMOB, DIRF e e-Financeira), com a finalidade de localizar bens penhoráveis, é legal e não constitui quebra de sigilo fiscal, sendo desnecessário o exaurimento prévio das buscas por bens pelas vias extrajudiciais.</w:t>
            </w:r>
          </w:p>
        </w:tc>
      </w:tr>
    </w:tbl>
    <w:bookmarkEnd w:id="564"/>
    <w:bookmarkStart w:id="565" w:name="art.-773"/>
    <w:p>
      <w:pPr>
        <w:pStyle w:val="Heading6"/>
        <w:pBdr>
          <w:left w:val="single" w:sz="36" w:space="4" w:color="2E75B6"/>
        </w:pBdr>
        <w:shd w:val="clear" w:color="auto" w:fill="E3EEF9"/>
        <w:spacing w:before="120" w:after="60"/>
        <w:ind w:left="85"/>
      </w:pPr>
      <w:r>
        <w:rPr>
          <w:i w:val="0"/>
          <w:color w:val="1F3A5F"/>
          <w:sz w:val="22"/>
        </w:rPr>
        <w:t xml:space="preserve">Art. 773</w:t>
      </w:r>
    </w:p>
    <w:p>
      <w:pPr>
        <w:pStyle w:val="FirstParagraph"/>
        <w:spacing w:after="60"/>
        <w:jc w:val="both"/>
      </w:pPr>
      <w:r>
        <w:rPr>
          <w:b/>
          <w:bCs/>
        </w:rPr>
        <w:t xml:space="preserve">Art. 773.</w:t>
      </w:r>
      <w:r>
        <w:t xml:space="preserve"> </w:t>
      </w:r>
      <w:r>
        <w:t xml:space="preserve">O juiz poderá, de ofício ou a requerimento, determinar as medidas necessárias ao cumprimento da ordem de entrega de documentos e dados.</w:t>
      </w:r>
    </w:p>
    <w:p>
      <w:pPr>
        <w:pStyle w:val="BodyText"/>
        <w:spacing w:after="60"/>
        <w:jc w:val="both"/>
      </w:pPr>
      <w:r>
        <w:t xml:space="preserve">Parágrafo único. Quando, em decorrência do disposto neste artigo, o juízo receber dados sigilosos para os fins da execução, o juiz adotará as medidas necessárias para assegurar a confidencialidade.</w:t>
      </w:r>
    </w:p>
    <w:bookmarkEnd w:id="565"/>
    <w:bookmarkStart w:id="566" w:name="art.-774"/>
    <w:p>
      <w:pPr>
        <w:pStyle w:val="Heading6"/>
        <w:pBdr>
          <w:left w:val="single" w:sz="36" w:space="4" w:color="2E75B6"/>
        </w:pBdr>
        <w:shd w:val="clear" w:color="auto" w:fill="E3EEF9"/>
        <w:spacing w:before="120" w:after="60"/>
        <w:ind w:left="85"/>
      </w:pPr>
      <w:r>
        <w:rPr>
          <w:i w:val="0"/>
          <w:color w:val="1F3A5F"/>
          <w:sz w:val="22"/>
        </w:rPr>
        <w:t xml:space="preserve">Art. 774</w:t>
      </w:r>
    </w:p>
    <w:p>
      <w:pPr>
        <w:pStyle w:val="FirstParagraph"/>
        <w:spacing w:after="60"/>
        <w:jc w:val="both"/>
      </w:pPr>
      <w:r>
        <w:rPr>
          <w:b/>
          <w:bCs/>
        </w:rPr>
        <w:t xml:space="preserve">Art. 774.</w:t>
      </w:r>
      <w:r>
        <w:t xml:space="preserve"> </w:t>
      </w:r>
      <w:r>
        <w:t xml:space="preserve">Considera-se atentatória à dignidade da justiça a conduta comissiva ou omissiva do executado que:</w:t>
      </w:r>
    </w:p>
    <w:p>
      <w:pPr>
        <w:pStyle w:val="BodyText"/>
        <w:spacing w:after="60"/>
        <w:jc w:val="both"/>
      </w:pPr>
      <w:r>
        <w:t xml:space="preserve">I - frauda a execução;</w:t>
      </w:r>
    </w:p>
    <w:p>
      <w:pPr>
        <w:pStyle w:val="BodyText"/>
        <w:spacing w:after="60"/>
        <w:jc w:val="both"/>
      </w:pPr>
      <w:r>
        <w:t xml:space="preserve">II - se opõe maliciosamente à execução, empregando ardis e meios artificiosos;</w:t>
      </w:r>
    </w:p>
    <w:p>
      <w:pPr>
        <w:pStyle w:val="BodyText"/>
        <w:spacing w:after="60"/>
        <w:jc w:val="both"/>
      </w:pPr>
      <w:r>
        <w:t xml:space="preserve">III - dificulta ou embaraça a realização da penhora;</w:t>
      </w:r>
    </w:p>
    <w:p>
      <w:pPr>
        <w:pStyle w:val="BodyText"/>
        <w:spacing w:after="60"/>
        <w:jc w:val="both"/>
      </w:pPr>
      <w:r>
        <w:t xml:space="preserve">IV - resiste injustificadamente às ordens judiciais;</w:t>
      </w:r>
    </w:p>
    <w:p>
      <w:pPr>
        <w:pStyle w:val="BodyText"/>
        <w:keepNext/>
        <w:spacing w:after="60"/>
        <w:jc w:val="both"/>
      </w:pPr>
      <w:r>
        <w:t xml:space="preserve">V - intimado, não indica ao juiz quais são e onde estão os bens sujeitos à penhora e os respectivos valores, nem exibe prova de sua propriedade e, se for o caso, certidão negativa de ônus.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Inciso V — não indicação de bens pelo executado</w:t>
            </w:r>
          </w:p>
        </w:tc>
        <w:tc>
          <w:tcPr>
            <w:tcW w:type="dxa" w:w="1655"/>
          </w:tcPr>
          <w:p>
            <w:pPr>
              <w:pStyle w:val="Compact"/>
              <w:spacing w:line="276" w:lineRule="auto" w:before="40" w:after="40"/>
            </w:pPr>
            <w:r>
              <w:rPr>
                <w:rFonts w:ascii="Liberation Sans Narrow" w:hAnsi="Liberation Sans Narrow"/>
                <w:sz w:val="17"/>
              </w:rPr>
              <w:t xml:space="preserve">STJ, AREsp 2.565.365, Quarta Turma, relator Min. João Otávio de Noronha, julgado em 16/03/2026, DJEN de 19/03/2026</w:t>
            </w:r>
          </w:p>
        </w:tc>
        <w:tc>
          <w:tcPr>
            <w:tcW w:type="dxa" w:w="2030"/>
          </w:tcPr>
          <w:p>
            <w:pPr>
              <w:pStyle w:val="Compact"/>
              <w:spacing w:line="276" w:lineRule="auto" w:before="40" w:after="40"/>
            </w:pPr>
            <w:r>
              <w:rPr>
                <w:rFonts w:ascii="Liberation Sans Narrow" w:hAnsi="Liberation Sans Narrow"/>
                <w:sz w:val="17"/>
              </w:rPr>
              <w:t xml:space="preserve">A multa do art. 774, V, deve ser aplicada pelo simples descumprimento da intimação para indicar bens penhoráveis, sem exigência de dolo específico.</w:t>
            </w:r>
          </w:p>
        </w:tc>
      </w:tr>
    </w:tbl>
    <w:p>
      <w:pPr>
        <w:pStyle w:val="BodyText"/>
        <w:keepNext/>
        <w:spacing w:after="60"/>
        <w:jc w:val="both"/>
      </w:pPr>
      <w:r>
        <w:t xml:space="preserve">Parágrafo único. Nos casos previstos neste artigo, o juiz fixará multa em montante não superior a vinte por cento do valor atualizado do débito em execução, a qual será revertida em proveito do exequente, exigível nos próprios autos do processo, sem prejuízo de outras sanções de natureza processual ou material.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780"/>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Parágrafo único — base de cálculo da multa</w:t>
            </w:r>
          </w:p>
        </w:tc>
        <w:tc>
          <w:tcPr>
            <w:tcW w:type="dxa" w:w="1655"/>
          </w:tcPr>
          <w:p>
            <w:pPr>
              <w:pStyle w:val="Compact"/>
              <w:spacing w:line="276" w:lineRule="auto" w:before="40" w:after="40"/>
            </w:pPr>
            <w:r>
              <w:rPr>
                <w:rFonts w:ascii="Liberation Sans Narrow" w:hAnsi="Liberation Sans Narrow"/>
                <w:sz w:val="17"/>
              </w:rPr>
              <w:t xml:space="preserve">STJ, AgInt no AREsp 2.989.688, Quarta Turma, relator Min. Raul Araújo, julgado em 08/06/2026, DJEN de 12/06/2026</w:t>
            </w:r>
          </w:p>
        </w:tc>
        <w:tc>
          <w:tcPr>
            <w:tcW w:type="dxa" w:w="1780"/>
          </w:tcPr>
          <w:p>
            <w:pPr>
              <w:pStyle w:val="Compact"/>
              <w:spacing w:line="276" w:lineRule="auto" w:before="40" w:after="40"/>
            </w:pPr>
            <w:r>
              <w:rPr>
                <w:rFonts w:ascii="Liberation Sans Narrow" w:hAnsi="Liberation Sans Narrow"/>
                <w:sz w:val="17"/>
              </w:rPr>
              <w:t xml:space="preserve">Há distinção entre a multa por litigância de má-fé (arts. 80 e 81), que incide sobre o valor corrigido da causa, e a multa por ato atentatório à dignidade da justiça (art. 774, parágrafo único), que incide sobre o valor atualizado do débito em execução; a ocorrência da conduta em fase executiva não transmuda a natureza da sanção nem autoriza a adoção da base de cálculo própria do ato atentatório.</w:t>
            </w:r>
          </w:p>
        </w:tc>
      </w:tr>
    </w:tbl>
    <w:bookmarkEnd w:id="566"/>
    <w:bookmarkStart w:id="567" w:name="art.-775"/>
    <w:p>
      <w:pPr>
        <w:pStyle w:val="Heading6"/>
        <w:pBdr>
          <w:left w:val="single" w:sz="36" w:space="4" w:color="2E75B6"/>
        </w:pBdr>
        <w:shd w:val="clear" w:color="auto" w:fill="E3EEF9"/>
        <w:spacing w:before="120" w:after="60"/>
        <w:ind w:left="85"/>
      </w:pPr>
      <w:r>
        <w:rPr>
          <w:i w:val="0"/>
          <w:color w:val="1F3A5F"/>
          <w:sz w:val="22"/>
        </w:rPr>
        <w:t xml:space="preserve">Art. 775</w:t>
      </w:r>
    </w:p>
    <w:p>
      <w:pPr>
        <w:pStyle w:val="FirstParagraph"/>
        <w:keepNext/>
        <w:spacing w:after="60"/>
        <w:jc w:val="both"/>
      </w:pPr>
      <w:r>
        <w:rPr>
          <w:b/>
          <w:bCs/>
        </w:rPr>
        <w:t xml:space="preserve">Art. 775.</w:t>
      </w:r>
      <w:r>
        <w:t xml:space="preserve"> </w:t>
      </w:r>
      <w:r>
        <w:t xml:space="preserve">O exequente tem o direito de desistir de toda a execução ou de apenas alguma medida executiva.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1905"/>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desistência da execução</w:t>
            </w:r>
          </w:p>
        </w:tc>
        <w:tc>
          <w:tcPr>
            <w:tcW w:type="dxa" w:w="1655"/>
          </w:tcPr>
          <w:p>
            <w:pPr>
              <w:pStyle w:val="Compact"/>
              <w:spacing w:line="276" w:lineRule="auto" w:before="40" w:after="40"/>
            </w:pPr>
            <w:r>
              <w:rPr>
                <w:rFonts w:ascii="Liberation Sans Narrow" w:hAnsi="Liberation Sans Narrow"/>
                <w:sz w:val="17"/>
              </w:rPr>
              <w:t xml:space="preserve">STJ, REsp 1.675.741, Quarta Turma, relator Min. Luis Felipe Salomão, julgado em 11/06/2019, DJe de 05/08/2019</w:t>
            </w:r>
          </w:p>
        </w:tc>
        <w:tc>
          <w:tcPr>
            <w:tcW w:type="dxa" w:w="1905"/>
          </w:tcPr>
          <w:p>
            <w:pPr>
              <w:pStyle w:val="Compact"/>
              <w:spacing w:line="276" w:lineRule="auto" w:before="40" w:after="40"/>
            </w:pPr>
            <w:r>
              <w:rPr>
                <w:rFonts w:ascii="Liberation Sans Narrow" w:hAnsi="Liberation Sans Narrow"/>
                <w:sz w:val="17"/>
              </w:rPr>
              <w:t xml:space="preserve">A desistência da execução motivada pela ausência de bens penhoráveis do devedor, por força do princípio da causalidade, não enseja a condenação do exequente em honorários advocatícios, pois a frustração da pretensão executória não lhe pode ser imputada.</w:t>
            </w:r>
          </w:p>
        </w:tc>
      </w:tr>
    </w:tbl>
    <w:p>
      <w:pPr>
        <w:pStyle w:val="BodyText"/>
        <w:keepNext/>
        <w:spacing w:after="60"/>
        <w:jc w:val="both"/>
      </w:pPr>
      <w:r>
        <w:t xml:space="preserve">Parágrafo único. Na desistência da execução, observar-se-á o seguinte: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2029"/>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655"/>
          </w:tcPr>
          <w:p>
            <w:pPr>
              <w:pStyle w:val="Compact"/>
              <w:spacing w:line="276" w:lineRule="auto" w:before="40" w:after="40"/>
            </w:pPr>
            <w:r>
              <w:rPr>
                <w:rFonts w:ascii="Liberation Sans Narrow" w:hAnsi="Liberation Sans Narrow"/>
                <w:sz w:val="17"/>
              </w:rPr>
              <w:t xml:space="preserve">Caput e parágrafo único — desistência da execução e honorários fixados no despacho inicial (aplicação narrada)</w:t>
            </w:r>
          </w:p>
        </w:tc>
        <w:tc>
          <w:tcPr>
            <w:tcW w:type="dxa" w:w="1531"/>
          </w:tcPr>
          <w:p>
            <w:pPr>
              <w:pStyle w:val="Compact"/>
              <w:spacing w:line="276" w:lineRule="auto" w:before="40" w:after="40"/>
            </w:pPr>
            <w:r>
              <w:rPr>
                <w:rFonts w:ascii="Liberation Sans Narrow" w:hAnsi="Liberation Sans Narrow"/>
                <w:sz w:val="17"/>
              </w:rPr>
              <w:t xml:space="preserve">STJ, AgInt no REsp 2.111.955, Terceira Turma, relator Min. Humberto Martins, julgado em 22/06/2026</w:t>
            </w:r>
          </w:p>
        </w:tc>
        <w:tc>
          <w:tcPr>
            <w:tcW w:type="dxa" w:w="2030"/>
          </w:tcPr>
          <w:p>
            <w:pPr>
              <w:pStyle w:val="Compact"/>
              <w:spacing w:line="276" w:lineRule="auto" w:before="40" w:after="40"/>
            </w:pPr>
            <w:r>
              <w:rPr>
                <w:rFonts w:ascii="Liberation Sans Narrow" w:hAnsi="Liberation Sans Narrow"/>
                <w:sz w:val="17"/>
              </w:rPr>
              <w:t xml:space="preserve">A desistência da execução motivada pela frustração na localização de bens penhoráveis não exime o executado recalcitrante de responder pelos honorários fixados de plano no despacho inicial (art. 827), verba de natureza autônoma que nasce com o recebimento da inicial e se condiciona ao inadimplemento voluntário do devedor; pelo princípio da causalidade (art. 85, § 10), afasta-se a aplicação do art. 90 quando a extinção decorre de ato alheio à desídia do credor. Trecho: “A posterior desistência da execução, motivada exclusivamente pela frustração na localização de patrimônio penhorável, não exime o executado recalcitrante de responder pela verba honorária”</w:t>
            </w:r>
          </w:p>
        </w:tc>
      </w:tr>
    </w:tbl>
    <w:p>
      <w:pPr>
        <w:pStyle w:val="BodyText"/>
        <w:spacing w:after="60"/>
        <w:jc w:val="both"/>
      </w:pPr>
      <w:r>
        <w:t xml:space="preserve">I - serão extintos a impugnação e os embargos que versarem apenas sobre questões processuais, pagando o exequente as custas processuais e os honorários advocatícios;</w:t>
      </w:r>
    </w:p>
    <w:p>
      <w:pPr>
        <w:pStyle w:val="BodyText"/>
        <w:spacing w:after="60"/>
        <w:jc w:val="both"/>
      </w:pPr>
      <w:r>
        <w:t xml:space="preserve">II - nos demais casos, a extinção dependerá da concordância do impugnante ou do embargante.</w:t>
      </w:r>
    </w:p>
    <w:bookmarkEnd w:id="567"/>
    <w:bookmarkStart w:id="568" w:name="art.-776"/>
    <w:p>
      <w:pPr>
        <w:pStyle w:val="Heading6"/>
        <w:pBdr>
          <w:left w:val="single" w:sz="36" w:space="4" w:color="2E75B6"/>
        </w:pBdr>
        <w:shd w:val="clear" w:color="auto" w:fill="E3EEF9"/>
        <w:spacing w:before="120" w:after="60"/>
        <w:ind w:left="85"/>
      </w:pPr>
      <w:r>
        <w:rPr>
          <w:i w:val="0"/>
          <w:color w:val="1F3A5F"/>
          <w:sz w:val="22"/>
        </w:rPr>
        <w:t xml:space="preserve">Art. 776</w:t>
      </w:r>
    </w:p>
    <w:p>
      <w:pPr>
        <w:pStyle w:val="FirstParagraph"/>
        <w:keepNext/>
        <w:spacing w:after="60"/>
        <w:jc w:val="both"/>
      </w:pPr>
      <w:r>
        <w:rPr>
          <w:b/>
          <w:bCs/>
        </w:rPr>
        <w:t xml:space="preserve">Art. 776.</w:t>
      </w:r>
      <w:r>
        <w:t xml:space="preserve"> </w:t>
      </w:r>
      <w:r>
        <w:t xml:space="preserve">O exequente ressarcirá ao executado os danos que este sofreu, quando a sentença, transitada em julgado, declarar inexistente, no todo ou em parte, a obrigação que ensejou a execução.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279"/>
        <w:gridCol w:w="1655"/>
        <w:gridCol w:w="2279"/>
      </w:tblGrid>
      <w:tr>
        <w:trPr>
          <w:tblHeader w:val="on"/>
          <w:cantSplit/>
          <w:tblHeader/>
        </w:trPr>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279"/>
          </w:tcPr>
          <w:p>
            <w:pPr>
              <w:pStyle w:val="Compact"/>
              <w:spacing w:line="276" w:lineRule="auto" w:before="40" w:after="40"/>
            </w:pPr>
            <w:r>
              <w:rPr>
                <w:rFonts w:ascii="Liberation Sans Narrow" w:hAnsi="Liberation Sans Narrow"/>
                <w:sz w:val="17"/>
              </w:rPr>
              <w:t xml:space="preserve">Caput — responsabilidade do exequente</w:t>
            </w:r>
          </w:p>
        </w:tc>
        <w:tc>
          <w:tcPr>
            <w:tcW w:type="dxa" w:w="1655"/>
          </w:tcPr>
          <w:p>
            <w:pPr>
              <w:pStyle w:val="Compact"/>
              <w:spacing w:line="276" w:lineRule="auto" w:before="40" w:after="40"/>
            </w:pPr>
            <w:r>
              <w:rPr>
                <w:rFonts w:ascii="Liberation Sans Narrow" w:hAnsi="Liberation Sans Narrow"/>
                <w:sz w:val="17"/>
              </w:rPr>
              <w:t xml:space="preserve">STJ, AREsp 2.096.621, Quarta Turma, relator Min. Raul Araújo, julgado em 09/02/2026, DJEN de 13/02/2026</w:t>
            </w:r>
          </w:p>
        </w:tc>
        <w:tc>
          <w:tcPr>
            <w:tcW w:type="dxa" w:w="2279"/>
          </w:tcPr>
          <w:p>
            <w:pPr>
              <w:pStyle w:val="Compact"/>
              <w:spacing w:line="276" w:lineRule="auto" w:before="40" w:after="40"/>
            </w:pPr>
            <w:r>
              <w:rPr>
                <w:rFonts w:ascii="Liberation Sans Narrow" w:hAnsi="Liberation Sans Narrow"/>
                <w:sz w:val="17"/>
              </w:rPr>
              <w:t xml:space="preserve">A responsabilidade do exequente pelos danos causados pela execução indevida é objetiva (arts. 520, I, e 776), bastando a prova do dano e do nexo de causalidade; a sentença que extinguiu a execução por ausência de título é título executivo para o ressarcimento, liquidado nos próprios autos.</w:t>
            </w:r>
          </w:p>
        </w:tc>
      </w:tr>
    </w:tbl>
    <w:bookmarkEnd w:id="568"/>
    <w:bookmarkStart w:id="569" w:name="art.-777"/>
    <w:p>
      <w:pPr>
        <w:pStyle w:val="Heading6"/>
        <w:pBdr>
          <w:left w:val="single" w:sz="36" w:space="4" w:color="2E75B6"/>
        </w:pBdr>
        <w:shd w:val="clear" w:color="auto" w:fill="E3EEF9"/>
        <w:spacing w:before="120" w:after="60"/>
        <w:ind w:left="85"/>
      </w:pPr>
      <w:r>
        <w:rPr>
          <w:i w:val="0"/>
          <w:color w:val="1F3A5F"/>
          <w:sz w:val="22"/>
        </w:rPr>
        <w:t xml:space="preserve">Art. 777</w:t>
      </w:r>
    </w:p>
    <w:p>
      <w:pPr>
        <w:pStyle w:val="FirstParagraph"/>
        <w:spacing w:after="60"/>
        <w:jc w:val="both"/>
      </w:pPr>
      <w:r>
        <w:rPr>
          <w:b/>
          <w:bCs/>
        </w:rPr>
        <w:t xml:space="preserve">Art. 777.</w:t>
      </w:r>
      <w:r>
        <w:t xml:space="preserve"> </w:t>
      </w:r>
      <w:r>
        <w:t xml:space="preserve">A cobrança de multas ou de indenizações decorrentes de litigância de má-fé ou de prática de ato atentatório à dignidade da justiça será promovida nos próprios autos do processo.</w:t>
      </w:r>
    </w:p>
    <w:bookmarkEnd w:id="569"/>
    <w:bookmarkEnd w:id="570"/>
    <w:bookmarkStart w:id="574" w:name="capítulo-ii-das-partes-arts.-778-a-780"/>
    <w:p>
      <w:pPr>
        <w:pStyle w:val="Heading4"/>
        <w:spacing w:before="80" w:after="40"/>
      </w:pPr>
      <w:r>
        <w:rPr>
          <w:smallCaps/>
          <w:color w:val="2E75B6"/>
        </w:rPr>
        <w:t xml:space="preserve">Capítulo II: das partes (arts. 778 a 780)</w:t>
      </w:r>
    </w:p>
    <w:bookmarkStart w:id="571" w:name="art.-778"/>
    <w:p>
      <w:pPr>
        <w:pStyle w:val="Heading6"/>
        <w:pBdr>
          <w:left w:val="single" w:sz="36" w:space="4" w:color="2E75B6"/>
        </w:pBdr>
        <w:shd w:val="clear" w:color="auto" w:fill="E3EEF9"/>
        <w:spacing w:before="120" w:after="60"/>
        <w:ind w:left="85"/>
      </w:pPr>
      <w:r>
        <w:rPr>
          <w:i w:val="0"/>
          <w:color w:val="1F3A5F"/>
          <w:sz w:val="22"/>
        </w:rPr>
        <w:t xml:space="preserve">Art. 778</w:t>
      </w:r>
    </w:p>
    <w:p>
      <w:pPr>
        <w:pStyle w:val="FirstParagraph"/>
        <w:spacing w:after="60"/>
        <w:jc w:val="both"/>
      </w:pPr>
      <w:r>
        <w:rPr>
          <w:b/>
          <w:bCs/>
        </w:rPr>
        <w:t xml:space="preserve">Art. 778.</w:t>
      </w:r>
      <w:r>
        <w:t xml:space="preserve"> </w:t>
      </w:r>
      <w:r>
        <w:t xml:space="preserve">Pode promover a execução forçada o credor a quem a lei confere título executivo.</w:t>
      </w:r>
    </w:p>
    <w:p>
      <w:pPr>
        <w:pStyle w:val="BodyText"/>
        <w:spacing w:after="60"/>
        <w:jc w:val="both"/>
      </w:pPr>
      <w:r>
        <w:t xml:space="preserve">§ 1º Podem promover a execução forçada ou nela prosseguir, em sucessão ao exequente originário:</w:t>
      </w:r>
    </w:p>
    <w:p>
      <w:pPr>
        <w:pStyle w:val="BodyText"/>
        <w:spacing w:after="60"/>
        <w:jc w:val="both"/>
      </w:pPr>
      <w:r>
        <w:t xml:space="preserve">I - o Ministério Público, nos casos previstos em lei;</w:t>
      </w:r>
    </w:p>
    <w:p>
      <w:pPr>
        <w:pStyle w:val="BodyText"/>
        <w:spacing w:after="60"/>
        <w:jc w:val="both"/>
      </w:pPr>
      <w:r>
        <w:t xml:space="preserve">II - o espólio, os herdeiros ou os sucessores do credor, sempre que, por morte deste, lhes for transmitido o direito resultante do título executivo;</w:t>
      </w:r>
    </w:p>
    <w:p>
      <w:pPr>
        <w:pStyle w:val="BodyText"/>
        <w:keepNext/>
        <w:spacing w:after="60"/>
        <w:jc w:val="both"/>
      </w:pPr>
      <w:r>
        <w:t xml:space="preserve">III - o cessionário, quando o direito resultante do título executivo lhe for transferido por ato entre vivos;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1905"/>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 1º, III — cessionário do título executivo</w:t>
            </w:r>
          </w:p>
        </w:tc>
        <w:tc>
          <w:tcPr>
            <w:tcW w:type="dxa" w:w="1655"/>
          </w:tcPr>
          <w:p>
            <w:pPr>
              <w:pStyle w:val="Compact"/>
              <w:spacing w:line="276" w:lineRule="auto" w:before="40" w:after="40"/>
            </w:pPr>
            <w:r>
              <w:rPr>
                <w:rFonts w:ascii="Liberation Sans Narrow" w:hAnsi="Liberation Sans Narrow"/>
                <w:sz w:val="17"/>
              </w:rPr>
              <w:t xml:space="preserve">STJ, AgInt no AREsp 3.004.092, Quarta Turma, relator Min. Raul Araújo, julgado em 30/06/2026, DJEN de 30/07/2026</w:t>
            </w:r>
          </w:p>
        </w:tc>
        <w:tc>
          <w:tcPr>
            <w:tcW w:type="dxa" w:w="1905"/>
          </w:tcPr>
          <w:p>
            <w:pPr>
              <w:pStyle w:val="Compact"/>
              <w:spacing w:line="276" w:lineRule="auto" w:before="40" w:after="40"/>
            </w:pPr>
            <w:r>
              <w:rPr>
                <w:rFonts w:ascii="Liberation Sans Narrow" w:hAnsi="Liberation Sans Narrow"/>
                <w:sz w:val="17"/>
              </w:rPr>
              <w:t xml:space="preserve">Em execução forçada, a sucessão do exequente pelo cessionário independe do consentimento do executado (art. 778, § 1º); a ciência inequívoca do devedor nos autos supre a exigência do art. 290 do Código Civil, cuja finalidade é evitar o pagamento indevido ao credor originário, e não torna a dívida inexigível.</w:t>
            </w:r>
          </w:p>
        </w:tc>
      </w:tr>
    </w:tbl>
    <w:p>
      <w:pPr>
        <w:pStyle w:val="BodyText"/>
        <w:spacing w:after="60"/>
        <w:jc w:val="both"/>
      </w:pPr>
      <w:r>
        <w:t xml:space="preserve">IV - o sub-rogado, nos casos de sub-rogação legal ou convencional.</w:t>
      </w:r>
    </w:p>
    <w:p>
      <w:pPr>
        <w:pStyle w:val="BodyText"/>
        <w:spacing w:after="60"/>
        <w:jc w:val="both"/>
      </w:pPr>
      <w:r>
        <w:t xml:space="preserve">§ 2º A sucessão prevista no § 1º independe de consentimento do executado.</w:t>
      </w:r>
    </w:p>
    <w:bookmarkEnd w:id="571"/>
    <w:bookmarkStart w:id="572" w:name="art.-779"/>
    <w:p>
      <w:pPr>
        <w:pStyle w:val="Heading6"/>
        <w:pBdr>
          <w:left w:val="single" w:sz="36" w:space="4" w:color="2E75B6"/>
        </w:pBdr>
        <w:shd w:val="clear" w:color="auto" w:fill="E3EEF9"/>
        <w:spacing w:before="120" w:after="60"/>
        <w:ind w:left="85"/>
      </w:pPr>
      <w:r>
        <w:rPr>
          <w:i w:val="0"/>
          <w:color w:val="1F3A5F"/>
          <w:sz w:val="22"/>
        </w:rPr>
        <w:t xml:space="preserve">Art. 779</w:t>
      </w:r>
    </w:p>
    <w:p>
      <w:pPr>
        <w:pStyle w:val="FirstParagraph"/>
        <w:spacing w:after="60"/>
        <w:jc w:val="both"/>
      </w:pPr>
      <w:r>
        <w:rPr>
          <w:b/>
          <w:bCs/>
        </w:rPr>
        <w:t xml:space="preserve">Art. 779.</w:t>
      </w:r>
      <w:r>
        <w:t xml:space="preserve"> </w:t>
      </w:r>
      <w:r>
        <w:t xml:space="preserve">A execução pode ser promovida contra:</w:t>
      </w:r>
    </w:p>
    <w:p>
      <w:pPr>
        <w:pStyle w:val="BodyText"/>
        <w:spacing w:after="60"/>
        <w:jc w:val="both"/>
      </w:pPr>
      <w:r>
        <w:t xml:space="preserve">I - o devedor, reconhecido como tal no título executivo;</w:t>
      </w:r>
    </w:p>
    <w:p>
      <w:pPr>
        <w:pStyle w:val="BodyText"/>
        <w:keepNext/>
        <w:spacing w:after="60"/>
        <w:jc w:val="both"/>
      </w:pPr>
      <w:r>
        <w:t xml:space="preserve">II - o espólio, os herdeiros ou os sucessores do devedor;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404"/>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531"/>
          </w:tcPr>
          <w:p>
            <w:pPr>
              <w:pStyle w:val="Compact"/>
              <w:spacing w:line="276" w:lineRule="auto" w:before="40" w:after="40"/>
            </w:pPr>
            <w:r>
              <w:rPr>
                <w:rFonts w:ascii="Liberation Sans Narrow" w:hAnsi="Liberation Sans Narrow"/>
                <w:sz w:val="17"/>
              </w:rPr>
              <w:t xml:space="preserve">Inciso II — herdeiros e sucessores do devedor (aplicação narrada)</w:t>
            </w:r>
          </w:p>
        </w:tc>
        <w:tc>
          <w:tcPr>
            <w:tcW w:type="dxa" w:w="1531"/>
          </w:tcPr>
          <w:p>
            <w:pPr>
              <w:pStyle w:val="Compact"/>
              <w:spacing w:line="276" w:lineRule="auto" w:before="40" w:after="40"/>
            </w:pPr>
            <w:r>
              <w:rPr>
                <w:rFonts w:ascii="Liberation Sans Narrow" w:hAnsi="Liberation Sans Narrow"/>
                <w:sz w:val="17"/>
              </w:rPr>
              <w:t xml:space="preserve">STJ, AREsp 3.107.495, Terceira Turma, relator Min. Moura Ribeiro, julgado em 22/06/2026</w:t>
            </w:r>
          </w:p>
        </w:tc>
        <w:tc>
          <w:tcPr>
            <w:tcW w:type="dxa" w:w="2404"/>
          </w:tcPr>
          <w:p>
            <w:pPr>
              <w:pStyle w:val="Compact"/>
              <w:spacing w:line="276" w:lineRule="auto" w:before="40" w:after="40"/>
            </w:pPr>
            <w:r>
              <w:rPr>
                <w:rFonts w:ascii="Liberation Sans Narrow" w:hAnsi="Liberation Sans Narrow"/>
                <w:sz w:val="17"/>
              </w:rPr>
              <w:t xml:space="preserve">As herdeiras da fiadora respondem pela dívida locativa anterior ao óbito apenas até esse momento e nos limites das forças da herança (art. 836 do Código Civil), afastado o benefício de ordem porque a falecida assumira a condição de principal pagadora (art. 828, II, do Código Civil); o contrato de locação é título executivo independentemente da assinatura de duas testemunhas (art. 784, VIII). Trecho: “Agravo em recurso especial contra decisão que inadmitiu apelo nobre interposto em embargos à execução fundados em contrato de locação, no qual se discutem negativa de prestação jurisdicional, ilegitimidade passiva das herdeiras da fiadora, benefício de ordem, penhorabilidade de bem de família do fiador e força executiva do contrato sem duas testemunhas.”</w:t>
            </w:r>
          </w:p>
        </w:tc>
      </w:tr>
    </w:tbl>
    <w:p>
      <w:pPr>
        <w:pStyle w:val="BodyText"/>
        <w:spacing w:after="60"/>
        <w:jc w:val="both"/>
      </w:pPr>
      <w:r>
        <w:t xml:space="preserve">III - o novo devedor que assumiu, com o consentimento do credor, a obrigação resultante do título executivo;</w:t>
      </w:r>
    </w:p>
    <w:p>
      <w:pPr>
        <w:pStyle w:val="BodyText"/>
        <w:keepNext/>
        <w:spacing w:after="60"/>
        <w:jc w:val="both"/>
      </w:pPr>
      <w:r>
        <w:t xml:space="preserve">IV - o fiador do débito constante em título extrajudicial;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530"/>
        <w:gridCol w:w="2029"/>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Inciso IV — fiador do débito em título extrajudicial</w:t>
            </w:r>
          </w:p>
        </w:tc>
        <w:tc>
          <w:tcPr>
            <w:tcW w:type="dxa" w:w="1531"/>
          </w:tcPr>
          <w:p>
            <w:pPr>
              <w:pStyle w:val="Compact"/>
              <w:spacing w:line="276" w:lineRule="auto" w:before="40" w:after="40"/>
            </w:pPr>
            <w:r>
              <w:rPr>
                <w:rFonts w:ascii="Liberation Sans Narrow" w:hAnsi="Liberation Sans Narrow"/>
                <w:sz w:val="17"/>
              </w:rPr>
              <w:t xml:space="preserve">STJ, AgInt no AREsp 2.716.112, Terceira Turma, relator Min. Humberto Martins, DJe de 27/04/2026</w:t>
            </w:r>
          </w:p>
        </w:tc>
        <w:tc>
          <w:tcPr>
            <w:tcW w:type="dxa" w:w="2030"/>
          </w:tcPr>
          <w:p>
            <w:pPr>
              <w:pStyle w:val="Compact"/>
              <w:spacing w:line="276" w:lineRule="auto" w:before="40" w:after="40"/>
            </w:pPr>
            <w:r>
              <w:rPr>
                <w:rFonts w:ascii="Liberation Sans Narrow" w:hAnsi="Liberation Sans Narrow"/>
                <w:sz w:val="17"/>
              </w:rPr>
              <w:t xml:space="preserve">Sem renúncia expressa ao benefício de ordem e sem convenção de solidariedade, o fiador é parte ilegítima na execução ajuizada exclusivamente contra ele.</w:t>
            </w:r>
          </w:p>
        </w:tc>
      </w:tr>
    </w:tbl>
    <w:p>
      <w:pPr>
        <w:pStyle w:val="BodyText"/>
        <w:spacing w:after="60"/>
        <w:jc w:val="both"/>
      </w:pPr>
      <w:r>
        <w:t xml:space="preserve">V - o responsável titular do bem vinculado por garantia real ao pagamento do débito;</w:t>
      </w:r>
    </w:p>
    <w:p>
      <w:pPr>
        <w:pStyle w:val="BodyText"/>
        <w:spacing w:after="60"/>
        <w:jc w:val="both"/>
      </w:pPr>
      <w:r>
        <w:t xml:space="preserve">VI - o responsável tributário, assim definido em lei.</w:t>
      </w:r>
    </w:p>
    <w:bookmarkEnd w:id="572"/>
    <w:bookmarkStart w:id="573" w:name="art.-780"/>
    <w:p>
      <w:pPr>
        <w:pStyle w:val="Heading6"/>
        <w:pBdr>
          <w:left w:val="single" w:sz="36" w:space="4" w:color="2E75B6"/>
        </w:pBdr>
        <w:shd w:val="clear" w:color="auto" w:fill="E3EEF9"/>
        <w:spacing w:before="120" w:after="60"/>
        <w:ind w:left="85"/>
      </w:pPr>
      <w:r>
        <w:rPr>
          <w:i w:val="0"/>
          <w:color w:val="1F3A5F"/>
          <w:sz w:val="22"/>
        </w:rPr>
        <w:t xml:space="preserve">Art. 780</w:t>
      </w:r>
    </w:p>
    <w:p>
      <w:pPr>
        <w:pStyle w:val="FirstParagraph"/>
        <w:keepNext/>
        <w:spacing w:after="60"/>
        <w:jc w:val="both"/>
      </w:pPr>
      <w:r>
        <w:rPr>
          <w:b/>
          <w:bCs/>
        </w:rPr>
        <w:t xml:space="preserve">Art. 780.</w:t>
      </w:r>
      <w:r>
        <w:t xml:space="preserve"> </w:t>
      </w:r>
      <w:r>
        <w:t xml:space="preserve">O exequente pode cumular várias execuções, ainda que fundadas em títulos diferentes, quando o executado for o mesmo e desde que para todas elas seja competente o mesmo juízo e idêntico o procedimento.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871"/>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871"/>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cumulação de execuções</w:t>
            </w:r>
          </w:p>
        </w:tc>
        <w:tc>
          <w:tcPr>
            <w:tcW w:type="dxa" w:w="1531"/>
          </w:tcPr>
          <w:p>
            <w:pPr>
              <w:pStyle w:val="Compact"/>
              <w:spacing w:line="276" w:lineRule="auto" w:before="40" w:after="40"/>
            </w:pPr>
            <w:r>
              <w:rPr>
                <w:rFonts w:ascii="Liberation Sans Narrow" w:hAnsi="Liberation Sans Narrow"/>
                <w:sz w:val="17"/>
              </w:rPr>
              <w:t xml:space="preserve">STJ, AREsp 2.505.279, Quarta Turma, relator Min. Raul Araújo, julgado em 04/05/2026</w:t>
            </w:r>
          </w:p>
        </w:tc>
        <w:tc>
          <w:tcPr>
            <w:tcW w:type="dxa" w:w="1871"/>
          </w:tcPr>
          <w:p>
            <w:pPr>
              <w:pStyle w:val="Compact"/>
              <w:spacing w:line="276" w:lineRule="auto" w:before="40" w:after="40"/>
            </w:pPr>
            <w:r>
              <w:rPr>
                <w:rFonts w:ascii="Liberation Sans Narrow" w:hAnsi="Liberation Sans Narrow"/>
                <w:sz w:val="17"/>
              </w:rPr>
              <w:t xml:space="preserve">A cumulação, em um só processo, de execução por quantia certa e de execução de obrigação de fazer é possível quando há unidade de devedor, correlação direta entre as obrigações, ambas derivam da mesma relação jurídica e não há prejuízo ao exercício da ampla defesa, sobretudo quando uma obrigação decorre logicamente da outra.</w:t>
            </w:r>
          </w:p>
        </w:tc>
      </w:tr>
    </w:tbl>
    <w:bookmarkEnd w:id="573"/>
    <w:bookmarkEnd w:id="574"/>
    <w:bookmarkStart w:id="577" w:name="Xd0e7413db1aa8cca2a50247ebf7a0fd6794893e"/>
    <w:p>
      <w:pPr>
        <w:pStyle w:val="Heading4"/>
        <w:spacing w:before="80" w:after="40"/>
      </w:pPr>
      <w:r>
        <w:rPr>
          <w:smallCaps/>
          <w:color w:val="2E75B6"/>
        </w:rPr>
        <w:t xml:space="preserve">Capítulo III: da competência (arts. 781 a 782)</w:t>
      </w:r>
    </w:p>
    <w:bookmarkStart w:id="575" w:name="art.-781"/>
    <w:p>
      <w:pPr>
        <w:pStyle w:val="Heading6"/>
        <w:pBdr>
          <w:left w:val="single" w:sz="36" w:space="4" w:color="2E75B6"/>
        </w:pBdr>
        <w:shd w:val="clear" w:color="auto" w:fill="E3EEF9"/>
        <w:spacing w:before="120" w:after="60"/>
        <w:ind w:left="85"/>
      </w:pPr>
      <w:r>
        <w:rPr>
          <w:i w:val="0"/>
          <w:color w:val="1F3A5F"/>
          <w:sz w:val="22"/>
        </w:rPr>
        <w:t xml:space="preserve">Art. 781</w:t>
      </w:r>
    </w:p>
    <w:p>
      <w:pPr>
        <w:pStyle w:val="FirstParagraph"/>
        <w:keepNext/>
        <w:spacing w:after="60"/>
        <w:jc w:val="both"/>
      </w:pPr>
      <w:r>
        <w:rPr>
          <w:b/>
          <w:bCs/>
        </w:rPr>
        <w:t xml:space="preserve">Art. 781.</w:t>
      </w:r>
      <w:r>
        <w:t xml:space="preserve"> </w:t>
      </w:r>
      <w:r>
        <w:t xml:space="preserve">A execução fundada em título extrajudicial será processada perante o juízo competente, observando-se o seguinte: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1746"/>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46"/>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competência para a execução</w:t>
            </w:r>
          </w:p>
        </w:tc>
        <w:tc>
          <w:tcPr>
            <w:tcW w:type="dxa" w:w="1531"/>
          </w:tcPr>
          <w:p>
            <w:pPr>
              <w:pStyle w:val="Compact"/>
              <w:spacing w:line="276" w:lineRule="auto" w:before="40" w:after="40"/>
            </w:pPr>
            <w:r>
              <w:rPr>
                <w:rFonts w:ascii="Liberation Sans Narrow" w:hAnsi="Liberation Sans Narrow"/>
                <w:sz w:val="17"/>
              </w:rPr>
              <w:t xml:space="preserve">STJ, CC 216.850, Segunda Seção, relatora Min. Daniela Teixeira, DJe de 17/11/2025</w:t>
            </w:r>
          </w:p>
        </w:tc>
        <w:tc>
          <w:tcPr>
            <w:tcW w:type="dxa" w:w="1746"/>
          </w:tcPr>
          <w:p>
            <w:pPr>
              <w:pStyle w:val="Compact"/>
              <w:spacing w:line="276" w:lineRule="auto" w:before="40" w:after="40"/>
            </w:pPr>
            <w:r>
              <w:rPr>
                <w:rFonts w:ascii="Liberation Sans Narrow" w:hAnsi="Liberation Sans Narrow"/>
                <w:sz w:val="17"/>
              </w:rPr>
              <w:t xml:space="preserve">A competência territorial da execução é relativa: havendo cláusula de eleição de foro, é incabível o declínio de ofício, que depende de provocação do executado (Súmula 33 do Superior Tribunal de Justiça).</w:t>
            </w:r>
          </w:p>
        </w:tc>
      </w:tr>
    </w:tbl>
    <w:p>
      <w:pPr>
        <w:pStyle w:val="BodyText"/>
        <w:spacing w:after="60"/>
        <w:jc w:val="both"/>
      </w:pPr>
      <w:r>
        <w:t xml:space="preserve">I - a execução poderá ser proposta no foro de domicílio do executado, de eleição constante do título ou, ainda, de situação dos bens a ela sujeitos;</w:t>
      </w:r>
    </w:p>
    <w:p>
      <w:pPr>
        <w:pStyle w:val="BodyText"/>
        <w:spacing w:after="60"/>
        <w:jc w:val="both"/>
      </w:pPr>
      <w:r>
        <w:t xml:space="preserve">II - tendo mais de um domicílio, o executado poderá ser demandado no foro de qualquer deles;</w:t>
      </w:r>
    </w:p>
    <w:p>
      <w:pPr>
        <w:pStyle w:val="BodyText"/>
        <w:spacing w:after="60"/>
        <w:jc w:val="both"/>
      </w:pPr>
      <w:r>
        <w:t xml:space="preserve">III - sendo incerto ou desconhecido o domicílio do executado, a execução poderá ser proposta no lugar onde for encontrado ou no foro de domicílio do exequente;</w:t>
      </w:r>
    </w:p>
    <w:p>
      <w:pPr>
        <w:pStyle w:val="BodyText"/>
        <w:spacing w:after="60"/>
        <w:jc w:val="both"/>
      </w:pPr>
      <w:r>
        <w:t xml:space="preserve">IV - havendo mais de um devedor, com diferentes domicílios, a execução será proposta no foro de qualquer deles, à escolha do exequente;</w:t>
      </w:r>
    </w:p>
    <w:p>
      <w:pPr>
        <w:pStyle w:val="BodyText"/>
        <w:spacing w:after="60"/>
        <w:jc w:val="both"/>
      </w:pPr>
      <w:r>
        <w:t xml:space="preserve">V - a execução poderá ser proposta no foro do lugar em que se praticou o ato ou em que ocorreu o fato que deu origem ao título, mesmo que nele não mais resida o executado.</w:t>
      </w:r>
    </w:p>
    <w:bookmarkEnd w:id="575"/>
    <w:bookmarkStart w:id="576" w:name="art.-782"/>
    <w:p>
      <w:pPr>
        <w:pStyle w:val="Heading6"/>
        <w:pBdr>
          <w:left w:val="single" w:sz="36" w:space="4" w:color="2E75B6"/>
        </w:pBdr>
        <w:shd w:val="clear" w:color="auto" w:fill="E3EEF9"/>
        <w:spacing w:before="120" w:after="60"/>
        <w:ind w:left="85"/>
      </w:pPr>
      <w:r>
        <w:rPr>
          <w:i w:val="0"/>
          <w:color w:val="1F3A5F"/>
          <w:sz w:val="22"/>
        </w:rPr>
        <w:t xml:space="preserve">Art. 782</w:t>
      </w:r>
    </w:p>
    <w:p>
      <w:pPr>
        <w:pStyle w:val="FirstParagraph"/>
        <w:spacing w:after="60"/>
        <w:jc w:val="both"/>
      </w:pPr>
      <w:r>
        <w:rPr>
          <w:b/>
          <w:bCs/>
        </w:rPr>
        <w:t xml:space="preserve">Art. 782.</w:t>
      </w:r>
      <w:r>
        <w:t xml:space="preserve"> </w:t>
      </w:r>
      <w:r>
        <w:t xml:space="preserve">Não dispondo a lei de modo diverso, o juiz determinará os atos executivos, e o oficial de justiça os cumprirá.</w:t>
      </w:r>
    </w:p>
    <w:p>
      <w:pPr>
        <w:pStyle w:val="BodyText"/>
        <w:spacing w:after="60"/>
        <w:jc w:val="both"/>
      </w:pPr>
      <w:r>
        <w:t xml:space="preserve">§ 1º O oficial de justiça poderá cumprir os atos executivos determinados pelo juiz também nas comarcas contíguas, de fácil comunicação, e nas que se situem na mesma região metropolitana.</w:t>
      </w:r>
    </w:p>
    <w:p>
      <w:pPr>
        <w:pStyle w:val="BodyText"/>
        <w:spacing w:after="60"/>
        <w:jc w:val="both"/>
      </w:pPr>
      <w:r>
        <w:t xml:space="preserve">§ 2º Sempre que, para efetivar a execução, for necessário o emprego de força policial, o juiz a requisitará.</w:t>
      </w:r>
    </w:p>
    <w:p>
      <w:pPr>
        <w:pStyle w:val="BodyText"/>
        <w:spacing w:after="60"/>
        <w:jc w:val="both"/>
      </w:pPr>
      <w:r>
        <w:t xml:space="preserve">§ 3º A requerimento da parte, o juiz pode determinar a inclusão do nome do executado em cadastros de inadimplentes.</w:t>
      </w:r>
    </w:p>
    <w:p>
      <w:pPr>
        <w:pStyle w:val="BodyText"/>
        <w:spacing w:after="60"/>
        <w:jc w:val="both"/>
      </w:pPr>
      <w:r>
        <w:t xml:space="preserve">§ 4º A inscrição será cancelada imediatamente se for efetuado o pagamento, se for garantida a execução ou se a execução for extinta por qualquer outro motivo.</w:t>
      </w:r>
    </w:p>
    <w:p>
      <w:pPr>
        <w:pStyle w:val="BodyText"/>
        <w:spacing w:after="60"/>
        <w:jc w:val="both"/>
      </w:pPr>
      <w:r>
        <w:t xml:space="preserve">§ 5º O disposto nos §§ 3º e 4º aplica-se à execução definitiva de título judicial.</w:t>
      </w:r>
    </w:p>
    <w:bookmarkEnd w:id="576"/>
    <w:bookmarkEnd w:id="577"/>
    <w:bookmarkStart w:id="586" w:name="Xc67ee4f237d9841df9df9d7b80105a77c2bc40c"/>
    <w:p>
      <w:pPr>
        <w:pStyle w:val="Heading4"/>
        <w:spacing w:before="80" w:after="40"/>
      </w:pPr>
      <w:r>
        <w:rPr>
          <w:smallCaps/>
          <w:color w:val="2E75B6"/>
        </w:rPr>
        <w:t xml:space="preserve">Capítulo IV: dos requisitos necessários para realizar qualquer execução (arts. 783 a 788)</w:t>
      </w:r>
    </w:p>
    <w:bookmarkStart w:id="581" w:name="X7cca6cdb53ab964828760f00ab5792e95a7c3f8"/>
    <w:p>
      <w:pPr>
        <w:pStyle w:val="Heading5"/>
        <w:spacing w:before="60" w:after="20"/>
      </w:pPr>
      <w:r>
        <w:rPr>
          <w:i/>
          <w:color w:val="595959"/>
        </w:rPr>
        <w:t xml:space="preserve">Seção I: do título executivo (arts. 783 a 785)</w:t>
      </w:r>
    </w:p>
    <w:bookmarkStart w:id="578" w:name="art.-783"/>
    <w:p>
      <w:pPr>
        <w:pStyle w:val="Heading6"/>
        <w:pBdr>
          <w:left w:val="single" w:sz="36" w:space="4" w:color="2E75B6"/>
        </w:pBdr>
        <w:shd w:val="clear" w:color="auto" w:fill="E3EEF9"/>
        <w:spacing w:before="120" w:after="60"/>
        <w:ind w:left="85"/>
      </w:pPr>
      <w:r>
        <w:rPr>
          <w:i w:val="0"/>
          <w:color w:val="1F3A5F"/>
          <w:sz w:val="22"/>
        </w:rPr>
        <w:t xml:space="preserve">Art. 783</w:t>
      </w:r>
    </w:p>
    <w:p>
      <w:pPr>
        <w:pStyle w:val="FirstParagraph"/>
        <w:keepNext/>
        <w:spacing w:after="60"/>
        <w:jc w:val="both"/>
      </w:pPr>
      <w:r>
        <w:rPr>
          <w:b/>
          <w:bCs/>
        </w:rPr>
        <w:t xml:space="preserve">Art. 783.</w:t>
      </w:r>
      <w:r>
        <w:t xml:space="preserve"> </w:t>
      </w:r>
      <w:r>
        <w:t xml:space="preserve">A execução para cobrança de crédito fundar-se-á sempre em título de obrigação certa, líquida e exigível.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746"/>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46"/>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liquidez do título</w:t>
            </w:r>
          </w:p>
        </w:tc>
        <w:tc>
          <w:tcPr>
            <w:tcW w:type="dxa" w:w="1655"/>
          </w:tcPr>
          <w:p>
            <w:pPr>
              <w:pStyle w:val="Compact"/>
              <w:spacing w:line="276" w:lineRule="auto" w:before="40" w:after="40"/>
            </w:pPr>
            <w:r>
              <w:rPr>
                <w:rFonts w:ascii="Liberation Sans Narrow" w:hAnsi="Liberation Sans Narrow"/>
                <w:sz w:val="17"/>
              </w:rPr>
              <w:t xml:space="preserve">STJ, REsp 2.225.590, Terceira Turma, relator Min. Humberto Martins, julgado em 12/08/2026, DJEN de 17/08/2026</w:t>
            </w:r>
          </w:p>
        </w:tc>
        <w:tc>
          <w:tcPr>
            <w:tcW w:type="dxa" w:w="1746"/>
          </w:tcPr>
          <w:p>
            <w:pPr>
              <w:pStyle w:val="Compact"/>
              <w:spacing w:line="276" w:lineRule="auto" w:before="40" w:after="40"/>
            </w:pPr>
            <w:r>
              <w:rPr>
                <w:rFonts w:ascii="Liberation Sans Narrow" w:hAnsi="Liberation Sans Narrow"/>
                <w:sz w:val="17"/>
              </w:rPr>
              <w:t xml:space="preserve">A execução exige obrigação certa, líquida e exigível (art. 783); a escritura pública de abertura de linha de crédito que não fixa valor nem vencimento, dependendo de dilação probatória para apurar o quantum, carece da liquidez necessária ao rito executivo, e as notas fiscais que a acompanham não suprem o vício.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cédula de crédito bancário</w:t>
            </w:r>
          </w:p>
        </w:tc>
        <w:tc>
          <w:tcPr>
            <w:tcW w:type="dxa" w:w="1655"/>
          </w:tcPr>
          <w:p>
            <w:pPr>
              <w:pStyle w:val="Compact"/>
              <w:spacing w:line="276" w:lineRule="auto" w:before="40" w:after="40"/>
            </w:pPr>
            <w:r>
              <w:rPr>
                <w:rFonts w:ascii="Liberation Sans Narrow" w:hAnsi="Liberation Sans Narrow"/>
                <w:sz w:val="17"/>
              </w:rPr>
              <w:t xml:space="preserve">STJ, AgInt no AREsp 1.746.039, Quarta Turma, relator Min. Raul Araújo, julgado em 19/04/2021, DJe de 24/05/2021</w:t>
            </w:r>
          </w:p>
        </w:tc>
        <w:tc>
          <w:tcPr>
            <w:tcW w:type="dxa" w:w="1746"/>
          </w:tcPr>
          <w:p>
            <w:pPr>
              <w:pStyle w:val="Compact"/>
              <w:spacing w:line="276" w:lineRule="auto" w:before="40" w:after="40"/>
            </w:pPr>
            <w:r>
              <w:rPr>
                <w:rFonts w:ascii="Liberation Sans Narrow" w:hAnsi="Liberation Sans Narrow"/>
                <w:sz w:val="17"/>
              </w:rPr>
              <w:t xml:space="preserve">A cédula de crédito bancário, ainda que o valor nela expresso decorra de saldo de contrato de abertura de crédito em conta corrente, é título executivo e exprime obrigação líquida e certa.</w:t>
            </w:r>
          </w:p>
        </w:tc>
      </w:tr>
    </w:tbl>
    <w:bookmarkEnd w:id="578"/>
    <w:bookmarkStart w:id="579" w:name="art.-784"/>
    <w:p>
      <w:pPr>
        <w:pStyle w:val="Heading6"/>
        <w:pBdr>
          <w:left w:val="single" w:sz="36" w:space="4" w:color="2E75B6"/>
        </w:pBdr>
        <w:shd w:val="clear" w:color="auto" w:fill="E3EEF9"/>
        <w:spacing w:before="120" w:after="60"/>
        <w:ind w:left="85"/>
      </w:pPr>
      <w:r>
        <w:rPr>
          <w:i w:val="0"/>
          <w:color w:val="1F3A5F"/>
          <w:sz w:val="22"/>
        </w:rPr>
        <w:t xml:space="preserve">Art. 784</w:t>
      </w:r>
    </w:p>
    <w:p>
      <w:pPr>
        <w:pStyle w:val="FirstParagraph"/>
        <w:spacing w:after="60"/>
        <w:jc w:val="both"/>
      </w:pPr>
      <w:r>
        <w:rPr>
          <w:b/>
          <w:bCs/>
        </w:rPr>
        <w:t xml:space="preserve">Art. 784.</w:t>
      </w:r>
      <w:r>
        <w:t xml:space="preserve"> </w:t>
      </w:r>
      <w:r>
        <w:t xml:space="preserve">São títulos executivos extrajudiciais:</w:t>
      </w:r>
    </w:p>
    <w:p>
      <w:pPr>
        <w:pStyle w:val="BodyText"/>
        <w:spacing w:after="60"/>
        <w:jc w:val="both"/>
      </w:pPr>
      <w:r>
        <w:t xml:space="preserve">I - a letra de câmbio, a nota promissória, a duplicata, a debênture e o cheque;</w:t>
      </w:r>
    </w:p>
    <w:p>
      <w:pPr>
        <w:pStyle w:val="BodyText"/>
        <w:spacing w:after="60"/>
        <w:jc w:val="both"/>
      </w:pPr>
      <w:r>
        <w:t xml:space="preserve">II - a escritura pública ou outro documento público assinado pelo devedor;</w:t>
      </w:r>
    </w:p>
    <w:p>
      <w:pPr>
        <w:pStyle w:val="BodyText"/>
        <w:spacing w:after="60"/>
        <w:jc w:val="both"/>
      </w:pPr>
      <w:r>
        <w:t xml:space="preserve">III - o documento particular assinado pelo devedor e por 2 (duas) testemunhas;</w:t>
      </w:r>
    </w:p>
    <w:p>
      <w:pPr>
        <w:pStyle w:val="BodyText"/>
        <w:spacing w:after="60"/>
        <w:jc w:val="both"/>
      </w:pPr>
      <w:r>
        <w:t xml:space="preserve">IV - o instrumento de transação referendado pelo Ministério Público, pela Defensoria Pública, pela Advocacia Pública, pelos advogados dos transatores ou por conciliador ou mediador credenciado por tribunal;</w:t>
      </w:r>
    </w:p>
    <w:p>
      <w:pPr>
        <w:pStyle w:val="BodyText"/>
        <w:spacing w:after="60"/>
        <w:jc w:val="both"/>
      </w:pPr>
      <w:r>
        <w:t xml:space="preserve">V - o contrato garantido por hipoteca, penhor, anticrese ou outro direito real de garantia e aquele garantido por caução;</w:t>
      </w:r>
    </w:p>
    <w:p>
      <w:pPr>
        <w:pStyle w:val="BodyText"/>
        <w:spacing w:after="60"/>
        <w:jc w:val="both"/>
      </w:pPr>
      <w:r>
        <w:t xml:space="preserve">VI - o contrato de seguro de vida em caso de morte;</w:t>
      </w:r>
    </w:p>
    <w:p>
      <w:pPr>
        <w:pStyle w:val="BodyText"/>
        <w:spacing w:after="60"/>
        <w:jc w:val="both"/>
      </w:pPr>
      <w:r>
        <w:t xml:space="preserve">VII - o crédito decorrente de foro e laudêmio;</w:t>
      </w:r>
    </w:p>
    <w:p>
      <w:pPr>
        <w:pStyle w:val="BodyText"/>
        <w:spacing w:after="60"/>
        <w:jc w:val="both"/>
      </w:pPr>
      <w:r>
        <w:t xml:space="preserve">VIII - o crédito, documentalmente comprovado, decorrente de aluguel de imóvel, bem como de encargos acessórios, tais como taxas e despesas de condomínio;</w:t>
      </w:r>
    </w:p>
    <w:p>
      <w:pPr>
        <w:pStyle w:val="BodyText"/>
        <w:spacing w:after="60"/>
        <w:jc w:val="both"/>
      </w:pPr>
      <w:r>
        <w:t xml:space="preserve">IX - a certidão de dívida ativa da Fazenda Pública da União, dos Estados, do Distrito Federal e dos Municípios, correspondente aos créditos inscritos na forma da lei;</w:t>
      </w:r>
    </w:p>
    <w:p>
      <w:pPr>
        <w:pStyle w:val="BodyText"/>
        <w:spacing w:after="60"/>
        <w:jc w:val="both"/>
      </w:pPr>
      <w:r>
        <w:t xml:space="preserve">X - o crédito referente às contribuições ordinárias ou extraordinárias de condomínio edilício, previstas na respectiva convenção ou aprovadas em assembleia geral, desde que documentalmente comprovadas;</w:t>
      </w:r>
    </w:p>
    <w:p>
      <w:pPr>
        <w:pStyle w:val="BodyText"/>
        <w:spacing w:after="60"/>
        <w:jc w:val="both"/>
      </w:pPr>
      <w:r>
        <w:t xml:space="preserve">XI - a certidão expedida por serventia notarial ou de registro relativa a valores de emolumentos e demais despesas devidas pelos atos por ela praticados, fixados nas tabelas estabelecidas em lei;</w:t>
      </w:r>
    </w:p>
    <w:p>
      <w:pPr>
        <w:pStyle w:val="BodyText"/>
        <w:spacing w:after="60"/>
        <w:jc w:val="both"/>
      </w:pPr>
      <w:r>
        <w:t xml:space="preserve">XI-A - o contrato de contragarantia ou qualquer outro instrumento que materialize o direito de ressarcimento da seguradora contra tomadores de seguro-garantia e seus garantidores; (Incluído pela Lei nº 14.711, de 2023)</w:t>
      </w:r>
    </w:p>
    <w:p>
      <w:pPr>
        <w:pStyle w:val="BodyText"/>
        <w:keepNext/>
        <w:spacing w:after="60"/>
        <w:jc w:val="both"/>
      </w:pPr>
      <w:r>
        <w:t xml:space="preserve">XII - todos os demais títulos aos quais, por disposição expressa, a lei atribuir força executiva.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e inciso XII — títulos com força executiva por lei especial</w:t>
            </w:r>
          </w:p>
        </w:tc>
        <w:tc>
          <w:tcPr>
            <w:tcW w:type="dxa" w:w="1531"/>
          </w:tcPr>
          <w:p>
            <w:pPr>
              <w:pStyle w:val="Compact"/>
              <w:spacing w:line="276" w:lineRule="auto" w:before="40" w:after="40"/>
            </w:pPr>
            <w:r>
              <w:rPr>
                <w:rFonts w:ascii="Liberation Sans Narrow" w:hAnsi="Liberation Sans Narrow"/>
                <w:sz w:val="17"/>
              </w:rPr>
              <w:t xml:space="preserve">STJ, AgInt no AREsp 2.720.239, Quarta Turma, relator Min. João Otávio de Noronha, DJe de 22/12/2025</w:t>
            </w:r>
          </w:p>
        </w:tc>
        <w:tc>
          <w:tcPr>
            <w:tcW w:type="dxa" w:w="2030"/>
          </w:tcPr>
          <w:p>
            <w:pPr>
              <w:pStyle w:val="Compact"/>
              <w:spacing w:line="276" w:lineRule="auto" w:before="40" w:after="40"/>
            </w:pPr>
            <w:r>
              <w:rPr>
                <w:rFonts w:ascii="Liberation Sans Narrow" w:hAnsi="Liberation Sans Narrow"/>
                <w:sz w:val="17"/>
              </w:rPr>
              <w:t xml:space="preserve">O contrato de seguro saúde tem força executiva com fundamento no art. 784, XII, e no art. 27 do Decreto-Lei n. 73/1966; a apólice assinada, acompanhada de boletos, faturas e demonstrativo do débito, satisfaz os requisitos de certeza, liquidez e exigibilidade.</w:t>
            </w:r>
          </w:p>
        </w:tc>
      </w:tr>
    </w:tbl>
    <w:p>
      <w:pPr>
        <w:pStyle w:val="BodyText"/>
        <w:spacing w:after="60"/>
        <w:jc w:val="both"/>
      </w:pPr>
      <w:r>
        <w:t xml:space="preserve">§ 1º A propositura de qualquer ação relativa a débito constante de título executivo não inibe o credor de promover-lhe a execução.</w:t>
      </w:r>
    </w:p>
    <w:p>
      <w:pPr>
        <w:pStyle w:val="BodyText"/>
        <w:spacing w:after="60"/>
        <w:jc w:val="both"/>
      </w:pPr>
      <w:r>
        <w:t xml:space="preserve">§ 2º Os títulos executivos extrajudiciais oriundos de país estrangeiro não dependem de homologação para serem executados.</w:t>
      </w:r>
    </w:p>
    <w:p>
      <w:pPr>
        <w:pStyle w:val="BodyText"/>
        <w:spacing w:after="60"/>
        <w:jc w:val="both"/>
      </w:pPr>
      <w:r>
        <w:t xml:space="preserve">§ 3º O título estrangeiro só terá eficácia executiva quando satisfeitos os requisitos de formação exigidos pela lei do lugar de sua celebração e quando o Brasil for indicado como o lugar de cumprimento da obrigação.</w:t>
      </w:r>
    </w:p>
    <w:p>
      <w:pPr>
        <w:pStyle w:val="BodyText"/>
        <w:keepNext/>
        <w:spacing w:after="60"/>
        <w:jc w:val="both"/>
      </w:pPr>
      <w:r>
        <w:t xml:space="preserve">§ 4º Nos títulos executivos constituídos ou atestados por meio eletrônico, é admitida qualquer modalidade de assinatura eletrônica prevista em lei, dispensada a assinatura de testemunhas quando sua integridade for conferida por provedor de assinatura. (Incluído pela Lei nº 14.620, de 2023)</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154"/>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 4º — assinatura eletrônica do título</w:t>
            </w:r>
          </w:p>
        </w:tc>
        <w:tc>
          <w:tcPr>
            <w:tcW w:type="dxa" w:w="1531"/>
          </w:tcPr>
          <w:p>
            <w:pPr>
              <w:pStyle w:val="Compact"/>
              <w:spacing w:line="276" w:lineRule="auto" w:before="40" w:after="40"/>
            </w:pPr>
            <w:r>
              <w:rPr>
                <w:rFonts w:ascii="Liberation Sans Narrow" w:hAnsi="Liberation Sans Narrow"/>
                <w:sz w:val="17"/>
              </w:rPr>
              <w:t xml:space="preserve">STJ, REsp 2.041.272, Quarta Turma, relator Min. João Otávio de Noronha, julgado em 22/06/2026</w:t>
            </w:r>
          </w:p>
        </w:tc>
        <w:tc>
          <w:tcPr>
            <w:tcW w:type="dxa" w:w="2154"/>
          </w:tcPr>
          <w:p>
            <w:pPr>
              <w:pStyle w:val="Compact"/>
              <w:spacing w:line="276" w:lineRule="auto" w:before="40" w:after="40"/>
            </w:pPr>
            <w:r>
              <w:rPr>
                <w:rFonts w:ascii="Liberation Sans Narrow" w:hAnsi="Liberation Sans Narrow"/>
                <w:sz w:val="17"/>
              </w:rPr>
              <w:t xml:space="preserve">A Lei 14.620/2023 incluiu o § 4º do art. 784 e passou a admitir qualquer modalidade de assinatura eletrônica na constituição de títulos executivos extrajudiciais, desde que assegurada a integridade pela entidade provedora; a assinatura por entidade não credenciada ao ICP-Brasil é válida quando aceita pelas partes e dotada de mecanismos confiáveis de autenticação.</w:t>
            </w:r>
          </w:p>
        </w:tc>
      </w:tr>
    </w:tbl>
    <w:bookmarkEnd w:id="579"/>
    <w:bookmarkStart w:id="580" w:name="art.-785"/>
    <w:p>
      <w:pPr>
        <w:pStyle w:val="Heading6"/>
        <w:pBdr>
          <w:left w:val="single" w:sz="36" w:space="4" w:color="2E75B6"/>
        </w:pBdr>
        <w:shd w:val="clear" w:color="auto" w:fill="E3EEF9"/>
        <w:spacing w:before="120" w:after="60"/>
        <w:ind w:left="85"/>
      </w:pPr>
      <w:r>
        <w:rPr>
          <w:i w:val="0"/>
          <w:color w:val="1F3A5F"/>
          <w:sz w:val="22"/>
        </w:rPr>
        <w:t xml:space="preserve">Art. 785</w:t>
      </w:r>
    </w:p>
    <w:p>
      <w:pPr>
        <w:pStyle w:val="FirstParagraph"/>
        <w:spacing w:after="60"/>
        <w:jc w:val="both"/>
      </w:pPr>
      <w:r>
        <w:rPr>
          <w:b/>
          <w:bCs/>
        </w:rPr>
        <w:t xml:space="preserve">Art. 785.</w:t>
      </w:r>
      <w:r>
        <w:t xml:space="preserve"> </w:t>
      </w:r>
      <w:r>
        <w:t xml:space="preserve">A existência de título executivo extrajudicial não impede a parte de optar pelo processo de conhecimento, a fim de obter título executivo judicial.</w:t>
      </w:r>
    </w:p>
    <w:bookmarkEnd w:id="580"/>
    <w:bookmarkEnd w:id="581"/>
    <w:bookmarkStart w:id="585" w:name="Xa4c85d95185166a78546e466911ab3bdccf4ab8"/>
    <w:p>
      <w:pPr>
        <w:pStyle w:val="Heading5"/>
        <w:spacing w:before="60" w:after="20"/>
      </w:pPr>
      <w:r>
        <w:rPr>
          <w:i/>
          <w:color w:val="595959"/>
        </w:rPr>
        <w:t xml:space="preserve">Seção II: da exigibilidade da obrigação (arts. 786 a 788)</w:t>
      </w:r>
    </w:p>
    <w:bookmarkStart w:id="582" w:name="art.-786"/>
    <w:p>
      <w:pPr>
        <w:pStyle w:val="Heading6"/>
        <w:pBdr>
          <w:left w:val="single" w:sz="36" w:space="4" w:color="2E75B6"/>
        </w:pBdr>
        <w:shd w:val="clear" w:color="auto" w:fill="E3EEF9"/>
        <w:spacing w:before="120" w:after="60"/>
        <w:ind w:left="85"/>
      </w:pPr>
      <w:r>
        <w:rPr>
          <w:i w:val="0"/>
          <w:color w:val="1F3A5F"/>
          <w:sz w:val="22"/>
        </w:rPr>
        <w:t xml:space="preserve">Art. 786</w:t>
      </w:r>
    </w:p>
    <w:p>
      <w:pPr>
        <w:pStyle w:val="FirstParagraph"/>
        <w:spacing w:after="60"/>
        <w:jc w:val="both"/>
      </w:pPr>
      <w:r>
        <w:rPr>
          <w:b/>
          <w:bCs/>
        </w:rPr>
        <w:t xml:space="preserve">Art. 786.</w:t>
      </w:r>
      <w:r>
        <w:t xml:space="preserve"> </w:t>
      </w:r>
      <w:r>
        <w:t xml:space="preserve">A execução pode ser instaurada caso o devedor não satisfaça a obrigação certa, líquida e exigível consubstanciada em título executivo.</w:t>
      </w:r>
    </w:p>
    <w:p>
      <w:pPr>
        <w:pStyle w:val="BodyText"/>
        <w:keepNext/>
        <w:spacing w:after="60"/>
        <w:jc w:val="both"/>
      </w:pPr>
      <w:r>
        <w:t xml:space="preserve">Parágrafo único. A necessidade de simples operações aritméticas para apurar o crédito exequendo não retira a liquidez da obrigação constante do título.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2029"/>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Parágrafo único — liquidez e operações aritméticas</w:t>
            </w:r>
          </w:p>
        </w:tc>
        <w:tc>
          <w:tcPr>
            <w:tcW w:type="dxa" w:w="1531"/>
          </w:tcPr>
          <w:p>
            <w:pPr>
              <w:pStyle w:val="Compact"/>
              <w:spacing w:line="276" w:lineRule="auto" w:before="40" w:after="40"/>
            </w:pPr>
            <w:r>
              <w:rPr>
                <w:rFonts w:ascii="Liberation Sans Narrow" w:hAnsi="Liberation Sans Narrow"/>
                <w:sz w:val="17"/>
              </w:rPr>
              <w:t xml:space="preserve">STJ, AgInt no AREsp 3.076.915, Quarta Turma, relatora Min. Maria Isabel Gallotti, julgado em 08/06/2026</w:t>
            </w:r>
          </w:p>
        </w:tc>
        <w:tc>
          <w:tcPr>
            <w:tcW w:type="dxa" w:w="2030"/>
          </w:tcPr>
          <w:p>
            <w:pPr>
              <w:pStyle w:val="Compact"/>
              <w:spacing w:line="276" w:lineRule="auto" w:before="40" w:after="40"/>
            </w:pPr>
            <w:r>
              <w:rPr>
                <w:rFonts w:ascii="Liberation Sans Narrow" w:hAnsi="Liberation Sans Narrow"/>
                <w:sz w:val="17"/>
              </w:rPr>
              <w:t xml:space="preserve">A necessidade de simples operações aritméticas para apurar o crédito não afasta a liquidez da obrigação constante do título, nos termos do art. 786, parágrafo único, do Código de Processo Civil.</w:t>
            </w:r>
          </w:p>
        </w:tc>
      </w:tr>
      <w:tr>
        <w:trPr>
          <w:cantSplit/>
        </w:trPr>
        <w:tc>
          <w:tcPr>
            <w:tcW w:type="dxa" w:w="1655"/>
          </w:tcPr>
          <w:p>
            <w:pPr>
              <w:pStyle w:val="Compact"/>
              <w:spacing w:line="276" w:lineRule="auto" w:before="40" w:after="40"/>
            </w:pPr>
            <w:r>
              <w:rPr>
                <w:rFonts w:ascii="Liberation Sans Narrow" w:hAnsi="Liberation Sans Narrow"/>
                <w:sz w:val="17"/>
              </w:rPr>
              <w:t xml:space="preserve">Parágrafo único — liquidez e ação revisional</w:t>
            </w:r>
          </w:p>
        </w:tc>
        <w:tc>
          <w:tcPr>
            <w:tcW w:type="dxa" w:w="1531"/>
          </w:tcPr>
          <w:p>
            <w:pPr>
              <w:pStyle w:val="Compact"/>
              <w:spacing w:line="276" w:lineRule="auto" w:before="40" w:after="40"/>
            </w:pPr>
            <w:r>
              <w:rPr>
                <w:rFonts w:ascii="Liberation Sans Narrow" w:hAnsi="Liberation Sans Narrow"/>
                <w:sz w:val="17"/>
              </w:rPr>
              <w:t xml:space="preserve">STJ, AREsp 2.556.419, Quarta Turma, relator Min. João Otávio de Noronha, julgado em 09/03/2026</w:t>
            </w:r>
          </w:p>
        </w:tc>
        <w:tc>
          <w:tcPr>
            <w:tcW w:type="dxa" w:w="2030"/>
          </w:tcPr>
          <w:p>
            <w:pPr>
              <w:pStyle w:val="Compact"/>
              <w:spacing w:line="276" w:lineRule="auto" w:before="40" w:after="40"/>
            </w:pPr>
            <w:r>
              <w:rPr>
                <w:rFonts w:ascii="Liberation Sans Narrow" w:hAnsi="Liberation Sans Narrow"/>
                <w:sz w:val="17"/>
              </w:rPr>
              <w:t xml:space="preserve">O julgamento da ação revisional não retira a liquidez, certeza e exigibilidade do título executivo extrajudicial, impondo apenas a adequação do valor executado aos parâmetros ali fixados, por simples operações aritméticas, sem justificar a extinção da execução.</w:t>
            </w:r>
          </w:p>
        </w:tc>
      </w:tr>
    </w:tbl>
    <w:bookmarkEnd w:id="582"/>
    <w:bookmarkStart w:id="583" w:name="art.-787"/>
    <w:p>
      <w:pPr>
        <w:pStyle w:val="Heading6"/>
        <w:pBdr>
          <w:left w:val="single" w:sz="36" w:space="4" w:color="2E75B6"/>
        </w:pBdr>
        <w:shd w:val="clear" w:color="auto" w:fill="E3EEF9"/>
        <w:spacing w:before="120" w:after="60"/>
        <w:ind w:left="85"/>
      </w:pPr>
      <w:r>
        <w:rPr>
          <w:i w:val="0"/>
          <w:color w:val="1F3A5F"/>
          <w:sz w:val="22"/>
        </w:rPr>
        <w:t xml:space="preserve">Art. 787</w:t>
      </w:r>
    </w:p>
    <w:p>
      <w:pPr>
        <w:pStyle w:val="FirstParagraph"/>
        <w:spacing w:after="60"/>
        <w:jc w:val="both"/>
      </w:pPr>
      <w:r>
        <w:rPr>
          <w:b/>
          <w:bCs/>
        </w:rPr>
        <w:t xml:space="preserve">Art. 787.</w:t>
      </w:r>
      <w:r>
        <w:t xml:space="preserve"> </w:t>
      </w:r>
      <w:r>
        <w:t xml:space="preserve">Se o devedor não for obrigado a satisfazer sua prestação senão mediante a contraprestação do credor, este deverá provar que a adimpliu ao requerer a execução, sob pena de extinção do processo.</w:t>
      </w:r>
    </w:p>
    <w:p>
      <w:pPr>
        <w:pStyle w:val="BodyText"/>
        <w:spacing w:after="60"/>
        <w:jc w:val="both"/>
      </w:pPr>
      <w:r>
        <w:t xml:space="preserve">Parágrafo único. O executado poderá eximir-se da obrigação, depositando em juízo a prestação ou a coisa, caso em que o juiz não permitirá que o credor a receba sem cumprir a contraprestação que lhe tocar.</w:t>
      </w:r>
    </w:p>
    <w:bookmarkEnd w:id="583"/>
    <w:bookmarkStart w:id="584" w:name="art.-788"/>
    <w:p>
      <w:pPr>
        <w:pStyle w:val="Heading6"/>
        <w:pBdr>
          <w:left w:val="single" w:sz="36" w:space="4" w:color="2E75B6"/>
        </w:pBdr>
        <w:shd w:val="clear" w:color="auto" w:fill="E3EEF9"/>
        <w:spacing w:before="120" w:after="60"/>
        <w:ind w:left="85"/>
      </w:pPr>
      <w:r>
        <w:rPr>
          <w:i w:val="0"/>
          <w:color w:val="1F3A5F"/>
          <w:sz w:val="22"/>
        </w:rPr>
        <w:t xml:space="preserve">Art. 788</w:t>
      </w:r>
    </w:p>
    <w:p>
      <w:pPr>
        <w:pStyle w:val="FirstParagraph"/>
        <w:spacing w:after="60"/>
        <w:jc w:val="both"/>
      </w:pPr>
      <w:r>
        <w:rPr>
          <w:b/>
          <w:bCs/>
        </w:rPr>
        <w:t xml:space="preserve">Art. 788.</w:t>
      </w:r>
      <w:r>
        <w:t xml:space="preserve"> </w:t>
      </w:r>
      <w:r>
        <w:t xml:space="preserve">O credor não poderá iniciar a execução ou nela prosseguir se o devedor cumprir a obrigação, mas poderá recusar o recebimento da prestação se ela não corresponder ao direito ou à obrigação estabelecidos no título executivo, caso em que poderá requerer a execução forçada, ressalvado ao devedor o direito de embargá-la.</w:t>
      </w:r>
    </w:p>
    <w:bookmarkEnd w:id="584"/>
    <w:bookmarkEnd w:id="585"/>
    <w:bookmarkEnd w:id="586"/>
    <w:bookmarkStart w:id="595" w:name="X3ba6599b196dd98a2ac281b4138ecd2ffe6bbdf"/>
    <w:p>
      <w:pPr>
        <w:pStyle w:val="Heading4"/>
        <w:spacing w:before="80" w:after="40"/>
      </w:pPr>
      <w:r>
        <w:rPr>
          <w:smallCaps/>
          <w:color w:val="2E75B6"/>
        </w:rPr>
        <w:t xml:space="preserve">Capítulo V: da responsabilidade patrimonial (arts. 789 a 796)</w:t>
      </w:r>
    </w:p>
    <w:bookmarkStart w:id="587" w:name="art.-789"/>
    <w:p>
      <w:pPr>
        <w:pStyle w:val="Heading6"/>
        <w:pBdr>
          <w:left w:val="single" w:sz="36" w:space="4" w:color="2E75B6"/>
        </w:pBdr>
        <w:shd w:val="clear" w:color="auto" w:fill="E3EEF9"/>
        <w:spacing w:before="120" w:after="60"/>
        <w:ind w:left="85"/>
      </w:pPr>
      <w:r>
        <w:rPr>
          <w:i w:val="0"/>
          <w:color w:val="1F3A5F"/>
          <w:sz w:val="22"/>
        </w:rPr>
        <w:t xml:space="preserve">Art. 789</w:t>
      </w:r>
    </w:p>
    <w:p>
      <w:pPr>
        <w:pStyle w:val="FirstParagraph"/>
        <w:keepNext/>
        <w:spacing w:after="60"/>
        <w:jc w:val="both"/>
      </w:pPr>
      <w:r>
        <w:rPr>
          <w:b/>
          <w:bCs/>
        </w:rPr>
        <w:t xml:space="preserve">Art. 789.</w:t>
      </w:r>
      <w:r>
        <w:t xml:space="preserve"> </w:t>
      </w:r>
      <w:r>
        <w:t xml:space="preserve">O devedor responde com todos os seus bens presentes e futuros para o cumprimento de suas obrigações, salvo as restrições estabelecidas em lei.</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279"/>
        <w:gridCol w:w="1655"/>
        <w:gridCol w:w="2279"/>
      </w:tblGrid>
      <w:tr>
        <w:trPr>
          <w:tblHeader w:val="on"/>
          <w:cantSplit/>
          <w:tblHeader/>
        </w:trPr>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279"/>
          </w:tcPr>
          <w:p>
            <w:pPr>
              <w:pStyle w:val="Compact"/>
              <w:spacing w:line="276" w:lineRule="auto" w:before="40" w:after="40"/>
            </w:pPr>
            <w:r>
              <w:rPr>
                <w:rFonts w:ascii="Liberation Sans Narrow" w:hAnsi="Liberation Sans Narrow"/>
                <w:sz w:val="17"/>
              </w:rPr>
              <w:t xml:space="preserve">Caput — extensão da responsabilidade patrimonial</w:t>
            </w:r>
          </w:p>
        </w:tc>
        <w:tc>
          <w:tcPr>
            <w:tcW w:type="dxa" w:w="1655"/>
          </w:tcPr>
          <w:p>
            <w:pPr>
              <w:pStyle w:val="Compact"/>
              <w:spacing w:line="276" w:lineRule="auto" w:before="40" w:after="40"/>
            </w:pPr>
            <w:r>
              <w:rPr>
                <w:rFonts w:ascii="Liberation Sans Narrow" w:hAnsi="Liberation Sans Narrow"/>
                <w:sz w:val="17"/>
              </w:rPr>
              <w:t xml:space="preserve">STJ, REsp 2.190.438, Segunda Turma, relatora Min. Maria Thereza de Assis Moura, julgado em 13/05/2026</w:t>
            </w:r>
          </w:p>
        </w:tc>
        <w:tc>
          <w:tcPr>
            <w:tcW w:type="dxa" w:w="2279"/>
          </w:tcPr>
          <w:p>
            <w:pPr>
              <w:pStyle w:val="Compact"/>
              <w:spacing w:line="276" w:lineRule="auto" w:before="40" w:after="40"/>
            </w:pPr>
            <w:r>
              <w:rPr>
                <w:rFonts w:ascii="Liberation Sans Narrow" w:hAnsi="Liberation Sans Narrow"/>
                <w:sz w:val="17"/>
              </w:rPr>
              <w:t xml:space="preserve">A responsabilidade patrimonial limita-se aos bens que integram o patrimônio do devedor: ausente titularidade, ainda que parcial, do executado sobre o bem, inexiste fração penhorável e é indevida a constrição sobre patrimônio de terceiro estranho à execução.</w:t>
            </w:r>
          </w:p>
        </w:tc>
      </w:tr>
      <w:tr>
        <w:trPr>
          <w:cantSplit/>
        </w:trPr>
        <w:tc>
          <w:tcPr>
            <w:tcW w:type="dxa" w:w="2279"/>
          </w:tcPr>
          <w:p>
            <w:pPr>
              <w:pStyle w:val="Compact"/>
              <w:spacing w:line="276" w:lineRule="auto" w:before="40" w:after="40"/>
            </w:pPr>
            <w:r>
              <w:rPr>
                <w:rFonts w:ascii="Liberation Sans Narrow" w:hAnsi="Liberation Sans Narrow"/>
                <w:sz w:val="17"/>
              </w:rPr>
              <w:t xml:space="preserve">Caput — responsabilidade patrimonial</w:t>
            </w:r>
          </w:p>
        </w:tc>
        <w:tc>
          <w:tcPr>
            <w:tcW w:type="dxa" w:w="1655"/>
          </w:tcPr>
          <w:p>
            <w:pPr>
              <w:pStyle w:val="Compact"/>
              <w:spacing w:line="276" w:lineRule="auto" w:before="40" w:after="40"/>
            </w:pPr>
            <w:r>
              <w:rPr>
                <w:rFonts w:ascii="Liberation Sans Narrow" w:hAnsi="Liberation Sans Narrow"/>
                <w:sz w:val="17"/>
              </w:rPr>
              <w:t xml:space="preserve">STJ, REsp 2.197.058, Quarta Turma, relator Min. João Otávio de Noronha, julgado em 22/04/2026, DJEN de 27/04/2026</w:t>
            </w:r>
          </w:p>
        </w:tc>
        <w:tc>
          <w:tcPr>
            <w:tcW w:type="dxa" w:w="2279"/>
          </w:tcPr>
          <w:p>
            <w:pPr>
              <w:pStyle w:val="Compact"/>
              <w:spacing w:line="276" w:lineRule="auto" w:before="40" w:after="40"/>
            </w:pPr>
            <w:r>
              <w:rPr>
                <w:rFonts w:ascii="Liberation Sans Narrow" w:hAnsi="Liberation Sans Narrow"/>
                <w:sz w:val="17"/>
              </w:rPr>
              <w:t xml:space="preserve">É cabível a consulta ao Cadastro de Clientes do Sistema Financeiro Nacional (CCS-Bacen) para localizar relacionamentos financeiros do executado, quando frustradas as diligências patrimoniais, por ser medida adequada ao interesse do credor na execução.</w:t>
            </w:r>
          </w:p>
        </w:tc>
      </w:tr>
    </w:tbl>
    <w:bookmarkEnd w:id="587"/>
    <w:bookmarkStart w:id="588" w:name="art.-790"/>
    <w:p>
      <w:pPr>
        <w:pStyle w:val="Heading6"/>
        <w:pBdr>
          <w:left w:val="single" w:sz="36" w:space="4" w:color="2E75B6"/>
        </w:pBdr>
        <w:shd w:val="clear" w:color="auto" w:fill="E3EEF9"/>
        <w:spacing w:before="120" w:after="60"/>
        <w:ind w:left="85"/>
      </w:pPr>
      <w:r>
        <w:rPr>
          <w:i w:val="0"/>
          <w:color w:val="1F3A5F"/>
          <w:sz w:val="22"/>
        </w:rPr>
        <w:t xml:space="preserve">Art. 790</w:t>
      </w:r>
    </w:p>
    <w:p>
      <w:pPr>
        <w:pStyle w:val="FirstParagraph"/>
        <w:spacing w:after="60"/>
        <w:jc w:val="both"/>
      </w:pPr>
      <w:r>
        <w:rPr>
          <w:b/>
          <w:bCs/>
        </w:rPr>
        <w:t xml:space="preserve">Art. 790.</w:t>
      </w:r>
      <w:r>
        <w:t xml:space="preserve"> </w:t>
      </w:r>
      <w:r>
        <w:t xml:space="preserve">São sujeitos à execução os bens:</w:t>
      </w:r>
    </w:p>
    <w:p>
      <w:pPr>
        <w:pStyle w:val="BodyText"/>
        <w:spacing w:after="60"/>
        <w:jc w:val="both"/>
      </w:pPr>
      <w:r>
        <w:t xml:space="preserve">I - do sucessor a título singular, tratando-se de execução fundada em direito real ou obrigação reipersecutória;</w:t>
      </w:r>
    </w:p>
    <w:p>
      <w:pPr>
        <w:pStyle w:val="BodyText"/>
        <w:spacing w:after="60"/>
        <w:jc w:val="both"/>
      </w:pPr>
      <w:r>
        <w:t xml:space="preserve">II - do sócio, nos termos da lei;</w:t>
      </w:r>
    </w:p>
    <w:p>
      <w:pPr>
        <w:pStyle w:val="BodyText"/>
        <w:spacing w:after="60"/>
        <w:jc w:val="both"/>
      </w:pPr>
      <w:r>
        <w:t xml:space="preserve">III - do devedor, ainda que em poder de terceiros;</w:t>
      </w:r>
    </w:p>
    <w:p>
      <w:pPr>
        <w:pStyle w:val="BodyText"/>
        <w:spacing w:after="60"/>
        <w:jc w:val="both"/>
      </w:pPr>
      <w:r>
        <w:t xml:space="preserve">IV - do cônjuge ou companheiro, nos casos em que seus bens próprios ou de sua meação respondem pela dívida;</w:t>
      </w:r>
    </w:p>
    <w:p>
      <w:pPr>
        <w:pStyle w:val="BodyText"/>
        <w:spacing w:after="60"/>
        <w:jc w:val="both"/>
      </w:pPr>
      <w:r>
        <w:t xml:space="preserve">V - alienados ou gravados com ônus real em fraude à execução;</w:t>
      </w:r>
    </w:p>
    <w:p>
      <w:pPr>
        <w:pStyle w:val="BodyText"/>
        <w:spacing w:after="60"/>
        <w:jc w:val="both"/>
      </w:pPr>
      <w:r>
        <w:t xml:space="preserve">VI - cuja alienação ou gravação com ônus real tenha sido anulada em razão do reconhecimento, em ação autônoma, de fraude contra credores;</w:t>
      </w:r>
    </w:p>
    <w:p>
      <w:pPr>
        <w:pStyle w:val="BodyText"/>
        <w:keepNext/>
        <w:spacing w:after="60"/>
        <w:jc w:val="both"/>
      </w:pPr>
      <w:r>
        <w:t xml:space="preserve">VII - do responsável, nos casos de desconsideração da personalidade jurídica.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154"/>
        <w:gridCol w:w="1530"/>
        <w:gridCol w:w="2154"/>
      </w:tblGrid>
      <w:tr>
        <w:trPr>
          <w:tblHeader w:val="on"/>
          <w:cantSplit/>
          <w:tblHeader/>
        </w:trPr>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154"/>
          </w:tcPr>
          <w:p>
            <w:pPr>
              <w:pStyle w:val="Compact"/>
              <w:spacing w:line="276" w:lineRule="auto" w:before="40" w:after="40"/>
            </w:pPr>
            <w:r>
              <w:rPr>
                <w:rFonts w:ascii="Liberation Sans Narrow" w:hAnsi="Liberation Sans Narrow"/>
                <w:sz w:val="17"/>
              </w:rPr>
              <w:t xml:space="preserve">VII — bens do responsável por desconsideração</w:t>
            </w:r>
          </w:p>
        </w:tc>
        <w:tc>
          <w:tcPr>
            <w:tcW w:type="dxa" w:w="1531"/>
          </w:tcPr>
          <w:p>
            <w:pPr>
              <w:pStyle w:val="Compact"/>
              <w:spacing w:line="276" w:lineRule="auto" w:before="40" w:after="40"/>
            </w:pPr>
            <w:r>
              <w:rPr>
                <w:rFonts w:ascii="Liberation Sans Narrow" w:hAnsi="Liberation Sans Narrow"/>
                <w:sz w:val="17"/>
              </w:rPr>
              <w:t xml:space="preserve">STJ, AgInt no REsp 2.189.293, Terceira Turma, relator Min. Ricardo Villas Bôas Cueva, julgado em 30/06/2026</w:t>
            </w:r>
          </w:p>
        </w:tc>
        <w:tc>
          <w:tcPr>
            <w:tcW w:type="dxa" w:w="2154"/>
          </w:tcPr>
          <w:p>
            <w:pPr>
              <w:pStyle w:val="Compact"/>
              <w:spacing w:line="276" w:lineRule="auto" w:before="40" w:after="40"/>
            </w:pPr>
            <w:r>
              <w:rPr>
                <w:rFonts w:ascii="Liberation Sans Narrow" w:hAnsi="Liberation Sans Narrow"/>
                <w:sz w:val="17"/>
              </w:rPr>
              <w:t xml:space="preserve">A extinção das execuções contra a empresa recuperanda, resultante da aprovação do plano de recuperação judicial, não impede o prosseguimento daquelas que, no momento da aprovação do plano, voltavam-se contra o patrimônio pessoal dos sócios, chamados a responder pela dívida da sociedade por força da desconsideração da personalidade jurídica.</w:t>
            </w:r>
          </w:p>
        </w:tc>
      </w:tr>
    </w:tbl>
    <w:bookmarkEnd w:id="588"/>
    <w:bookmarkStart w:id="589" w:name="art.-791"/>
    <w:p>
      <w:pPr>
        <w:pStyle w:val="Heading6"/>
        <w:pBdr>
          <w:left w:val="single" w:sz="36" w:space="4" w:color="2E75B6"/>
        </w:pBdr>
        <w:shd w:val="clear" w:color="auto" w:fill="E3EEF9"/>
        <w:spacing w:before="120" w:after="60"/>
        <w:ind w:left="85"/>
      </w:pPr>
      <w:r>
        <w:rPr>
          <w:i w:val="0"/>
          <w:color w:val="1F3A5F"/>
          <w:sz w:val="22"/>
        </w:rPr>
        <w:t xml:space="preserve">Art. 791</w:t>
      </w:r>
    </w:p>
    <w:p>
      <w:pPr>
        <w:pStyle w:val="FirstParagraph"/>
        <w:spacing w:after="60"/>
        <w:jc w:val="both"/>
      </w:pPr>
      <w:r>
        <w:rPr>
          <w:b/>
          <w:bCs/>
        </w:rPr>
        <w:t xml:space="preserve">Art. 791.</w:t>
      </w:r>
      <w:r>
        <w:t xml:space="preserve"> </w:t>
      </w:r>
      <w:r>
        <w:t xml:space="preserve">Se a execução tiver por objeto obrigação de que seja sujeito passivo o proprietário de terreno submetido ao regime do direito de superfície, ou o superficiário, responderá pela dívida, exclusivamente, o direito real do qual é titular o executado, recaindo a penhora ou outros atos de constrição exclusivamente sobre o terreno, no primeiro caso, ou sobre a construção ou a plantação, no segundo caso.</w:t>
      </w:r>
    </w:p>
    <w:p>
      <w:pPr>
        <w:pStyle w:val="BodyText"/>
        <w:spacing w:after="60"/>
        <w:jc w:val="both"/>
      </w:pPr>
      <w:r>
        <w:t xml:space="preserve">§ 1º Os atos de constrição a que se refere o caput serão averbados separadamente na matrícula do imóvel, com a identificação do executado, do valor do crédito e do objeto sobre o qual recai o gravame, devendo o oficial destacar o bem que responde pela dívida, se o terreno, a construção ou a plantação, de modo a assegurar a publicidade da responsabilidade patrimonial de cada um deles pelas dívidas e pelas obrigações que a eles estão vinculadas.</w:t>
      </w:r>
    </w:p>
    <w:p>
      <w:pPr>
        <w:pStyle w:val="BodyText"/>
        <w:spacing w:after="60"/>
        <w:jc w:val="both"/>
      </w:pPr>
      <w:r>
        <w:t xml:space="preserve">§ 2º Aplica-se, no que couber, o disposto neste artigo à enfiteuse, à concessão de uso especial para fins de moradia e à concessão de direito real de uso.</w:t>
      </w:r>
    </w:p>
    <w:bookmarkEnd w:id="589"/>
    <w:bookmarkStart w:id="590" w:name="art.-792"/>
    <w:p>
      <w:pPr>
        <w:pStyle w:val="Heading6"/>
        <w:pBdr>
          <w:left w:val="single" w:sz="36" w:space="4" w:color="2E75B6"/>
        </w:pBdr>
        <w:shd w:val="clear" w:color="auto" w:fill="E3EEF9"/>
        <w:spacing w:before="120" w:after="60"/>
        <w:ind w:left="85"/>
      </w:pPr>
      <w:r>
        <w:rPr>
          <w:i w:val="0"/>
          <w:color w:val="1F3A5F"/>
          <w:sz w:val="22"/>
        </w:rPr>
        <w:t xml:space="preserve">Art. 792</w:t>
      </w:r>
    </w:p>
    <w:p>
      <w:pPr>
        <w:pStyle w:val="FirstParagraph"/>
        <w:keepNext/>
        <w:spacing w:after="60"/>
        <w:jc w:val="both"/>
      </w:pPr>
      <w:r>
        <w:rPr>
          <w:b/>
          <w:bCs/>
        </w:rPr>
        <w:t xml:space="preserve">Art. 792.</w:t>
      </w:r>
      <w:r>
        <w:t xml:space="preserve"> </w:t>
      </w:r>
      <w:r>
        <w:t xml:space="preserve">A alienação ou a oneração de bem é considerada fraude à execução: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780"/>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fraude sem averbação da penhora</w:t>
            </w:r>
          </w:p>
        </w:tc>
        <w:tc>
          <w:tcPr>
            <w:tcW w:type="dxa" w:w="1655"/>
          </w:tcPr>
          <w:p>
            <w:pPr>
              <w:pStyle w:val="Compact"/>
              <w:spacing w:line="276" w:lineRule="auto" w:before="40" w:after="40"/>
            </w:pPr>
            <w:r>
              <w:rPr>
                <w:rFonts w:ascii="Liberation Sans Narrow" w:hAnsi="Liberation Sans Narrow"/>
                <w:sz w:val="17"/>
              </w:rPr>
              <w:t xml:space="preserve">STJ, REsp 2.199.430, Quarta Turma, relator Min. João Otávio de Noronha, julgado em 09/03/2026, DJEN de 12/03/2026</w:t>
            </w:r>
          </w:p>
        </w:tc>
        <w:tc>
          <w:tcPr>
            <w:tcW w:type="dxa" w:w="1780"/>
          </w:tcPr>
          <w:p>
            <w:pPr>
              <w:pStyle w:val="Compact"/>
              <w:spacing w:line="276" w:lineRule="auto" w:before="40" w:after="40"/>
            </w:pPr>
            <w:r>
              <w:rPr>
                <w:rFonts w:ascii="Liberation Sans Narrow" w:hAnsi="Liberation Sans Narrow"/>
                <w:sz w:val="17"/>
              </w:rPr>
              <w:t xml:space="preserve">Reconhece-se a fraude à execução, ainda que não averbada a penhora, quando demonstrada a má-fé do terceiro adquirente na aquisição do bem.</w:t>
            </w:r>
          </w:p>
        </w:tc>
      </w:tr>
    </w:tbl>
    <w:p>
      <w:pPr>
        <w:pStyle w:val="BodyText"/>
        <w:spacing w:after="60"/>
        <w:jc w:val="both"/>
      </w:pPr>
      <w:r>
        <w:t xml:space="preserve">I - quando sobre o bem pender ação fundada em direito real ou com pretensão reipersecutória, desde que a pendência do processo tenha sido averbada no respectivo registro público, se houver;</w:t>
      </w:r>
    </w:p>
    <w:p>
      <w:pPr>
        <w:pStyle w:val="BodyText"/>
        <w:spacing w:after="60"/>
        <w:jc w:val="both"/>
      </w:pPr>
      <w:r>
        <w:t xml:space="preserve">II - quando tiver sido averbada, no registro do bem, a pendência do processo de execução, na forma do art. 828;</w:t>
      </w:r>
    </w:p>
    <w:p>
      <w:pPr>
        <w:pStyle w:val="BodyText"/>
        <w:spacing w:after="60"/>
        <w:jc w:val="both"/>
      </w:pPr>
      <w:r>
        <w:t xml:space="preserve">III - quando tiver sido averbado, no registro do bem, hipoteca judiciária ou outro ato de constrição judicial originário do processo onde foi arguida a fraude;</w:t>
      </w:r>
    </w:p>
    <w:p>
      <w:pPr>
        <w:pStyle w:val="BodyText"/>
        <w:spacing w:after="60"/>
        <w:jc w:val="both"/>
      </w:pPr>
      <w:r>
        <w:t xml:space="preserve">IV - quando, ao tempo da alienação ou da oneração, tramitava contra o devedor ação capaz de reduzi-lo à insolvência;</w:t>
      </w:r>
    </w:p>
    <w:p>
      <w:pPr>
        <w:pStyle w:val="BodyText"/>
        <w:spacing w:after="60"/>
        <w:jc w:val="both"/>
      </w:pPr>
      <w:r>
        <w:t xml:space="preserve">V - nos demais casos expressos em lei.</w:t>
      </w:r>
    </w:p>
    <w:p>
      <w:pPr>
        <w:pStyle w:val="BodyText"/>
        <w:keepNext/>
        <w:spacing w:after="60"/>
        <w:jc w:val="both"/>
      </w:pPr>
      <w:r>
        <w:t xml:space="preserve">§ 1º A alienação em fraude à execução é ineficaz em relação ao exequente.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780"/>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e § 1º — ineficácia da alienação em fraude à execução</w:t>
            </w:r>
          </w:p>
        </w:tc>
        <w:tc>
          <w:tcPr>
            <w:tcW w:type="dxa" w:w="1655"/>
          </w:tcPr>
          <w:p>
            <w:pPr>
              <w:pStyle w:val="Compact"/>
              <w:spacing w:line="276" w:lineRule="auto" w:before="40" w:after="40"/>
            </w:pPr>
            <w:r>
              <w:rPr>
                <w:rFonts w:ascii="Liberation Sans Narrow" w:hAnsi="Liberation Sans Narrow"/>
                <w:sz w:val="17"/>
              </w:rPr>
              <w:t xml:space="preserve">STJ, AREsp 2.621.183, Quarta Turma, relator Min. João Otávio de Noronha, julgado em 09/03/2026, DJEN de 12/03/2026</w:t>
            </w:r>
          </w:p>
        </w:tc>
        <w:tc>
          <w:tcPr>
            <w:tcW w:type="dxa" w:w="1780"/>
          </w:tcPr>
          <w:p>
            <w:pPr>
              <w:pStyle w:val="Compact"/>
              <w:spacing w:line="276" w:lineRule="auto" w:before="40" w:after="40"/>
            </w:pPr>
            <w:r>
              <w:rPr>
                <w:rFonts w:ascii="Liberation Sans Narrow" w:hAnsi="Liberation Sans Narrow"/>
                <w:sz w:val="17"/>
              </w:rPr>
              <w:t xml:space="preserve">A averbação premonitória faz presumir a fraude à execução; a dação em pagamento de imóvel realizada depois da averbação é ineficaz em relação ao exequente.</w:t>
            </w:r>
          </w:p>
        </w:tc>
      </w:tr>
    </w:tbl>
    <w:p>
      <w:pPr>
        <w:pStyle w:val="BodyText"/>
        <w:spacing w:after="60"/>
        <w:jc w:val="both"/>
      </w:pPr>
      <w:r>
        <w:t xml:space="preserve">§ 2º No caso de aquisição de bem não sujeito a registro, o terceiro adquirente tem o ônus de provar que adotou as cautelas necessárias para a aquisição, mediante a exibição das certidões pertinentes, obtidas no domicílio do vendedor e no local onde se encontra o bem.</w:t>
      </w:r>
    </w:p>
    <w:p>
      <w:pPr>
        <w:pStyle w:val="BodyText"/>
        <w:spacing w:after="60"/>
        <w:jc w:val="both"/>
      </w:pPr>
      <w:r>
        <w:t xml:space="preserve">§ 3º Nos casos de desconsideração da personalidade jurídica, a fraude à execução verifica-se a partir da citação da parte cuja personalidade se pretende desconsiderar.</w:t>
      </w:r>
    </w:p>
    <w:p>
      <w:pPr>
        <w:pStyle w:val="BodyText"/>
        <w:spacing w:after="60"/>
        <w:jc w:val="both"/>
      </w:pPr>
      <w:r>
        <w:t xml:space="preserve">§ 4º Antes de declarar a fraude à execução, o juiz deverá intimar o terceiro adquirente, que, se quiser, poderá opor embargos de terceiro, no prazo de 15 (quinze) dias.</w:t>
      </w:r>
    </w:p>
    <w:bookmarkEnd w:id="590"/>
    <w:bookmarkStart w:id="591" w:name="art.-793"/>
    <w:p>
      <w:pPr>
        <w:pStyle w:val="Heading6"/>
        <w:pBdr>
          <w:left w:val="single" w:sz="36" w:space="4" w:color="2E75B6"/>
        </w:pBdr>
        <w:shd w:val="clear" w:color="auto" w:fill="E3EEF9"/>
        <w:spacing w:before="120" w:after="60"/>
        <w:ind w:left="85"/>
      </w:pPr>
      <w:r>
        <w:rPr>
          <w:i w:val="0"/>
          <w:color w:val="1F3A5F"/>
          <w:sz w:val="22"/>
        </w:rPr>
        <w:t xml:space="preserve">Art. 793</w:t>
      </w:r>
    </w:p>
    <w:p>
      <w:pPr>
        <w:pStyle w:val="FirstParagraph"/>
        <w:spacing w:after="60"/>
        <w:jc w:val="both"/>
      </w:pPr>
      <w:r>
        <w:rPr>
          <w:b/>
          <w:bCs/>
        </w:rPr>
        <w:t xml:space="preserve">Art. 793.</w:t>
      </w:r>
      <w:r>
        <w:t xml:space="preserve"> </w:t>
      </w:r>
      <w:r>
        <w:t xml:space="preserve">O exequente que estiver, por direito de retenção, na posse de coisa pertencente ao devedor não poderá promover a execução sobre outros bens senão depois de excutida a coisa que se achar em seu poder.</w:t>
      </w:r>
    </w:p>
    <w:bookmarkEnd w:id="591"/>
    <w:bookmarkStart w:id="592" w:name="art.-794"/>
    <w:p>
      <w:pPr>
        <w:pStyle w:val="Heading6"/>
        <w:pBdr>
          <w:left w:val="single" w:sz="36" w:space="4" w:color="2E75B6"/>
        </w:pBdr>
        <w:shd w:val="clear" w:color="auto" w:fill="E3EEF9"/>
        <w:spacing w:before="120" w:after="60"/>
        <w:ind w:left="85"/>
      </w:pPr>
      <w:r>
        <w:rPr>
          <w:i w:val="0"/>
          <w:color w:val="1F3A5F"/>
          <w:sz w:val="22"/>
        </w:rPr>
        <w:t xml:space="preserve">Art. 794</w:t>
      </w:r>
    </w:p>
    <w:p>
      <w:pPr>
        <w:pStyle w:val="FirstParagraph"/>
        <w:keepNext/>
        <w:spacing w:after="60"/>
        <w:jc w:val="both"/>
      </w:pPr>
      <w:r>
        <w:rPr>
          <w:b/>
          <w:bCs/>
        </w:rPr>
        <w:t xml:space="preserve">Art. 794.</w:t>
      </w:r>
      <w:r>
        <w:t xml:space="preserve"> </w:t>
      </w:r>
      <w:r>
        <w:t xml:space="preserve">O fiador, quando executado, tem o direito de exigir que primeiro sejam executados os bens do devedor situados na mesma comarca, livres e desembargados, indicando-os pormenorizadamente à penhora.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benefício de ordem do fiador</w:t>
            </w:r>
          </w:p>
        </w:tc>
        <w:tc>
          <w:tcPr>
            <w:tcW w:type="dxa" w:w="1531"/>
          </w:tcPr>
          <w:p>
            <w:pPr>
              <w:pStyle w:val="Compact"/>
              <w:spacing w:line="276" w:lineRule="auto" w:before="40" w:after="40"/>
            </w:pPr>
            <w:r>
              <w:rPr>
                <w:rFonts w:ascii="Liberation Sans Narrow" w:hAnsi="Liberation Sans Narrow"/>
                <w:sz w:val="17"/>
              </w:rPr>
              <w:t xml:space="preserve">STJ, AREsp 3.160.978, Terceira Turma, relator Min. Moura Ribeiro, julgado em 22/06/2026</w:t>
            </w:r>
          </w:p>
        </w:tc>
        <w:tc>
          <w:tcPr>
            <w:tcW w:type="dxa" w:w="2030"/>
          </w:tcPr>
          <w:p>
            <w:pPr>
              <w:pStyle w:val="Compact"/>
              <w:spacing w:line="276" w:lineRule="auto" w:before="40" w:after="40"/>
            </w:pPr>
            <w:r>
              <w:rPr>
                <w:rFonts w:ascii="Liberation Sans Narrow" w:hAnsi="Liberation Sans Narrow"/>
                <w:sz w:val="17"/>
              </w:rPr>
              <w:t xml:space="preserve">O benefício de ordem depende da efetiva nomeação, pelo fiador, de bens livres e desembaraçados do devedor principal, situados na mesma comarca e suficientes ao débito; ausente essa nomeação pormenorizada, não há falar em eficácia do benefício e a execução prossegue contra o fiador.</w:t>
            </w:r>
          </w:p>
        </w:tc>
      </w:tr>
    </w:tbl>
    <w:p>
      <w:pPr>
        <w:pStyle w:val="BodyText"/>
        <w:spacing w:after="60"/>
        <w:jc w:val="both"/>
      </w:pPr>
      <w:r>
        <w:t xml:space="preserve">§ 1º Os bens do fiador ficarão sujeitos à execução se os do devedor, situados na mesma comarca que os seus, forem insuficientes à satisfação do direito do credor.</w:t>
      </w:r>
    </w:p>
    <w:p>
      <w:pPr>
        <w:pStyle w:val="BodyText"/>
        <w:keepNext/>
        <w:spacing w:after="60"/>
        <w:jc w:val="both"/>
      </w:pPr>
      <w:r>
        <w:t xml:space="preserve">§ 2º O fiador que pagar a dívida poderá executar o afiançado nos autos do mesmo processo.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871"/>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871"/>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 2º — regresso do garantidor nos mesmos autos</w:t>
            </w:r>
          </w:p>
        </w:tc>
        <w:tc>
          <w:tcPr>
            <w:tcW w:type="dxa" w:w="1531"/>
          </w:tcPr>
          <w:p>
            <w:pPr>
              <w:pStyle w:val="Compact"/>
              <w:spacing w:line="276" w:lineRule="auto" w:before="40" w:after="40"/>
            </w:pPr>
            <w:r>
              <w:rPr>
                <w:rFonts w:ascii="Liberation Sans Narrow" w:hAnsi="Liberation Sans Narrow"/>
                <w:sz w:val="17"/>
              </w:rPr>
              <w:t xml:space="preserve">STJ, REsp 2.228.772, Quarta Turma, relator Min. Antonio Carlos Ferreira, julgado em 03/03/2026</w:t>
            </w:r>
          </w:p>
        </w:tc>
        <w:tc>
          <w:tcPr>
            <w:tcW w:type="dxa" w:w="1871"/>
          </w:tcPr>
          <w:p>
            <w:pPr>
              <w:pStyle w:val="Compact"/>
              <w:spacing w:line="276" w:lineRule="auto" w:before="40" w:after="40"/>
            </w:pPr>
            <w:r>
              <w:rPr>
                <w:rFonts w:ascii="Liberation Sans Narrow" w:hAnsi="Liberation Sans Narrow"/>
                <w:sz w:val="17"/>
              </w:rPr>
              <w:t xml:space="preserve">O direito de regresso do sub-rogado nos mesmos autos (art. 794, § 2º) só pode ser exercido após a satisfação integral do credor originário, preservada a preferência deste sobre o crédito remanescente (art. 351 do Código Civil); a sub-rogação parcial não autoriza a execução regressiva simultânea.</w:t>
            </w:r>
          </w:p>
        </w:tc>
      </w:tr>
    </w:tbl>
    <w:p>
      <w:pPr>
        <w:pStyle w:val="BodyText"/>
        <w:spacing w:after="60"/>
        <w:jc w:val="both"/>
      </w:pPr>
      <w:r>
        <w:t xml:space="preserve">§ 3º O disposto no caput não se aplica se o fiador houver renunciado ao benefício de ordem.</w:t>
      </w:r>
    </w:p>
    <w:bookmarkEnd w:id="592"/>
    <w:bookmarkStart w:id="593" w:name="art.-795"/>
    <w:p>
      <w:pPr>
        <w:pStyle w:val="Heading6"/>
        <w:pBdr>
          <w:left w:val="single" w:sz="36" w:space="4" w:color="2E75B6"/>
        </w:pBdr>
        <w:shd w:val="clear" w:color="auto" w:fill="E3EEF9"/>
        <w:spacing w:before="120" w:after="60"/>
        <w:ind w:left="85"/>
      </w:pPr>
      <w:r>
        <w:rPr>
          <w:i w:val="0"/>
          <w:color w:val="1F3A5F"/>
          <w:sz w:val="22"/>
        </w:rPr>
        <w:t xml:space="preserve">Art. 795</w:t>
      </w:r>
    </w:p>
    <w:p>
      <w:pPr>
        <w:pStyle w:val="FirstParagraph"/>
        <w:keepNext/>
        <w:spacing w:after="60"/>
        <w:jc w:val="both"/>
      </w:pPr>
      <w:r>
        <w:rPr>
          <w:b/>
          <w:bCs/>
        </w:rPr>
        <w:t xml:space="preserve">Art. 795.</w:t>
      </w:r>
      <w:r>
        <w:t xml:space="preserve"> </w:t>
      </w:r>
      <w:r>
        <w:t xml:space="preserve">Os bens particulares dos sócios não respondem pelas dívidas da sociedade, senão nos casos previstos em lei.</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279"/>
        <w:gridCol w:w="1530"/>
        <w:gridCol w:w="2154"/>
      </w:tblGrid>
      <w:tr>
        <w:trPr>
          <w:tblHeader w:val="on"/>
          <w:cantSplit/>
          <w:tblHeader/>
        </w:trPr>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279"/>
          </w:tcPr>
          <w:p>
            <w:pPr>
              <w:pStyle w:val="Compact"/>
              <w:spacing w:line="276" w:lineRule="auto" w:before="40" w:after="40"/>
            </w:pPr>
            <w:r>
              <w:rPr>
                <w:rFonts w:ascii="Liberation Sans Narrow" w:hAnsi="Liberation Sans Narrow"/>
                <w:sz w:val="17"/>
              </w:rPr>
              <w:t xml:space="preserve">Caput — responsabilidade patrimonial dos sócios</w:t>
            </w:r>
          </w:p>
        </w:tc>
        <w:tc>
          <w:tcPr>
            <w:tcW w:type="dxa" w:w="1531"/>
          </w:tcPr>
          <w:p>
            <w:pPr>
              <w:pStyle w:val="Compact"/>
              <w:spacing w:line="276" w:lineRule="auto" w:before="40" w:after="40"/>
            </w:pPr>
            <w:r>
              <w:rPr>
                <w:rFonts w:ascii="Liberation Sans Narrow" w:hAnsi="Liberation Sans Narrow"/>
                <w:sz w:val="17"/>
              </w:rPr>
              <w:t xml:space="preserve">STJ, REsp 2.228.425, Quarta Turma, relator Min. Raul Araújo, julgado em 09/03/2026</w:t>
            </w:r>
          </w:p>
        </w:tc>
        <w:tc>
          <w:tcPr>
            <w:tcW w:type="dxa" w:w="2154"/>
          </w:tcPr>
          <w:p>
            <w:pPr>
              <w:pStyle w:val="Compact"/>
              <w:spacing w:line="276" w:lineRule="auto" w:before="40" w:after="40"/>
            </w:pPr>
            <w:r>
              <w:rPr>
                <w:rFonts w:ascii="Liberation Sans Narrow" w:hAnsi="Liberation Sans Narrow"/>
                <w:sz w:val="17"/>
              </w:rPr>
              <w:t xml:space="preserve">A desconsideração da personalidade jurídica estende os efeitos da obrigação aos bens particulares dos sócios, que passam a integrar a garantia da universalidade de credores; decretada a falência, é inviável o prosseguimento de execuções individuais contra os sócios fora do juízo universal.</w:t>
            </w:r>
          </w:p>
        </w:tc>
      </w:tr>
    </w:tbl>
    <w:p>
      <w:pPr>
        <w:pStyle w:val="BodyText"/>
        <w:spacing w:after="60"/>
        <w:jc w:val="both"/>
      </w:pPr>
      <w:r>
        <w:t xml:space="preserve">§ 1º O sócio réu, quando responsável pelo pagamento da dívida da sociedade, tem o direito de exigir que primeiro sejam excutidos os bens da sociedade.</w:t>
      </w:r>
    </w:p>
    <w:p>
      <w:pPr>
        <w:pStyle w:val="BodyText"/>
        <w:spacing w:after="60"/>
        <w:jc w:val="both"/>
      </w:pPr>
      <w:r>
        <w:t xml:space="preserve">§ 2º Incumbe ao sócio que alegar o benefício do § 1º nomear quantos bens da sociedade situados na mesma comarca, livres e desembargados, bastem para pagar o débito.</w:t>
      </w:r>
    </w:p>
    <w:p>
      <w:pPr>
        <w:pStyle w:val="BodyText"/>
        <w:spacing w:after="60"/>
        <w:jc w:val="both"/>
      </w:pPr>
      <w:r>
        <w:t xml:space="preserve">§ 3º O sócio que pagar a dívida poderá executar a sociedade nos autos do mesmo processo.</w:t>
      </w:r>
    </w:p>
    <w:p>
      <w:pPr>
        <w:pStyle w:val="BodyText"/>
        <w:spacing w:after="60"/>
        <w:jc w:val="both"/>
      </w:pPr>
      <w:r>
        <w:t xml:space="preserve">§ 4º Para a desconsideração da personalidade jurídica é obrigatória a observância do incidente previsto neste Código.</w:t>
      </w:r>
    </w:p>
    <w:bookmarkEnd w:id="593"/>
    <w:bookmarkStart w:id="594" w:name="art.-796"/>
    <w:p>
      <w:pPr>
        <w:pStyle w:val="Heading6"/>
        <w:pBdr>
          <w:left w:val="single" w:sz="36" w:space="4" w:color="2E75B6"/>
        </w:pBdr>
        <w:shd w:val="clear" w:color="auto" w:fill="E3EEF9"/>
        <w:spacing w:before="120" w:after="60"/>
        <w:ind w:left="85"/>
      </w:pPr>
      <w:r>
        <w:rPr>
          <w:i w:val="0"/>
          <w:color w:val="1F3A5F"/>
          <w:sz w:val="22"/>
        </w:rPr>
        <w:t xml:space="preserve">Art. 796</w:t>
      </w:r>
    </w:p>
    <w:p>
      <w:pPr>
        <w:pStyle w:val="FirstParagraph"/>
        <w:spacing w:after="60"/>
        <w:jc w:val="both"/>
      </w:pPr>
      <w:r>
        <w:rPr>
          <w:b/>
          <w:bCs/>
        </w:rPr>
        <w:t xml:space="preserve">Art. 796.</w:t>
      </w:r>
      <w:r>
        <w:t xml:space="preserve"> </w:t>
      </w:r>
      <w:r>
        <w:t xml:space="preserve">O espólio responde pelas dívidas do falecido, mas, feita a partilha, cada herdeiro responde por elas dentro das forças da herança e na proporção da parte que lhe coube.</w:t>
      </w:r>
    </w:p>
    <w:bookmarkEnd w:id="594"/>
    <w:bookmarkEnd w:id="595"/>
    <w:bookmarkEnd w:id="596"/>
    <w:bookmarkStart w:id="730" w:name="X98ef71eb622b7472cd097be6f51bf835aaceb08"/>
    <w:p>
      <w:pPr>
        <w:pStyle w:val="Heading3"/>
        <w:pBdr>
          <w:bottom w:val="single" w:sz="8" w:space="2" w:color="2E75B6"/>
        </w:pBdr>
        <w:spacing w:before="120" w:after="60"/>
      </w:pPr>
      <w:r>
        <w:rPr>
          <w:sz w:val="22"/>
        </w:rPr>
        <w:t xml:space="preserve">Título II: das diversas espécies de execução (arts. 797 a 913)</w:t>
      </w:r>
    </w:p>
    <w:bookmarkStart w:id="606" w:name="X6cffbddbc0654ab311b07eb629630836e603c00"/>
    <w:p>
      <w:pPr>
        <w:pStyle w:val="Heading4"/>
        <w:spacing w:before="80" w:after="40"/>
      </w:pPr>
      <w:r>
        <w:rPr>
          <w:smallCaps/>
          <w:color w:val="2E75B6"/>
        </w:rPr>
        <w:t xml:space="preserve">Capítulo I: disposições gerais (arts. 797 a 805)</w:t>
      </w:r>
    </w:p>
    <w:bookmarkStart w:id="597" w:name="art.-797"/>
    <w:p>
      <w:pPr>
        <w:pStyle w:val="Heading6"/>
        <w:pBdr>
          <w:left w:val="single" w:sz="36" w:space="4" w:color="2E75B6"/>
        </w:pBdr>
        <w:shd w:val="clear" w:color="auto" w:fill="E3EEF9"/>
        <w:spacing w:before="120" w:after="60"/>
        <w:ind w:left="85"/>
      </w:pPr>
      <w:r>
        <w:rPr>
          <w:i w:val="0"/>
          <w:color w:val="1F3A5F"/>
          <w:sz w:val="22"/>
        </w:rPr>
        <w:t xml:space="preserve">Art. 797</w:t>
      </w:r>
    </w:p>
    <w:p>
      <w:pPr>
        <w:pStyle w:val="FirstParagraph"/>
        <w:keepNext/>
        <w:spacing w:after="60"/>
        <w:jc w:val="both"/>
      </w:pPr>
      <w:r>
        <w:rPr>
          <w:b/>
          <w:bCs/>
        </w:rPr>
        <w:t xml:space="preserve">Art. 797.</w:t>
      </w:r>
      <w:r>
        <w:t xml:space="preserve"> </w:t>
      </w:r>
      <w:r>
        <w:t xml:space="preserve">Ressalvado o caso de insolvência do devedor, em que tem lugar o concurso universal, realiza-se a execução no interesse do exequente que adquire, pela penhora, o direito de preferência sobre os bens penhorados.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2279"/>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concurso singular e concurso universal de credores</w:t>
            </w:r>
          </w:p>
        </w:tc>
        <w:tc>
          <w:tcPr>
            <w:tcW w:type="dxa" w:w="1531"/>
          </w:tcPr>
          <w:p>
            <w:pPr>
              <w:pStyle w:val="Compact"/>
              <w:spacing w:line="276" w:lineRule="auto" w:before="40" w:after="40"/>
            </w:pPr>
            <w:r>
              <w:rPr>
                <w:rFonts w:ascii="Liberation Sans Narrow" w:hAnsi="Liberation Sans Narrow"/>
                <w:sz w:val="17"/>
              </w:rPr>
              <w:t xml:space="preserve">STJ, AREsp 2.707.741, Terceira Turma, relator Min. Moura Ribeiro, julgado em 16/03/2026</w:t>
            </w:r>
          </w:p>
        </w:tc>
        <w:tc>
          <w:tcPr>
            <w:tcW w:type="dxa" w:w="2279"/>
          </w:tcPr>
          <w:p>
            <w:pPr>
              <w:pStyle w:val="Compact"/>
              <w:spacing w:line="276" w:lineRule="auto" w:before="40" w:after="40"/>
            </w:pPr>
            <w:r>
              <w:rPr>
                <w:rFonts w:ascii="Liberation Sans Narrow" w:hAnsi="Liberation Sans Narrow"/>
                <w:sz w:val="17"/>
              </w:rPr>
              <w:t xml:space="preserve">O limite de 150 salários mínimos do art. 83, I, da Lei 11.101/2005 está situado no capítulo dedicado à falência e é interpretado restritivamente: aplica-se apenas ao concurso universal de credores e é inaplicável ao concurso particular, em que a execução se realiza no interesse do exequente que, pela penhora, adquiriu a preferência sobre os bens constritos.</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preferência do exequente</w:t>
            </w:r>
          </w:p>
        </w:tc>
        <w:tc>
          <w:tcPr>
            <w:tcW w:type="dxa" w:w="1531"/>
          </w:tcPr>
          <w:p>
            <w:pPr>
              <w:pStyle w:val="Compact"/>
              <w:spacing w:line="276" w:lineRule="auto" w:before="40" w:after="40"/>
            </w:pPr>
            <w:r>
              <w:rPr>
                <w:rFonts w:ascii="Liberation Sans Narrow" w:hAnsi="Liberation Sans Narrow"/>
                <w:sz w:val="17"/>
              </w:rPr>
              <w:t xml:space="preserve">STJ, EREsp 1.890.615, Terceira Turma, relatora Min. Nancy Andrighi, DJe de 19/08/2021</w:t>
            </w:r>
          </w:p>
        </w:tc>
        <w:tc>
          <w:tcPr>
            <w:tcW w:type="dxa" w:w="2279"/>
          </w:tcPr>
          <w:p>
            <w:pPr>
              <w:pStyle w:val="Compact"/>
              <w:spacing w:line="276" w:lineRule="auto" w:before="40" w:after="40"/>
            </w:pPr>
            <w:r>
              <w:rPr>
                <w:rFonts w:ascii="Liberation Sans Narrow" w:hAnsi="Liberation Sans Narrow"/>
                <w:sz w:val="17"/>
              </w:rPr>
              <w:t xml:space="preserve">Os honorários advocatícios sucumbenciais seguem a natureza do crédito principal a que acessórios; no concurso singular de credores, não têm preferência sobre o crédito titularizado pelo cliente vencedor, cuja relação material com o advogado é distinta da dos credores concorrentes.</w:t>
            </w:r>
          </w:p>
        </w:tc>
      </w:tr>
    </w:tbl>
    <w:p>
      <w:pPr>
        <w:pStyle w:val="BodyText"/>
        <w:spacing w:after="60"/>
        <w:jc w:val="both"/>
      </w:pPr>
      <w:r>
        <w:t xml:space="preserve">Parágrafo único. Recaindo mais de uma penhora sobre o mesmo bem, cada exequente conservará o seu título de preferência.</w:t>
      </w:r>
    </w:p>
    <w:bookmarkEnd w:id="597"/>
    <w:bookmarkStart w:id="598" w:name="art.-798"/>
    <w:p>
      <w:pPr>
        <w:pStyle w:val="Heading6"/>
        <w:pBdr>
          <w:left w:val="single" w:sz="36" w:space="4" w:color="2E75B6"/>
        </w:pBdr>
        <w:shd w:val="clear" w:color="auto" w:fill="E3EEF9"/>
        <w:spacing w:before="120" w:after="60"/>
        <w:ind w:left="85"/>
      </w:pPr>
      <w:r>
        <w:rPr>
          <w:i w:val="0"/>
          <w:color w:val="1F3A5F"/>
          <w:sz w:val="22"/>
        </w:rPr>
        <w:t xml:space="preserve">Art. 798</w:t>
      </w:r>
    </w:p>
    <w:p>
      <w:pPr>
        <w:pStyle w:val="FirstParagraph"/>
        <w:spacing w:after="60"/>
        <w:jc w:val="both"/>
      </w:pPr>
      <w:r>
        <w:rPr>
          <w:b/>
          <w:bCs/>
        </w:rPr>
        <w:t xml:space="preserve">Art. 798.</w:t>
      </w:r>
      <w:r>
        <w:t xml:space="preserve"> </w:t>
      </w:r>
      <w:r>
        <w:t xml:space="preserve">Ao propor a execução, incumbe ao exequente:</w:t>
      </w:r>
    </w:p>
    <w:p>
      <w:pPr>
        <w:pStyle w:val="BodyText"/>
        <w:keepNext/>
        <w:spacing w:after="60"/>
        <w:jc w:val="both"/>
      </w:pPr>
      <w:r>
        <w:t xml:space="preserve">I - instruir a petição inicial com:</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530"/>
        <w:gridCol w:w="1905"/>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I/b — demonstrativo do débito</w:t>
            </w:r>
          </w:p>
        </w:tc>
        <w:tc>
          <w:tcPr>
            <w:tcW w:type="dxa" w:w="1531"/>
          </w:tcPr>
          <w:p>
            <w:pPr>
              <w:pStyle w:val="Compact"/>
              <w:spacing w:line="276" w:lineRule="auto" w:before="40" w:after="40"/>
            </w:pPr>
            <w:r>
              <w:rPr>
                <w:rFonts w:ascii="Liberation Sans Narrow" w:hAnsi="Liberation Sans Narrow"/>
                <w:sz w:val="17"/>
              </w:rPr>
              <w:t xml:space="preserve">STJ, AREsp 2.234.904, Quarta Turma, relator Min. João Otávio de Noronha, julgado em 09/03/2026</w:t>
            </w:r>
          </w:p>
        </w:tc>
        <w:tc>
          <w:tcPr>
            <w:tcW w:type="dxa" w:w="1905"/>
          </w:tcPr>
          <w:p>
            <w:pPr>
              <w:pStyle w:val="Compact"/>
              <w:spacing w:line="276" w:lineRule="auto" w:before="40" w:after="40"/>
            </w:pPr>
            <w:r>
              <w:rPr>
                <w:rFonts w:ascii="Liberation Sans Narrow" w:hAnsi="Liberation Sans Narrow"/>
                <w:sz w:val="17"/>
              </w:rPr>
              <w:t xml:space="preserve">A insuficiência do demonstrativo do débito autoriza a emenda da petição inicial da execução, afastando a extinção imediata do processo.</w:t>
            </w:r>
          </w:p>
        </w:tc>
      </w:tr>
    </w:tbl>
    <w:p>
      <w:pPr>
        <w:pStyle w:val="BodyText"/>
        <w:spacing w:after="60"/>
        <w:jc w:val="both"/>
      </w:pPr>
      <w:r>
        <w:t xml:space="preserve">a) o título executivo extrajudicial;</w:t>
      </w:r>
    </w:p>
    <w:p>
      <w:pPr>
        <w:pStyle w:val="BodyText"/>
        <w:spacing w:after="60"/>
        <w:jc w:val="both"/>
      </w:pPr>
      <w:r>
        <w:t xml:space="preserve">b) o demonstrativo do débito atualizado até a data de propositura da ação, quando se tratar de execução por quantia certa;</w:t>
      </w:r>
    </w:p>
    <w:p>
      <w:pPr>
        <w:pStyle w:val="BodyText"/>
        <w:spacing w:after="60"/>
        <w:jc w:val="both"/>
      </w:pPr>
      <w:r>
        <w:t xml:space="preserve">c) a prova de que se verificou a condição ou ocorreu o termo, se for o caso;</w:t>
      </w:r>
    </w:p>
    <w:p>
      <w:pPr>
        <w:pStyle w:val="BodyText"/>
        <w:spacing w:after="60"/>
        <w:jc w:val="both"/>
      </w:pPr>
      <w:r>
        <w:t xml:space="preserve">d) a prova, se for o caso, de que adimpliu a contraprestação que lhe corresponde ou que lhe assegura o cumprimento, se o executado não for obrigado a satisfazer a sua prestação senão mediante a contraprestação do exequente;</w:t>
      </w:r>
    </w:p>
    <w:p>
      <w:pPr>
        <w:pStyle w:val="BodyText"/>
        <w:spacing w:after="60"/>
        <w:jc w:val="both"/>
      </w:pPr>
      <w:r>
        <w:t xml:space="preserve">II - indicar:</w:t>
      </w:r>
    </w:p>
    <w:p>
      <w:pPr>
        <w:pStyle w:val="BodyText"/>
        <w:spacing w:after="60"/>
        <w:jc w:val="both"/>
      </w:pPr>
      <w:r>
        <w:t xml:space="preserve">a) a espécie de execução de sua preferência, quando por mais de um modo puder ser realizada;</w:t>
      </w:r>
    </w:p>
    <w:p>
      <w:pPr>
        <w:pStyle w:val="BodyText"/>
        <w:spacing w:after="60"/>
        <w:jc w:val="both"/>
      </w:pPr>
      <w:r>
        <w:t xml:space="preserve">b) os nomes completos do exequente e do executado e seus números de inscrição no Cadastro de Pessoas Físicas ou no Cadastro Nacional da Pessoa Jurídica;</w:t>
      </w:r>
    </w:p>
    <w:p>
      <w:pPr>
        <w:pStyle w:val="BodyText"/>
        <w:spacing w:after="60"/>
        <w:jc w:val="both"/>
      </w:pPr>
      <w:r>
        <w:t xml:space="preserve">c) os bens suscetíveis de penhora, sempre que possível.</w:t>
      </w:r>
    </w:p>
    <w:p>
      <w:pPr>
        <w:pStyle w:val="BodyText"/>
        <w:spacing w:after="60"/>
        <w:jc w:val="both"/>
      </w:pPr>
      <w:r>
        <w:t xml:space="preserve">Parágrafo único. O demonstrativo do débito deverá conter:</w:t>
      </w:r>
    </w:p>
    <w:p>
      <w:pPr>
        <w:pStyle w:val="BodyText"/>
        <w:spacing w:after="60"/>
        <w:jc w:val="both"/>
      </w:pPr>
      <w:r>
        <w:t xml:space="preserve">I - o índice de correção monetária adotado;</w:t>
      </w:r>
    </w:p>
    <w:p>
      <w:pPr>
        <w:pStyle w:val="BodyText"/>
        <w:spacing w:after="60"/>
        <w:jc w:val="both"/>
      </w:pPr>
      <w:r>
        <w:t xml:space="preserve">II - a taxa de juros aplicada;</w:t>
      </w:r>
    </w:p>
    <w:p>
      <w:pPr>
        <w:pStyle w:val="BodyText"/>
        <w:spacing w:after="60"/>
        <w:jc w:val="both"/>
      </w:pPr>
      <w:r>
        <w:t xml:space="preserve">III - os termos inicial e final de incidência do índice de correção monetária e da taxa de juros utilizados;</w:t>
      </w:r>
    </w:p>
    <w:p>
      <w:pPr>
        <w:pStyle w:val="BodyText"/>
        <w:spacing w:after="60"/>
        <w:jc w:val="both"/>
      </w:pPr>
      <w:r>
        <w:t xml:space="preserve">IV - a periodicidade da capitalização dos juros, se for o caso;</w:t>
      </w:r>
    </w:p>
    <w:p>
      <w:pPr>
        <w:pStyle w:val="BodyText"/>
        <w:spacing w:after="60"/>
        <w:jc w:val="both"/>
      </w:pPr>
      <w:r>
        <w:t xml:space="preserve">V - a especificação de desconto obrigatório realizado.</w:t>
      </w:r>
    </w:p>
    <w:bookmarkEnd w:id="598"/>
    <w:bookmarkStart w:id="599" w:name="art.-799"/>
    <w:p>
      <w:pPr>
        <w:pStyle w:val="Heading6"/>
        <w:pBdr>
          <w:left w:val="single" w:sz="36" w:space="4" w:color="2E75B6"/>
        </w:pBdr>
        <w:shd w:val="clear" w:color="auto" w:fill="E3EEF9"/>
        <w:spacing w:before="120" w:after="60"/>
        <w:ind w:left="85"/>
      </w:pPr>
      <w:r>
        <w:rPr>
          <w:i w:val="0"/>
          <w:color w:val="1F3A5F"/>
          <w:sz w:val="22"/>
        </w:rPr>
        <w:t xml:space="preserve">Art. 799</w:t>
      </w:r>
    </w:p>
    <w:p>
      <w:pPr>
        <w:pStyle w:val="FirstParagraph"/>
        <w:spacing w:after="60"/>
        <w:jc w:val="both"/>
      </w:pPr>
      <w:r>
        <w:rPr>
          <w:b/>
          <w:bCs/>
        </w:rPr>
        <w:t xml:space="preserve">Art. 799.</w:t>
      </w:r>
      <w:r>
        <w:t xml:space="preserve"> </w:t>
      </w:r>
      <w:r>
        <w:t xml:space="preserve">Incumbe ainda ao exequente:</w:t>
      </w:r>
    </w:p>
    <w:p>
      <w:pPr>
        <w:pStyle w:val="BodyText"/>
        <w:spacing w:after="60"/>
        <w:jc w:val="both"/>
      </w:pPr>
      <w:r>
        <w:t xml:space="preserve">I - requerer a intimação do credor pignoratício, hipotecário, anticrético ou fiduciário, quando a penhora recair sobre bens gravados por penhor, hipoteca, anticrese ou alienação fiduciária;</w:t>
      </w:r>
    </w:p>
    <w:p>
      <w:pPr>
        <w:pStyle w:val="BodyText"/>
        <w:spacing w:after="60"/>
        <w:jc w:val="both"/>
      </w:pPr>
      <w:r>
        <w:t xml:space="preserve">II - requerer a intimação do titular de usufruto, uso ou habitação, quando a penhora recair sobre bem gravado por usufruto, uso ou habitação;</w:t>
      </w:r>
    </w:p>
    <w:p>
      <w:pPr>
        <w:pStyle w:val="BodyText"/>
        <w:spacing w:after="60"/>
        <w:jc w:val="both"/>
      </w:pPr>
      <w:r>
        <w:t xml:space="preserve">III - requerer a intimação do promitente comprador, quando a penhora recair sobre bem em relação ao qual haja promessa de compra e venda registrada;</w:t>
      </w:r>
    </w:p>
    <w:p>
      <w:pPr>
        <w:pStyle w:val="BodyText"/>
        <w:spacing w:after="60"/>
        <w:jc w:val="both"/>
      </w:pPr>
      <w:r>
        <w:t xml:space="preserve">IV - requerer a intimação do promitente vendedor, quando a penhora recair sobre direito aquisitivo derivado de promessa de compra e venda registrada;</w:t>
      </w:r>
    </w:p>
    <w:p>
      <w:pPr>
        <w:pStyle w:val="BodyText"/>
        <w:spacing w:after="60"/>
        <w:jc w:val="both"/>
      </w:pPr>
      <w:r>
        <w:t xml:space="preserve">V - requerer a intimação do superficiário, enfiteuta ou concessionário, em caso de direito de superfície, enfiteuse, concessão de uso especial para fins de moradia ou concessão de direito real de uso, quando a penhora recair sobre imóvel submetido ao regime do direito de superfície, enfiteuse ou concessão;</w:t>
      </w:r>
    </w:p>
    <w:p>
      <w:pPr>
        <w:pStyle w:val="BodyText"/>
        <w:spacing w:after="60"/>
        <w:jc w:val="both"/>
      </w:pPr>
      <w:r>
        <w:t xml:space="preserve">VI - requerer a intimação do proprietário de terreno com regime de direito de superfície, enfiteuse, concessão de uso especial para fins de moradia ou concessão de direito real de uso, quando a penhora recair sobre direitos do superficiário, do enfiteuta ou do concessionário;</w:t>
      </w:r>
    </w:p>
    <w:p>
      <w:pPr>
        <w:pStyle w:val="BodyText"/>
        <w:spacing w:after="60"/>
        <w:jc w:val="both"/>
      </w:pPr>
      <w:r>
        <w:t xml:space="preserve">VII - requerer a intimação da sociedade, no caso de penhora de quota social ou de ação de sociedade anônima fechada, para o fim previsto no art. 876, § 7º;</w:t>
      </w:r>
    </w:p>
    <w:p>
      <w:pPr>
        <w:pStyle w:val="BodyText"/>
        <w:spacing w:after="60"/>
        <w:jc w:val="both"/>
      </w:pPr>
      <w:r>
        <w:t xml:space="preserve">VIII - pleitear, se for o caso, medidas urgentes;</w:t>
      </w:r>
    </w:p>
    <w:p>
      <w:pPr>
        <w:pStyle w:val="BodyText"/>
        <w:spacing w:after="60"/>
        <w:jc w:val="both"/>
      </w:pPr>
      <w:r>
        <w:t xml:space="preserve">IX - proceder à averbação em registro público do ato de propositura da execução e dos atos de constrição realizados, para conhecimento de terceiros.</w:t>
      </w:r>
    </w:p>
    <w:p>
      <w:pPr>
        <w:pStyle w:val="BodyText"/>
        <w:spacing w:after="60"/>
        <w:jc w:val="both"/>
      </w:pPr>
      <w:r>
        <w:t xml:space="preserve">X - requerer a intimação do titular da construção-base, bem como, se for o caso, do titular de lajes anteriores, quando a penhora recair sobre o direito real de laje; (Incluído pela Lei nº 13.465, de 2017)</w:t>
      </w:r>
    </w:p>
    <w:p>
      <w:pPr>
        <w:pStyle w:val="BodyText"/>
        <w:spacing w:after="60"/>
        <w:jc w:val="both"/>
      </w:pPr>
      <w:r>
        <w:t xml:space="preserve">XI - requerer a intimação do titular das lajes, quando a penhora recair sobre a construção-base. (Incluído pela Lei nº 13.465, de 2017)</w:t>
      </w:r>
    </w:p>
    <w:bookmarkEnd w:id="599"/>
    <w:bookmarkStart w:id="600" w:name="art.-800"/>
    <w:p>
      <w:pPr>
        <w:pStyle w:val="Heading6"/>
        <w:pBdr>
          <w:left w:val="single" w:sz="36" w:space="4" w:color="2E75B6"/>
        </w:pBdr>
        <w:shd w:val="clear" w:color="auto" w:fill="E3EEF9"/>
        <w:spacing w:before="120" w:after="60"/>
        <w:ind w:left="85"/>
      </w:pPr>
      <w:r>
        <w:rPr>
          <w:i w:val="0"/>
          <w:color w:val="1F3A5F"/>
          <w:sz w:val="22"/>
        </w:rPr>
        <w:t xml:space="preserve">Art. 800</w:t>
      </w:r>
    </w:p>
    <w:p>
      <w:pPr>
        <w:pStyle w:val="FirstParagraph"/>
        <w:spacing w:after="60"/>
        <w:jc w:val="both"/>
      </w:pPr>
      <w:r>
        <w:rPr>
          <w:b/>
          <w:bCs/>
        </w:rPr>
        <w:t xml:space="preserve">Art. 800.</w:t>
      </w:r>
      <w:r>
        <w:t xml:space="preserve"> </w:t>
      </w:r>
      <w:r>
        <w:t xml:space="preserve">Nas obrigações alternativas, quando a escolha couber ao devedor, esse será citado para exercer a opção e realizar a prestação dentro de 10 (dez) dias, se outro prazo não lhe foi determinado em lei ou em contrato.</w:t>
      </w:r>
    </w:p>
    <w:p>
      <w:pPr>
        <w:pStyle w:val="BodyText"/>
        <w:spacing w:after="60"/>
        <w:jc w:val="both"/>
      </w:pPr>
      <w:r>
        <w:t xml:space="preserve">§ 1º Devolver-se-á ao credor a opção, se o devedor não a exercer no prazo determinado.</w:t>
      </w:r>
    </w:p>
    <w:p>
      <w:pPr>
        <w:pStyle w:val="BodyText"/>
        <w:spacing w:after="60"/>
        <w:jc w:val="both"/>
      </w:pPr>
      <w:r>
        <w:t xml:space="preserve">§ 2º A escolha será indicada na petição inicial da execução quando couber ao credor exercê-la.</w:t>
      </w:r>
    </w:p>
    <w:bookmarkEnd w:id="600"/>
    <w:bookmarkStart w:id="601" w:name="art.-801"/>
    <w:p>
      <w:pPr>
        <w:pStyle w:val="Heading6"/>
        <w:pBdr>
          <w:left w:val="single" w:sz="36" w:space="4" w:color="2E75B6"/>
        </w:pBdr>
        <w:shd w:val="clear" w:color="auto" w:fill="E3EEF9"/>
        <w:spacing w:before="120" w:after="60"/>
        <w:ind w:left="85"/>
      </w:pPr>
      <w:r>
        <w:rPr>
          <w:i w:val="0"/>
          <w:color w:val="1F3A5F"/>
          <w:sz w:val="22"/>
        </w:rPr>
        <w:t xml:space="preserve">Art. 801</w:t>
      </w:r>
    </w:p>
    <w:p>
      <w:pPr>
        <w:pStyle w:val="FirstParagraph"/>
        <w:keepNext/>
        <w:spacing w:after="60"/>
        <w:jc w:val="both"/>
      </w:pPr>
      <w:r>
        <w:rPr>
          <w:b/>
          <w:bCs/>
        </w:rPr>
        <w:t xml:space="preserve">Art. 801.</w:t>
      </w:r>
      <w:r>
        <w:t xml:space="preserve"> </w:t>
      </w:r>
      <w:r>
        <w:t xml:space="preserve">Verificando que a petição inicial está incompleta ou que não está acompanhada dos documentos indispensáveis à propositura da execução, o juiz determinará que o exequente a corrija, no prazo de 15 (quinze) dias, sob pena de indeferimento.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emenda da petição inicial da execução</w:t>
            </w:r>
          </w:p>
        </w:tc>
        <w:tc>
          <w:tcPr>
            <w:tcW w:type="dxa" w:w="1655"/>
          </w:tcPr>
          <w:p>
            <w:pPr>
              <w:pStyle w:val="Compact"/>
              <w:spacing w:line="276" w:lineRule="auto" w:before="40" w:after="40"/>
            </w:pPr>
            <w:r>
              <w:rPr>
                <w:rFonts w:ascii="Liberation Sans Narrow" w:hAnsi="Liberation Sans Narrow"/>
                <w:sz w:val="17"/>
              </w:rPr>
              <w:t xml:space="preserve">STJ, AgInt no REsp 2.233.888, Terceira Turma, relator Min. Humberto Martins, julgado em 24/08/2026, DJEN de 27/08/2026</w:t>
            </w:r>
          </w:p>
        </w:tc>
        <w:tc>
          <w:tcPr>
            <w:tcW w:type="dxa" w:w="1905"/>
          </w:tcPr>
          <w:p>
            <w:pPr>
              <w:pStyle w:val="Compact"/>
              <w:spacing w:line="276" w:lineRule="auto" w:before="40" w:after="40"/>
            </w:pPr>
            <w:r>
              <w:rPr>
                <w:rFonts w:ascii="Liberation Sans Narrow" w:hAnsi="Liberation Sans Narrow"/>
                <w:sz w:val="17"/>
              </w:rPr>
              <w:t xml:space="preserve">A insuficiência ou a incompletude do demonstrativo do débito não acarreta a extinção automática da execução: o juiz deve aplicar o art. 801 e conceder 15 dias para a emenda, faculdade que persiste mesmo após a citação dos executados e a oposição de embargos.</w:t>
            </w:r>
          </w:p>
        </w:tc>
      </w:tr>
    </w:tbl>
    <w:bookmarkEnd w:id="601"/>
    <w:bookmarkStart w:id="602" w:name="art.-802"/>
    <w:p>
      <w:pPr>
        <w:pStyle w:val="Heading6"/>
        <w:pBdr>
          <w:left w:val="single" w:sz="36" w:space="4" w:color="2E75B6"/>
        </w:pBdr>
        <w:shd w:val="clear" w:color="auto" w:fill="E3EEF9"/>
        <w:spacing w:before="120" w:after="60"/>
        <w:ind w:left="85"/>
      </w:pPr>
      <w:r>
        <w:rPr>
          <w:i w:val="0"/>
          <w:color w:val="1F3A5F"/>
          <w:sz w:val="22"/>
        </w:rPr>
        <w:t xml:space="preserve">Art. 802</w:t>
      </w:r>
    </w:p>
    <w:p>
      <w:pPr>
        <w:pStyle w:val="FirstParagraph"/>
        <w:spacing w:after="60"/>
        <w:jc w:val="both"/>
      </w:pPr>
      <w:r>
        <w:rPr>
          <w:b/>
          <w:bCs/>
        </w:rPr>
        <w:t xml:space="preserve">Art. 802.</w:t>
      </w:r>
      <w:r>
        <w:t xml:space="preserve"> </w:t>
      </w:r>
      <w:r>
        <w:t xml:space="preserve">Na execução, o despacho que ordena a citação, desde que realizada em observância ao disposto no § 2º do art. 240, interrompe a prescrição, ainda que proferido por juízo incompetente.</w:t>
      </w:r>
    </w:p>
    <w:p>
      <w:pPr>
        <w:pStyle w:val="BodyText"/>
        <w:spacing w:after="60"/>
        <w:jc w:val="both"/>
      </w:pPr>
      <w:r>
        <w:t xml:space="preserve">Parágrafo único. A interrupção da prescrição retroagirá à data de propositura da ação.</w:t>
      </w:r>
    </w:p>
    <w:bookmarkEnd w:id="602"/>
    <w:bookmarkStart w:id="603" w:name="art.-803"/>
    <w:p>
      <w:pPr>
        <w:pStyle w:val="Heading6"/>
        <w:pBdr>
          <w:left w:val="single" w:sz="36" w:space="4" w:color="2E75B6"/>
        </w:pBdr>
        <w:shd w:val="clear" w:color="auto" w:fill="E3EEF9"/>
        <w:spacing w:before="120" w:after="60"/>
        <w:ind w:left="85"/>
      </w:pPr>
      <w:r>
        <w:rPr>
          <w:i w:val="0"/>
          <w:color w:val="1F3A5F"/>
          <w:sz w:val="22"/>
        </w:rPr>
        <w:t xml:space="preserve">Art. 803</w:t>
      </w:r>
    </w:p>
    <w:p>
      <w:pPr>
        <w:pStyle w:val="FirstParagraph"/>
        <w:spacing w:after="60"/>
        <w:jc w:val="both"/>
      </w:pPr>
      <w:r>
        <w:rPr>
          <w:b/>
          <w:bCs/>
        </w:rPr>
        <w:t xml:space="preserve">Art. 803.</w:t>
      </w:r>
      <w:r>
        <w:t xml:space="preserve"> </w:t>
      </w:r>
      <w:r>
        <w:t xml:space="preserve">É nula a execução se:</w:t>
      </w:r>
    </w:p>
    <w:p>
      <w:pPr>
        <w:pStyle w:val="BodyText"/>
        <w:spacing w:after="60"/>
        <w:jc w:val="both"/>
      </w:pPr>
      <w:r>
        <w:t xml:space="preserve">I - o título executivo extrajudicial não corresponder a obrigação certa, líquida e exigível;</w:t>
      </w:r>
    </w:p>
    <w:p>
      <w:pPr>
        <w:pStyle w:val="BodyText"/>
        <w:spacing w:after="60"/>
        <w:jc w:val="both"/>
      </w:pPr>
      <w:r>
        <w:t xml:space="preserve">II - o executado não for regularmente citado;</w:t>
      </w:r>
    </w:p>
    <w:p>
      <w:pPr>
        <w:pStyle w:val="BodyText"/>
        <w:spacing w:after="60"/>
        <w:jc w:val="both"/>
      </w:pPr>
      <w:r>
        <w:t xml:space="preserve">III - for instaurada antes de se verificar a condição ou de ocorrer o termo.</w:t>
      </w:r>
    </w:p>
    <w:p>
      <w:pPr>
        <w:pStyle w:val="BodyText"/>
        <w:keepNext/>
        <w:spacing w:after="60"/>
        <w:jc w:val="both"/>
      </w:pPr>
      <w:r>
        <w:t xml:space="preserve">Parágrafo único. A nulidade de que cuida este artigo será pronunciada pelo juiz, de ofício ou a requerimento da parte, independentemente de embargos à execução.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404"/>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531"/>
          </w:tcPr>
          <w:p>
            <w:pPr>
              <w:pStyle w:val="Compact"/>
              <w:spacing w:line="276" w:lineRule="auto" w:before="40" w:after="40"/>
            </w:pPr>
            <w:r>
              <w:rPr>
                <w:rFonts w:ascii="Liberation Sans Narrow" w:hAnsi="Liberation Sans Narrow"/>
                <w:sz w:val="17"/>
              </w:rPr>
              <w:t xml:space="preserve">Inciso I e parágrafo único — nulidade por vício no título executivo (aplicação narrada)</w:t>
            </w:r>
          </w:p>
        </w:tc>
        <w:tc>
          <w:tcPr>
            <w:tcW w:type="dxa" w:w="1655"/>
          </w:tcPr>
          <w:p>
            <w:pPr>
              <w:pStyle w:val="Compact"/>
              <w:spacing w:line="276" w:lineRule="auto" w:before="40" w:after="40"/>
            </w:pPr>
            <w:r>
              <w:rPr>
                <w:rFonts w:ascii="Liberation Sans Narrow" w:hAnsi="Liberation Sans Narrow"/>
                <w:sz w:val="17"/>
              </w:rPr>
              <w:t xml:space="preserve">STJ, REsp 2.260.454, Terceira Turma, relator Min. Humberto Martins, julgado em 12/08/2026</w:t>
            </w:r>
          </w:p>
        </w:tc>
        <w:tc>
          <w:tcPr>
            <w:tcW w:type="dxa" w:w="2404"/>
          </w:tcPr>
          <w:p>
            <w:pPr>
              <w:pStyle w:val="Compact"/>
              <w:spacing w:line="276" w:lineRule="auto" w:before="40" w:after="40"/>
            </w:pPr>
            <w:r>
              <w:rPr>
                <w:rFonts w:ascii="Liberation Sans Narrow" w:hAnsi="Liberation Sans Narrow"/>
                <w:sz w:val="17"/>
              </w:rPr>
              <w:t xml:space="preserve">A nulidade da execução por vício no título executivo é matéria de ordem pública, cognoscível a qualquer tempo e grau de jurisdição, sem sujeição à preclusão temporal, e pode ser arguida por exceção de pré-executividade quando a irregularidade for demonstrável de plano pela simples análise do título e dos documentos que instruem a execução; cabe ao exequente o ônus de instruir a execução com os documentos indispensáveis à comprovação da certeza da obrigação, não se podendo exigir do executado prova de fato negativo. Trecho: “A nulidade da execução por vício no título executivo constitui matéria de ordem pública, cognoscível a qualquer tempo e grau de jurisdição, não se sujeitando à preclusão temporal.”</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e parágrafo único — nulidade da execução</w:t>
            </w:r>
          </w:p>
        </w:tc>
        <w:tc>
          <w:tcPr>
            <w:tcW w:type="dxa" w:w="1655"/>
          </w:tcPr>
          <w:p>
            <w:pPr>
              <w:pStyle w:val="Compact"/>
              <w:spacing w:line="276" w:lineRule="auto" w:before="40" w:after="40"/>
            </w:pPr>
            <w:r>
              <w:rPr>
                <w:rFonts w:ascii="Liberation Sans Narrow" w:hAnsi="Liberation Sans Narrow"/>
                <w:sz w:val="17"/>
              </w:rPr>
              <w:t xml:space="preserve">STJ, REsp 2.238.613, Quarta Turma, relatora Min. Maria Isabel Gallotti, julgado em 25/05/2026, DJEN de 28/05/2026</w:t>
            </w:r>
          </w:p>
        </w:tc>
        <w:tc>
          <w:tcPr>
            <w:tcW w:type="dxa" w:w="2404"/>
          </w:tcPr>
          <w:p>
            <w:pPr>
              <w:pStyle w:val="Compact"/>
              <w:spacing w:line="276" w:lineRule="auto" w:before="40" w:after="40"/>
            </w:pPr>
            <w:r>
              <w:rPr>
                <w:rFonts w:ascii="Liberation Sans Narrow" w:hAnsi="Liberation Sans Narrow"/>
                <w:sz w:val="17"/>
              </w:rPr>
              <w:t xml:space="preserve">O art. 803, I e parágrafo único, impõe ao juiz pronunciar, de ofício, a nulidade da execução fundada em título sem certeza, liquidez e exigibilidade.</w:t>
            </w:r>
          </w:p>
        </w:tc>
      </w:tr>
    </w:tbl>
    <w:bookmarkEnd w:id="603"/>
    <w:bookmarkStart w:id="604" w:name="art.-804"/>
    <w:p>
      <w:pPr>
        <w:pStyle w:val="Heading6"/>
        <w:pBdr>
          <w:left w:val="single" w:sz="36" w:space="4" w:color="2E75B6"/>
        </w:pBdr>
        <w:shd w:val="clear" w:color="auto" w:fill="E3EEF9"/>
        <w:spacing w:before="120" w:after="60"/>
        <w:ind w:left="85"/>
      </w:pPr>
      <w:r>
        <w:rPr>
          <w:i w:val="0"/>
          <w:color w:val="1F3A5F"/>
          <w:sz w:val="22"/>
        </w:rPr>
        <w:t xml:space="preserve">Art. 804</w:t>
      </w:r>
    </w:p>
    <w:p>
      <w:pPr>
        <w:pStyle w:val="FirstParagraph"/>
        <w:spacing w:after="60"/>
        <w:jc w:val="both"/>
      </w:pPr>
      <w:r>
        <w:rPr>
          <w:b/>
          <w:bCs/>
        </w:rPr>
        <w:t xml:space="preserve">Art. 804.</w:t>
      </w:r>
      <w:r>
        <w:t xml:space="preserve"> </w:t>
      </w:r>
      <w:r>
        <w:t xml:space="preserve">A alienação de bem gravado por penhor, hipoteca ou anticrese será ineficaz em relação ao credor pignoratício, hipotecário ou anticrético não intimado.</w:t>
      </w:r>
    </w:p>
    <w:p>
      <w:pPr>
        <w:pStyle w:val="BodyText"/>
        <w:spacing w:after="60"/>
        <w:jc w:val="both"/>
      </w:pPr>
      <w:r>
        <w:t xml:space="preserve">§ 1º A alienação de bem objeto de promessa de compra e venda ou de cessão registrada será ineficaz em relação ao promitente comprador ou ao cessionário não intimado.</w:t>
      </w:r>
    </w:p>
    <w:p>
      <w:pPr>
        <w:pStyle w:val="BodyText"/>
        <w:spacing w:after="60"/>
        <w:jc w:val="both"/>
      </w:pPr>
      <w:r>
        <w:t xml:space="preserve">§ 2º A alienação de bem sobre o qual tenha sido instituído direito de superfície, seja do solo, da plantação ou da construção, será ineficaz em relação ao concedente ou ao concessionário não intimado.</w:t>
      </w:r>
    </w:p>
    <w:p>
      <w:pPr>
        <w:pStyle w:val="BodyText"/>
        <w:spacing w:after="60"/>
        <w:jc w:val="both"/>
      </w:pPr>
      <w:r>
        <w:t xml:space="preserve">§ 3º A alienação de direito aquisitivo de bem objeto de promessa de venda, de promessa de cessão ou de alienação fiduciária será ineficaz em relação ao promitente vendedor, ao promitente cedente ou ao proprietário fiduciário não intimado.</w:t>
      </w:r>
    </w:p>
    <w:p>
      <w:pPr>
        <w:pStyle w:val="BodyText"/>
        <w:spacing w:after="60"/>
        <w:jc w:val="both"/>
      </w:pPr>
      <w:r>
        <w:t xml:space="preserve">§ 4º A alienação de imóvel sobre o qual tenha sido instituída enfiteuse, concessão de uso especial para fins de moradia ou concessão de direito real de uso será ineficaz em relação ao enfiteuta ou ao concessionário não intimado.</w:t>
      </w:r>
    </w:p>
    <w:p>
      <w:pPr>
        <w:pStyle w:val="BodyText"/>
        <w:spacing w:after="60"/>
        <w:jc w:val="both"/>
      </w:pPr>
      <w:r>
        <w:t xml:space="preserve">§ 5º A alienação de direitos do enfiteuta, do concessionário de direito real de uso ou do concessionário de uso especial para fins de moradia será ineficaz em relação ao proprietário do respectivo imóvel não intimado.</w:t>
      </w:r>
    </w:p>
    <w:p>
      <w:pPr>
        <w:pStyle w:val="BodyText"/>
        <w:spacing w:after="60"/>
        <w:jc w:val="both"/>
      </w:pPr>
      <w:r>
        <w:t xml:space="preserve">§ 6º A alienação de bem sobre o qual tenha sido instituído usufruto, uso ou habitação será ineficaz em relação ao titular desses direitos reais não intimado.</w:t>
      </w:r>
    </w:p>
    <w:bookmarkEnd w:id="604"/>
    <w:bookmarkStart w:id="605" w:name="art.-805"/>
    <w:p>
      <w:pPr>
        <w:pStyle w:val="Heading6"/>
        <w:pBdr>
          <w:left w:val="single" w:sz="36" w:space="4" w:color="2E75B6"/>
        </w:pBdr>
        <w:shd w:val="clear" w:color="auto" w:fill="E3EEF9"/>
        <w:spacing w:before="120" w:after="60"/>
        <w:ind w:left="85"/>
      </w:pPr>
      <w:r>
        <w:rPr>
          <w:i w:val="0"/>
          <w:color w:val="1F3A5F"/>
          <w:sz w:val="22"/>
        </w:rPr>
        <w:t xml:space="preserve">Art. 805</w:t>
      </w:r>
    </w:p>
    <w:p>
      <w:pPr>
        <w:pStyle w:val="FirstParagraph"/>
        <w:keepNext/>
        <w:spacing w:after="60"/>
        <w:jc w:val="both"/>
      </w:pPr>
      <w:r>
        <w:rPr>
          <w:b/>
          <w:bCs/>
        </w:rPr>
        <w:t xml:space="preserve">Art. 805.</w:t>
      </w:r>
      <w:r>
        <w:t xml:space="preserve"> </w:t>
      </w:r>
      <w:r>
        <w:t xml:space="preserve">Quando por vários meios o exequente puder promover a execução, o juiz mandará que se faça pelo modo menos gravoso para o executado.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27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execução pelo modo menos gravoso</w:t>
            </w:r>
          </w:p>
        </w:tc>
        <w:tc>
          <w:tcPr>
            <w:tcW w:type="dxa" w:w="1531"/>
          </w:tcPr>
          <w:p>
            <w:pPr>
              <w:pStyle w:val="Compact"/>
              <w:spacing w:line="276" w:lineRule="auto" w:before="40" w:after="40"/>
            </w:pPr>
            <w:r>
              <w:rPr>
                <w:rFonts w:ascii="Liberation Sans Narrow" w:hAnsi="Liberation Sans Narrow"/>
                <w:sz w:val="17"/>
              </w:rPr>
              <w:t xml:space="preserve">STJ, AgInt no AREsp 1.540.073, Quarta Turma, relator Min. Raul Araújo, DJe de 25/08/2023</w:t>
            </w:r>
          </w:p>
        </w:tc>
        <w:tc>
          <w:tcPr>
            <w:tcW w:type="dxa" w:w="2279"/>
          </w:tcPr>
          <w:p>
            <w:pPr>
              <w:pStyle w:val="Compact"/>
              <w:spacing w:line="276" w:lineRule="auto" w:before="40" w:after="40"/>
            </w:pPr>
            <w:r>
              <w:rPr>
                <w:rFonts w:ascii="Liberation Sans Narrow" w:hAnsi="Liberation Sans Narrow"/>
                <w:sz w:val="17"/>
              </w:rPr>
              <w:t xml:space="preserve">A ordem de preferência do art. 835 não é absoluta e pode ser flexibilizada conforme as particularidades do caso; também não é absoluto o princípio da menor onerosidade, que se lê em conjunto com a efetividade da execução, e ao executado que alega onerosidade incumbe indicar os meios mais eficazes e menos onerosos.</w:t>
            </w:r>
          </w:p>
        </w:tc>
      </w:tr>
    </w:tbl>
    <w:p>
      <w:pPr>
        <w:pStyle w:val="BodyText"/>
        <w:spacing w:after="60"/>
        <w:jc w:val="both"/>
      </w:pPr>
      <w:r>
        <w:t xml:space="preserve">Parágrafo único. Ao executado que alegar ser a medida executiva mais gravosa incumbe indicar outros meios mais eficazes e menos onerosos, sob pena de manutenção dos atos executivos já determinados.</w:t>
      </w:r>
    </w:p>
    <w:bookmarkEnd w:id="605"/>
    <w:bookmarkEnd w:id="606"/>
    <w:bookmarkStart w:id="617" w:name="X9dbb29750619c763530eddc159f4b04c9e1f9c1"/>
    <w:p>
      <w:pPr>
        <w:pStyle w:val="Heading4"/>
        <w:spacing w:before="80" w:after="40"/>
      </w:pPr>
      <w:r>
        <w:rPr>
          <w:smallCaps/>
          <w:color w:val="2E75B6"/>
        </w:rPr>
        <w:t xml:space="preserve">Capítulo II: da execução para a entrega de coisa (arts. 806 a 813)</w:t>
      </w:r>
    </w:p>
    <w:bookmarkStart w:id="612" w:name="X03d5fff11fc05ec91a59be73a800858fbc7edbd"/>
    <w:p>
      <w:pPr>
        <w:pStyle w:val="Heading5"/>
        <w:spacing w:before="60" w:after="20"/>
      </w:pPr>
      <w:r>
        <w:rPr>
          <w:i/>
          <w:color w:val="595959"/>
        </w:rPr>
        <w:t xml:space="preserve">Seção I: da entrega de coisa certa (arts. 806 a 810)</w:t>
      </w:r>
    </w:p>
    <w:bookmarkStart w:id="607" w:name="art.-806"/>
    <w:p>
      <w:pPr>
        <w:pStyle w:val="Heading6"/>
        <w:pBdr>
          <w:left w:val="single" w:sz="36" w:space="4" w:color="2E75B6"/>
        </w:pBdr>
        <w:shd w:val="clear" w:color="auto" w:fill="E3EEF9"/>
        <w:spacing w:before="120" w:after="60"/>
        <w:ind w:left="85"/>
      </w:pPr>
      <w:r>
        <w:rPr>
          <w:i w:val="0"/>
          <w:color w:val="1F3A5F"/>
          <w:sz w:val="22"/>
        </w:rPr>
        <w:t xml:space="preserve">Art. 806</w:t>
      </w:r>
    </w:p>
    <w:p>
      <w:pPr>
        <w:pStyle w:val="FirstParagraph"/>
        <w:spacing w:after="60"/>
        <w:jc w:val="both"/>
      </w:pPr>
      <w:r>
        <w:rPr>
          <w:b/>
          <w:bCs/>
        </w:rPr>
        <w:t xml:space="preserve">Art. 806.</w:t>
      </w:r>
      <w:r>
        <w:t xml:space="preserve"> </w:t>
      </w:r>
      <w:r>
        <w:t xml:space="preserve">O devedor de obrigação de entrega de coisa certa, constante de título executivo extrajudicial, será citado para, em 15 (quinze) dias, satisfazer a obrigação.</w:t>
      </w:r>
    </w:p>
    <w:p>
      <w:pPr>
        <w:pStyle w:val="BodyText"/>
        <w:spacing w:after="60"/>
        <w:jc w:val="both"/>
      </w:pPr>
      <w:r>
        <w:t xml:space="preserve">§ 1º Ao despachar a inicial, o juiz poderá fixar multa por dia de atraso no cumprimento da obrigação, ficando o respectivo valor sujeito a alteração, caso se revele insuficiente ou excessivo.</w:t>
      </w:r>
    </w:p>
    <w:p>
      <w:pPr>
        <w:pStyle w:val="BodyText"/>
        <w:spacing w:after="60"/>
        <w:jc w:val="both"/>
      </w:pPr>
      <w:r>
        <w:t xml:space="preserve">§ 2º Do mandado de citação constará ordem para imissão na posse ou busca e apreensão, conforme se tratar de bem imóvel ou móvel, cujo cumprimento se dará de imediato, se o executado não satisfizer a obrigação no prazo que lhe foi designado.</w:t>
      </w:r>
    </w:p>
    <w:bookmarkEnd w:id="607"/>
    <w:bookmarkStart w:id="608" w:name="art.-807"/>
    <w:p>
      <w:pPr>
        <w:pStyle w:val="Heading6"/>
        <w:pBdr>
          <w:left w:val="single" w:sz="36" w:space="4" w:color="2E75B6"/>
        </w:pBdr>
        <w:shd w:val="clear" w:color="auto" w:fill="E3EEF9"/>
        <w:spacing w:before="120" w:after="60"/>
        <w:ind w:left="85"/>
      </w:pPr>
      <w:r>
        <w:rPr>
          <w:i w:val="0"/>
          <w:color w:val="1F3A5F"/>
          <w:sz w:val="22"/>
        </w:rPr>
        <w:t xml:space="preserve">Art. 807</w:t>
      </w:r>
    </w:p>
    <w:p>
      <w:pPr>
        <w:pStyle w:val="FirstParagraph"/>
        <w:spacing w:after="60"/>
        <w:jc w:val="both"/>
      </w:pPr>
      <w:r>
        <w:rPr>
          <w:b/>
          <w:bCs/>
        </w:rPr>
        <w:t xml:space="preserve">Art. 807.</w:t>
      </w:r>
      <w:r>
        <w:t xml:space="preserve"> </w:t>
      </w:r>
      <w:r>
        <w:t xml:space="preserve">Se o executado entregar a coisa, será lavrado o termo respectivo e considerada satisfeita a obrigação, prosseguindo-se a execução para o pagamento de frutos ou o ressarcimento de prejuízos, se houver.</w:t>
      </w:r>
    </w:p>
    <w:bookmarkEnd w:id="608"/>
    <w:bookmarkStart w:id="609" w:name="art.-808"/>
    <w:p>
      <w:pPr>
        <w:pStyle w:val="Heading6"/>
        <w:pBdr>
          <w:left w:val="single" w:sz="36" w:space="4" w:color="2E75B6"/>
        </w:pBdr>
        <w:shd w:val="clear" w:color="auto" w:fill="E3EEF9"/>
        <w:spacing w:before="120" w:after="60"/>
        <w:ind w:left="85"/>
      </w:pPr>
      <w:r>
        <w:rPr>
          <w:i w:val="0"/>
          <w:color w:val="1F3A5F"/>
          <w:sz w:val="22"/>
        </w:rPr>
        <w:t xml:space="preserve">Art. 808</w:t>
      </w:r>
    </w:p>
    <w:p>
      <w:pPr>
        <w:pStyle w:val="FirstParagraph"/>
        <w:spacing w:after="60"/>
        <w:jc w:val="both"/>
      </w:pPr>
      <w:r>
        <w:rPr>
          <w:b/>
          <w:bCs/>
        </w:rPr>
        <w:t xml:space="preserve">Art. 808.</w:t>
      </w:r>
      <w:r>
        <w:t xml:space="preserve"> </w:t>
      </w:r>
      <w:r>
        <w:t xml:space="preserve">Alienada a coisa quando já litigiosa, será expedido mandado contra o terceiro adquirente, que somente será ouvido após depositá-la.</w:t>
      </w:r>
    </w:p>
    <w:bookmarkEnd w:id="609"/>
    <w:bookmarkStart w:id="610" w:name="art.-809"/>
    <w:p>
      <w:pPr>
        <w:pStyle w:val="Heading6"/>
        <w:pBdr>
          <w:left w:val="single" w:sz="36" w:space="4" w:color="2E75B6"/>
        </w:pBdr>
        <w:shd w:val="clear" w:color="auto" w:fill="E3EEF9"/>
        <w:spacing w:before="120" w:after="60"/>
        <w:ind w:left="85"/>
      </w:pPr>
      <w:r>
        <w:rPr>
          <w:i w:val="0"/>
          <w:color w:val="1F3A5F"/>
          <w:sz w:val="22"/>
        </w:rPr>
        <w:t xml:space="preserve">Art. 809</w:t>
      </w:r>
    </w:p>
    <w:p>
      <w:pPr>
        <w:pStyle w:val="FirstParagraph"/>
        <w:spacing w:after="60"/>
        <w:jc w:val="both"/>
      </w:pPr>
      <w:r>
        <w:rPr>
          <w:b/>
          <w:bCs/>
        </w:rPr>
        <w:t xml:space="preserve">Art. 809.</w:t>
      </w:r>
      <w:r>
        <w:t xml:space="preserve"> </w:t>
      </w:r>
      <w:r>
        <w:t xml:space="preserve">O exequente tem direito a receber, além de perdas e danos, o valor da coisa, quando essa se deteriorar, não lhe for entregue, não for encontrada ou não for reclamada do poder de terceiro adquirente.</w:t>
      </w:r>
    </w:p>
    <w:p>
      <w:pPr>
        <w:pStyle w:val="BodyText"/>
        <w:spacing w:after="60"/>
        <w:jc w:val="both"/>
      </w:pPr>
      <w:r>
        <w:t xml:space="preserve">§ 1º Não constando do título o valor da coisa e sendo impossível sua avaliação, o exequente apresentará estimativa, sujeitando-a ao arbitramento judicial.</w:t>
      </w:r>
    </w:p>
    <w:p>
      <w:pPr>
        <w:pStyle w:val="BodyText"/>
        <w:spacing w:after="60"/>
        <w:jc w:val="both"/>
      </w:pPr>
      <w:r>
        <w:t xml:space="preserve">§ 2º Serão apurados em liquidação o valor da coisa e os prejuízos.</w:t>
      </w:r>
    </w:p>
    <w:bookmarkEnd w:id="610"/>
    <w:bookmarkStart w:id="611" w:name="art.-810"/>
    <w:p>
      <w:pPr>
        <w:pStyle w:val="Heading6"/>
        <w:pBdr>
          <w:left w:val="single" w:sz="36" w:space="4" w:color="2E75B6"/>
        </w:pBdr>
        <w:shd w:val="clear" w:color="auto" w:fill="E3EEF9"/>
        <w:spacing w:before="120" w:after="60"/>
        <w:ind w:left="85"/>
      </w:pPr>
      <w:r>
        <w:rPr>
          <w:i w:val="0"/>
          <w:color w:val="1F3A5F"/>
          <w:sz w:val="22"/>
        </w:rPr>
        <w:t xml:space="preserve">Art. 810</w:t>
      </w:r>
    </w:p>
    <w:p>
      <w:pPr>
        <w:pStyle w:val="FirstParagraph"/>
        <w:spacing w:after="60"/>
        <w:jc w:val="both"/>
      </w:pPr>
      <w:r>
        <w:rPr>
          <w:b/>
          <w:bCs/>
        </w:rPr>
        <w:t xml:space="preserve">Art. 810.</w:t>
      </w:r>
      <w:r>
        <w:t xml:space="preserve"> </w:t>
      </w:r>
      <w:r>
        <w:t xml:space="preserve">Havendo benfeitorias indenizáveis feitas na coisa pelo executado ou por terceiros de cujo poder ela houver sido tirada, a liquidação prévia é obrigatória.</w:t>
      </w:r>
    </w:p>
    <w:p>
      <w:pPr>
        <w:pStyle w:val="BodyText"/>
        <w:spacing w:after="60"/>
        <w:jc w:val="both"/>
      </w:pPr>
      <w:r>
        <w:t xml:space="preserve">Parágrafo único. Havendo saldo:</w:t>
      </w:r>
    </w:p>
    <w:p>
      <w:pPr>
        <w:pStyle w:val="BodyText"/>
        <w:spacing w:after="60"/>
        <w:jc w:val="both"/>
      </w:pPr>
      <w:r>
        <w:t xml:space="preserve">I - em favor do executado ou de terceiros, o exequente o depositará ao requerer a entrega da coisa;</w:t>
      </w:r>
    </w:p>
    <w:p>
      <w:pPr>
        <w:pStyle w:val="BodyText"/>
        <w:spacing w:after="60"/>
        <w:jc w:val="both"/>
      </w:pPr>
      <w:r>
        <w:t xml:space="preserve">II - em favor do exequente, esse poderá cobrá-lo nos autos do mesmo processo.</w:t>
      </w:r>
    </w:p>
    <w:bookmarkEnd w:id="611"/>
    <w:bookmarkEnd w:id="612"/>
    <w:bookmarkStart w:id="616" w:name="X8afe576556cc2de499650f863485f3718ce3558"/>
    <w:p>
      <w:pPr>
        <w:pStyle w:val="Heading5"/>
        <w:spacing w:before="60" w:after="20"/>
      </w:pPr>
      <w:r>
        <w:rPr>
          <w:i/>
          <w:color w:val="595959"/>
        </w:rPr>
        <w:t xml:space="preserve">Seção II: da entrega de coisa incerta (arts. 811 a 813)</w:t>
      </w:r>
    </w:p>
    <w:bookmarkStart w:id="613" w:name="art.-811"/>
    <w:p>
      <w:pPr>
        <w:pStyle w:val="Heading6"/>
        <w:pBdr>
          <w:left w:val="single" w:sz="36" w:space="4" w:color="2E75B6"/>
        </w:pBdr>
        <w:shd w:val="clear" w:color="auto" w:fill="E3EEF9"/>
        <w:spacing w:before="120" w:after="60"/>
        <w:ind w:left="85"/>
      </w:pPr>
      <w:r>
        <w:rPr>
          <w:i w:val="0"/>
          <w:color w:val="1F3A5F"/>
          <w:sz w:val="22"/>
        </w:rPr>
        <w:t xml:space="preserve">Art. 811</w:t>
      </w:r>
    </w:p>
    <w:p>
      <w:pPr>
        <w:pStyle w:val="FirstParagraph"/>
        <w:spacing w:after="60"/>
        <w:jc w:val="both"/>
      </w:pPr>
      <w:r>
        <w:rPr>
          <w:b/>
          <w:bCs/>
        </w:rPr>
        <w:t xml:space="preserve">Art. 811.</w:t>
      </w:r>
      <w:r>
        <w:t xml:space="preserve"> </w:t>
      </w:r>
      <w:r>
        <w:t xml:space="preserve">Quando a execução recair sobre coisa determinada pelo gênero e pela quantidade, o executado será citado para entregá-la individualizada, se lhe couber a escolha.</w:t>
      </w:r>
    </w:p>
    <w:p>
      <w:pPr>
        <w:pStyle w:val="BodyText"/>
        <w:spacing w:after="60"/>
        <w:jc w:val="both"/>
      </w:pPr>
      <w:r>
        <w:t xml:space="preserve">Parágrafo único. Se a escolha couber ao exequente, esse deverá indicá-la na petição inicial.</w:t>
      </w:r>
    </w:p>
    <w:bookmarkEnd w:id="613"/>
    <w:bookmarkStart w:id="614" w:name="art.-812"/>
    <w:p>
      <w:pPr>
        <w:pStyle w:val="Heading6"/>
        <w:pBdr>
          <w:left w:val="single" w:sz="36" w:space="4" w:color="2E75B6"/>
        </w:pBdr>
        <w:shd w:val="clear" w:color="auto" w:fill="E3EEF9"/>
        <w:spacing w:before="120" w:after="60"/>
        <w:ind w:left="85"/>
      </w:pPr>
      <w:r>
        <w:rPr>
          <w:i w:val="0"/>
          <w:color w:val="1F3A5F"/>
          <w:sz w:val="22"/>
        </w:rPr>
        <w:t xml:space="preserve">Art. 812</w:t>
      </w:r>
    </w:p>
    <w:p>
      <w:pPr>
        <w:pStyle w:val="FirstParagraph"/>
        <w:spacing w:after="60"/>
        <w:jc w:val="both"/>
      </w:pPr>
      <w:r>
        <w:rPr>
          <w:b/>
          <w:bCs/>
        </w:rPr>
        <w:t xml:space="preserve">Art. 812.</w:t>
      </w:r>
      <w:r>
        <w:t xml:space="preserve"> </w:t>
      </w:r>
      <w:r>
        <w:t xml:space="preserve">Qualquer das partes poderá, no prazo de 15 (quinze) dias, impugnar a escolha feita pela outra, e o juiz decidirá de plano ou, se necessário, ouvindo perito de sua nomeação.</w:t>
      </w:r>
    </w:p>
    <w:bookmarkEnd w:id="614"/>
    <w:bookmarkStart w:id="615" w:name="art.-813"/>
    <w:p>
      <w:pPr>
        <w:pStyle w:val="Heading6"/>
        <w:pBdr>
          <w:left w:val="single" w:sz="36" w:space="4" w:color="2E75B6"/>
        </w:pBdr>
        <w:shd w:val="clear" w:color="auto" w:fill="E3EEF9"/>
        <w:spacing w:before="120" w:after="60"/>
        <w:ind w:left="85"/>
      </w:pPr>
      <w:r>
        <w:rPr>
          <w:i w:val="0"/>
          <w:color w:val="1F3A5F"/>
          <w:sz w:val="22"/>
        </w:rPr>
        <w:t xml:space="preserve">Art. 813</w:t>
      </w:r>
    </w:p>
    <w:p>
      <w:pPr>
        <w:pStyle w:val="FirstParagraph"/>
        <w:spacing w:after="60"/>
        <w:jc w:val="both"/>
      </w:pPr>
      <w:r>
        <w:rPr>
          <w:b/>
          <w:bCs/>
        </w:rPr>
        <w:t xml:space="preserve">Art. 813.</w:t>
      </w:r>
      <w:r>
        <w:t xml:space="preserve"> </w:t>
      </w:r>
      <w:r>
        <w:t xml:space="preserve">Aplicar-se-ão à execução para entrega de coisa incerta, no que couber, as disposições da Seção I deste Capítulo.</w:t>
      </w:r>
    </w:p>
    <w:bookmarkEnd w:id="615"/>
    <w:bookmarkEnd w:id="616"/>
    <w:bookmarkEnd w:id="617"/>
    <w:bookmarkStart w:id="631" w:name="Xa01d5e8e6ab2f5d618f40e065362529d0020055"/>
    <w:p>
      <w:pPr>
        <w:pStyle w:val="Heading4"/>
        <w:spacing w:before="80" w:after="40"/>
      </w:pPr>
      <w:r>
        <w:rPr>
          <w:smallCaps/>
          <w:color w:val="2E75B6"/>
        </w:rPr>
        <w:t xml:space="preserve">Capítulo III: da execução das obrigações de fazer ou de não fazer (arts. 814 a 823)</w:t>
      </w:r>
    </w:p>
    <w:bookmarkStart w:id="619" w:name="seção-i-disposições-comuns-arts.-814"/>
    <w:p>
      <w:pPr>
        <w:pStyle w:val="Heading5"/>
        <w:spacing w:before="60" w:after="20"/>
      </w:pPr>
      <w:r>
        <w:rPr>
          <w:i/>
          <w:color w:val="595959"/>
        </w:rPr>
        <w:t xml:space="preserve">Seção I: disposições comuns (arts. 814)</w:t>
      </w:r>
    </w:p>
    <w:bookmarkStart w:id="618" w:name="art.-814"/>
    <w:p>
      <w:pPr>
        <w:pStyle w:val="Heading6"/>
        <w:pBdr>
          <w:left w:val="single" w:sz="36" w:space="4" w:color="2E75B6"/>
        </w:pBdr>
        <w:shd w:val="clear" w:color="auto" w:fill="E3EEF9"/>
        <w:spacing w:before="120" w:after="60"/>
        <w:ind w:left="85"/>
      </w:pPr>
      <w:r>
        <w:rPr>
          <w:i w:val="0"/>
          <w:color w:val="1F3A5F"/>
          <w:sz w:val="22"/>
        </w:rPr>
        <w:t xml:space="preserve">Art. 814</w:t>
      </w:r>
    </w:p>
    <w:p>
      <w:pPr>
        <w:pStyle w:val="FirstParagraph"/>
        <w:spacing w:after="60"/>
        <w:jc w:val="both"/>
      </w:pPr>
      <w:r>
        <w:rPr>
          <w:b/>
          <w:bCs/>
        </w:rPr>
        <w:t xml:space="preserve">Art. 814.</w:t>
      </w:r>
      <w:r>
        <w:t xml:space="preserve"> </w:t>
      </w:r>
      <w:r>
        <w:t xml:space="preserve">Na execução de obrigação de fazer ou de não fazer fundada em título extrajudicial, ao despachar a inicial, o juiz fixará multa por período de atraso no cumprimento da obrigação e a data a partir da qual será devida.</w:t>
      </w:r>
    </w:p>
    <w:p>
      <w:pPr>
        <w:pStyle w:val="BodyText"/>
        <w:spacing w:after="60"/>
        <w:jc w:val="both"/>
      </w:pPr>
      <w:r>
        <w:t xml:space="preserve">Parágrafo único. Se o valor da multa estiver previsto no título e for excessivo, o juiz poderá reduzi-lo.</w:t>
      </w:r>
    </w:p>
    <w:bookmarkEnd w:id="618"/>
    <w:bookmarkEnd w:id="619"/>
    <w:bookmarkStart w:id="627" w:name="X5471ac0a6bd7882faf33df2b8f81c95cc8a37cd"/>
    <w:p>
      <w:pPr>
        <w:pStyle w:val="Heading5"/>
        <w:spacing w:before="60" w:after="20"/>
      </w:pPr>
      <w:r>
        <w:rPr>
          <w:i/>
          <w:color w:val="595959"/>
        </w:rPr>
        <w:t xml:space="preserve">Seção II: da obrigação de fazer (arts. 815 a 821)</w:t>
      </w:r>
    </w:p>
    <w:bookmarkStart w:id="620" w:name="art.-815"/>
    <w:p>
      <w:pPr>
        <w:pStyle w:val="Heading6"/>
        <w:pBdr>
          <w:left w:val="single" w:sz="36" w:space="4" w:color="2E75B6"/>
        </w:pBdr>
        <w:shd w:val="clear" w:color="auto" w:fill="E3EEF9"/>
        <w:spacing w:before="120" w:after="60"/>
        <w:ind w:left="85"/>
      </w:pPr>
      <w:r>
        <w:rPr>
          <w:i w:val="0"/>
          <w:color w:val="1F3A5F"/>
          <w:sz w:val="22"/>
        </w:rPr>
        <w:t xml:space="preserve">Art. 815</w:t>
      </w:r>
    </w:p>
    <w:p>
      <w:pPr>
        <w:pStyle w:val="FirstParagraph"/>
        <w:keepNext/>
        <w:spacing w:after="60"/>
        <w:jc w:val="both"/>
      </w:pPr>
      <w:r>
        <w:rPr>
          <w:b/>
          <w:bCs/>
        </w:rPr>
        <w:t xml:space="preserve">Art. 815.</w:t>
      </w:r>
      <w:r>
        <w:t xml:space="preserve"> </w:t>
      </w:r>
      <w:r>
        <w:t xml:space="preserve">Quando o objeto da execução for obrigação de fazer, o executado será citado para satisfazê-la no prazo que o juiz lhe designar, se outro não estiver determinado no título executivo.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746"/>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46"/>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prazo para cumprir a obrigação de fazer</w:t>
            </w:r>
          </w:p>
        </w:tc>
        <w:tc>
          <w:tcPr>
            <w:tcW w:type="dxa" w:w="1655"/>
          </w:tcPr>
          <w:p>
            <w:pPr>
              <w:pStyle w:val="Compact"/>
              <w:spacing w:line="276" w:lineRule="auto" w:before="40" w:after="40"/>
            </w:pPr>
            <w:r>
              <w:rPr>
                <w:rFonts w:ascii="Liberation Sans Narrow" w:hAnsi="Liberation Sans Narrow"/>
                <w:sz w:val="17"/>
              </w:rPr>
              <w:t xml:space="preserve">STJ, REsp 2.251.367, Segunda Turma, relator Min. Teodoro Silva Santos, julgado em 15/04/2026, DJEN de 24/04/2026</w:t>
            </w:r>
          </w:p>
        </w:tc>
        <w:tc>
          <w:tcPr>
            <w:tcW w:type="dxa" w:w="1746"/>
          </w:tcPr>
          <w:p>
            <w:pPr>
              <w:pStyle w:val="Compact"/>
              <w:spacing w:line="276" w:lineRule="auto" w:before="40" w:after="40"/>
            </w:pPr>
            <w:r>
              <w:rPr>
                <w:rFonts w:ascii="Liberation Sans Narrow" w:hAnsi="Liberation Sans Narrow"/>
                <w:sz w:val="17"/>
              </w:rPr>
              <w:t xml:space="preserve">O prazo fixado para o cumprimento da obrigação de fazer e para o início da incidência da multa diária conta-se em dias úteis.</w:t>
            </w:r>
          </w:p>
        </w:tc>
      </w:tr>
    </w:tbl>
    <w:bookmarkEnd w:id="620"/>
    <w:bookmarkStart w:id="621" w:name="art.-816"/>
    <w:p>
      <w:pPr>
        <w:pStyle w:val="Heading6"/>
        <w:pBdr>
          <w:left w:val="single" w:sz="36" w:space="4" w:color="2E75B6"/>
        </w:pBdr>
        <w:shd w:val="clear" w:color="auto" w:fill="E3EEF9"/>
        <w:spacing w:before="120" w:after="60"/>
        <w:ind w:left="85"/>
      </w:pPr>
      <w:r>
        <w:rPr>
          <w:i w:val="0"/>
          <w:color w:val="1F3A5F"/>
          <w:sz w:val="22"/>
        </w:rPr>
        <w:t xml:space="preserve">Art. 816</w:t>
      </w:r>
    </w:p>
    <w:p>
      <w:pPr>
        <w:pStyle w:val="FirstParagraph"/>
        <w:spacing w:after="60"/>
        <w:jc w:val="both"/>
      </w:pPr>
      <w:r>
        <w:rPr>
          <w:b/>
          <w:bCs/>
        </w:rPr>
        <w:t xml:space="preserve">Art. 816.</w:t>
      </w:r>
      <w:r>
        <w:t xml:space="preserve"> </w:t>
      </w:r>
      <w:r>
        <w:t xml:space="preserve">Se o executado não satisfizer a obrigação no prazo designado, é lícito ao exequente, nos próprios autos do processo, requerer a satisfação da obrigação à custa do executado ou perdas e danos, hipótese em que se converterá em indenização.</w:t>
      </w:r>
    </w:p>
    <w:p>
      <w:pPr>
        <w:pStyle w:val="BodyText"/>
        <w:keepNext/>
        <w:spacing w:after="60"/>
        <w:jc w:val="both"/>
      </w:pPr>
      <w:r>
        <w:t xml:space="preserve">Parágrafo único. O valor das perdas e danos será apurado em liquidação, seguindo-se a execução para cobrança de quantia certa.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871"/>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871"/>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Parágrafo único — dispensa da liquidação</w:t>
            </w:r>
          </w:p>
        </w:tc>
        <w:tc>
          <w:tcPr>
            <w:tcW w:type="dxa" w:w="1531"/>
          </w:tcPr>
          <w:p>
            <w:pPr>
              <w:pStyle w:val="Compact"/>
              <w:spacing w:line="276" w:lineRule="auto" w:before="40" w:after="40"/>
            </w:pPr>
            <w:r>
              <w:rPr>
                <w:rFonts w:ascii="Liberation Sans Narrow" w:hAnsi="Liberation Sans Narrow"/>
                <w:sz w:val="17"/>
              </w:rPr>
              <w:t xml:space="preserve">STJ, AgInt no AREsp 3.174.968, Terceira Turma, relator Min. Humberto Martins, julgado em 30/06/2026</w:t>
            </w:r>
          </w:p>
        </w:tc>
        <w:tc>
          <w:tcPr>
            <w:tcW w:type="dxa" w:w="1871"/>
          </w:tcPr>
          <w:p>
            <w:pPr>
              <w:pStyle w:val="Compact"/>
              <w:spacing w:line="276" w:lineRule="auto" w:before="40" w:after="40"/>
            </w:pPr>
            <w:r>
              <w:rPr>
                <w:rFonts w:ascii="Liberation Sans Narrow" w:hAnsi="Liberation Sans Narrow"/>
                <w:sz w:val="17"/>
              </w:rPr>
              <w:t xml:space="preserve">A conversão da obrigação de entregar coisa em perdas e danos dispensa a fase de liquidação quando o valor da coisa está previamente definido no título e o quantum pode ser aferido por cálculos aritméticos.</w:t>
            </w:r>
          </w:p>
        </w:tc>
      </w:tr>
    </w:tbl>
    <w:bookmarkEnd w:id="621"/>
    <w:bookmarkStart w:id="622" w:name="art.-817"/>
    <w:p>
      <w:pPr>
        <w:pStyle w:val="Heading6"/>
        <w:pBdr>
          <w:left w:val="single" w:sz="36" w:space="4" w:color="2E75B6"/>
        </w:pBdr>
        <w:shd w:val="clear" w:color="auto" w:fill="E3EEF9"/>
        <w:spacing w:before="120" w:after="60"/>
        <w:ind w:left="85"/>
      </w:pPr>
      <w:r>
        <w:rPr>
          <w:i w:val="0"/>
          <w:color w:val="1F3A5F"/>
          <w:sz w:val="22"/>
        </w:rPr>
        <w:t xml:space="preserve">Art. 817</w:t>
      </w:r>
    </w:p>
    <w:p>
      <w:pPr>
        <w:pStyle w:val="FirstParagraph"/>
        <w:keepNext/>
        <w:spacing w:after="60"/>
        <w:jc w:val="both"/>
      </w:pPr>
      <w:r>
        <w:rPr>
          <w:b/>
          <w:bCs/>
        </w:rPr>
        <w:t xml:space="preserve">Art. 817.</w:t>
      </w:r>
      <w:r>
        <w:t xml:space="preserve"> </w:t>
      </w:r>
      <w:r>
        <w:t xml:space="preserve">Se a obrigação puder ser satisfeita por terceiro, é lícito ao juiz autorizar, a requerimento do exequente, que aquele a satisfaça à custa do executado.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746"/>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46"/>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obrigação de fazer por terceiro</w:t>
            </w:r>
          </w:p>
        </w:tc>
        <w:tc>
          <w:tcPr>
            <w:tcW w:type="dxa" w:w="1655"/>
          </w:tcPr>
          <w:p>
            <w:pPr>
              <w:pStyle w:val="Compact"/>
              <w:spacing w:line="276" w:lineRule="auto" w:before="40" w:after="40"/>
            </w:pPr>
            <w:r>
              <w:rPr>
                <w:rFonts w:ascii="Liberation Sans Narrow" w:hAnsi="Liberation Sans Narrow"/>
                <w:sz w:val="17"/>
              </w:rPr>
              <w:t xml:space="preserve">STJ, AREsp 2.279.703, Primeira Turma, relator Min. Gurgel de Faria, julgado em 01/10/2024, DJe de 17/10/2024</w:t>
            </w:r>
          </w:p>
        </w:tc>
        <w:tc>
          <w:tcPr>
            <w:tcW w:type="dxa" w:w="1746"/>
          </w:tcPr>
          <w:p>
            <w:pPr>
              <w:pStyle w:val="Compact"/>
              <w:spacing w:line="276" w:lineRule="auto" w:before="40" w:after="40"/>
            </w:pPr>
            <w:r>
              <w:rPr>
                <w:rFonts w:ascii="Liberation Sans Narrow" w:hAnsi="Liberation Sans Narrow"/>
                <w:sz w:val="17"/>
              </w:rPr>
              <w:t xml:space="preserve">A satisfação da obrigação de fazer por terceiro, à custa do executado, depende da anuência do terceiro, na forma do art. 817.</w:t>
            </w:r>
          </w:p>
        </w:tc>
      </w:tr>
    </w:tbl>
    <w:p>
      <w:pPr>
        <w:pStyle w:val="BodyText"/>
        <w:spacing w:after="60"/>
        <w:jc w:val="both"/>
      </w:pPr>
      <w:r>
        <w:t xml:space="preserve">Parágrafo único. O exequente adiantará as quantias previstas na proposta que, ouvidas as partes, o juiz houver aprovado.</w:t>
      </w:r>
    </w:p>
    <w:bookmarkEnd w:id="622"/>
    <w:bookmarkStart w:id="623" w:name="art.-818"/>
    <w:p>
      <w:pPr>
        <w:pStyle w:val="Heading6"/>
        <w:pBdr>
          <w:left w:val="single" w:sz="36" w:space="4" w:color="2E75B6"/>
        </w:pBdr>
        <w:shd w:val="clear" w:color="auto" w:fill="E3EEF9"/>
        <w:spacing w:before="120" w:after="60"/>
        <w:ind w:left="85"/>
      </w:pPr>
      <w:r>
        <w:rPr>
          <w:i w:val="0"/>
          <w:color w:val="1F3A5F"/>
          <w:sz w:val="22"/>
        </w:rPr>
        <w:t xml:space="preserve">Art. 818</w:t>
      </w:r>
    </w:p>
    <w:p>
      <w:pPr>
        <w:pStyle w:val="FirstParagraph"/>
        <w:spacing w:after="60"/>
        <w:jc w:val="both"/>
      </w:pPr>
      <w:r>
        <w:rPr>
          <w:b/>
          <w:bCs/>
        </w:rPr>
        <w:t xml:space="preserve">Art. 818.</w:t>
      </w:r>
      <w:r>
        <w:t xml:space="preserve"> </w:t>
      </w:r>
      <w:r>
        <w:t xml:space="preserve">Realizada a prestação, o juiz ouvirá as partes no prazo de 10 (dez) dias e, não havendo impugnação, considerará satisfeita a obrigação.</w:t>
      </w:r>
    </w:p>
    <w:p>
      <w:pPr>
        <w:pStyle w:val="BodyText"/>
        <w:spacing w:after="60"/>
        <w:jc w:val="both"/>
      </w:pPr>
      <w:r>
        <w:t xml:space="preserve">Parágrafo único. Caso haja impugnação, o juiz a decidirá.</w:t>
      </w:r>
    </w:p>
    <w:bookmarkEnd w:id="623"/>
    <w:bookmarkStart w:id="624" w:name="art.-819"/>
    <w:p>
      <w:pPr>
        <w:pStyle w:val="Heading6"/>
        <w:pBdr>
          <w:left w:val="single" w:sz="36" w:space="4" w:color="2E75B6"/>
        </w:pBdr>
        <w:shd w:val="clear" w:color="auto" w:fill="E3EEF9"/>
        <w:spacing w:before="120" w:after="60"/>
        <w:ind w:left="85"/>
      </w:pPr>
      <w:r>
        <w:rPr>
          <w:i w:val="0"/>
          <w:color w:val="1F3A5F"/>
          <w:sz w:val="22"/>
        </w:rPr>
        <w:t xml:space="preserve">Art. 819</w:t>
      </w:r>
    </w:p>
    <w:p>
      <w:pPr>
        <w:pStyle w:val="FirstParagraph"/>
        <w:spacing w:after="60"/>
        <w:jc w:val="both"/>
      </w:pPr>
      <w:r>
        <w:rPr>
          <w:b/>
          <w:bCs/>
        </w:rPr>
        <w:t xml:space="preserve">Art. 819.</w:t>
      </w:r>
      <w:r>
        <w:t xml:space="preserve"> </w:t>
      </w:r>
      <w:r>
        <w:t xml:space="preserve">Se o terceiro contratado não realizar a prestação no prazo ou se o fizer de modo incompleto ou defeituoso, poderá o exequente requerer ao juiz, no prazo de 15 (quinze) dias, que o autorize a concluí-la ou a repará-la à custa do contratante.</w:t>
      </w:r>
    </w:p>
    <w:p>
      <w:pPr>
        <w:pStyle w:val="BodyText"/>
        <w:spacing w:after="60"/>
        <w:jc w:val="both"/>
      </w:pPr>
      <w:r>
        <w:t xml:space="preserve">Parágrafo único. Ouvido o contratante no prazo de 15 (quinze) dias, o juiz mandará avaliar o custo das despesas necessárias e o condenará a pagá-lo.</w:t>
      </w:r>
    </w:p>
    <w:bookmarkEnd w:id="624"/>
    <w:bookmarkStart w:id="625" w:name="art.-820"/>
    <w:p>
      <w:pPr>
        <w:pStyle w:val="Heading6"/>
        <w:pBdr>
          <w:left w:val="single" w:sz="36" w:space="4" w:color="2E75B6"/>
        </w:pBdr>
        <w:shd w:val="clear" w:color="auto" w:fill="E3EEF9"/>
        <w:spacing w:before="120" w:after="60"/>
        <w:ind w:left="85"/>
      </w:pPr>
      <w:r>
        <w:rPr>
          <w:i w:val="0"/>
          <w:color w:val="1F3A5F"/>
          <w:sz w:val="22"/>
        </w:rPr>
        <w:t xml:space="preserve">Art. 820</w:t>
      </w:r>
    </w:p>
    <w:p>
      <w:pPr>
        <w:pStyle w:val="FirstParagraph"/>
        <w:spacing w:after="60"/>
        <w:jc w:val="both"/>
      </w:pPr>
      <w:r>
        <w:rPr>
          <w:b/>
          <w:bCs/>
        </w:rPr>
        <w:t xml:space="preserve">Art. 820.</w:t>
      </w:r>
      <w:r>
        <w:t xml:space="preserve"> </w:t>
      </w:r>
      <w:r>
        <w:t xml:space="preserve">Se o exequente quiser executar ou mandar executar, sob sua direção e vigilância, as obras e os trabalhos necessários à realização da prestação, terá preferência, em igualdade de condições de oferta, em relação ao terceiro.</w:t>
      </w:r>
    </w:p>
    <w:p>
      <w:pPr>
        <w:pStyle w:val="BodyText"/>
        <w:spacing w:after="60"/>
        <w:jc w:val="both"/>
      </w:pPr>
      <w:r>
        <w:t xml:space="preserve">Parágrafo único. O direito de preferência deverá ser exercido no prazo de 5 (cinco) dias, após aprovada a proposta do terceiro.</w:t>
      </w:r>
    </w:p>
    <w:bookmarkEnd w:id="625"/>
    <w:bookmarkStart w:id="626" w:name="art.-821"/>
    <w:p>
      <w:pPr>
        <w:pStyle w:val="Heading6"/>
        <w:pBdr>
          <w:left w:val="single" w:sz="36" w:space="4" w:color="2E75B6"/>
        </w:pBdr>
        <w:shd w:val="clear" w:color="auto" w:fill="E3EEF9"/>
        <w:spacing w:before="120" w:after="60"/>
        <w:ind w:left="85"/>
      </w:pPr>
      <w:r>
        <w:rPr>
          <w:i w:val="0"/>
          <w:color w:val="1F3A5F"/>
          <w:sz w:val="22"/>
        </w:rPr>
        <w:t xml:space="preserve">Art. 821</w:t>
      </w:r>
    </w:p>
    <w:p>
      <w:pPr>
        <w:pStyle w:val="FirstParagraph"/>
        <w:spacing w:after="60"/>
        <w:jc w:val="both"/>
      </w:pPr>
      <w:r>
        <w:rPr>
          <w:b/>
          <w:bCs/>
        </w:rPr>
        <w:t xml:space="preserve">Art. 821.</w:t>
      </w:r>
      <w:r>
        <w:t xml:space="preserve"> </w:t>
      </w:r>
      <w:r>
        <w:t xml:space="preserve">Na obrigação de fazer, quando se convencionar que o executado a satisfaça pessoalmente, o exequente poderá requerer ao juiz que lhe assine prazo para cumpri-la.</w:t>
      </w:r>
    </w:p>
    <w:p>
      <w:pPr>
        <w:pStyle w:val="BodyText"/>
        <w:spacing w:after="60"/>
        <w:jc w:val="both"/>
      </w:pPr>
      <w:r>
        <w:t xml:space="preserve">Parágrafo único. Havendo recusa ou mora do executado, sua obrigação pessoal será convertida em perdas e danos, caso em que se observará o procedimento de execução por quantia certa.</w:t>
      </w:r>
    </w:p>
    <w:bookmarkEnd w:id="626"/>
    <w:bookmarkEnd w:id="627"/>
    <w:bookmarkStart w:id="630" w:name="X24fb0c5e2cc619e0b2c1dc8748e83840b4f3d89"/>
    <w:p>
      <w:pPr>
        <w:pStyle w:val="Heading5"/>
        <w:spacing w:before="60" w:after="20"/>
      </w:pPr>
      <w:r>
        <w:rPr>
          <w:i/>
          <w:color w:val="595959"/>
        </w:rPr>
        <w:t xml:space="preserve">Seção III: da obrigação de não fazer (arts. 822 a 823)</w:t>
      </w:r>
    </w:p>
    <w:bookmarkStart w:id="628" w:name="art.-822"/>
    <w:p>
      <w:pPr>
        <w:pStyle w:val="Heading6"/>
        <w:pBdr>
          <w:left w:val="single" w:sz="36" w:space="4" w:color="2E75B6"/>
        </w:pBdr>
        <w:shd w:val="clear" w:color="auto" w:fill="E3EEF9"/>
        <w:spacing w:before="120" w:after="60"/>
        <w:ind w:left="85"/>
      </w:pPr>
      <w:r>
        <w:rPr>
          <w:i w:val="0"/>
          <w:color w:val="1F3A5F"/>
          <w:sz w:val="22"/>
        </w:rPr>
        <w:t xml:space="preserve">Art. 822</w:t>
      </w:r>
    </w:p>
    <w:p>
      <w:pPr>
        <w:pStyle w:val="FirstParagraph"/>
        <w:spacing w:after="60"/>
        <w:jc w:val="both"/>
      </w:pPr>
      <w:r>
        <w:rPr>
          <w:b/>
          <w:bCs/>
        </w:rPr>
        <w:t xml:space="preserve">Art. 822.</w:t>
      </w:r>
      <w:r>
        <w:t xml:space="preserve"> </w:t>
      </w:r>
      <w:r>
        <w:t xml:space="preserve">Se o executado praticou ato a cuja abstenção estava obrigado por lei ou por contrato, o exequente requererá ao juiz que assine prazo ao executado para desfazê-lo.</w:t>
      </w:r>
    </w:p>
    <w:bookmarkEnd w:id="628"/>
    <w:bookmarkStart w:id="629" w:name="art.-823"/>
    <w:p>
      <w:pPr>
        <w:pStyle w:val="Heading6"/>
        <w:pBdr>
          <w:left w:val="single" w:sz="36" w:space="4" w:color="2E75B6"/>
        </w:pBdr>
        <w:shd w:val="clear" w:color="auto" w:fill="E3EEF9"/>
        <w:spacing w:before="120" w:after="60"/>
        <w:ind w:left="85"/>
      </w:pPr>
      <w:r>
        <w:rPr>
          <w:i w:val="0"/>
          <w:color w:val="1F3A5F"/>
          <w:sz w:val="22"/>
        </w:rPr>
        <w:t xml:space="preserve">Art. 823</w:t>
      </w:r>
    </w:p>
    <w:p>
      <w:pPr>
        <w:pStyle w:val="FirstParagraph"/>
        <w:spacing w:after="60"/>
        <w:jc w:val="both"/>
      </w:pPr>
      <w:r>
        <w:rPr>
          <w:b/>
          <w:bCs/>
        </w:rPr>
        <w:t xml:space="preserve">Art. 823.</w:t>
      </w:r>
      <w:r>
        <w:t xml:space="preserve"> </w:t>
      </w:r>
      <w:r>
        <w:t xml:space="preserve">Havendo recusa ou mora do executado, o exequente requererá ao juiz que mande desfazer o ato à custa daquele, que responderá por perdas e danos.</w:t>
      </w:r>
    </w:p>
    <w:p>
      <w:pPr>
        <w:pStyle w:val="BodyText"/>
        <w:spacing w:after="60"/>
        <w:jc w:val="both"/>
      </w:pPr>
      <w:r>
        <w:t xml:space="preserve">Parágrafo único. Não sendo possível desfazer-se o ato, a obrigação resolve-se em perdas e danos, caso em que, após a liquidação, se observará o procedimento de execução por quantia certa.</w:t>
      </w:r>
    </w:p>
    <w:bookmarkEnd w:id="629"/>
    <w:bookmarkEnd w:id="630"/>
    <w:bookmarkEnd w:id="631"/>
    <w:bookmarkStart w:id="723" w:name="Xfceaf66f53d94a5d0a4ae62541207f6c42df625"/>
    <w:p>
      <w:pPr>
        <w:pStyle w:val="Heading4"/>
        <w:spacing w:before="80" w:after="40"/>
      </w:pPr>
      <w:r>
        <w:rPr>
          <w:smallCaps/>
          <w:color w:val="2E75B6"/>
        </w:rPr>
        <w:t xml:space="preserve">Capítulo IV: da execução por quantia certa (arts. 824 a 909)</w:t>
      </w:r>
    </w:p>
    <w:bookmarkStart w:id="635" w:name="X286069f850bee27c4c7892f09c8830032e9610c"/>
    <w:p>
      <w:pPr>
        <w:pStyle w:val="Heading5"/>
        <w:spacing w:before="60" w:after="20"/>
      </w:pPr>
      <w:r>
        <w:rPr>
          <w:i/>
          <w:color w:val="595959"/>
        </w:rPr>
        <w:t xml:space="preserve">Seção I: disposições gerais (arts. 824 a 826)</w:t>
      </w:r>
    </w:p>
    <w:bookmarkStart w:id="632" w:name="art.-824"/>
    <w:p>
      <w:pPr>
        <w:pStyle w:val="Heading6"/>
        <w:pBdr>
          <w:left w:val="single" w:sz="36" w:space="4" w:color="2E75B6"/>
        </w:pBdr>
        <w:shd w:val="clear" w:color="auto" w:fill="E3EEF9"/>
        <w:spacing w:before="120" w:after="60"/>
        <w:ind w:left="85"/>
      </w:pPr>
      <w:r>
        <w:rPr>
          <w:i w:val="0"/>
          <w:color w:val="1F3A5F"/>
          <w:sz w:val="22"/>
        </w:rPr>
        <w:t xml:space="preserve">Art. 824</w:t>
      </w:r>
    </w:p>
    <w:p>
      <w:pPr>
        <w:pStyle w:val="FirstParagraph"/>
        <w:spacing w:after="60"/>
        <w:jc w:val="both"/>
      </w:pPr>
      <w:r>
        <w:rPr>
          <w:b/>
          <w:bCs/>
        </w:rPr>
        <w:t xml:space="preserve">Art. 824.</w:t>
      </w:r>
      <w:r>
        <w:t xml:space="preserve"> </w:t>
      </w:r>
      <w:r>
        <w:t xml:space="preserve">A execução por quantia certa realiza-se pela expropriação de bens do executado, ressalvadas as execuções especiais.</w:t>
      </w:r>
    </w:p>
    <w:bookmarkEnd w:id="632"/>
    <w:bookmarkStart w:id="633" w:name="art.-825"/>
    <w:p>
      <w:pPr>
        <w:pStyle w:val="Heading6"/>
        <w:pBdr>
          <w:left w:val="single" w:sz="36" w:space="4" w:color="2E75B6"/>
        </w:pBdr>
        <w:shd w:val="clear" w:color="auto" w:fill="E3EEF9"/>
        <w:spacing w:before="120" w:after="60"/>
        <w:ind w:left="85"/>
      </w:pPr>
      <w:r>
        <w:rPr>
          <w:i w:val="0"/>
          <w:color w:val="1F3A5F"/>
          <w:sz w:val="22"/>
        </w:rPr>
        <w:t xml:space="preserve">Art. 825</w:t>
      </w:r>
    </w:p>
    <w:p>
      <w:pPr>
        <w:pStyle w:val="FirstParagraph"/>
        <w:spacing w:after="60"/>
        <w:jc w:val="both"/>
      </w:pPr>
      <w:r>
        <w:rPr>
          <w:b/>
          <w:bCs/>
        </w:rPr>
        <w:t xml:space="preserve">Art. 825.</w:t>
      </w:r>
      <w:r>
        <w:t xml:space="preserve"> </w:t>
      </w:r>
      <w:r>
        <w:t xml:space="preserve">A expropriação consiste em:</w:t>
      </w:r>
    </w:p>
    <w:p>
      <w:pPr>
        <w:pStyle w:val="BodyText"/>
        <w:spacing w:after="60"/>
        <w:jc w:val="both"/>
      </w:pPr>
      <w:r>
        <w:t xml:space="preserve">I - adjudicação;</w:t>
      </w:r>
    </w:p>
    <w:p>
      <w:pPr>
        <w:pStyle w:val="BodyText"/>
        <w:spacing w:after="60"/>
        <w:jc w:val="both"/>
      </w:pPr>
      <w:r>
        <w:t xml:space="preserve">II - alienação;</w:t>
      </w:r>
    </w:p>
    <w:p>
      <w:pPr>
        <w:pStyle w:val="BodyText"/>
        <w:spacing w:after="60"/>
        <w:jc w:val="both"/>
      </w:pPr>
      <w:r>
        <w:t xml:space="preserve">III - apropriação de frutos e rendimentos de empresa ou de estabelecimentos e de outros bens.</w:t>
      </w:r>
    </w:p>
    <w:bookmarkEnd w:id="633"/>
    <w:bookmarkStart w:id="634" w:name="art.-826"/>
    <w:p>
      <w:pPr>
        <w:pStyle w:val="Heading6"/>
        <w:pBdr>
          <w:left w:val="single" w:sz="36" w:space="4" w:color="2E75B6"/>
        </w:pBdr>
        <w:shd w:val="clear" w:color="auto" w:fill="E3EEF9"/>
        <w:spacing w:before="120" w:after="60"/>
        <w:ind w:left="85"/>
      </w:pPr>
      <w:r>
        <w:rPr>
          <w:i w:val="0"/>
          <w:color w:val="1F3A5F"/>
          <w:sz w:val="22"/>
        </w:rPr>
        <w:t xml:space="preserve">Art. 826</w:t>
      </w:r>
    </w:p>
    <w:p>
      <w:pPr>
        <w:pStyle w:val="FirstParagraph"/>
        <w:keepNext/>
        <w:spacing w:after="60"/>
        <w:jc w:val="both"/>
      </w:pPr>
      <w:r>
        <w:rPr>
          <w:b/>
          <w:bCs/>
        </w:rPr>
        <w:t xml:space="preserve">Art. 826.</w:t>
      </w:r>
      <w:r>
        <w:t xml:space="preserve"> </w:t>
      </w:r>
      <w:r>
        <w:t xml:space="preserve">Antes de adjudicados ou alienados os bens, o executado pode, a todo tempo, remir a execução, pagando ou consignando a importância atualizada da dívida, acrescida de juros, custas e honorários advocatícios.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remição da execução</w:t>
            </w:r>
          </w:p>
        </w:tc>
        <w:tc>
          <w:tcPr>
            <w:tcW w:type="dxa" w:w="1531"/>
          </w:tcPr>
          <w:p>
            <w:pPr>
              <w:pStyle w:val="Compact"/>
              <w:spacing w:line="276" w:lineRule="auto" w:before="40" w:after="40"/>
            </w:pPr>
            <w:r>
              <w:rPr>
                <w:rFonts w:ascii="Liberation Sans Narrow" w:hAnsi="Liberation Sans Narrow"/>
                <w:sz w:val="17"/>
              </w:rPr>
              <w:t xml:space="preserve">STJ, AREsp 2.673.794, Quarta Turma, relator Min. João Otávio de Noronha, julgado em 16/03/2026</w:t>
            </w:r>
          </w:p>
        </w:tc>
        <w:tc>
          <w:tcPr>
            <w:tcW w:type="dxa" w:w="1905"/>
          </w:tcPr>
          <w:p>
            <w:pPr>
              <w:pStyle w:val="Compact"/>
              <w:spacing w:line="276" w:lineRule="auto" w:before="40" w:after="40"/>
            </w:pPr>
            <w:r>
              <w:rPr>
                <w:rFonts w:ascii="Liberation Sans Narrow" w:hAnsi="Liberation Sans Narrow"/>
                <w:sz w:val="17"/>
              </w:rPr>
              <w:t xml:space="preserve">A remição exige pagamento integral antes da adjudicação ou da alienação do bem; o depósito inicial insuficiente, complementado apenas após o auto de arrematação, não autoriza a remição.</w:t>
            </w:r>
          </w:p>
        </w:tc>
      </w:tr>
    </w:tbl>
    <w:bookmarkEnd w:id="634"/>
    <w:bookmarkEnd w:id="635"/>
    <w:bookmarkStart w:id="640" w:name="X23271c62eea53b967ad3a6c48eff7323703988f"/>
    <w:p>
      <w:pPr>
        <w:pStyle w:val="Heading5"/>
        <w:spacing w:before="60" w:after="20"/>
      </w:pPr>
      <w:r>
        <w:rPr>
          <w:i/>
          <w:color w:val="595959"/>
        </w:rPr>
        <w:t xml:space="preserve">Seção II: da citação do devedor e do arresto (arts. 827 a 830)</w:t>
      </w:r>
    </w:p>
    <w:bookmarkStart w:id="636" w:name="art.-827"/>
    <w:p>
      <w:pPr>
        <w:pStyle w:val="Heading6"/>
        <w:pBdr>
          <w:left w:val="single" w:sz="36" w:space="4" w:color="2E75B6"/>
        </w:pBdr>
        <w:shd w:val="clear" w:color="auto" w:fill="E3EEF9"/>
        <w:spacing w:before="120" w:after="60"/>
        <w:ind w:left="85"/>
      </w:pPr>
      <w:r>
        <w:rPr>
          <w:i w:val="0"/>
          <w:color w:val="1F3A5F"/>
          <w:sz w:val="22"/>
        </w:rPr>
        <w:t xml:space="preserve">Art. 827</w:t>
      </w:r>
    </w:p>
    <w:p>
      <w:pPr>
        <w:pStyle w:val="FirstParagraph"/>
        <w:keepNext/>
        <w:spacing w:after="60"/>
        <w:jc w:val="both"/>
      </w:pPr>
      <w:r>
        <w:rPr>
          <w:b/>
          <w:bCs/>
        </w:rPr>
        <w:t xml:space="preserve">Art. 827.</w:t>
      </w:r>
      <w:r>
        <w:t xml:space="preserve"> </w:t>
      </w:r>
      <w:r>
        <w:t xml:space="preserve">Ao despachar a inicial, o juiz fixará, de plano, os honorários advocatícios de dez por cento, a serem pagos pelo executado.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2154"/>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honorários de dez por cento</w:t>
            </w:r>
          </w:p>
        </w:tc>
        <w:tc>
          <w:tcPr>
            <w:tcW w:type="dxa" w:w="1531"/>
          </w:tcPr>
          <w:p>
            <w:pPr>
              <w:pStyle w:val="Compact"/>
              <w:spacing w:line="276" w:lineRule="auto" w:before="40" w:after="40"/>
            </w:pPr>
            <w:r>
              <w:rPr>
                <w:rFonts w:ascii="Liberation Sans Narrow" w:hAnsi="Liberation Sans Narrow"/>
                <w:sz w:val="17"/>
              </w:rPr>
              <w:t xml:space="preserve">STJ, EDcl no AREsp 3.089.140, Terceira Turma, relator Min. Moura Ribeiro, julgado em 24/08/2026</w:t>
            </w:r>
          </w:p>
        </w:tc>
        <w:tc>
          <w:tcPr>
            <w:tcW w:type="dxa" w:w="2154"/>
          </w:tcPr>
          <w:p>
            <w:pPr>
              <w:pStyle w:val="Compact"/>
              <w:spacing w:line="276" w:lineRule="auto" w:before="40" w:after="40"/>
            </w:pPr>
            <w:r>
              <w:rPr>
                <w:rFonts w:ascii="Liberation Sans Narrow" w:hAnsi="Liberation Sans Narrow"/>
                <w:sz w:val="17"/>
              </w:rPr>
              <w:t xml:space="preserve">A fixação de honorários sucumbenciais no despacho inicial da execução por quantia certa segue o percentual legal de 10% (art. 827), norma cogente que não pode ser afastada por negócio jurídico processual nem pela autonomia privada; os honorários contratuais não se confundem com os de sucumbência e não autorizam a cumulação pretendida.</w:t>
            </w:r>
          </w:p>
        </w:tc>
      </w:tr>
      <w:tr>
        <w:trPr/>
        <w:tc>
          <w:tcPr>
            <w:tcW w:type="dxa" w:w="1655"/>
          </w:tcPr>
          <w:p>
            <w:pPr>
              <w:pStyle w:val="Compact"/>
              <w:spacing w:line="276" w:lineRule="auto" w:before="40" w:after="40"/>
            </w:pPr>
            <w:r>
              <w:rPr>
                <w:rFonts w:ascii="Liberation Sans Narrow" w:hAnsi="Liberation Sans Narrow"/>
                <w:sz w:val="17"/>
              </w:rPr>
              <w:t xml:space="preserve">Caput — honorários na execução extinta pelo acolhimento dos embargos (aplicação narrada)</w:t>
            </w:r>
          </w:p>
        </w:tc>
        <w:tc>
          <w:tcPr>
            <w:tcW w:type="dxa" w:w="1531"/>
          </w:tcPr>
          <w:p>
            <w:pPr>
              <w:pStyle w:val="Compact"/>
              <w:spacing w:line="276" w:lineRule="auto" w:before="40" w:after="40"/>
            </w:pPr>
            <w:r>
              <w:rPr>
                <w:rFonts w:ascii="Liberation Sans Narrow" w:hAnsi="Liberation Sans Narrow"/>
                <w:sz w:val="17"/>
              </w:rPr>
              <w:t xml:space="preserve">STJ, REsp 2.233.654, Quarta Turma, relator Min. João Otávio de Noronha, julgado em 22/04/2026</w:t>
            </w:r>
          </w:p>
        </w:tc>
        <w:tc>
          <w:tcPr>
            <w:tcW w:type="dxa" w:w="2154"/>
          </w:tcPr>
          <w:p>
            <w:pPr>
              <w:pStyle w:val="Compact"/>
              <w:spacing w:line="276" w:lineRule="auto" w:before="40" w:after="40"/>
            </w:pPr>
            <w:r>
              <w:rPr>
                <w:rFonts w:ascii="Liberation Sans Narrow" w:hAnsi="Liberation Sans Narrow"/>
                <w:sz w:val="17"/>
              </w:rPr>
              <w:t xml:space="preserve">Extinta a execução pelo acolhimento dos embargos que desconstituíram o título, é possível a fixação autônoma de honorários na execução, cumulados com os arbitrados nos embargos, respeitado o teto do art. 85 (Tema 587 do Superior Tribunal de Justiça), pois a sucumbência na execução e nos embargos decorre de relações processuais distintas. Trecho: “É possível a fixação de honorários na execução extinta pelo acolhimento dos embargos, cumulados com os honorários dos embargos, respeitado o limite do art.”</w:t>
            </w:r>
          </w:p>
        </w:tc>
      </w:tr>
    </w:tbl>
    <w:p>
      <w:pPr>
        <w:pStyle w:val="BodyText"/>
        <w:spacing w:after="60"/>
        <w:jc w:val="both"/>
      </w:pPr>
      <w:r>
        <w:t xml:space="preserve">§ 1º No caso de integral pagamento no prazo de 3 (três) dias, o valor dos honorários advocatícios será reduzido pela metade.</w:t>
      </w:r>
    </w:p>
    <w:p>
      <w:pPr>
        <w:pStyle w:val="BodyText"/>
        <w:spacing w:after="60"/>
        <w:jc w:val="both"/>
      </w:pPr>
      <w:r>
        <w:t xml:space="preserve">§ 2º O valor dos honorários poderá ser elevado até vinte por cento, quando rejeitados os embargos à execução, podendo a majoração, caso não opostos os embargos, ocorrer ao final do procedimento executivo, levando-se em conta o trabalho realizado pelo advogado do exequente.</w:t>
      </w:r>
    </w:p>
    <w:bookmarkEnd w:id="636"/>
    <w:bookmarkStart w:id="637" w:name="art.-828"/>
    <w:p>
      <w:pPr>
        <w:pStyle w:val="Heading6"/>
        <w:pBdr>
          <w:left w:val="single" w:sz="36" w:space="4" w:color="2E75B6"/>
        </w:pBdr>
        <w:shd w:val="clear" w:color="auto" w:fill="E3EEF9"/>
        <w:spacing w:before="120" w:after="60"/>
        <w:ind w:left="85"/>
      </w:pPr>
      <w:r>
        <w:rPr>
          <w:i w:val="0"/>
          <w:color w:val="1F3A5F"/>
          <w:sz w:val="22"/>
        </w:rPr>
        <w:t xml:space="preserve">Art. 828</w:t>
      </w:r>
    </w:p>
    <w:p>
      <w:pPr>
        <w:pStyle w:val="FirstParagraph"/>
        <w:spacing w:after="60"/>
        <w:jc w:val="both"/>
      </w:pPr>
      <w:r>
        <w:rPr>
          <w:b/>
          <w:bCs/>
        </w:rPr>
        <w:t xml:space="preserve">Art. 828.</w:t>
      </w:r>
      <w:r>
        <w:t xml:space="preserve"> </w:t>
      </w:r>
      <w:r>
        <w:t xml:space="preserve">O exequente poderá obter certidão de que a execução foi admitida pelo juiz, com identificação das partes e do valor da causa, para fins de averbação no registro de imóveis, de veículos ou de outros bens sujeitos a penhora, arresto ou indisponibilidade.</w:t>
      </w:r>
    </w:p>
    <w:p>
      <w:pPr>
        <w:pStyle w:val="BodyText"/>
        <w:spacing w:after="60"/>
        <w:jc w:val="both"/>
      </w:pPr>
      <w:r>
        <w:t xml:space="preserve">§ 1º No prazo de 10 (dez) dias de sua concretização, o exequente deverá comunicar ao juízo as averbações efetivadas.</w:t>
      </w:r>
    </w:p>
    <w:p>
      <w:pPr>
        <w:pStyle w:val="BodyText"/>
        <w:spacing w:after="60"/>
        <w:jc w:val="both"/>
      </w:pPr>
      <w:r>
        <w:t xml:space="preserve">§ 2º Formalizada penhora sobre bens suficientes para cobrir o valor da dívida, o exequente providenciará, no prazo de 10 (dez) dias, o cancelamento das averbações relativas àqueles não penhorados.</w:t>
      </w:r>
    </w:p>
    <w:p>
      <w:pPr>
        <w:pStyle w:val="BodyText"/>
        <w:spacing w:after="60"/>
        <w:jc w:val="both"/>
      </w:pPr>
      <w:r>
        <w:t xml:space="preserve">§ 3º O juiz determinará o cancelamento das averbações, de ofício ou a requerimento, caso o exequente não o faça no prazo.</w:t>
      </w:r>
    </w:p>
    <w:p>
      <w:pPr>
        <w:pStyle w:val="BodyText"/>
        <w:keepNext/>
        <w:spacing w:after="60"/>
        <w:jc w:val="both"/>
      </w:pPr>
      <w:r>
        <w:t xml:space="preserve">§ 4º Presume-se em fraude à execução a alienação ou a oneração de bens efetuada após a averbação.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871"/>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871"/>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 4º — presunção de fraude após averbação</w:t>
            </w:r>
          </w:p>
        </w:tc>
        <w:tc>
          <w:tcPr>
            <w:tcW w:type="dxa" w:w="1531"/>
          </w:tcPr>
          <w:p>
            <w:pPr>
              <w:pStyle w:val="Compact"/>
              <w:spacing w:line="276" w:lineRule="auto" w:before="40" w:after="40"/>
            </w:pPr>
            <w:r>
              <w:rPr>
                <w:rFonts w:ascii="Liberation Sans Narrow" w:hAnsi="Liberation Sans Narrow"/>
                <w:sz w:val="17"/>
              </w:rPr>
              <w:t xml:space="preserve">STJ, AREsp 2.621.183, Quarta Turma, relator Min. João Otávio de Noronha, julgado em 09/03/2026</w:t>
            </w:r>
          </w:p>
        </w:tc>
        <w:tc>
          <w:tcPr>
            <w:tcW w:type="dxa" w:w="1871"/>
          </w:tcPr>
          <w:p>
            <w:pPr>
              <w:pStyle w:val="Compact"/>
              <w:spacing w:line="276" w:lineRule="auto" w:before="40" w:after="40"/>
            </w:pPr>
            <w:r>
              <w:rPr>
                <w:rFonts w:ascii="Liberation Sans Narrow" w:hAnsi="Liberation Sans Narrow"/>
                <w:sz w:val="17"/>
              </w:rPr>
              <w:t xml:space="preserve">A fraude à execução opera no plano da eficácia, tornando a alienação ineficaz em relação ao exequente que averbou a execução.</w:t>
            </w:r>
          </w:p>
        </w:tc>
      </w:tr>
    </w:tbl>
    <w:p>
      <w:pPr>
        <w:pStyle w:val="BodyText"/>
        <w:spacing w:after="60"/>
        <w:jc w:val="both"/>
      </w:pPr>
      <w:r>
        <w:t xml:space="preserve">§ 5º O exequente que promover averbação manifestamente indevida ou não cancelar as averbações nos termos do § 2º indenizará a parte contrária, processando-se o incidente em autos apartados.</w:t>
      </w:r>
    </w:p>
    <w:bookmarkEnd w:id="637"/>
    <w:bookmarkStart w:id="638" w:name="art.-829"/>
    <w:p>
      <w:pPr>
        <w:pStyle w:val="Heading6"/>
        <w:pBdr>
          <w:left w:val="single" w:sz="36" w:space="4" w:color="2E75B6"/>
        </w:pBdr>
        <w:shd w:val="clear" w:color="auto" w:fill="E3EEF9"/>
        <w:spacing w:before="120" w:after="60"/>
        <w:ind w:left="85"/>
      </w:pPr>
      <w:r>
        <w:rPr>
          <w:i w:val="0"/>
          <w:color w:val="1F3A5F"/>
          <w:sz w:val="22"/>
        </w:rPr>
        <w:t xml:space="preserve">Art. 829</w:t>
      </w:r>
    </w:p>
    <w:p>
      <w:pPr>
        <w:pStyle w:val="FirstParagraph"/>
        <w:spacing w:after="60"/>
        <w:jc w:val="both"/>
      </w:pPr>
      <w:r>
        <w:rPr>
          <w:b/>
          <w:bCs/>
        </w:rPr>
        <w:t xml:space="preserve">Art. 829.</w:t>
      </w:r>
      <w:r>
        <w:t xml:space="preserve"> </w:t>
      </w:r>
      <w:r>
        <w:t xml:space="preserve">O executado será citado para pagar a dívida no prazo de 3 (três) dias, contado da citação.</w:t>
      </w:r>
    </w:p>
    <w:p>
      <w:pPr>
        <w:pStyle w:val="BodyText"/>
        <w:spacing w:after="60"/>
        <w:jc w:val="both"/>
      </w:pPr>
      <w:r>
        <w:t xml:space="preserve">§ 1º Do mandado de citação constarão, também, a ordem de penhora e a avaliação a serem cumpridas pelo oficial de justiça tão logo verificado o não pagamento no prazo assinalado, de tudo lavrando-se auto, com intimação do executado.</w:t>
      </w:r>
    </w:p>
    <w:p>
      <w:pPr>
        <w:pStyle w:val="BodyText"/>
        <w:spacing w:after="60"/>
        <w:jc w:val="both"/>
      </w:pPr>
      <w:r>
        <w:t xml:space="preserve">§ 2º A penhora recairá sobre os bens indicados pelo exequente, salvo se outros forem indicados pelo executado e aceitos pelo juiz, mediante demonstração de que a constrição proposta lhe será menos onerosa e não trará prejuízo ao exequente.</w:t>
      </w:r>
    </w:p>
    <w:bookmarkEnd w:id="638"/>
    <w:bookmarkStart w:id="639" w:name="art.-830"/>
    <w:p>
      <w:pPr>
        <w:pStyle w:val="Heading6"/>
        <w:pBdr>
          <w:left w:val="single" w:sz="36" w:space="4" w:color="2E75B6"/>
        </w:pBdr>
        <w:shd w:val="clear" w:color="auto" w:fill="E3EEF9"/>
        <w:spacing w:before="120" w:after="60"/>
        <w:ind w:left="85"/>
      </w:pPr>
      <w:r>
        <w:rPr>
          <w:i w:val="0"/>
          <w:color w:val="1F3A5F"/>
          <w:sz w:val="22"/>
        </w:rPr>
        <w:t xml:space="preserve">Art. 830</w:t>
      </w:r>
    </w:p>
    <w:p>
      <w:pPr>
        <w:pStyle w:val="FirstParagraph"/>
        <w:keepNext/>
        <w:spacing w:after="60"/>
        <w:jc w:val="both"/>
      </w:pPr>
      <w:r>
        <w:rPr>
          <w:b/>
          <w:bCs/>
        </w:rPr>
        <w:t xml:space="preserve">Art. 830.</w:t>
      </w:r>
      <w:r>
        <w:t xml:space="preserve"> </w:t>
      </w:r>
      <w:r>
        <w:t xml:space="preserve">Se o oficial de justiça não encontrar o executado, arrestar-lhe-á tantos bens quantos bastem para garantir a execução.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arresto</w:t>
            </w:r>
          </w:p>
        </w:tc>
        <w:tc>
          <w:tcPr>
            <w:tcW w:type="dxa" w:w="1655"/>
          </w:tcPr>
          <w:p>
            <w:pPr>
              <w:pStyle w:val="Compact"/>
              <w:spacing w:line="276" w:lineRule="auto" w:before="40" w:after="40"/>
            </w:pPr>
            <w:r>
              <w:rPr>
                <w:rFonts w:ascii="Liberation Sans Narrow" w:hAnsi="Liberation Sans Narrow"/>
                <w:sz w:val="17"/>
              </w:rPr>
              <w:t xml:space="preserve">STJ, REsp 2.162.965, Quarta Turma, relator Min. João Otávio de Noronha, julgado em 25/05/2026, DJEN de 28/05/2026</w:t>
            </w:r>
          </w:p>
        </w:tc>
        <w:tc>
          <w:tcPr>
            <w:tcW w:type="dxa" w:w="1905"/>
          </w:tcPr>
          <w:p>
            <w:pPr>
              <w:pStyle w:val="Compact"/>
              <w:spacing w:line="276" w:lineRule="auto" w:before="40" w:after="40"/>
            </w:pPr>
            <w:r>
              <w:rPr>
                <w:rFonts w:ascii="Liberation Sans Narrow" w:hAnsi="Liberation Sans Narrow"/>
                <w:sz w:val="17"/>
              </w:rPr>
              <w:t xml:space="preserve">É admissível o arresto de ativos financeiros na execução de título extrajudicial após tentativa de citação frustrada pelos Correios, sem necessidade de esgotamento da diligência por oficial de justiça.</w:t>
            </w:r>
          </w:p>
        </w:tc>
      </w:tr>
    </w:tbl>
    <w:p>
      <w:pPr>
        <w:pStyle w:val="BodyText"/>
        <w:spacing w:after="60"/>
        <w:jc w:val="both"/>
      </w:pPr>
      <w:r>
        <w:t xml:space="preserve">§ 1º Nos 10 (dez) dias seguintes à efetivação do arresto, o oficial de justiça procurará o executado 2 (duas) vezes em dias distintos e, havendo suspeita de ocultação, realizará a citação com hora certa, certificando pormenorizadamente o ocorrido.</w:t>
      </w:r>
    </w:p>
    <w:p>
      <w:pPr>
        <w:pStyle w:val="BodyText"/>
        <w:keepNext/>
        <w:spacing w:after="60"/>
        <w:jc w:val="both"/>
      </w:pPr>
      <w:r>
        <w:t xml:space="preserve">§ 2º Incumbe ao exequente requerer a citação por edital, uma vez frustradas a pessoal e a com hora certa.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871"/>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871"/>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531"/>
          </w:tcPr>
          <w:p>
            <w:pPr>
              <w:pStyle w:val="Compact"/>
              <w:spacing w:line="276" w:lineRule="auto" w:before="40" w:after="40"/>
            </w:pPr>
            <w:r>
              <w:rPr>
                <w:rFonts w:ascii="Liberation Sans Narrow" w:hAnsi="Liberation Sans Narrow"/>
                <w:sz w:val="17"/>
              </w:rPr>
              <w:t xml:space="preserve">§ 2º — citação por edital e ordem dos atos executivos (aplicação narrada)</w:t>
            </w:r>
          </w:p>
        </w:tc>
        <w:tc>
          <w:tcPr>
            <w:tcW w:type="dxa" w:w="1531"/>
          </w:tcPr>
          <w:p>
            <w:pPr>
              <w:pStyle w:val="Compact"/>
              <w:spacing w:line="276" w:lineRule="auto" w:before="40" w:after="40"/>
            </w:pPr>
            <w:r>
              <w:rPr>
                <w:rFonts w:ascii="Liberation Sans Narrow" w:hAnsi="Liberation Sans Narrow"/>
                <w:sz w:val="17"/>
              </w:rPr>
              <w:t xml:space="preserve">STJ, REsp 2.189.427, Primeira Turma, relator Min. Paulo Sérgio Domingues, julgado em 04/08/2026</w:t>
            </w:r>
          </w:p>
        </w:tc>
        <w:tc>
          <w:tcPr>
            <w:tcW w:type="dxa" w:w="1871"/>
          </w:tcPr>
          <w:p>
            <w:pPr>
              <w:pStyle w:val="Compact"/>
              <w:spacing w:line="276" w:lineRule="auto" w:before="40" w:after="40"/>
            </w:pPr>
            <w:r>
              <w:rPr>
                <w:rFonts w:ascii="Liberation Sans Narrow" w:hAnsi="Liberation Sans Narrow"/>
                <w:sz w:val="17"/>
              </w:rPr>
              <w:t xml:space="preserve">Frustradas a citação postal e a realizada por oficial de justiça, o juiz pode postergar a citação por edital e determinar previamente o arresto de ativos por meio do SISBAJUD, pois o poder-dever de condução do processo (arts. 4º, 8º, 139 e 370) autoriza priorizar medidas executivas mais eficazes e evitar diligências inúteis; a postergação da citação ficta não implica sua supressão, e a interrupção da prescrição decorre do despacho que ordena a citação (art. 240). Trecho: “O magistrado exerce poder-dever de condução do processo, podendo alterar a ordem dos atos e priorizar medidas executivas mais eficazes, inclusive para evitar diligências inúteis, nos termos dos arts.”</w:t>
            </w:r>
          </w:p>
        </w:tc>
      </w:tr>
    </w:tbl>
    <w:p>
      <w:pPr>
        <w:pStyle w:val="BodyText"/>
        <w:spacing w:after="60"/>
        <w:jc w:val="both"/>
      </w:pPr>
      <w:r>
        <w:t xml:space="preserve">§ 3º Aperfeiçoada a citação e transcorrido o prazo de pagamento, o arresto converter-se-á em penhora, independentemente de termo.</w:t>
      </w:r>
    </w:p>
    <w:bookmarkEnd w:id="639"/>
    <w:bookmarkEnd w:id="640"/>
    <w:bookmarkStart w:id="686" w:name="X2e88e4fdacda64369bf84e7b1886483904fe897"/>
    <w:p>
      <w:pPr>
        <w:pStyle w:val="Heading5"/>
        <w:spacing w:before="60" w:after="20"/>
      </w:pPr>
      <w:r>
        <w:rPr>
          <w:i/>
          <w:color w:val="595959"/>
        </w:rPr>
        <w:t xml:space="preserve">Seção III: da penhora, do depósito e da avaliação (arts. 831 a 875)</w:t>
      </w:r>
    </w:p>
    <w:bookmarkStart w:id="641" w:name="art.-831"/>
    <w:p>
      <w:pPr>
        <w:pStyle w:val="Heading6"/>
        <w:pBdr>
          <w:left w:val="single" w:sz="36" w:space="4" w:color="2E75B6"/>
        </w:pBdr>
        <w:shd w:val="clear" w:color="auto" w:fill="E3EEF9"/>
        <w:spacing w:before="120" w:after="60"/>
        <w:ind w:left="85"/>
      </w:pPr>
      <w:r>
        <w:rPr>
          <w:i w:val="0"/>
          <w:color w:val="1F3A5F"/>
          <w:sz w:val="22"/>
        </w:rPr>
        <w:t xml:space="preserve">Art. 831</w:t>
      </w:r>
    </w:p>
    <w:p>
      <w:pPr>
        <w:pStyle w:val="FirstParagraph"/>
        <w:spacing w:after="60"/>
        <w:jc w:val="both"/>
      </w:pPr>
      <w:r>
        <w:rPr>
          <w:b/>
          <w:bCs/>
        </w:rPr>
        <w:t xml:space="preserve">Art. 831.</w:t>
      </w:r>
      <w:r>
        <w:t xml:space="preserve"> </w:t>
      </w:r>
      <w:r>
        <w:t xml:space="preserve">A penhora deverá recair sobre tantos bens quantos bastem para o pagamento do principal atualizado, dos juros, das custas e dos honorários advocatícios.</w:t>
      </w:r>
    </w:p>
    <w:bookmarkEnd w:id="641"/>
    <w:bookmarkStart w:id="642" w:name="art.-832"/>
    <w:p>
      <w:pPr>
        <w:pStyle w:val="Heading6"/>
        <w:pBdr>
          <w:left w:val="single" w:sz="36" w:space="4" w:color="2E75B6"/>
        </w:pBdr>
        <w:shd w:val="clear" w:color="auto" w:fill="E3EEF9"/>
        <w:spacing w:before="120" w:after="60"/>
        <w:ind w:left="85"/>
      </w:pPr>
      <w:r>
        <w:rPr>
          <w:i w:val="0"/>
          <w:color w:val="1F3A5F"/>
          <w:sz w:val="22"/>
        </w:rPr>
        <w:t xml:space="preserve">Art. 832</w:t>
      </w:r>
    </w:p>
    <w:p>
      <w:pPr>
        <w:pStyle w:val="FirstParagraph"/>
        <w:keepNext/>
        <w:spacing w:after="60"/>
        <w:jc w:val="both"/>
      </w:pPr>
      <w:r>
        <w:rPr>
          <w:b/>
          <w:bCs/>
        </w:rPr>
        <w:t xml:space="preserve">Art. 832.</w:t>
      </w:r>
      <w:r>
        <w:t xml:space="preserve"> </w:t>
      </w:r>
      <w:r>
        <w:t xml:space="preserve">Não estão sujeitos à execução os bens que a lei considera impenhoráveis ou inalienáveis.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530"/>
        <w:gridCol w:w="1905"/>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Caput — bens inalienáveis e impenhoráveis</w:t>
            </w:r>
          </w:p>
        </w:tc>
        <w:tc>
          <w:tcPr>
            <w:tcW w:type="dxa" w:w="1531"/>
          </w:tcPr>
          <w:p>
            <w:pPr>
              <w:pStyle w:val="Compact"/>
              <w:spacing w:line="276" w:lineRule="auto" w:before="40" w:after="40"/>
            </w:pPr>
            <w:r>
              <w:rPr>
                <w:rFonts w:ascii="Liberation Sans Narrow" w:hAnsi="Liberation Sans Narrow"/>
                <w:sz w:val="17"/>
              </w:rPr>
              <w:t xml:space="preserve">STJ, AREsp 2.985.751, Terceira Turma, relator Min. Humberto Martins, julgado em 01/06/2026</w:t>
            </w:r>
          </w:p>
        </w:tc>
        <w:tc>
          <w:tcPr>
            <w:tcW w:type="dxa" w:w="1905"/>
          </w:tcPr>
          <w:p>
            <w:pPr>
              <w:pStyle w:val="Compact"/>
              <w:spacing w:line="276" w:lineRule="auto" w:before="40" w:after="40"/>
            </w:pPr>
            <w:r>
              <w:rPr>
                <w:rFonts w:ascii="Liberation Sans Narrow" w:hAnsi="Liberation Sans Narrow"/>
                <w:sz w:val="17"/>
              </w:rPr>
              <w:t xml:space="preserve">Não se sujeitam à execução os bens declarados por ato voluntário insuscetíveis de constrição e os inalienáveis, o que alcança o quinhão hereditário gravado por cláusula testamentária válida, de eficácia objetiva e oponível erga omnes, inclusive perante credores do herdeiro.</w:t>
            </w:r>
          </w:p>
        </w:tc>
      </w:tr>
    </w:tbl>
    <w:bookmarkEnd w:id="642"/>
    <w:bookmarkStart w:id="643" w:name="art.-833"/>
    <w:p>
      <w:pPr>
        <w:pStyle w:val="Heading6"/>
        <w:pBdr>
          <w:left w:val="single" w:sz="36" w:space="4" w:color="2E75B6"/>
        </w:pBdr>
        <w:shd w:val="clear" w:color="auto" w:fill="E3EEF9"/>
        <w:spacing w:before="120" w:after="60"/>
        <w:ind w:left="85"/>
      </w:pPr>
      <w:r>
        <w:rPr>
          <w:i w:val="0"/>
          <w:color w:val="1F3A5F"/>
          <w:sz w:val="22"/>
        </w:rPr>
        <w:t xml:space="preserve">Art. 833</w:t>
      </w:r>
    </w:p>
    <w:p>
      <w:pPr>
        <w:pStyle w:val="FirstParagraph"/>
        <w:spacing w:after="60"/>
        <w:jc w:val="both"/>
      </w:pPr>
      <w:r>
        <w:rPr>
          <w:b/>
          <w:bCs/>
        </w:rPr>
        <w:t xml:space="preserve">Art. 833.</w:t>
      </w:r>
      <w:r>
        <w:t xml:space="preserve"> </w:t>
      </w:r>
      <w:r>
        <w:t xml:space="preserve">São impenhoráveis:</w:t>
      </w:r>
    </w:p>
    <w:p>
      <w:pPr>
        <w:pStyle w:val="BodyText"/>
        <w:spacing w:after="60"/>
        <w:jc w:val="both"/>
      </w:pPr>
      <w:r>
        <w:t xml:space="preserve">I - os bens inalienáveis e os declarados, por ato voluntário, não sujeitos à execução;</w:t>
      </w:r>
    </w:p>
    <w:p>
      <w:pPr>
        <w:pStyle w:val="BodyText"/>
        <w:spacing w:after="60"/>
        <w:jc w:val="both"/>
      </w:pPr>
      <w:r>
        <w:t xml:space="preserve">II - os móveis, os pertences e as utilidades domésticas que guarnecem a residência do executado, salvo os de elevado valor ou os que ultrapassem as necessidades comuns correspondentes a um médio padrão de vida;</w:t>
      </w:r>
    </w:p>
    <w:p>
      <w:pPr>
        <w:pStyle w:val="BodyText"/>
        <w:spacing w:after="60"/>
        <w:jc w:val="both"/>
      </w:pPr>
      <w:r>
        <w:t xml:space="preserve">III - os vestuários, bem como os pertences de uso pessoal do executado, salvo se de elevado valor;</w:t>
      </w:r>
    </w:p>
    <w:p>
      <w:pPr>
        <w:pStyle w:val="BodyText"/>
        <w:spacing w:after="60"/>
        <w:jc w:val="both"/>
      </w:pPr>
      <w:r>
        <w:t xml:space="preserve">IV - os vencimentos, os subsídios, os soldos, os salários, as remunerações, os proventos de aposentadoria, as pensões, os pecúlios e os montepios, bem como as quantias recebidas por liberalidade de terceiro e destinadas ao sustento do devedor e de sua família, os ganhos de trabalhador autônomo e os honorários de profissional liberal, ressalvado o § 2º ;</w:t>
      </w:r>
    </w:p>
    <w:p>
      <w:pPr>
        <w:pStyle w:val="BodyText"/>
        <w:spacing w:after="60"/>
        <w:jc w:val="both"/>
      </w:pPr>
      <w:r>
        <w:t xml:space="preserve">V - os livros, as máquinas, as ferramentas, os utensílios, os instrumentos ou outros bens móveis necessários ou úteis ao exercício da profissão do executado;</w:t>
      </w:r>
    </w:p>
    <w:p>
      <w:pPr>
        <w:pStyle w:val="BodyText"/>
        <w:spacing w:after="60"/>
        <w:jc w:val="both"/>
      </w:pPr>
      <w:r>
        <w:t xml:space="preserve">VI - o seguro de vida;</w:t>
      </w:r>
    </w:p>
    <w:p>
      <w:pPr>
        <w:pStyle w:val="BodyText"/>
        <w:spacing w:after="60"/>
        <w:jc w:val="both"/>
      </w:pPr>
      <w:r>
        <w:t xml:space="preserve">VII - os materiais necessários para obras em andamento, salvo se essas forem penhoradas;</w:t>
      </w:r>
    </w:p>
    <w:p>
      <w:pPr>
        <w:pStyle w:val="BodyText"/>
        <w:spacing w:after="60"/>
        <w:jc w:val="both"/>
      </w:pPr>
      <w:r>
        <w:t xml:space="preserve">VIII - a pequena propriedade rural, assim definida em lei, desde que trabalhada pela família;</w:t>
      </w:r>
    </w:p>
    <w:p>
      <w:pPr>
        <w:pStyle w:val="BodyText"/>
        <w:spacing w:after="60"/>
        <w:jc w:val="both"/>
      </w:pPr>
      <w:r>
        <w:t xml:space="preserve">IX - os recursos públicos recebidos por instituições privadas para aplicação compulsória em educação, saúde ou assistência social;</w:t>
      </w:r>
    </w:p>
    <w:p>
      <w:pPr>
        <w:pStyle w:val="BodyText"/>
        <w:keepNext/>
        <w:spacing w:after="60"/>
        <w:jc w:val="both"/>
      </w:pPr>
      <w:r>
        <w:t xml:space="preserve">X - a quantia depositada em caderneta de poupança, até o limite de 40 (quarenta) salários-mínimos;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404"/>
        <w:gridCol w:w="1655"/>
        <w:gridCol w:w="2404"/>
      </w:tblGrid>
      <w:tr>
        <w:trPr>
          <w:tblHeader w:val="on"/>
          <w:cantSplit/>
          <w:tblHeader/>
        </w:trPr>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2404"/>
          </w:tcPr>
          <w:p>
            <w:pPr>
              <w:pStyle w:val="Compact"/>
              <w:spacing w:line="276" w:lineRule="auto" w:before="40" w:after="40"/>
            </w:pPr>
            <w:r>
              <w:rPr>
                <w:rFonts w:ascii="Liberation Sans Narrow" w:hAnsi="Liberation Sans Narrow"/>
                <w:sz w:val="17"/>
              </w:rPr>
              <w:t xml:space="preserve">Inciso X — impenhorabilidade de valores poupados e conta-corrente (aplicação narrada)</w:t>
            </w:r>
          </w:p>
        </w:tc>
        <w:tc>
          <w:tcPr>
            <w:tcW w:type="dxa" w:w="1655"/>
          </w:tcPr>
          <w:p>
            <w:pPr>
              <w:pStyle w:val="Compact"/>
              <w:spacing w:line="276" w:lineRule="auto" w:before="40" w:after="40"/>
            </w:pPr>
            <w:r>
              <w:rPr>
                <w:rFonts w:ascii="Liberation Sans Narrow" w:hAnsi="Liberation Sans Narrow"/>
                <w:sz w:val="17"/>
              </w:rPr>
              <w:t xml:space="preserve">STJ, AgInt no REsp 2.177.131, Terceira Turma, relator Min. Ricardo Villas Bôas Cueva, julgado em 22/06/2026, DJEN de 26/06/2026</w:t>
            </w:r>
          </w:p>
        </w:tc>
        <w:tc>
          <w:tcPr>
            <w:tcW w:type="dxa" w:w="2404"/>
          </w:tcPr>
          <w:p>
            <w:pPr>
              <w:pStyle w:val="Compact"/>
              <w:spacing w:line="276" w:lineRule="auto" w:before="40" w:after="40"/>
            </w:pPr>
            <w:r>
              <w:rPr>
                <w:rFonts w:ascii="Liberation Sans Narrow" w:hAnsi="Liberation Sans Narrow"/>
                <w:sz w:val="17"/>
              </w:rPr>
              <w:t xml:space="preserve">A garantia da impenhorabilidade de até 40 salários mínimos só incide automaticamente sobre o valor depositado exclusivamente em caderneta de poupança; quando a constrição atinge dinheiro mantido em conta-corrente ou em outras aplicações financeiras, a proteção pode ser estendida, respeitado aquele teto, desde que a parte atingida comprove que o montante constitui reserva de patrimônio destinada a assegurar o mínimo existencial, sendo penhorável o que não comprometa a subsistência do devedor e de sua família. Trecho: “(AgInt no REsp n. 2.177.131, relator(a) Ministro(a) Ricardo Villas Bôas Cueva, Terceira Turma, julgado em 22/6/2026, DJEN de 26/6/2026.)”</w:t>
            </w:r>
          </w:p>
        </w:tc>
      </w:tr>
      <w:tr>
        <w:trPr>
          <w:cantSplit/>
        </w:trPr>
        <w:tc>
          <w:tcPr>
            <w:tcW w:type="dxa" w:w="2404"/>
          </w:tcPr>
          <w:p>
            <w:pPr>
              <w:pStyle w:val="Compact"/>
              <w:spacing w:line="276" w:lineRule="auto" w:before="40" w:after="40"/>
            </w:pPr>
            <w:r>
              <w:rPr>
                <w:rFonts w:ascii="Liberation Sans Narrow" w:hAnsi="Liberation Sans Narrow"/>
                <w:sz w:val="17"/>
              </w:rPr>
              <w:t xml:space="preserve">Inciso X — quantia em caderneta de poupança</w:t>
            </w:r>
          </w:p>
        </w:tc>
        <w:tc>
          <w:tcPr>
            <w:tcW w:type="dxa" w:w="1655"/>
          </w:tcPr>
          <w:p>
            <w:pPr>
              <w:pStyle w:val="Compact"/>
              <w:spacing w:line="276" w:lineRule="auto" w:before="40" w:after="40"/>
            </w:pPr>
            <w:r>
              <w:rPr>
                <w:rFonts w:ascii="Liberation Sans Narrow" w:hAnsi="Liberation Sans Narrow"/>
                <w:sz w:val="17"/>
              </w:rPr>
              <w:t xml:space="preserve">STJ, AgInt no REsp 2.018.134, Terceira Turma, relator Min. Humberto Martins, julgado em 27/11/2023, DJe de 30/11/2023</w:t>
            </w:r>
          </w:p>
        </w:tc>
        <w:tc>
          <w:tcPr>
            <w:tcW w:type="dxa" w:w="2404"/>
          </w:tcPr>
          <w:p>
            <w:pPr>
              <w:pStyle w:val="Compact"/>
              <w:spacing w:line="276" w:lineRule="auto" w:before="40" w:after="40"/>
            </w:pPr>
            <w:r>
              <w:rPr>
                <w:rFonts w:ascii="Liberation Sans Narrow" w:hAnsi="Liberation Sans Narrow"/>
                <w:sz w:val="17"/>
              </w:rPr>
              <w:t xml:space="preserve">Os valores até 40 salários-mínimos são impenhoráveis independentemente do tipo de aplicação financeira em que mantidos, sem necessidade de prova de que se destinam ao sustento do devedor.</w:t>
            </w:r>
          </w:p>
        </w:tc>
      </w:tr>
    </w:tbl>
    <w:p>
      <w:pPr>
        <w:pStyle w:val="BodyText"/>
        <w:spacing w:after="60"/>
        <w:jc w:val="both"/>
      </w:pPr>
      <w:r>
        <w:t xml:space="preserve">XI - os recursos públicos do fundo partidário recebidos por partido político, nos termos da lei;</w:t>
      </w:r>
    </w:p>
    <w:p>
      <w:pPr>
        <w:pStyle w:val="BodyText"/>
        <w:spacing w:after="60"/>
        <w:jc w:val="both"/>
      </w:pPr>
      <w:r>
        <w:t xml:space="preserve">XII - os créditos oriundos de alienação de unidades imobiliárias, sob regime de incorporação imobiliária, vinculados à execução da obra.</w:t>
      </w:r>
    </w:p>
    <w:p>
      <w:pPr>
        <w:pStyle w:val="BodyText"/>
        <w:spacing w:after="60"/>
        <w:jc w:val="both"/>
      </w:pPr>
      <w:r>
        <w:t xml:space="preserve">§ 1º A impenhorabilidade não é oponível à execução de dívida relativa ao próprio bem, inclusive àquela contraída para sua aquisição.</w:t>
      </w:r>
    </w:p>
    <w:p>
      <w:pPr>
        <w:pStyle w:val="BodyText"/>
        <w:spacing w:after="60"/>
        <w:jc w:val="both"/>
      </w:pPr>
      <w:r>
        <w:t xml:space="preserve">§ 2º O disposto nos incisos IV e X do caput não se aplica à hipótese de penhora para pagamento de prestação alimentícia, independentemente de sua origem, bem como às importâncias excedentes a 50 (cinquenta) salários-mínimos mensais, devendo a constrição observar o disposto no art. 528, § 8º , e no art. 529, § 3º .</w:t>
      </w:r>
    </w:p>
    <w:p>
      <w:pPr>
        <w:pStyle w:val="BodyText"/>
        <w:spacing w:after="60"/>
        <w:jc w:val="both"/>
      </w:pPr>
      <w:r>
        <w:t xml:space="preserve">§ 3º Incluem-se na impenhorabilidade prevista no inciso V do caput os equipamentos, os implementos e as máquinas agrícolas pertencentes a pessoa física ou a empresa individual produtora rural, exceto quando tais bens tenham sido objeto de financiamento e estejam vinculados em garantia a negócio jurídico ou quando respondam por dívida de natureza alimentar, trabalhista ou previdenciária.</w:t>
      </w:r>
    </w:p>
    <w:bookmarkEnd w:id="643"/>
    <w:bookmarkStart w:id="644" w:name="art.-834"/>
    <w:p>
      <w:pPr>
        <w:pStyle w:val="Heading6"/>
        <w:pBdr>
          <w:left w:val="single" w:sz="36" w:space="4" w:color="2E75B6"/>
        </w:pBdr>
        <w:shd w:val="clear" w:color="auto" w:fill="E3EEF9"/>
        <w:spacing w:before="120" w:after="60"/>
        <w:ind w:left="85"/>
      </w:pPr>
      <w:r>
        <w:rPr>
          <w:i w:val="0"/>
          <w:color w:val="1F3A5F"/>
          <w:sz w:val="22"/>
        </w:rPr>
        <w:t xml:space="preserve">Art. 834</w:t>
      </w:r>
    </w:p>
    <w:p>
      <w:pPr>
        <w:pStyle w:val="FirstParagraph"/>
        <w:spacing w:after="60"/>
        <w:jc w:val="both"/>
      </w:pPr>
      <w:r>
        <w:rPr>
          <w:b/>
          <w:bCs/>
        </w:rPr>
        <w:t xml:space="preserve">Art. 834.</w:t>
      </w:r>
      <w:r>
        <w:t xml:space="preserve"> </w:t>
      </w:r>
      <w:r>
        <w:t xml:space="preserve">Podem ser penhorados, à falta de outros bens, os frutos e os rendimentos dos bens inalienáveis.</w:t>
      </w:r>
    </w:p>
    <w:bookmarkEnd w:id="644"/>
    <w:bookmarkStart w:id="645" w:name="art.-835"/>
    <w:p>
      <w:pPr>
        <w:pStyle w:val="Heading6"/>
        <w:pBdr>
          <w:left w:val="single" w:sz="36" w:space="4" w:color="2E75B6"/>
        </w:pBdr>
        <w:shd w:val="clear" w:color="auto" w:fill="E3EEF9"/>
        <w:spacing w:before="120" w:after="60"/>
        <w:ind w:left="85"/>
      </w:pPr>
      <w:r>
        <w:rPr>
          <w:i w:val="0"/>
          <w:color w:val="1F3A5F"/>
          <w:sz w:val="22"/>
        </w:rPr>
        <w:t xml:space="preserve">Art. 835</w:t>
      </w:r>
    </w:p>
    <w:p>
      <w:pPr>
        <w:pStyle w:val="FirstParagraph"/>
        <w:spacing w:after="60"/>
        <w:jc w:val="both"/>
      </w:pPr>
      <w:r>
        <w:rPr>
          <w:b/>
          <w:bCs/>
        </w:rPr>
        <w:t xml:space="preserve">Art. 835.</w:t>
      </w:r>
      <w:r>
        <w:t xml:space="preserve"> </w:t>
      </w:r>
      <w:r>
        <w:t xml:space="preserve">A penhora observará, preferencialmente, a seguinte ordem:</w:t>
      </w:r>
    </w:p>
    <w:p>
      <w:pPr>
        <w:pStyle w:val="BodyText"/>
        <w:spacing w:after="60"/>
        <w:jc w:val="both"/>
      </w:pPr>
      <w:r>
        <w:t xml:space="preserve">I - dinheiro, em espécie ou em depósito ou aplicação em instituição financeira;</w:t>
      </w:r>
    </w:p>
    <w:p>
      <w:pPr>
        <w:pStyle w:val="BodyText"/>
        <w:spacing w:after="60"/>
        <w:jc w:val="both"/>
      </w:pPr>
      <w:r>
        <w:t xml:space="preserve">II - títulos da dívida pública da União, dos Estados e do Distrito Federal com cotação em mercado;</w:t>
      </w:r>
    </w:p>
    <w:p>
      <w:pPr>
        <w:pStyle w:val="BodyText"/>
        <w:spacing w:after="60"/>
        <w:jc w:val="both"/>
      </w:pPr>
      <w:r>
        <w:t xml:space="preserve">III - títulos e valores mobiliários com cotação em mercado;</w:t>
      </w:r>
    </w:p>
    <w:p>
      <w:pPr>
        <w:pStyle w:val="BodyText"/>
        <w:spacing w:after="60"/>
        <w:jc w:val="both"/>
      </w:pPr>
      <w:r>
        <w:t xml:space="preserve">IV - veículos de via terrestre;</w:t>
      </w:r>
    </w:p>
    <w:p>
      <w:pPr>
        <w:pStyle w:val="BodyText"/>
        <w:spacing w:after="60"/>
        <w:jc w:val="both"/>
      </w:pPr>
      <w:r>
        <w:t xml:space="preserve">V - bens imóveis;</w:t>
      </w:r>
    </w:p>
    <w:p>
      <w:pPr>
        <w:pStyle w:val="BodyText"/>
        <w:spacing w:after="60"/>
        <w:jc w:val="both"/>
      </w:pPr>
      <w:r>
        <w:t xml:space="preserve">VI - bens móveis em geral;</w:t>
      </w:r>
    </w:p>
    <w:p>
      <w:pPr>
        <w:pStyle w:val="BodyText"/>
        <w:spacing w:after="60"/>
        <w:jc w:val="both"/>
      </w:pPr>
      <w:r>
        <w:t xml:space="preserve">VII - semoventes;</w:t>
      </w:r>
    </w:p>
    <w:p>
      <w:pPr>
        <w:pStyle w:val="BodyText"/>
        <w:spacing w:after="60"/>
        <w:jc w:val="both"/>
      </w:pPr>
      <w:r>
        <w:t xml:space="preserve">VIII - navios e aeronaves;</w:t>
      </w:r>
    </w:p>
    <w:p>
      <w:pPr>
        <w:pStyle w:val="BodyText"/>
        <w:spacing w:after="60"/>
        <w:jc w:val="both"/>
      </w:pPr>
      <w:r>
        <w:t xml:space="preserve">IX - ações e quotas de sociedades simples e empresárias;</w:t>
      </w:r>
    </w:p>
    <w:p>
      <w:pPr>
        <w:pStyle w:val="BodyText"/>
        <w:spacing w:after="60"/>
        <w:jc w:val="both"/>
      </w:pPr>
      <w:r>
        <w:t xml:space="preserve">X - percentual do faturamento de empresa devedora;</w:t>
      </w:r>
    </w:p>
    <w:p>
      <w:pPr>
        <w:pStyle w:val="BodyText"/>
        <w:spacing w:after="60"/>
        <w:jc w:val="both"/>
      </w:pPr>
      <w:r>
        <w:t xml:space="preserve">XI - pedras e metais preciosos;</w:t>
      </w:r>
    </w:p>
    <w:p>
      <w:pPr>
        <w:pStyle w:val="BodyText"/>
        <w:spacing w:after="60"/>
        <w:jc w:val="both"/>
      </w:pPr>
      <w:r>
        <w:t xml:space="preserve">XII - direitos aquisitivos derivados de promessa de compra e venda e de alienação fiduciária em garantia;</w:t>
      </w:r>
    </w:p>
    <w:p>
      <w:pPr>
        <w:pStyle w:val="BodyText"/>
        <w:spacing w:after="60"/>
        <w:jc w:val="both"/>
      </w:pPr>
      <w:r>
        <w:t xml:space="preserve">XIII - outros direitos.</w:t>
      </w:r>
    </w:p>
    <w:p>
      <w:pPr>
        <w:pStyle w:val="BodyText"/>
        <w:spacing w:after="60"/>
        <w:jc w:val="both"/>
      </w:pPr>
      <w:r>
        <w:t xml:space="preserve">§ 1º É prioritária a penhora em dinheiro, podendo o juiz, nas demais hipóteses, alterar a ordem prevista no caput de acordo com as circunstâncias do caso concreto.</w:t>
      </w:r>
    </w:p>
    <w:p>
      <w:pPr>
        <w:pStyle w:val="BodyText"/>
        <w:keepNext/>
        <w:spacing w:after="60"/>
        <w:jc w:val="both"/>
      </w:pPr>
      <w:r>
        <w:t xml:space="preserve">§ 2º Para fins de substituição da penhora, equiparam-se a dinheiro a fiança bancária e o seguro garantia judicial, desde que em valor não inferior ao do débito constante da inicial, acrescido de trinta por cento.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154"/>
        <w:gridCol w:w="1655"/>
        <w:gridCol w:w="2279"/>
      </w:tblGrid>
      <w:tr>
        <w:trPr>
          <w:tblHeader w:val="on"/>
          <w:cantSplit/>
          <w:tblHeader/>
        </w:trPr>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154"/>
          </w:tcPr>
          <w:p>
            <w:pPr>
              <w:pStyle w:val="Compact"/>
              <w:spacing w:line="276" w:lineRule="auto" w:before="40" w:after="40"/>
            </w:pPr>
            <w:r>
              <w:rPr>
                <w:rFonts w:ascii="Liberation Sans Narrow" w:hAnsi="Liberation Sans Narrow"/>
                <w:sz w:val="17"/>
              </w:rPr>
              <w:t xml:space="preserve">§ 2º — recusa da fiança bancária ou do seguro-garantia na execução fiscal</w:t>
            </w:r>
          </w:p>
        </w:tc>
        <w:tc>
          <w:tcPr>
            <w:tcW w:type="dxa" w:w="1655"/>
          </w:tcPr>
          <w:p>
            <w:pPr>
              <w:pStyle w:val="Compact"/>
              <w:spacing w:line="276" w:lineRule="auto" w:before="40" w:after="40"/>
            </w:pPr>
            <w:r>
              <w:rPr>
                <w:rFonts w:ascii="Liberation Sans Narrow" w:hAnsi="Liberation Sans Narrow"/>
                <w:sz w:val="17"/>
              </w:rPr>
              <w:t xml:space="preserve">STJ, Tema Repetitivo 1385, REsp 2.193.673, Primeira Seção, relatora Min. Maria Thereza de Assis Moura, julgado em 11/02/2026, DJEN de 11/03/2026</w:t>
            </w:r>
          </w:p>
        </w:tc>
        <w:tc>
          <w:tcPr>
            <w:tcW w:type="dxa" w:w="2279"/>
          </w:tcPr>
          <w:p>
            <w:pPr>
              <w:pStyle w:val="Compact"/>
              <w:spacing w:line="276" w:lineRule="auto" w:before="40" w:after="40"/>
            </w:pPr>
            <w:r>
              <w:rPr>
                <w:rFonts w:ascii="Liberation Sans Narrow" w:hAnsi="Liberation Sans Narrow"/>
                <w:sz w:val="17"/>
              </w:rPr>
              <w:t xml:space="preserve">Na execução fiscal, a fiança bancária ou o seguro garantia oferecido em garantia de execução de crédito tributário não é recusável por inobservância à ordem legal da penhora.</w:t>
            </w:r>
          </w:p>
        </w:tc>
      </w:tr>
      <w:tr>
        <w:trPr>
          <w:cantSplit/>
        </w:trPr>
        <w:tc>
          <w:tcPr>
            <w:tcW w:type="dxa" w:w="2154"/>
          </w:tcPr>
          <w:p>
            <w:pPr>
              <w:pStyle w:val="Compact"/>
              <w:spacing w:line="276" w:lineRule="auto" w:before="40" w:after="40"/>
            </w:pPr>
            <w:r>
              <w:rPr>
                <w:rFonts w:ascii="Liberation Sans Narrow" w:hAnsi="Liberation Sans Narrow"/>
                <w:sz w:val="17"/>
              </w:rPr>
              <w:t xml:space="preserve">§ 2º — equiparação da fiança bancária e do seguro-garantia a dinheiro</w:t>
            </w:r>
          </w:p>
        </w:tc>
        <w:tc>
          <w:tcPr>
            <w:tcW w:type="dxa" w:w="1655"/>
          </w:tcPr>
          <w:p>
            <w:pPr>
              <w:pStyle w:val="Compact"/>
              <w:spacing w:line="276" w:lineRule="auto" w:before="40" w:after="40"/>
            </w:pPr>
            <w:r>
              <w:rPr>
                <w:rFonts w:ascii="Liberation Sans Narrow" w:hAnsi="Liberation Sans Narrow"/>
                <w:sz w:val="17"/>
              </w:rPr>
              <w:t xml:space="preserve">STJ, REsp 2.178.147, Quarta Turma, relatora Min. Maria Isabel Gallotti, julgado em 15/06/2026, DJEN de 22/06/2026</w:t>
            </w:r>
          </w:p>
        </w:tc>
        <w:tc>
          <w:tcPr>
            <w:tcW w:type="dxa" w:w="2279"/>
          </w:tcPr>
          <w:p>
            <w:pPr>
              <w:pStyle w:val="Compact"/>
              <w:spacing w:line="276" w:lineRule="auto" w:before="40" w:after="40"/>
            </w:pPr>
            <w:r>
              <w:rPr>
                <w:rFonts w:ascii="Liberation Sans Narrow" w:hAnsi="Liberation Sans Narrow"/>
                <w:sz w:val="17"/>
              </w:rPr>
              <w:t xml:space="preserve">Os arts. 835, § 2º, e 848, parágrafo único, equiparam a fiança bancária e o seguro-garantia judicial ao dinheiro; é inviável recusar o seguro com fundamento abstrato de que não integra a ordem do art. 835, cabendo ao juízo examinar concretamente a suficiência, a regularidade formal e a idoneidade da apólice.</w:t>
            </w:r>
          </w:p>
        </w:tc>
      </w:tr>
      <w:tr>
        <w:trPr>
          <w:cantSplit/>
        </w:trPr>
        <w:tc>
          <w:tcPr>
            <w:tcW w:type="dxa" w:w="2154"/>
          </w:tcPr>
          <w:p>
            <w:pPr>
              <w:pStyle w:val="Compact"/>
              <w:spacing w:line="276" w:lineRule="auto" w:before="40" w:after="40"/>
            </w:pPr>
            <w:r>
              <w:rPr>
                <w:rFonts w:ascii="Liberation Sans Narrow" w:hAnsi="Liberation Sans Narrow"/>
                <w:sz w:val="17"/>
              </w:rPr>
              <w:t xml:space="preserve">§ 2º — prazo de validade da apólice</w:t>
            </w:r>
          </w:p>
        </w:tc>
        <w:tc>
          <w:tcPr>
            <w:tcW w:type="dxa" w:w="1655"/>
          </w:tcPr>
          <w:p>
            <w:pPr>
              <w:pStyle w:val="Compact"/>
              <w:spacing w:line="276" w:lineRule="auto" w:before="40" w:after="40"/>
            </w:pPr>
            <w:r>
              <w:rPr>
                <w:rFonts w:ascii="Liberation Sans Narrow" w:hAnsi="Liberation Sans Narrow"/>
                <w:sz w:val="17"/>
              </w:rPr>
              <w:t xml:space="preserve">STJ, AgInt no AREsp 2.392.225, Terceira Turma, relator Min. Humberto Martins, DJe de 05/12/2024</w:t>
            </w:r>
          </w:p>
        </w:tc>
        <w:tc>
          <w:tcPr>
            <w:tcW w:type="dxa" w:w="2279"/>
          </w:tcPr>
          <w:p>
            <w:pPr>
              <w:pStyle w:val="Compact"/>
              <w:spacing w:line="276" w:lineRule="auto" w:before="40" w:after="40"/>
            </w:pPr>
            <w:r>
              <w:rPr>
                <w:rFonts w:ascii="Liberation Sans Narrow" w:hAnsi="Liberation Sans Narrow"/>
                <w:sz w:val="17"/>
              </w:rPr>
              <w:t xml:space="preserve">A fixação de prazo de validade na apólice não implica inidoneidade da garantia; a idoneidade afere-se pela conformidade das cláusulas com as normas da Superintendência de Seguros Privados, não podendo o exequente rejeitar a indicação salvo por insuficiência, defeito formal ou inidoneidade.</w:t>
            </w:r>
          </w:p>
        </w:tc>
      </w:tr>
    </w:tbl>
    <w:p>
      <w:pPr>
        <w:pStyle w:val="BodyText"/>
        <w:spacing w:after="60"/>
        <w:jc w:val="both"/>
      </w:pPr>
      <w:r>
        <w:t xml:space="preserve">§ 3º Na execução de crédito com garantia real, a penhora recairá sobre a coisa dada em garantia, e, se a coisa pertencer a terceiro garantidor, este também será intimado da penhora.</w:t>
      </w:r>
    </w:p>
    <w:bookmarkEnd w:id="645"/>
    <w:bookmarkStart w:id="646" w:name="art.-836"/>
    <w:p>
      <w:pPr>
        <w:pStyle w:val="Heading6"/>
        <w:pBdr>
          <w:left w:val="single" w:sz="36" w:space="4" w:color="2E75B6"/>
        </w:pBdr>
        <w:shd w:val="clear" w:color="auto" w:fill="E3EEF9"/>
        <w:spacing w:before="120" w:after="60"/>
        <w:ind w:left="85"/>
      </w:pPr>
      <w:r>
        <w:rPr>
          <w:i w:val="0"/>
          <w:color w:val="1F3A5F"/>
          <w:sz w:val="22"/>
        </w:rPr>
        <w:t xml:space="preserve">Art. 836</w:t>
      </w:r>
    </w:p>
    <w:p>
      <w:pPr>
        <w:pStyle w:val="FirstParagraph"/>
        <w:keepNext/>
        <w:spacing w:after="60"/>
        <w:jc w:val="both"/>
      </w:pPr>
      <w:r>
        <w:rPr>
          <w:b/>
          <w:bCs/>
        </w:rPr>
        <w:t xml:space="preserve">Art. 836.</w:t>
      </w:r>
      <w:r>
        <w:t xml:space="preserve"> </w:t>
      </w:r>
      <w:r>
        <w:t xml:space="preserve">Não se levará a efeito a penhora quando ficar evidente que o produto da execução dos bens encontrados será totalmente absorvido pelo pagamento das custas da execução.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528"/>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52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penhora inútil</w:t>
            </w:r>
          </w:p>
        </w:tc>
        <w:tc>
          <w:tcPr>
            <w:tcW w:type="dxa" w:w="1531"/>
          </w:tcPr>
          <w:p>
            <w:pPr>
              <w:pStyle w:val="Compact"/>
              <w:spacing w:line="276" w:lineRule="auto" w:before="40" w:after="40"/>
            </w:pPr>
            <w:r>
              <w:rPr>
                <w:rFonts w:ascii="Liberation Sans Narrow" w:hAnsi="Liberation Sans Narrow"/>
                <w:sz w:val="17"/>
              </w:rPr>
              <w:t xml:space="preserve">STJ, REsp 2.210.081, Terceira Turma, relatora Min. Nancy Andrighi, julgado em 09/06/2026</w:t>
            </w:r>
          </w:p>
        </w:tc>
        <w:tc>
          <w:tcPr>
            <w:tcW w:type="dxa" w:w="2529"/>
          </w:tcPr>
          <w:p>
            <w:pPr>
              <w:pStyle w:val="Compact"/>
              <w:spacing w:line="276" w:lineRule="auto" w:before="40" w:after="40"/>
            </w:pPr>
            <w:r>
              <w:rPr>
                <w:rFonts w:ascii="Liberation Sans Narrow" w:hAnsi="Liberation Sans Narrow"/>
                <w:sz w:val="17"/>
              </w:rPr>
              <w:t xml:space="preserve">A penhora não se realiza quando evidente que o produto da execução dos bens encontrados será totalmente absorvido pelas custas; o valor irrisório do bem frente ao valor da dívida executada não é hipótese legal de impenhorabilidade.</w:t>
            </w:r>
          </w:p>
        </w:tc>
      </w:tr>
    </w:tbl>
    <w:p>
      <w:pPr>
        <w:pStyle w:val="BodyText"/>
        <w:spacing w:after="60"/>
        <w:jc w:val="both"/>
      </w:pPr>
      <w:r>
        <w:t xml:space="preserve">§ 1º Quando não encontrar bens penhoráveis, independentemente de determinação judicial expressa, o oficial de justiça descreverá na certidão os bens que guarnecem a residência ou o estabelecimento do executado, quando este for pessoa jurídica.</w:t>
      </w:r>
    </w:p>
    <w:p>
      <w:pPr>
        <w:pStyle w:val="BodyText"/>
        <w:spacing w:after="60"/>
        <w:jc w:val="both"/>
      </w:pPr>
      <w:r>
        <w:t xml:space="preserve">§ 2º Elaborada a lista, o executado ou seu representante legal será nomeado depositário provisório de tais bens até ulterior determinação do juiz.</w:t>
      </w:r>
    </w:p>
    <w:bookmarkEnd w:id="646"/>
    <w:bookmarkStart w:id="647" w:name="art.-837"/>
    <w:p>
      <w:pPr>
        <w:pStyle w:val="Heading6"/>
        <w:pBdr>
          <w:left w:val="single" w:sz="36" w:space="4" w:color="2E75B6"/>
        </w:pBdr>
        <w:shd w:val="clear" w:color="auto" w:fill="E3EEF9"/>
        <w:spacing w:before="120" w:after="60"/>
        <w:ind w:left="85"/>
      </w:pPr>
      <w:r>
        <w:rPr>
          <w:i w:val="0"/>
          <w:color w:val="1F3A5F"/>
          <w:sz w:val="22"/>
        </w:rPr>
        <w:t xml:space="preserve">Art. 837</w:t>
      </w:r>
    </w:p>
    <w:p>
      <w:pPr>
        <w:pStyle w:val="FirstParagraph"/>
        <w:spacing w:after="60"/>
        <w:jc w:val="both"/>
      </w:pPr>
      <w:r>
        <w:rPr>
          <w:b/>
          <w:bCs/>
        </w:rPr>
        <w:t xml:space="preserve">Art. 837.</w:t>
      </w:r>
      <w:r>
        <w:t xml:space="preserve"> </w:t>
      </w:r>
      <w:r>
        <w:t xml:space="preserve">Obedecidas as normas de segurança instituídas sob critérios uniformes pelo Conselho Nacional de Justiça, a penhora de dinheiro e as averbações de penhoras de bens imóveis e móveis podem ser realizadas por meio eletrônico.</w:t>
      </w:r>
    </w:p>
    <w:bookmarkEnd w:id="647"/>
    <w:bookmarkStart w:id="648" w:name="art.-838"/>
    <w:p>
      <w:pPr>
        <w:pStyle w:val="Heading6"/>
        <w:pBdr>
          <w:left w:val="single" w:sz="36" w:space="4" w:color="2E75B6"/>
        </w:pBdr>
        <w:shd w:val="clear" w:color="auto" w:fill="E3EEF9"/>
        <w:spacing w:before="120" w:after="60"/>
        <w:ind w:left="85"/>
      </w:pPr>
      <w:r>
        <w:rPr>
          <w:i w:val="0"/>
          <w:color w:val="1F3A5F"/>
          <w:sz w:val="22"/>
        </w:rPr>
        <w:t xml:space="preserve">Art. 838</w:t>
      </w:r>
    </w:p>
    <w:p>
      <w:pPr>
        <w:pStyle w:val="FirstParagraph"/>
        <w:spacing w:after="60"/>
        <w:jc w:val="both"/>
      </w:pPr>
      <w:r>
        <w:rPr>
          <w:b/>
          <w:bCs/>
        </w:rPr>
        <w:t xml:space="preserve">Art. 838.</w:t>
      </w:r>
      <w:r>
        <w:t xml:space="preserve"> </w:t>
      </w:r>
      <w:r>
        <w:t xml:space="preserve">A penhora será realizada mediante auto ou termo, que conterá:</w:t>
      </w:r>
    </w:p>
    <w:p>
      <w:pPr>
        <w:pStyle w:val="BodyText"/>
        <w:spacing w:after="60"/>
        <w:jc w:val="both"/>
      </w:pPr>
      <w:r>
        <w:t xml:space="preserve">I - a indicação do dia, do mês, do ano e do lugar em que foi feita;</w:t>
      </w:r>
    </w:p>
    <w:p>
      <w:pPr>
        <w:pStyle w:val="BodyText"/>
        <w:spacing w:after="60"/>
        <w:jc w:val="both"/>
      </w:pPr>
      <w:r>
        <w:t xml:space="preserve">II - os nomes do exequente e do executado;</w:t>
      </w:r>
    </w:p>
    <w:p>
      <w:pPr>
        <w:pStyle w:val="BodyText"/>
        <w:spacing w:after="60"/>
        <w:jc w:val="both"/>
      </w:pPr>
      <w:r>
        <w:t xml:space="preserve">III - a descrição dos bens penhorados, com as suas características;</w:t>
      </w:r>
    </w:p>
    <w:p>
      <w:pPr>
        <w:pStyle w:val="BodyText"/>
        <w:spacing w:after="60"/>
        <w:jc w:val="both"/>
      </w:pPr>
      <w:r>
        <w:t xml:space="preserve">IV - a nomeação do depositário dos bens.</w:t>
      </w:r>
    </w:p>
    <w:bookmarkEnd w:id="648"/>
    <w:bookmarkStart w:id="649" w:name="art.-839"/>
    <w:p>
      <w:pPr>
        <w:pStyle w:val="Heading6"/>
        <w:pBdr>
          <w:left w:val="single" w:sz="36" w:space="4" w:color="2E75B6"/>
        </w:pBdr>
        <w:shd w:val="clear" w:color="auto" w:fill="E3EEF9"/>
        <w:spacing w:before="120" w:after="60"/>
        <w:ind w:left="85"/>
      </w:pPr>
      <w:r>
        <w:rPr>
          <w:i w:val="0"/>
          <w:color w:val="1F3A5F"/>
          <w:sz w:val="22"/>
        </w:rPr>
        <w:t xml:space="preserve">Art. 839</w:t>
      </w:r>
    </w:p>
    <w:p>
      <w:pPr>
        <w:pStyle w:val="FirstParagraph"/>
        <w:keepNext/>
        <w:spacing w:after="60"/>
        <w:jc w:val="both"/>
      </w:pPr>
      <w:r>
        <w:rPr>
          <w:b/>
          <w:bCs/>
        </w:rPr>
        <w:t xml:space="preserve">Art. 839.</w:t>
      </w:r>
      <w:r>
        <w:t xml:space="preserve"> </w:t>
      </w:r>
      <w:r>
        <w:t xml:space="preserve">Considerar-se-á feita a penhora mediante a apreensão e o depósito dos bens, lavrando-se um só auto se as diligências forem concluídas no mesmo dia.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746"/>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46"/>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apreensão e depósito dos bens</w:t>
            </w:r>
          </w:p>
        </w:tc>
        <w:tc>
          <w:tcPr>
            <w:tcW w:type="dxa" w:w="1655"/>
          </w:tcPr>
          <w:p>
            <w:pPr>
              <w:pStyle w:val="Compact"/>
              <w:spacing w:line="276" w:lineRule="auto" w:before="40" w:after="40"/>
            </w:pPr>
            <w:r>
              <w:rPr>
                <w:rFonts w:ascii="Liberation Sans Narrow" w:hAnsi="Liberation Sans Narrow"/>
                <w:sz w:val="17"/>
              </w:rPr>
              <w:t xml:space="preserve">STJ, REsp 2.016.739, Terceira Turma, relatora Min. Nancy Andrighi, julgado em 29/11/2022, DJe de 01/12/2022</w:t>
            </w:r>
          </w:p>
        </w:tc>
        <w:tc>
          <w:tcPr>
            <w:tcW w:type="dxa" w:w="1746"/>
          </w:tcPr>
          <w:p>
            <w:pPr>
              <w:pStyle w:val="Compact"/>
              <w:spacing w:line="276" w:lineRule="auto" w:before="40" w:after="40"/>
            </w:pPr>
            <w:r>
              <w:rPr>
                <w:rFonts w:ascii="Liberation Sans Narrow" w:hAnsi="Liberation Sans Narrow"/>
                <w:sz w:val="17"/>
              </w:rPr>
              <w:t xml:space="preserve">A penhora se concretiza pela apreensão e pelo depósito do bem, mas o Código admite exceções à apreensão — dinheiro (art. 854) e imóvel e veículo automotor (art. 845, § 1º) —, de modo que o veículo automotor se penhora por termo nos autos, com a certidão que ateste a sua existência, sem necessidade de localização do bem.</w:t>
            </w:r>
          </w:p>
        </w:tc>
      </w:tr>
    </w:tbl>
    <w:p>
      <w:pPr>
        <w:pStyle w:val="BodyText"/>
        <w:spacing w:after="60"/>
        <w:jc w:val="both"/>
      </w:pPr>
      <w:r>
        <w:t xml:space="preserve">Parágrafo único. Havendo mais de uma penhora, serão lavrados autos individuais.</w:t>
      </w:r>
    </w:p>
    <w:bookmarkEnd w:id="649"/>
    <w:bookmarkStart w:id="650" w:name="art.-840"/>
    <w:p>
      <w:pPr>
        <w:pStyle w:val="Heading6"/>
        <w:pBdr>
          <w:left w:val="single" w:sz="36" w:space="4" w:color="2E75B6"/>
        </w:pBdr>
        <w:shd w:val="clear" w:color="auto" w:fill="E3EEF9"/>
        <w:spacing w:before="120" w:after="60"/>
        <w:ind w:left="85"/>
      </w:pPr>
      <w:r>
        <w:rPr>
          <w:i w:val="0"/>
          <w:color w:val="1F3A5F"/>
          <w:sz w:val="22"/>
        </w:rPr>
        <w:t xml:space="preserve">Art. 840</w:t>
      </w:r>
    </w:p>
    <w:p>
      <w:pPr>
        <w:pStyle w:val="FirstParagraph"/>
        <w:spacing w:after="60"/>
        <w:jc w:val="both"/>
      </w:pPr>
      <w:r>
        <w:rPr>
          <w:b/>
          <w:bCs/>
        </w:rPr>
        <w:t xml:space="preserve">Art. 840.</w:t>
      </w:r>
      <w:r>
        <w:t xml:space="preserve"> </w:t>
      </w:r>
      <w:r>
        <w:t xml:space="preserve">Serão preferencialmente depositados:</w:t>
      </w:r>
    </w:p>
    <w:p>
      <w:pPr>
        <w:pStyle w:val="BodyText"/>
        <w:spacing w:after="60"/>
        <w:jc w:val="both"/>
      </w:pPr>
      <w:r>
        <w:t xml:space="preserve">I - as quantias em dinheiro, os papéis de crédito e as pedras e os metais preciosos, no Banco do Brasil, na Caixa Econômica Federal ou em banco do qual o Estado ou o Distrito Federal possua mais da metade do capital social integralizado, ou, na falta desses estabelecimentos, em qualquer instituição de crédito designada pelo juiz; (Vide ADI nº 5492)</w:t>
      </w:r>
    </w:p>
    <w:p>
      <w:pPr>
        <w:pStyle w:val="BodyText"/>
        <w:spacing w:after="60"/>
        <w:jc w:val="both"/>
      </w:pPr>
      <w:r>
        <w:t xml:space="preserve">II - os móveis, os semoventes, os imóveis urbanos e os direitos aquisitivos sobre imóveis urbanos, em poder do depositário judicial;</w:t>
      </w:r>
    </w:p>
    <w:p>
      <w:pPr>
        <w:pStyle w:val="BodyText"/>
        <w:spacing w:after="60"/>
        <w:jc w:val="both"/>
      </w:pPr>
      <w:r>
        <w:t xml:space="preserve">III - os imóveis rurais, os direitos aquisitivos sobre imóveis rurais, as máquinas, os utensílios e os instrumentos necessários ou úteis à atividade agrícola, mediante caução idônea, em poder do executado.</w:t>
      </w:r>
    </w:p>
    <w:p>
      <w:pPr>
        <w:pStyle w:val="BodyText"/>
        <w:spacing w:after="60"/>
        <w:jc w:val="both"/>
      </w:pPr>
      <w:r>
        <w:t xml:space="preserve">§ 1º No caso do inciso II do caput , se não houver depositário judicial, os bens ficarão em poder do exequente.</w:t>
      </w:r>
    </w:p>
    <w:p>
      <w:pPr>
        <w:pStyle w:val="BodyText"/>
        <w:spacing w:after="60"/>
        <w:jc w:val="both"/>
      </w:pPr>
      <w:r>
        <w:t xml:space="preserve">§ 2º Os bens poderão ser depositados em poder do executado nos casos de difícil remoção ou quando anuir o exequente.</w:t>
      </w:r>
    </w:p>
    <w:p>
      <w:pPr>
        <w:pStyle w:val="BodyText"/>
        <w:spacing w:after="60"/>
        <w:jc w:val="both"/>
      </w:pPr>
      <w:r>
        <w:t xml:space="preserve">§ 3º As joias, as pedras e os objetos preciosos deverão ser depositados com registro do valor estimado de resgate.</w:t>
      </w:r>
    </w:p>
    <w:bookmarkEnd w:id="650"/>
    <w:bookmarkStart w:id="651" w:name="art.-841"/>
    <w:p>
      <w:pPr>
        <w:pStyle w:val="Heading6"/>
        <w:pBdr>
          <w:left w:val="single" w:sz="36" w:space="4" w:color="2E75B6"/>
        </w:pBdr>
        <w:shd w:val="clear" w:color="auto" w:fill="E3EEF9"/>
        <w:spacing w:before="120" w:after="60"/>
        <w:ind w:left="85"/>
      </w:pPr>
      <w:r>
        <w:rPr>
          <w:i w:val="0"/>
          <w:color w:val="1F3A5F"/>
          <w:sz w:val="22"/>
        </w:rPr>
        <w:t xml:space="preserve">Art. 841</w:t>
      </w:r>
    </w:p>
    <w:p>
      <w:pPr>
        <w:pStyle w:val="FirstParagraph"/>
        <w:spacing w:after="60"/>
        <w:jc w:val="both"/>
      </w:pPr>
      <w:r>
        <w:rPr>
          <w:b/>
          <w:bCs/>
        </w:rPr>
        <w:t xml:space="preserve">Art. 841.</w:t>
      </w:r>
      <w:r>
        <w:t xml:space="preserve"> </w:t>
      </w:r>
      <w:r>
        <w:t xml:space="preserve">Formalizada a penhora por qualquer dos meios legais, dela será imediatamente intimado o executado.</w:t>
      </w:r>
    </w:p>
    <w:p>
      <w:pPr>
        <w:pStyle w:val="BodyText"/>
        <w:keepNext/>
        <w:spacing w:after="60"/>
        <w:jc w:val="both"/>
      </w:pPr>
      <w:r>
        <w:t xml:space="preserve">§ 1º A intimação da penhora será feita ao advogado do executado ou à sociedade de advogados a que aquele pertença.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404"/>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 1º — intimação da penhora ao advogado</w:t>
            </w:r>
          </w:p>
        </w:tc>
        <w:tc>
          <w:tcPr>
            <w:tcW w:type="dxa" w:w="1531"/>
          </w:tcPr>
          <w:p>
            <w:pPr>
              <w:pStyle w:val="Compact"/>
              <w:spacing w:line="276" w:lineRule="auto" w:before="40" w:after="40"/>
            </w:pPr>
            <w:r>
              <w:rPr>
                <w:rFonts w:ascii="Liberation Sans Narrow" w:hAnsi="Liberation Sans Narrow"/>
                <w:sz w:val="17"/>
              </w:rPr>
              <w:t xml:space="preserve">STJ, AREsp 3.100.128, Quarta Turma, relator Min. João Otávio de Noronha, julgado em 23/03/2026</w:t>
            </w:r>
          </w:p>
        </w:tc>
        <w:tc>
          <w:tcPr>
            <w:tcW w:type="dxa" w:w="2404"/>
          </w:tcPr>
          <w:p>
            <w:pPr>
              <w:pStyle w:val="Compact"/>
              <w:spacing w:line="276" w:lineRule="auto" w:before="40" w:after="40"/>
            </w:pPr>
            <w:r>
              <w:rPr>
                <w:rFonts w:ascii="Liberation Sans Narrow" w:hAnsi="Liberation Sans Narrow"/>
                <w:sz w:val="17"/>
              </w:rPr>
              <w:t xml:space="preserve">É regular a intimação da penhora na pessoa do advogado do executado, nos termos do art. 841, § 1º, do CPC; a alegação de nulidade por ausência de intimação pessoal não prospera quando registradas intimações regulares e não comprovada a impenhorabilidade do bem de família.</w:t>
            </w:r>
          </w:p>
        </w:tc>
      </w:tr>
    </w:tbl>
    <w:p>
      <w:pPr>
        <w:pStyle w:val="BodyText"/>
        <w:spacing w:after="60"/>
        <w:jc w:val="both"/>
      </w:pPr>
      <w:r>
        <w:t xml:space="preserve">§ 2º Se não houver constituído advogado nos autos, o executado será intimado pessoalmente, de preferência por via postal.</w:t>
      </w:r>
    </w:p>
    <w:p>
      <w:pPr>
        <w:pStyle w:val="BodyText"/>
        <w:spacing w:after="60"/>
        <w:jc w:val="both"/>
      </w:pPr>
      <w:r>
        <w:t xml:space="preserve">§ 3º O disposto no § 1º não se aplica aos casos de penhora realizada na presença do executado, que se reputa intimado.</w:t>
      </w:r>
    </w:p>
    <w:p>
      <w:pPr>
        <w:pStyle w:val="BodyText"/>
        <w:spacing w:after="60"/>
        <w:jc w:val="both"/>
      </w:pPr>
      <w:r>
        <w:t xml:space="preserve">§ 4º Considera-se realizada a intimação a que se refere o § 2º quando o executado houver mudado de endereço sem prévia comunicação ao juízo, observado o disposto no parágrafo único do art. 274.</w:t>
      </w:r>
    </w:p>
    <w:bookmarkEnd w:id="651"/>
    <w:bookmarkStart w:id="652" w:name="art.-842"/>
    <w:p>
      <w:pPr>
        <w:pStyle w:val="Heading6"/>
        <w:pBdr>
          <w:left w:val="single" w:sz="36" w:space="4" w:color="2E75B6"/>
        </w:pBdr>
        <w:shd w:val="clear" w:color="auto" w:fill="E3EEF9"/>
        <w:spacing w:before="120" w:after="60"/>
        <w:ind w:left="85"/>
      </w:pPr>
      <w:r>
        <w:rPr>
          <w:i w:val="0"/>
          <w:color w:val="1F3A5F"/>
          <w:sz w:val="22"/>
        </w:rPr>
        <w:t xml:space="preserve">Art. 842</w:t>
      </w:r>
    </w:p>
    <w:p>
      <w:pPr>
        <w:pStyle w:val="FirstParagraph"/>
        <w:spacing w:after="60"/>
        <w:jc w:val="both"/>
      </w:pPr>
      <w:r>
        <w:rPr>
          <w:b/>
          <w:bCs/>
        </w:rPr>
        <w:t xml:space="preserve">Art. 842.</w:t>
      </w:r>
      <w:r>
        <w:t xml:space="preserve"> </w:t>
      </w:r>
      <w:r>
        <w:t xml:space="preserve">Recaindo a penhora sobre bem imóvel ou direito real sobre imóvel, será intimado também o cônjuge do executado, salvo se forem casados em regime de separação absoluta de bens.</w:t>
      </w:r>
    </w:p>
    <w:bookmarkEnd w:id="652"/>
    <w:bookmarkStart w:id="653" w:name="art.-843"/>
    <w:p>
      <w:pPr>
        <w:pStyle w:val="Heading6"/>
        <w:pBdr>
          <w:left w:val="single" w:sz="36" w:space="4" w:color="2E75B6"/>
        </w:pBdr>
        <w:shd w:val="clear" w:color="auto" w:fill="E3EEF9"/>
        <w:spacing w:before="120" w:after="60"/>
        <w:ind w:left="85"/>
      </w:pPr>
      <w:r>
        <w:rPr>
          <w:i w:val="0"/>
          <w:color w:val="1F3A5F"/>
          <w:sz w:val="22"/>
        </w:rPr>
        <w:t xml:space="preserve">Art. 843</w:t>
      </w:r>
    </w:p>
    <w:p>
      <w:pPr>
        <w:pStyle w:val="FirstParagraph"/>
        <w:keepNext/>
        <w:spacing w:after="60"/>
        <w:jc w:val="both"/>
      </w:pPr>
      <w:r>
        <w:rPr>
          <w:b/>
          <w:bCs/>
        </w:rPr>
        <w:t xml:space="preserve">Art. 843.</w:t>
      </w:r>
      <w:r>
        <w:t xml:space="preserve"> </w:t>
      </w:r>
      <w:r>
        <w:t xml:space="preserve">Tratando-se de penhora de bem indivisível, o equivalente à quota-parte do coproprietário ou do cônjuge alheio à execução recairá sobre o produto da alienação do bem.</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530"/>
        <w:gridCol w:w="2029"/>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Caput — penhora da integralidade e sub-rogação da quota</w:t>
            </w:r>
          </w:p>
        </w:tc>
        <w:tc>
          <w:tcPr>
            <w:tcW w:type="dxa" w:w="1531"/>
          </w:tcPr>
          <w:p>
            <w:pPr>
              <w:pStyle w:val="Compact"/>
              <w:spacing w:line="276" w:lineRule="auto" w:before="40" w:after="40"/>
            </w:pPr>
            <w:r>
              <w:rPr>
                <w:rFonts w:ascii="Liberation Sans Narrow" w:hAnsi="Liberation Sans Narrow"/>
                <w:sz w:val="17"/>
              </w:rPr>
              <w:t xml:space="preserve">STJ, AREsp 2.498.470, Quarta Turma, relator Min. Raul Araújo, julgado em 04/05/2026</w:t>
            </w:r>
          </w:p>
        </w:tc>
        <w:tc>
          <w:tcPr>
            <w:tcW w:type="dxa" w:w="2030"/>
          </w:tcPr>
          <w:p>
            <w:pPr>
              <w:pStyle w:val="Compact"/>
              <w:spacing w:line="276" w:lineRule="auto" w:before="40" w:after="40"/>
            </w:pPr>
            <w:r>
              <w:rPr>
                <w:rFonts w:ascii="Liberation Sans Narrow" w:hAnsi="Liberation Sans Narrow"/>
                <w:sz w:val="17"/>
              </w:rPr>
              <w:t xml:space="preserve">A penhora da integralidade de bem indivisível é expressamente admitida pelo art. 843, assegurando-se ao coproprietário não executado a sub-rogação de sua quota-parte no produto da alienação.</w:t>
            </w:r>
          </w:p>
        </w:tc>
      </w:tr>
      <w:tr>
        <w:trPr>
          <w:cantSplit/>
        </w:trPr>
        <w:tc>
          <w:tcPr>
            <w:tcW w:type="dxa" w:w="1905"/>
          </w:tcPr>
          <w:p>
            <w:pPr>
              <w:pStyle w:val="Compact"/>
              <w:spacing w:line="276" w:lineRule="auto" w:before="40" w:after="40"/>
            </w:pPr>
            <w:r>
              <w:rPr>
                <w:rFonts w:ascii="Liberation Sans Narrow" w:hAnsi="Liberation Sans Narrow"/>
                <w:sz w:val="17"/>
              </w:rPr>
              <w:t xml:space="preserve">Caput — bem indivisível</w:t>
            </w:r>
          </w:p>
        </w:tc>
        <w:tc>
          <w:tcPr>
            <w:tcW w:type="dxa" w:w="1531"/>
          </w:tcPr>
          <w:p>
            <w:pPr>
              <w:pStyle w:val="Compact"/>
              <w:spacing w:line="276" w:lineRule="auto" w:before="40" w:after="40"/>
            </w:pPr>
            <w:r>
              <w:rPr>
                <w:rFonts w:ascii="Liberation Sans Narrow" w:hAnsi="Liberation Sans Narrow"/>
                <w:sz w:val="17"/>
              </w:rPr>
              <w:t xml:space="preserve">STJ, AgInt no AREsp 2.796.399, Quarta Turma, relator Min. Raul Araújo, DJe de 03/11/2025</w:t>
            </w:r>
          </w:p>
        </w:tc>
        <w:tc>
          <w:tcPr>
            <w:tcW w:type="dxa" w:w="2030"/>
          </w:tcPr>
          <w:p>
            <w:pPr>
              <w:pStyle w:val="Compact"/>
              <w:spacing w:line="276" w:lineRule="auto" w:before="40" w:after="40"/>
            </w:pPr>
            <w:r>
              <w:rPr>
                <w:rFonts w:ascii="Liberation Sans Narrow" w:hAnsi="Liberation Sans Narrow"/>
                <w:sz w:val="17"/>
              </w:rPr>
              <w:t xml:space="preserve">É possível a penhora da integralidade do imóvel indivisível em copropriedade, resguardada a quota-parte do coproprietário alheio à execução no produto da alienação.</w:t>
            </w:r>
          </w:p>
        </w:tc>
      </w:tr>
    </w:tbl>
    <w:p>
      <w:pPr>
        <w:pStyle w:val="BodyText"/>
        <w:spacing w:after="60"/>
        <w:jc w:val="both"/>
      </w:pPr>
      <w:r>
        <w:t xml:space="preserve">§ 1º É reservada ao coproprietário ou ao cônjuge não executado a preferência na arrematação do bem em igualdade de condições.</w:t>
      </w:r>
    </w:p>
    <w:p>
      <w:pPr>
        <w:pStyle w:val="BodyText"/>
        <w:spacing w:after="60"/>
        <w:jc w:val="both"/>
      </w:pPr>
      <w:r>
        <w:t xml:space="preserve">§ 2º Não será levada a efeito expropriação por preço inferior ao da avaliação na qual o valor auferido seja incapaz de garantir, ao coproprietário ou ao cônjuge alheio à execução, o correspondente à sua quota-parte calculado sobre o valor da avaliação.</w:t>
      </w:r>
    </w:p>
    <w:bookmarkEnd w:id="653"/>
    <w:bookmarkStart w:id="654" w:name="art.-844"/>
    <w:p>
      <w:pPr>
        <w:pStyle w:val="Heading6"/>
        <w:pBdr>
          <w:left w:val="single" w:sz="36" w:space="4" w:color="2E75B6"/>
        </w:pBdr>
        <w:shd w:val="clear" w:color="auto" w:fill="E3EEF9"/>
        <w:spacing w:before="120" w:after="60"/>
        <w:ind w:left="85"/>
      </w:pPr>
      <w:r>
        <w:rPr>
          <w:i w:val="0"/>
          <w:color w:val="1F3A5F"/>
          <w:sz w:val="22"/>
        </w:rPr>
        <w:t xml:space="preserve">Art. 844</w:t>
      </w:r>
    </w:p>
    <w:p>
      <w:pPr>
        <w:pStyle w:val="FirstParagraph"/>
        <w:keepNext/>
        <w:spacing w:after="60"/>
        <w:jc w:val="both"/>
      </w:pPr>
      <w:r>
        <w:rPr>
          <w:b/>
          <w:bCs/>
        </w:rPr>
        <w:t xml:space="preserve">Art. 844.</w:t>
      </w:r>
      <w:r>
        <w:t xml:space="preserve"> </w:t>
      </w:r>
      <w:r>
        <w:t xml:space="preserve">Para presunção absoluta de conhecimento por terceiros, cabe ao exequente providenciar a averbação do arresto ou da penhora no registro competente, mediante apresentação de cópia do auto ou do termo, independentemente de mandado judicial.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531"/>
          </w:tcPr>
          <w:p>
            <w:pPr>
              <w:pStyle w:val="Compact"/>
              <w:spacing w:line="276" w:lineRule="auto" w:before="40" w:after="40"/>
            </w:pPr>
            <w:r>
              <w:rPr>
                <w:rFonts w:ascii="Liberation Sans Narrow" w:hAnsi="Liberation Sans Narrow"/>
                <w:sz w:val="17"/>
              </w:rPr>
              <w:t xml:space="preserve">Caput — averbação da penhora e bem de família (aplicação narrada)</w:t>
            </w:r>
          </w:p>
        </w:tc>
        <w:tc>
          <w:tcPr>
            <w:tcW w:type="dxa" w:w="1655"/>
          </w:tcPr>
          <w:p>
            <w:pPr>
              <w:pStyle w:val="Compact"/>
              <w:spacing w:line="276" w:lineRule="auto" w:before="40" w:after="40"/>
            </w:pPr>
            <w:r>
              <w:rPr>
                <w:rFonts w:ascii="Liberation Sans Narrow" w:hAnsi="Liberation Sans Narrow"/>
                <w:sz w:val="17"/>
              </w:rPr>
              <w:t xml:space="preserve">STJ, REsp 2.199.841, Terceira Turma, relatora Min. Nancy Andrighi, julgado em 25/08/2025, DJEN de 01/09/2025</w:t>
            </w:r>
          </w:p>
        </w:tc>
        <w:tc>
          <w:tcPr>
            <w:tcW w:type="dxa" w:w="1905"/>
          </w:tcPr>
          <w:p>
            <w:pPr>
              <w:pStyle w:val="Compact"/>
              <w:spacing w:line="276" w:lineRule="auto" w:before="40" w:after="40"/>
            </w:pPr>
            <w:r>
              <w:rPr>
                <w:rFonts w:ascii="Liberation Sans Narrow" w:hAnsi="Liberation Sans Narrow"/>
                <w:sz w:val="17"/>
              </w:rPr>
              <w:t xml:space="preserve">É inadmissível que o credor averbe a penhora no registro imobiliário de bem de família, ainda que vedada a sua expropriação: a penhora é inválida por desrespeitar norma de ordem pública da Lei 8.009/1990, e a averbação não pode dar publicidade a constrição inexistente. Trecho: “É entendimento da Terceira Turma ser inadmissível que o credor realize a averbação da penhora no registro imobiliário do bem de família, mesmo que seja vedada a sua expropriação, haja vista que a penhora é inválida por desrespeitar norma de ordem pública positivada na Lei 8.009/90.”</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averbação da penhora no registro</w:t>
            </w:r>
          </w:p>
        </w:tc>
        <w:tc>
          <w:tcPr>
            <w:tcW w:type="dxa" w:w="1655"/>
          </w:tcPr>
          <w:p>
            <w:pPr>
              <w:pStyle w:val="Compact"/>
              <w:spacing w:line="276" w:lineRule="auto" w:before="40" w:after="40"/>
            </w:pPr>
            <w:r>
              <w:rPr>
                <w:rFonts w:ascii="Liberation Sans Narrow" w:hAnsi="Liberation Sans Narrow"/>
                <w:sz w:val="17"/>
              </w:rPr>
              <w:t xml:space="preserve">STJ, AgInt no EREsp 1.896.456, Terceira Turma, relator Min. Marco Aurélio Bellizze, DJe de 03/03/2021</w:t>
            </w:r>
          </w:p>
        </w:tc>
        <w:tc>
          <w:tcPr>
            <w:tcW w:type="dxa" w:w="1905"/>
          </w:tcPr>
          <w:p>
            <w:pPr>
              <w:pStyle w:val="Compact"/>
              <w:spacing w:line="276" w:lineRule="auto" w:before="40" w:after="40"/>
            </w:pPr>
            <w:r>
              <w:rPr>
                <w:rFonts w:ascii="Liberation Sans Narrow" w:hAnsi="Liberation Sans Narrow"/>
                <w:sz w:val="17"/>
              </w:rPr>
              <w:t xml:space="preserve">A má-fé do terceiro adquirente não se presume: a averbação da penhora no registro autoriza a presunção de fraude, mas, sem ela, a ineficácia da alienação exige prova de má-fé (Súmula 375 do Superior Tribunal de Justiça).</w:t>
            </w:r>
          </w:p>
        </w:tc>
      </w:tr>
    </w:tbl>
    <w:bookmarkEnd w:id="654"/>
    <w:bookmarkStart w:id="655" w:name="art.-845"/>
    <w:p>
      <w:pPr>
        <w:pStyle w:val="Heading6"/>
        <w:pBdr>
          <w:left w:val="single" w:sz="36" w:space="4" w:color="2E75B6"/>
        </w:pBdr>
        <w:shd w:val="clear" w:color="auto" w:fill="E3EEF9"/>
        <w:spacing w:before="120" w:after="60"/>
        <w:ind w:left="85"/>
      </w:pPr>
      <w:r>
        <w:rPr>
          <w:i w:val="0"/>
          <w:color w:val="1F3A5F"/>
          <w:sz w:val="22"/>
        </w:rPr>
        <w:t xml:space="preserve">Art. 845</w:t>
      </w:r>
    </w:p>
    <w:p>
      <w:pPr>
        <w:pStyle w:val="FirstParagraph"/>
        <w:spacing w:after="60"/>
        <w:jc w:val="both"/>
      </w:pPr>
      <w:r>
        <w:rPr>
          <w:b/>
          <w:bCs/>
        </w:rPr>
        <w:t xml:space="preserve">Art. 845.</w:t>
      </w:r>
      <w:r>
        <w:t xml:space="preserve"> </w:t>
      </w:r>
      <w:r>
        <w:t xml:space="preserve">Efetuar-se-á a penhora onde se encontrem os bens, ainda que sob a posse, a detenção ou a guarda de terceiros.</w:t>
      </w:r>
    </w:p>
    <w:p>
      <w:pPr>
        <w:pStyle w:val="BodyText"/>
        <w:spacing w:after="60"/>
        <w:jc w:val="both"/>
      </w:pPr>
      <w:r>
        <w:t xml:space="preserve">§ 1º A penhora de imóveis, independentemente de onde se localizem, quando apresentada certidão da respectiva matrícula, e a penhora de veículos automotores, quando apresentada certidão que ateste a sua existência, serão realizadas por termo nos autos.</w:t>
      </w:r>
    </w:p>
    <w:p>
      <w:pPr>
        <w:pStyle w:val="BodyText"/>
        <w:spacing w:after="60"/>
        <w:jc w:val="both"/>
      </w:pPr>
      <w:r>
        <w:t xml:space="preserve">§ 2º Se o executado não tiver bens no foro do processo, não sendo possível a realização da penhora nos termos do § 1º, a execução será feita por carta, penhorando-se, avaliando-se e alienando-se os bens no foro da situação.</w:t>
      </w:r>
    </w:p>
    <w:bookmarkEnd w:id="655"/>
    <w:bookmarkStart w:id="656" w:name="art.-846"/>
    <w:p>
      <w:pPr>
        <w:pStyle w:val="Heading6"/>
        <w:pBdr>
          <w:left w:val="single" w:sz="36" w:space="4" w:color="2E75B6"/>
        </w:pBdr>
        <w:shd w:val="clear" w:color="auto" w:fill="E3EEF9"/>
        <w:spacing w:before="120" w:after="60"/>
        <w:ind w:left="85"/>
      </w:pPr>
      <w:r>
        <w:rPr>
          <w:i w:val="0"/>
          <w:color w:val="1F3A5F"/>
          <w:sz w:val="22"/>
        </w:rPr>
        <w:t xml:space="preserve">Art. 846</w:t>
      </w:r>
    </w:p>
    <w:p>
      <w:pPr>
        <w:pStyle w:val="FirstParagraph"/>
        <w:spacing w:after="60"/>
        <w:jc w:val="both"/>
      </w:pPr>
      <w:r>
        <w:rPr>
          <w:b/>
          <w:bCs/>
        </w:rPr>
        <w:t xml:space="preserve">Art. 846.</w:t>
      </w:r>
      <w:r>
        <w:t xml:space="preserve"> </w:t>
      </w:r>
      <w:r>
        <w:t xml:space="preserve">Se o executado fechar as portas da casa a fim de obstar a penhora dos bens, o oficial de justiça comunicará o fato ao juiz, solicitando-lhe ordem de arrombamento.</w:t>
      </w:r>
    </w:p>
    <w:p>
      <w:pPr>
        <w:pStyle w:val="BodyText"/>
        <w:spacing w:after="60"/>
        <w:jc w:val="both"/>
      </w:pPr>
      <w:r>
        <w:t xml:space="preserve">§ 1 o Deferido o pedido, 2 (dois) oficiais de justiça cumprirão o mandado, arrombando cômodos e móveis em que se presuma estarem os bens, e lavrarão de tudo auto circunstanciado, que será assinado por 2 (duas) testemunhas presentes à diligência.</w:t>
      </w:r>
    </w:p>
    <w:p>
      <w:pPr>
        <w:pStyle w:val="BodyText"/>
        <w:spacing w:after="60"/>
        <w:jc w:val="both"/>
      </w:pPr>
      <w:r>
        <w:t xml:space="preserve">§ 2º Sempre que necessário, o juiz requisitará força policial, a fim de auxiliar os oficiais de justiça na penhora dos bens.</w:t>
      </w:r>
    </w:p>
    <w:p>
      <w:pPr>
        <w:pStyle w:val="BodyText"/>
        <w:spacing w:after="60"/>
        <w:jc w:val="both"/>
      </w:pPr>
      <w:r>
        <w:t xml:space="preserve">§ 3º Os oficiais de justiça lavrarão em duplicata o auto da ocorrência, entregando uma via ao escrivão ou ao chefe de secretaria, para ser juntada aos autos, e a outra à autoridade policial a quem couber a apuração criminal dos eventuais delitos de desobediência ou de resistência.</w:t>
      </w:r>
    </w:p>
    <w:p>
      <w:pPr>
        <w:pStyle w:val="BodyText"/>
        <w:spacing w:after="60"/>
        <w:jc w:val="both"/>
      </w:pPr>
      <w:r>
        <w:t xml:space="preserve">§ 4º Do auto da ocorrência constará o rol de testemunhas, com a respectiva qualificação.</w:t>
      </w:r>
    </w:p>
    <w:bookmarkEnd w:id="656"/>
    <w:bookmarkStart w:id="657" w:name="art.-847"/>
    <w:p>
      <w:pPr>
        <w:pStyle w:val="Heading6"/>
        <w:pBdr>
          <w:left w:val="single" w:sz="36" w:space="4" w:color="2E75B6"/>
        </w:pBdr>
        <w:shd w:val="clear" w:color="auto" w:fill="E3EEF9"/>
        <w:spacing w:before="120" w:after="60"/>
        <w:ind w:left="85"/>
      </w:pPr>
      <w:r>
        <w:rPr>
          <w:i w:val="0"/>
          <w:color w:val="1F3A5F"/>
          <w:sz w:val="22"/>
        </w:rPr>
        <w:t xml:space="preserve">Art. 847</w:t>
      </w:r>
    </w:p>
    <w:p>
      <w:pPr>
        <w:pStyle w:val="FirstParagraph"/>
        <w:spacing w:after="60"/>
        <w:jc w:val="both"/>
      </w:pPr>
      <w:r>
        <w:rPr>
          <w:b/>
          <w:bCs/>
        </w:rPr>
        <w:t xml:space="preserve">Art. 847.</w:t>
      </w:r>
      <w:r>
        <w:t xml:space="preserve"> </w:t>
      </w:r>
      <w:r>
        <w:t xml:space="preserve">O executado pode, no prazo de 10 (dez) dias contado da intimação da penhora, requerer a substituição do bem penhorado, desde que comprove que lhe será menos onerosa e não trará prejuízo ao exequente.</w:t>
      </w:r>
    </w:p>
    <w:p>
      <w:pPr>
        <w:pStyle w:val="BodyText"/>
        <w:spacing w:after="60"/>
        <w:jc w:val="both"/>
      </w:pPr>
      <w:r>
        <w:t xml:space="preserve">§ 1º O juiz só autorizará a substituição se o executado:</w:t>
      </w:r>
    </w:p>
    <w:p>
      <w:pPr>
        <w:pStyle w:val="BodyText"/>
        <w:spacing w:after="60"/>
        <w:jc w:val="both"/>
      </w:pPr>
      <w:r>
        <w:t xml:space="preserve">I - comprovar as respectivas matrículas e os registros por certidão do correspondente ofício, quanto aos bens imóveis;</w:t>
      </w:r>
    </w:p>
    <w:p>
      <w:pPr>
        <w:pStyle w:val="BodyText"/>
        <w:spacing w:after="60"/>
        <w:jc w:val="both"/>
      </w:pPr>
      <w:r>
        <w:t xml:space="preserve">II - descrever os bens móveis, com todas as suas propriedades e características, bem como o estado deles e o lugar onde se encontram;</w:t>
      </w:r>
    </w:p>
    <w:p>
      <w:pPr>
        <w:pStyle w:val="BodyText"/>
        <w:spacing w:after="60"/>
        <w:jc w:val="both"/>
      </w:pPr>
      <w:r>
        <w:t xml:space="preserve">III - descrever os semoventes, com indicação de espécie, de número, de marca ou sinal e do local onde se encontram;</w:t>
      </w:r>
    </w:p>
    <w:p>
      <w:pPr>
        <w:pStyle w:val="BodyText"/>
        <w:spacing w:after="60"/>
        <w:jc w:val="both"/>
      </w:pPr>
      <w:r>
        <w:t xml:space="preserve">IV - identificar os créditos, indicando quem seja o devedor, qual a origem da dívida, o título que a representa e a data do vencimento; e</w:t>
      </w:r>
    </w:p>
    <w:p>
      <w:pPr>
        <w:pStyle w:val="BodyText"/>
        <w:spacing w:after="60"/>
        <w:jc w:val="both"/>
      </w:pPr>
      <w:r>
        <w:t xml:space="preserve">V - atribuir, em qualquer caso, valor aos bens indicados à penhora, além de especificar os ônus e os encargos a que estejam sujeitos.</w:t>
      </w:r>
    </w:p>
    <w:p>
      <w:pPr>
        <w:pStyle w:val="BodyText"/>
        <w:spacing w:after="60"/>
        <w:jc w:val="both"/>
      </w:pPr>
      <w:r>
        <w:t xml:space="preserve">§ 2º Requerida a substituição do bem penhorado, o executado deve indicar onde se encontram os bens sujeitos à execução, exibir a prova de sua propriedade e a certidão negativa ou positiva de ônus, bem como abster-se de qualquer atitude que dificulte ou embarace a realização da penhora.</w:t>
      </w:r>
    </w:p>
    <w:p>
      <w:pPr>
        <w:pStyle w:val="BodyText"/>
        <w:spacing w:after="60"/>
        <w:jc w:val="both"/>
      </w:pPr>
      <w:r>
        <w:t xml:space="preserve">§ 3º O executado somente poderá oferecer bem imóvel em substituição caso o requeira com a expressa anuência do cônjuge, salvo se o regime for o de separação absoluta de bens.</w:t>
      </w:r>
    </w:p>
    <w:p>
      <w:pPr>
        <w:pStyle w:val="BodyText"/>
        <w:spacing w:after="60"/>
        <w:jc w:val="both"/>
      </w:pPr>
      <w:r>
        <w:t xml:space="preserve">§ 4º O juiz intimará o exequente para manifestar-se sobre o requerimento de substituição do bem penhorado.</w:t>
      </w:r>
    </w:p>
    <w:bookmarkEnd w:id="657"/>
    <w:bookmarkStart w:id="658" w:name="art.-848"/>
    <w:p>
      <w:pPr>
        <w:pStyle w:val="Heading6"/>
        <w:pBdr>
          <w:left w:val="single" w:sz="36" w:space="4" w:color="2E75B6"/>
        </w:pBdr>
        <w:shd w:val="clear" w:color="auto" w:fill="E3EEF9"/>
        <w:spacing w:before="120" w:after="60"/>
        <w:ind w:left="85"/>
      </w:pPr>
      <w:r>
        <w:rPr>
          <w:i w:val="0"/>
          <w:color w:val="1F3A5F"/>
          <w:sz w:val="22"/>
        </w:rPr>
        <w:t xml:space="preserve">Art. 848</w:t>
      </w:r>
    </w:p>
    <w:p>
      <w:pPr>
        <w:pStyle w:val="FirstParagraph"/>
        <w:spacing w:after="60"/>
        <w:jc w:val="both"/>
      </w:pPr>
      <w:r>
        <w:rPr>
          <w:b/>
          <w:bCs/>
        </w:rPr>
        <w:t xml:space="preserve">Art. 848.</w:t>
      </w:r>
      <w:r>
        <w:t xml:space="preserve"> </w:t>
      </w:r>
      <w:r>
        <w:t xml:space="preserve">As partes poderão requerer a substituição da penhora se:</w:t>
      </w:r>
    </w:p>
    <w:p>
      <w:pPr>
        <w:pStyle w:val="BodyText"/>
        <w:spacing w:after="60"/>
        <w:jc w:val="both"/>
      </w:pPr>
      <w:r>
        <w:t xml:space="preserve">I - ela não obedecer à ordem legal;</w:t>
      </w:r>
    </w:p>
    <w:p>
      <w:pPr>
        <w:pStyle w:val="BodyText"/>
        <w:spacing w:after="60"/>
        <w:jc w:val="both"/>
      </w:pPr>
      <w:r>
        <w:t xml:space="preserve">II - ela não incidir sobre os bens designados em lei, contrato ou ato judicial para o pagamento;</w:t>
      </w:r>
    </w:p>
    <w:p>
      <w:pPr>
        <w:pStyle w:val="BodyText"/>
        <w:spacing w:after="60"/>
        <w:jc w:val="both"/>
      </w:pPr>
      <w:r>
        <w:t xml:space="preserve">III - havendo bens no foro da execução, outros tiverem sido penhorados;</w:t>
      </w:r>
    </w:p>
    <w:p>
      <w:pPr>
        <w:pStyle w:val="BodyText"/>
        <w:spacing w:after="60"/>
        <w:jc w:val="both"/>
      </w:pPr>
      <w:r>
        <w:t xml:space="preserve">IV - havendo bens livres, ela tiver recaído sobre bens já penhorados ou objeto de gravame;</w:t>
      </w:r>
    </w:p>
    <w:p>
      <w:pPr>
        <w:pStyle w:val="BodyText"/>
        <w:spacing w:after="60"/>
        <w:jc w:val="both"/>
      </w:pPr>
      <w:r>
        <w:t xml:space="preserve">V - ela incidir sobre bens de baixa liquidez;</w:t>
      </w:r>
    </w:p>
    <w:p>
      <w:pPr>
        <w:pStyle w:val="BodyText"/>
        <w:spacing w:after="60"/>
        <w:jc w:val="both"/>
      </w:pPr>
      <w:r>
        <w:t xml:space="preserve">VI - fracassar a tentativa de alienação judicial do bem; ou</w:t>
      </w:r>
    </w:p>
    <w:p>
      <w:pPr>
        <w:pStyle w:val="BodyText"/>
        <w:spacing w:after="60"/>
        <w:jc w:val="both"/>
      </w:pPr>
      <w:r>
        <w:t xml:space="preserve">VII - o executado não indicar o valor dos bens ou omitir qualquer das indicações previstas em lei.</w:t>
      </w:r>
    </w:p>
    <w:p>
      <w:pPr>
        <w:pStyle w:val="BodyText"/>
        <w:keepNext/>
        <w:spacing w:after="60"/>
        <w:jc w:val="both"/>
      </w:pPr>
      <w:r>
        <w:t xml:space="preserve">Parágrafo único. A penhora pode ser substituída por fiança bancária ou por seguro garantia judicial, em valor não inferior ao do débito constante da inicial, acrescido de trinta por cento.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154"/>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Parágrafo único — fiança bancária e seguro garantia</w:t>
            </w:r>
          </w:p>
        </w:tc>
        <w:tc>
          <w:tcPr>
            <w:tcW w:type="dxa" w:w="1531"/>
          </w:tcPr>
          <w:p>
            <w:pPr>
              <w:pStyle w:val="Compact"/>
              <w:spacing w:line="276" w:lineRule="auto" w:before="40" w:after="40"/>
            </w:pPr>
            <w:r>
              <w:rPr>
                <w:rFonts w:ascii="Liberation Sans Narrow" w:hAnsi="Liberation Sans Narrow"/>
                <w:sz w:val="17"/>
              </w:rPr>
              <w:t xml:space="preserve">STJ, REsp 2.178.147, Quarta Turma, relatora Min. Maria Isabel Gallotti, julgado em 15/06/2026</w:t>
            </w:r>
          </w:p>
        </w:tc>
        <w:tc>
          <w:tcPr>
            <w:tcW w:type="dxa" w:w="2154"/>
          </w:tcPr>
          <w:p>
            <w:pPr>
              <w:pStyle w:val="Compact"/>
              <w:spacing w:line="276" w:lineRule="auto" w:before="40" w:after="40"/>
            </w:pPr>
            <w:r>
              <w:rPr>
                <w:rFonts w:ascii="Liberation Sans Narrow" w:hAnsi="Liberation Sans Narrow"/>
                <w:sz w:val="17"/>
              </w:rPr>
              <w:t xml:space="preserve">A fiança bancária e o seguro-garantia judicial equiparam-se a dinheiro para fins de garantia do juízo e substituição da penhora, em valor não inferior ao débito acrescido de trinta por cento; é inviável recusar o seguro com fundamento abstrato de que não integra a ordem do art. 835, cabendo ao juízo examinar concretamente a apólice.</w:t>
            </w:r>
          </w:p>
        </w:tc>
      </w:tr>
    </w:tbl>
    <w:bookmarkEnd w:id="658"/>
    <w:bookmarkStart w:id="659" w:name="art.-849"/>
    <w:p>
      <w:pPr>
        <w:pStyle w:val="Heading6"/>
        <w:pBdr>
          <w:left w:val="single" w:sz="36" w:space="4" w:color="2E75B6"/>
        </w:pBdr>
        <w:shd w:val="clear" w:color="auto" w:fill="E3EEF9"/>
        <w:spacing w:before="120" w:after="60"/>
        <w:ind w:left="85"/>
      </w:pPr>
      <w:r>
        <w:rPr>
          <w:i w:val="0"/>
          <w:color w:val="1F3A5F"/>
          <w:sz w:val="22"/>
        </w:rPr>
        <w:t xml:space="preserve">Art. 849</w:t>
      </w:r>
    </w:p>
    <w:p>
      <w:pPr>
        <w:pStyle w:val="FirstParagraph"/>
        <w:keepNext/>
        <w:spacing w:after="60"/>
        <w:jc w:val="both"/>
      </w:pPr>
      <w:r>
        <w:rPr>
          <w:b/>
          <w:bCs/>
        </w:rPr>
        <w:t xml:space="preserve">Art. 849.</w:t>
      </w:r>
      <w:r>
        <w:t xml:space="preserve"> </w:t>
      </w:r>
      <w:r>
        <w:t xml:space="preserve">Sempre que ocorrer a substituição dos bens inicialmente penhorados, será lavrado novo termo.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746"/>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46"/>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novo termo de penhora</w:t>
            </w:r>
          </w:p>
        </w:tc>
        <w:tc>
          <w:tcPr>
            <w:tcW w:type="dxa" w:w="1655"/>
          </w:tcPr>
          <w:p>
            <w:pPr>
              <w:pStyle w:val="Compact"/>
              <w:spacing w:line="276" w:lineRule="auto" w:before="40" w:after="40"/>
            </w:pPr>
            <w:r>
              <w:rPr>
                <w:rFonts w:ascii="Liberation Sans Narrow" w:hAnsi="Liberation Sans Narrow"/>
                <w:sz w:val="17"/>
              </w:rPr>
              <w:t xml:space="preserve">STJ, AgInt no REsp 1.822.142, Segunda Turma, relator Min. Herman Benjamin, julgado em 19/11/2019, DJe de 19/12/2019</w:t>
            </w:r>
          </w:p>
        </w:tc>
        <w:tc>
          <w:tcPr>
            <w:tcW w:type="dxa" w:w="1746"/>
          </w:tcPr>
          <w:p>
            <w:pPr>
              <w:pStyle w:val="Compact"/>
              <w:spacing w:line="276" w:lineRule="auto" w:before="40" w:after="40"/>
            </w:pPr>
            <w:r>
              <w:rPr>
                <w:rFonts w:ascii="Liberation Sans Narrow" w:hAnsi="Liberation Sans Narrow"/>
                <w:sz w:val="17"/>
              </w:rPr>
              <w:t xml:space="preserve">Na penhora eletrônica de valores, dispensa-se a lavratura de termo; o prazo para os embargos conta-se da notificação do executado sobre o bloqueio realizado em sua conta.</w:t>
            </w:r>
          </w:p>
        </w:tc>
      </w:tr>
    </w:tbl>
    <w:bookmarkEnd w:id="659"/>
    <w:bookmarkStart w:id="660" w:name="art.-850"/>
    <w:p>
      <w:pPr>
        <w:pStyle w:val="Heading6"/>
        <w:pBdr>
          <w:left w:val="single" w:sz="36" w:space="4" w:color="2E75B6"/>
        </w:pBdr>
        <w:shd w:val="clear" w:color="auto" w:fill="E3EEF9"/>
        <w:spacing w:before="120" w:after="60"/>
        <w:ind w:left="85"/>
      </w:pPr>
      <w:r>
        <w:rPr>
          <w:i w:val="0"/>
          <w:color w:val="1F3A5F"/>
          <w:sz w:val="22"/>
        </w:rPr>
        <w:t xml:space="preserve">Art. 850</w:t>
      </w:r>
    </w:p>
    <w:p>
      <w:pPr>
        <w:pStyle w:val="FirstParagraph"/>
        <w:spacing w:after="60"/>
        <w:jc w:val="both"/>
      </w:pPr>
      <w:r>
        <w:rPr>
          <w:b/>
          <w:bCs/>
        </w:rPr>
        <w:t xml:space="preserve">Art. 850.</w:t>
      </w:r>
      <w:r>
        <w:t xml:space="preserve"> </w:t>
      </w:r>
      <w:r>
        <w:t xml:space="preserve">Será admitida a redução ou a ampliação da penhora, bem como sua transferência para outros bens, se, no curso do processo, o valor de mercado dos bens penhorados sofrer alteração significativa.</w:t>
      </w:r>
    </w:p>
    <w:bookmarkEnd w:id="660"/>
    <w:bookmarkStart w:id="661" w:name="art.-851"/>
    <w:p>
      <w:pPr>
        <w:pStyle w:val="Heading6"/>
        <w:pBdr>
          <w:left w:val="single" w:sz="36" w:space="4" w:color="2E75B6"/>
        </w:pBdr>
        <w:shd w:val="clear" w:color="auto" w:fill="E3EEF9"/>
        <w:spacing w:before="120" w:after="60"/>
        <w:ind w:left="85"/>
      </w:pPr>
      <w:r>
        <w:rPr>
          <w:i w:val="0"/>
          <w:color w:val="1F3A5F"/>
          <w:sz w:val="22"/>
        </w:rPr>
        <w:t xml:space="preserve">Art. 851</w:t>
      </w:r>
    </w:p>
    <w:p>
      <w:pPr>
        <w:pStyle w:val="FirstParagraph"/>
        <w:keepNext/>
        <w:spacing w:after="60"/>
        <w:jc w:val="both"/>
      </w:pPr>
      <w:r>
        <w:rPr>
          <w:b/>
          <w:bCs/>
        </w:rPr>
        <w:t xml:space="preserve">Art. 851.</w:t>
      </w:r>
      <w:r>
        <w:t xml:space="preserve"> </w:t>
      </w:r>
      <w:r>
        <w:t xml:space="preserve">Não se procede à segunda penhora, salvo se: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segunda penhora</w:t>
            </w:r>
          </w:p>
        </w:tc>
        <w:tc>
          <w:tcPr>
            <w:tcW w:type="dxa" w:w="1655"/>
          </w:tcPr>
          <w:p>
            <w:pPr>
              <w:pStyle w:val="Compact"/>
              <w:spacing w:line="276" w:lineRule="auto" w:before="40" w:after="40"/>
            </w:pPr>
            <w:r>
              <w:rPr>
                <w:rFonts w:ascii="Liberation Sans Narrow" w:hAnsi="Liberation Sans Narrow"/>
                <w:sz w:val="17"/>
              </w:rPr>
              <w:t xml:space="preserve">STJ, REsp 2.255.343, Quarta Turma, relator Min. João Otávio de Noronha, julgado em 22/04/2026, DJEN de 27/04/2026</w:t>
            </w:r>
          </w:p>
        </w:tc>
        <w:tc>
          <w:tcPr>
            <w:tcW w:type="dxa" w:w="1905"/>
          </w:tcPr>
          <w:p>
            <w:pPr>
              <w:pStyle w:val="Compact"/>
              <w:spacing w:line="276" w:lineRule="auto" w:before="40" w:after="40"/>
            </w:pPr>
            <w:r>
              <w:rPr>
                <w:rFonts w:ascii="Liberation Sans Narrow" w:hAnsi="Liberation Sans Narrow"/>
                <w:sz w:val="17"/>
              </w:rPr>
              <w:t xml:space="preserve">É possível a segunda penhora quando o bem anteriormente constrito está suspenso por embargos de terceiro, hipótese não prevista no rol legal, mas compatível com a efetividade da execução.</w:t>
            </w:r>
          </w:p>
        </w:tc>
      </w:tr>
    </w:tbl>
    <w:p>
      <w:pPr>
        <w:pStyle w:val="BodyText"/>
        <w:spacing w:after="60"/>
        <w:jc w:val="both"/>
      </w:pPr>
      <w:r>
        <w:t xml:space="preserve">I - a primeira for anulada;</w:t>
      </w:r>
    </w:p>
    <w:p>
      <w:pPr>
        <w:pStyle w:val="BodyText"/>
        <w:spacing w:after="60"/>
        <w:jc w:val="both"/>
      </w:pPr>
      <w:r>
        <w:t xml:space="preserve">II - executados os bens, o produto da alienação não bastar para o pagamento do exequente;</w:t>
      </w:r>
    </w:p>
    <w:p>
      <w:pPr>
        <w:pStyle w:val="BodyText"/>
        <w:spacing w:after="60"/>
        <w:jc w:val="both"/>
      </w:pPr>
      <w:r>
        <w:t xml:space="preserve">III - o exequente desistir da primeira penhora, por serem litigiosos os bens ou por estarem submetidos a constrição judicial.</w:t>
      </w:r>
    </w:p>
    <w:bookmarkEnd w:id="661"/>
    <w:bookmarkStart w:id="662" w:name="art.-852"/>
    <w:p>
      <w:pPr>
        <w:pStyle w:val="Heading6"/>
        <w:pBdr>
          <w:left w:val="single" w:sz="36" w:space="4" w:color="2E75B6"/>
        </w:pBdr>
        <w:shd w:val="clear" w:color="auto" w:fill="E3EEF9"/>
        <w:spacing w:before="120" w:after="60"/>
        <w:ind w:left="85"/>
      </w:pPr>
      <w:r>
        <w:rPr>
          <w:i w:val="0"/>
          <w:color w:val="1F3A5F"/>
          <w:sz w:val="22"/>
        </w:rPr>
        <w:t xml:space="preserve">Art. 852</w:t>
      </w:r>
    </w:p>
    <w:p>
      <w:pPr>
        <w:pStyle w:val="FirstParagraph"/>
        <w:spacing w:after="60"/>
        <w:jc w:val="both"/>
      </w:pPr>
      <w:r>
        <w:rPr>
          <w:b/>
          <w:bCs/>
        </w:rPr>
        <w:t xml:space="preserve">Art. 852.</w:t>
      </w:r>
      <w:r>
        <w:t xml:space="preserve"> </w:t>
      </w:r>
      <w:r>
        <w:t xml:space="preserve">O juiz determinará a alienação antecipada dos bens penhorados quando:</w:t>
      </w:r>
    </w:p>
    <w:p>
      <w:pPr>
        <w:pStyle w:val="BodyText"/>
        <w:spacing w:after="60"/>
        <w:jc w:val="both"/>
      </w:pPr>
      <w:r>
        <w:t xml:space="preserve">I - se tratar de veículos automotores, de pedras e metais preciosos e de outros bens móveis sujeitos à depreciação ou à deterioração;</w:t>
      </w:r>
    </w:p>
    <w:p>
      <w:pPr>
        <w:pStyle w:val="BodyText"/>
        <w:spacing w:after="60"/>
        <w:jc w:val="both"/>
      </w:pPr>
      <w:r>
        <w:t xml:space="preserve">II - houver manifesta vantagem.</w:t>
      </w:r>
    </w:p>
    <w:bookmarkEnd w:id="662"/>
    <w:bookmarkStart w:id="663" w:name="art.-853"/>
    <w:p>
      <w:pPr>
        <w:pStyle w:val="Heading6"/>
        <w:pBdr>
          <w:left w:val="single" w:sz="36" w:space="4" w:color="2E75B6"/>
        </w:pBdr>
        <w:shd w:val="clear" w:color="auto" w:fill="E3EEF9"/>
        <w:spacing w:before="120" w:after="60"/>
        <w:ind w:left="85"/>
      </w:pPr>
      <w:r>
        <w:rPr>
          <w:i w:val="0"/>
          <w:color w:val="1F3A5F"/>
          <w:sz w:val="22"/>
        </w:rPr>
        <w:t xml:space="preserve">Art. 853</w:t>
      </w:r>
    </w:p>
    <w:p>
      <w:pPr>
        <w:pStyle w:val="FirstParagraph"/>
        <w:spacing w:after="60"/>
        <w:jc w:val="both"/>
      </w:pPr>
      <w:r>
        <w:rPr>
          <w:b/>
          <w:bCs/>
        </w:rPr>
        <w:t xml:space="preserve">Art. 853.</w:t>
      </w:r>
      <w:r>
        <w:t xml:space="preserve"> </w:t>
      </w:r>
      <w:r>
        <w:t xml:space="preserve">Quando uma das partes requerer alguma das medidas previstas nesta Subseção, o juiz ouvirá sempre a outra, no prazo de 3 (três) dias, antes de decidir.</w:t>
      </w:r>
    </w:p>
    <w:p>
      <w:pPr>
        <w:pStyle w:val="BodyText"/>
        <w:spacing w:after="60"/>
        <w:jc w:val="both"/>
      </w:pPr>
      <w:r>
        <w:t xml:space="preserve">Parágrafo único. O juiz decidirá de plano qualquer questão suscitada.</w:t>
      </w:r>
    </w:p>
    <w:bookmarkEnd w:id="663"/>
    <w:bookmarkStart w:id="664" w:name="art.-854"/>
    <w:p>
      <w:pPr>
        <w:pStyle w:val="Heading6"/>
        <w:pBdr>
          <w:left w:val="single" w:sz="36" w:space="4" w:color="2E75B6"/>
        </w:pBdr>
        <w:shd w:val="clear" w:color="auto" w:fill="E3EEF9"/>
        <w:spacing w:before="120" w:after="60"/>
        <w:ind w:left="85"/>
      </w:pPr>
      <w:r>
        <w:rPr>
          <w:i w:val="0"/>
          <w:color w:val="1F3A5F"/>
          <w:sz w:val="22"/>
        </w:rPr>
        <w:t xml:space="preserve">Art. 854</w:t>
      </w:r>
    </w:p>
    <w:p>
      <w:pPr>
        <w:pStyle w:val="FirstParagraph"/>
        <w:keepNext/>
        <w:spacing w:after="60"/>
        <w:jc w:val="both"/>
      </w:pPr>
      <w:r>
        <w:rPr>
          <w:b/>
          <w:bCs/>
        </w:rPr>
        <w:t xml:space="preserve">Art. 854.</w:t>
      </w:r>
      <w:r>
        <w:t xml:space="preserve"> </w:t>
      </w:r>
      <w:r>
        <w:t xml:space="preserve">Para possibilitar a penhora de dinheiro em depósito ou em aplicação financeira, o juiz, a requerimento do exequente, sem dar ciência prévia do ato ao executado, determinará às instituições financeiras, por meio de sistema eletrônico gerido pela autoridade supervisora do sistema financeiro nacional, que torne indisponíveis ativos financeiros existentes em nome do executado, limitando-se a indisponibilidade ao valor indicado na execução.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2404"/>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Caput — contraditório diferido</w:t>
            </w:r>
          </w:p>
        </w:tc>
        <w:tc>
          <w:tcPr>
            <w:tcW w:type="dxa" w:w="1655"/>
          </w:tcPr>
          <w:p>
            <w:pPr>
              <w:pStyle w:val="Compact"/>
              <w:spacing w:line="276" w:lineRule="auto" w:before="40" w:after="40"/>
            </w:pPr>
            <w:r>
              <w:rPr>
                <w:rFonts w:ascii="Liberation Sans Narrow" w:hAnsi="Liberation Sans Narrow"/>
                <w:sz w:val="17"/>
              </w:rPr>
              <w:t xml:space="preserve">STJ, REsp 2.177.058, Quarta Turma, relator Min. João Otávio de Noronha, julgado em 30/06/2026</w:t>
            </w:r>
          </w:p>
        </w:tc>
        <w:tc>
          <w:tcPr>
            <w:tcW w:type="dxa" w:w="2404"/>
          </w:tcPr>
          <w:p>
            <w:pPr>
              <w:pStyle w:val="Compact"/>
              <w:spacing w:line="276" w:lineRule="auto" w:before="40" w:after="40"/>
            </w:pPr>
            <w:r>
              <w:rPr>
                <w:rFonts w:ascii="Liberation Sans Narrow" w:hAnsi="Liberation Sans Narrow"/>
                <w:sz w:val="17"/>
              </w:rPr>
              <w:t xml:space="preserve">A penhora de dinheiro admite contraditório diferido, autorizado pelo art. 854, sendo desnecessária a intimação prévia do executado para a constrição.</w:t>
            </w:r>
          </w:p>
        </w:tc>
      </w:tr>
      <w:tr>
        <w:trPr/>
        <w:tc>
          <w:tcPr>
            <w:tcW w:type="dxa" w:w="1905"/>
          </w:tcPr>
          <w:p>
            <w:pPr>
              <w:pStyle w:val="Compact"/>
              <w:spacing w:line="276" w:lineRule="auto" w:before="40" w:after="40"/>
            </w:pPr>
            <w:r>
              <w:rPr>
                <w:rFonts w:ascii="Liberation Sans Narrow" w:hAnsi="Liberation Sans Narrow"/>
                <w:sz w:val="17"/>
              </w:rPr>
              <w:t xml:space="preserve">Caput — penhora de dinheiro em depósito ou aplicação (aplicação narrada)</w:t>
            </w:r>
          </w:p>
        </w:tc>
        <w:tc>
          <w:tcPr>
            <w:tcW w:type="dxa" w:w="1655"/>
          </w:tcPr>
          <w:p>
            <w:pPr>
              <w:pStyle w:val="Compact"/>
              <w:spacing w:line="276" w:lineRule="auto" w:before="40" w:after="40"/>
            </w:pPr>
            <w:r>
              <w:rPr>
                <w:rFonts w:ascii="Liberation Sans Narrow" w:hAnsi="Liberation Sans Narrow"/>
                <w:sz w:val="17"/>
              </w:rPr>
              <w:t xml:space="preserve">STJ, AREsp 2.726.728, Quarta Turma, relator Min. Raul Araújo, julgado em 02/03/2026, DJEN de 11/03/2026</w:t>
            </w:r>
          </w:p>
        </w:tc>
        <w:tc>
          <w:tcPr>
            <w:tcW w:type="dxa" w:w="2404"/>
          </w:tcPr>
          <w:p>
            <w:pPr>
              <w:pStyle w:val="Compact"/>
              <w:spacing w:line="276" w:lineRule="auto" w:before="40" w:after="40"/>
            </w:pPr>
            <w:r>
              <w:rPr>
                <w:rFonts w:ascii="Liberation Sans Narrow" w:hAnsi="Liberation Sans Narrow"/>
                <w:sz w:val="17"/>
              </w:rPr>
              <w:t xml:space="preserve">A ausência de intimação prévia do executado para o bloqueio de valores via SISBAJUD não configura nulidade, pois o contraditório é diferido, exercido após a indisponibilidade (art. 854, §§ 2º e 3º). Trecho: “Não configura nulidade a ausência de intimação prévia do executado acerca da atualização do cálculo da dívida, pois o contraditório é diferido, sendo assegurado ao executado o direito de impugnar o cálculo e alegar excesso de execução após o bloqueio.”</w:t>
            </w:r>
          </w:p>
        </w:tc>
      </w:tr>
    </w:tbl>
    <w:p>
      <w:pPr>
        <w:pStyle w:val="BodyText"/>
        <w:spacing w:after="60"/>
        <w:jc w:val="both"/>
      </w:pPr>
      <w:r>
        <w:t xml:space="preserve">§ 1º No prazo de 24 (vinte e quatro) horas a contar da resposta, de ofício, o juiz determinará o cancelamento de eventual indisponibilidade excessiva, o que deverá ser cumprido pela instituição financeira em igual prazo.</w:t>
      </w:r>
    </w:p>
    <w:p>
      <w:pPr>
        <w:pStyle w:val="BodyText"/>
        <w:spacing w:after="60"/>
        <w:jc w:val="both"/>
      </w:pPr>
      <w:r>
        <w:t xml:space="preserve">§ 2º Tornados indisponíveis os ativos financeiros do executado, este será intimado na pessoa de seu advogado ou, não o tendo, pessoalmente.</w:t>
      </w:r>
    </w:p>
    <w:p>
      <w:pPr>
        <w:pStyle w:val="BodyText"/>
        <w:spacing w:after="60"/>
        <w:jc w:val="both"/>
      </w:pPr>
      <w:r>
        <w:t xml:space="preserve">§ 3º Incumbe ao executado, no prazo de 5 (cinco) dias, comprovar que:</w:t>
      </w:r>
    </w:p>
    <w:p>
      <w:pPr>
        <w:pStyle w:val="BodyText"/>
        <w:spacing w:after="60"/>
        <w:jc w:val="both"/>
      </w:pPr>
      <w:r>
        <w:t xml:space="preserve">I - as quantias tornadas indisponíveis são impenhoráveis;</w:t>
      </w:r>
    </w:p>
    <w:p>
      <w:pPr>
        <w:pStyle w:val="BodyText"/>
        <w:spacing w:after="60"/>
        <w:jc w:val="both"/>
      </w:pPr>
      <w:r>
        <w:t xml:space="preserve">II - ainda remanesce indisponibilidade excessiva de ativos financeiros.</w:t>
      </w:r>
    </w:p>
    <w:p>
      <w:pPr>
        <w:pStyle w:val="BodyText"/>
        <w:spacing w:after="60"/>
        <w:jc w:val="both"/>
      </w:pPr>
      <w:r>
        <w:t xml:space="preserve">§ 4º Acolhida qualquer das arguições dos incisos I e II do § 3º, o juiz determinará o cancelamento de eventual indisponibilidade irregular ou excessiva, a ser cumprido pela instituição financeira em 24 (vinte e quatro) horas.</w:t>
      </w:r>
    </w:p>
    <w:p>
      <w:pPr>
        <w:pStyle w:val="BodyText"/>
        <w:spacing w:after="60"/>
        <w:jc w:val="both"/>
      </w:pPr>
      <w:r>
        <w:t xml:space="preserve">§ 5º Rejeitada ou não apresentada a manifestação do executado, converter-se-á a indisponibilidade em penhora, sem necessidade de lavratura de termo, devendo o juiz da execução determinar à instituição financeira depositária que, no prazo de 24 (vinte e quatro) horas, transfira o montante indisponível para conta vinculada ao juízo da execução.</w:t>
      </w:r>
    </w:p>
    <w:p>
      <w:pPr>
        <w:pStyle w:val="BodyText"/>
        <w:spacing w:after="60"/>
        <w:jc w:val="both"/>
      </w:pPr>
      <w:r>
        <w:t xml:space="preserve">§ 6º Realizado o pagamento da dívida por outro meio, o juiz determinará, imediatamente, por sistema eletrônico gerido pela autoridade supervisora do sistema financeiro nacional, a notificação da instituição financeira para que, em até 24 (vinte e quatro) horas, cancele a indisponibilidade.</w:t>
      </w:r>
    </w:p>
    <w:p>
      <w:pPr>
        <w:pStyle w:val="BodyText"/>
        <w:spacing w:after="60"/>
        <w:jc w:val="both"/>
      </w:pPr>
      <w:r>
        <w:t xml:space="preserve">§ 7º As transmissões das ordens de indisponibilidade, de seu cancelamento e de determinação de penhora previstas neste artigo far-se-ão por meio de sistema eletrônico gerido pela autoridade supervisora do sistema financeiro nacional.</w:t>
      </w:r>
    </w:p>
    <w:p>
      <w:pPr>
        <w:pStyle w:val="BodyText"/>
        <w:spacing w:after="60"/>
        <w:jc w:val="both"/>
      </w:pPr>
      <w:r>
        <w:t xml:space="preserve">§ 8º A instituição financeira será responsável pelos prejuízos causados ao executado em decorrência da indisponibilidade de ativos financeiros em valor superior ao indicado na execução ou pelo juiz, bem como na hipótese de não cancelamento da indisponibilidade no prazo de 24 (vinte e quatro) horas, quando assim determinar o juiz.</w:t>
      </w:r>
    </w:p>
    <w:p>
      <w:pPr>
        <w:pStyle w:val="BodyText"/>
        <w:spacing w:after="60"/>
        <w:jc w:val="both"/>
      </w:pPr>
      <w:r>
        <w:t xml:space="preserve">§ 9º Quando se tratar de execução contra partido político, o juiz, a requerimento do exequente, determinará às instituições financeiras, por meio de sistema eletrônico gerido por autoridade supervisora do sistema bancário, que tornem indisponíveis ativos financeiros somente em nome do órgão partidário que tenha contraído a dívida executada ou que tenha dado causa à violação de direito ou ao dano, ao qual cabe exclusivamente a responsabilidade pelos atos praticados, na forma da lei.</w:t>
      </w:r>
    </w:p>
    <w:bookmarkEnd w:id="664"/>
    <w:bookmarkStart w:id="665" w:name="art.-855"/>
    <w:p>
      <w:pPr>
        <w:pStyle w:val="Heading6"/>
        <w:pBdr>
          <w:left w:val="single" w:sz="36" w:space="4" w:color="2E75B6"/>
        </w:pBdr>
        <w:shd w:val="clear" w:color="auto" w:fill="E3EEF9"/>
        <w:spacing w:before="120" w:after="60"/>
        <w:ind w:left="85"/>
      </w:pPr>
      <w:r>
        <w:rPr>
          <w:i w:val="0"/>
          <w:color w:val="1F3A5F"/>
          <w:sz w:val="22"/>
        </w:rPr>
        <w:t xml:space="preserve">Art. 855</w:t>
      </w:r>
    </w:p>
    <w:p>
      <w:pPr>
        <w:pStyle w:val="FirstParagraph"/>
        <w:keepNext/>
        <w:spacing w:after="60"/>
        <w:jc w:val="both"/>
      </w:pPr>
      <w:r>
        <w:rPr>
          <w:b/>
          <w:bCs/>
        </w:rPr>
        <w:t xml:space="preserve">Art. 855.</w:t>
      </w:r>
      <w:r>
        <w:t xml:space="preserve"> </w:t>
      </w:r>
      <w:r>
        <w:t xml:space="preserve">Quando recair em crédito do executado, enquanto não ocorrer a hipótese prevista no art. 856, considerar-se-á feita a penhora pela intimação: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782"/>
        <w:gridCol w:w="165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782"/>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penhora de crédito</w:t>
            </w:r>
          </w:p>
        </w:tc>
        <w:tc>
          <w:tcPr>
            <w:tcW w:type="dxa" w:w="1782"/>
          </w:tcPr>
          <w:p>
            <w:pPr>
              <w:pStyle w:val="Compact"/>
              <w:spacing w:line="276" w:lineRule="auto" w:before="40" w:after="40"/>
            </w:pPr>
            <w:r>
              <w:rPr>
                <w:rFonts w:ascii="Liberation Sans Narrow" w:hAnsi="Liberation Sans Narrow"/>
                <w:sz w:val="17"/>
              </w:rPr>
              <w:t xml:space="preserve">STJ, REsp 1.964.457, Terceira Turma, relator Min. Paulo de Tarso Sanseverino, julgado em 03/05/2022, DJe de 11/05/2022</w:t>
            </w:r>
          </w:p>
        </w:tc>
        <w:tc>
          <w:tcPr>
            <w:tcW w:type="dxa" w:w="1655"/>
          </w:tcPr>
          <w:p>
            <w:pPr>
              <w:pStyle w:val="Compact"/>
              <w:spacing w:line="276" w:lineRule="auto" w:before="40" w:after="40"/>
            </w:pPr>
            <w:r>
              <w:rPr>
                <w:rFonts w:ascii="Liberation Sans Narrow" w:hAnsi="Liberation Sans Narrow"/>
                <w:sz w:val="17"/>
              </w:rPr>
              <w:t xml:space="preserve">Intimado o terceiro devedor para não pagar ao executado, o pagamento posterior a este é ineficaz perante o exequente, ainda que o crédito não existisse à data do deferimento da penhora.</w:t>
            </w:r>
          </w:p>
        </w:tc>
      </w:tr>
    </w:tbl>
    <w:p>
      <w:pPr>
        <w:pStyle w:val="BodyText"/>
        <w:spacing w:after="60"/>
        <w:jc w:val="both"/>
      </w:pPr>
      <w:r>
        <w:t xml:space="preserve">I - ao terceiro devedor para que não pague ao executado, seu credor;</w:t>
      </w:r>
    </w:p>
    <w:p>
      <w:pPr>
        <w:pStyle w:val="BodyText"/>
        <w:spacing w:after="60"/>
        <w:jc w:val="both"/>
      </w:pPr>
      <w:r>
        <w:t xml:space="preserve">II - ao executado, credor do terceiro, para que não pratique ato de disposição do crédito.</w:t>
      </w:r>
    </w:p>
    <w:bookmarkEnd w:id="665"/>
    <w:bookmarkStart w:id="666" w:name="art.-856"/>
    <w:p>
      <w:pPr>
        <w:pStyle w:val="Heading6"/>
        <w:pBdr>
          <w:left w:val="single" w:sz="36" w:space="4" w:color="2E75B6"/>
        </w:pBdr>
        <w:shd w:val="clear" w:color="auto" w:fill="E3EEF9"/>
        <w:spacing w:before="120" w:after="60"/>
        <w:ind w:left="85"/>
      </w:pPr>
      <w:r>
        <w:rPr>
          <w:i w:val="0"/>
          <w:color w:val="1F3A5F"/>
          <w:sz w:val="22"/>
        </w:rPr>
        <w:t xml:space="preserve">Art. 856</w:t>
      </w:r>
    </w:p>
    <w:p>
      <w:pPr>
        <w:pStyle w:val="FirstParagraph"/>
        <w:spacing w:after="60"/>
        <w:jc w:val="both"/>
      </w:pPr>
      <w:r>
        <w:rPr>
          <w:b/>
          <w:bCs/>
        </w:rPr>
        <w:t xml:space="preserve">Art. 856.</w:t>
      </w:r>
      <w:r>
        <w:t xml:space="preserve"> </w:t>
      </w:r>
      <w:r>
        <w:t xml:space="preserve">A penhora de crédito representado por letra de câmbio, nota promissória, duplicata, cheque ou outros títulos far-se-á pela apreensão do documento, esteja ou não este em poder do executado.</w:t>
      </w:r>
    </w:p>
    <w:p>
      <w:pPr>
        <w:pStyle w:val="BodyText"/>
        <w:spacing w:after="60"/>
        <w:jc w:val="both"/>
      </w:pPr>
      <w:r>
        <w:t xml:space="preserve">§ 1º Se o título não for apreendido, mas o terceiro confessar a dívida, será este tido como depositário da importância.</w:t>
      </w:r>
    </w:p>
    <w:p>
      <w:pPr>
        <w:pStyle w:val="BodyText"/>
        <w:spacing w:after="60"/>
        <w:jc w:val="both"/>
      </w:pPr>
      <w:r>
        <w:t xml:space="preserve">§ 2º O terceiro só se exonerará da obrigação depositando em juízo a importância da dívida.</w:t>
      </w:r>
    </w:p>
    <w:p>
      <w:pPr>
        <w:pStyle w:val="BodyText"/>
        <w:spacing w:after="60"/>
        <w:jc w:val="both"/>
      </w:pPr>
      <w:r>
        <w:t xml:space="preserve">§ 3º Se o terceiro negar o débito em conluio com o executado, a quitação que este lhe der caracterizará fraude à execução.</w:t>
      </w:r>
    </w:p>
    <w:p>
      <w:pPr>
        <w:pStyle w:val="BodyText"/>
        <w:spacing w:after="60"/>
        <w:jc w:val="both"/>
      </w:pPr>
      <w:r>
        <w:t xml:space="preserve">§ 4º A requerimento do exequente, o juiz determinará o comparecimento, em audiência especialmente designada, do executado e do terceiro, a fim de lhes tomar os depoimentos.</w:t>
      </w:r>
    </w:p>
    <w:bookmarkEnd w:id="666"/>
    <w:bookmarkStart w:id="667" w:name="art.-857"/>
    <w:p>
      <w:pPr>
        <w:pStyle w:val="Heading6"/>
        <w:pBdr>
          <w:left w:val="single" w:sz="36" w:space="4" w:color="2E75B6"/>
        </w:pBdr>
        <w:shd w:val="clear" w:color="auto" w:fill="E3EEF9"/>
        <w:spacing w:before="120" w:after="60"/>
        <w:ind w:left="85"/>
      </w:pPr>
      <w:r>
        <w:rPr>
          <w:i w:val="0"/>
          <w:color w:val="1F3A5F"/>
          <w:sz w:val="22"/>
        </w:rPr>
        <w:t xml:space="preserve">Art. 857</w:t>
      </w:r>
    </w:p>
    <w:p>
      <w:pPr>
        <w:pStyle w:val="FirstParagraph"/>
        <w:keepNext/>
        <w:spacing w:after="60"/>
        <w:jc w:val="both"/>
      </w:pPr>
      <w:r>
        <w:rPr>
          <w:b/>
          <w:bCs/>
        </w:rPr>
        <w:t xml:space="preserve">Art. 857.</w:t>
      </w:r>
      <w:r>
        <w:t xml:space="preserve"> </w:t>
      </w:r>
      <w:r>
        <w:t xml:space="preserve">Feita a penhora em direito e ação do executado, e não tendo ele oferecido embargos ou sendo estes rejeitados, o exequente ficará sub-rogado nos direitos do executado até a concorrência de seu crédito.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penhora de direito e ação</w:t>
            </w:r>
          </w:p>
        </w:tc>
        <w:tc>
          <w:tcPr>
            <w:tcW w:type="dxa" w:w="1655"/>
          </w:tcPr>
          <w:p>
            <w:pPr>
              <w:pStyle w:val="Compact"/>
              <w:spacing w:line="276" w:lineRule="auto" w:before="40" w:after="40"/>
            </w:pPr>
            <w:r>
              <w:rPr>
                <w:rFonts w:ascii="Liberation Sans Narrow" w:hAnsi="Liberation Sans Narrow"/>
                <w:sz w:val="17"/>
              </w:rPr>
              <w:t xml:space="preserve">STJ, AREsp 3.226.831, Quarta Turma, relator Min. Raul Araújo, julgado em 22/06/2026, DJEN de 29/06/2026</w:t>
            </w:r>
          </w:p>
        </w:tc>
        <w:tc>
          <w:tcPr>
            <w:tcW w:type="dxa" w:w="2030"/>
          </w:tcPr>
          <w:p>
            <w:pPr>
              <w:pStyle w:val="Compact"/>
              <w:spacing w:line="276" w:lineRule="auto" w:before="40" w:after="40"/>
            </w:pPr>
            <w:r>
              <w:rPr>
                <w:rFonts w:ascii="Liberation Sans Narrow" w:hAnsi="Liberation Sans Narrow"/>
                <w:sz w:val="17"/>
              </w:rPr>
              <w:t xml:space="preserve">Na penhora no rosto dos autos, o credor sub-rogado atua com legitimidade extraordinária e autonomia, podendo prosseguir na execução penhorando outros bens se não receber o crédito.</w:t>
            </w:r>
          </w:p>
        </w:tc>
      </w:tr>
    </w:tbl>
    <w:p>
      <w:pPr>
        <w:pStyle w:val="BodyText"/>
        <w:spacing w:after="60"/>
        <w:jc w:val="both"/>
      </w:pPr>
      <w:r>
        <w:t xml:space="preserve">§ 1º O exequente pode preferir, em vez da sub-rogação, a alienação judicial do direito penhorado, caso em que declarará sua vontade no prazo de 10 (dez) dias contado da realização da penhora.</w:t>
      </w:r>
    </w:p>
    <w:p>
      <w:pPr>
        <w:pStyle w:val="BodyText"/>
        <w:spacing w:after="60"/>
        <w:jc w:val="both"/>
      </w:pPr>
      <w:r>
        <w:t xml:space="preserve">§ 2º A sub-rogação não impede o sub-rogado, se não receber o crédito do executado, de prosseguir na execução, nos mesmos autos, penhorando outros bens.</w:t>
      </w:r>
    </w:p>
    <w:bookmarkEnd w:id="667"/>
    <w:bookmarkStart w:id="668" w:name="art.-858"/>
    <w:p>
      <w:pPr>
        <w:pStyle w:val="Heading6"/>
        <w:pBdr>
          <w:left w:val="single" w:sz="36" w:space="4" w:color="2E75B6"/>
        </w:pBdr>
        <w:shd w:val="clear" w:color="auto" w:fill="E3EEF9"/>
        <w:spacing w:before="120" w:after="60"/>
        <w:ind w:left="85"/>
      </w:pPr>
      <w:r>
        <w:rPr>
          <w:i w:val="0"/>
          <w:color w:val="1F3A5F"/>
          <w:sz w:val="22"/>
        </w:rPr>
        <w:t xml:space="preserve">Art. 858</w:t>
      </w:r>
    </w:p>
    <w:p>
      <w:pPr>
        <w:pStyle w:val="FirstParagraph"/>
        <w:spacing w:after="60"/>
        <w:jc w:val="both"/>
      </w:pPr>
      <w:r>
        <w:rPr>
          <w:b/>
          <w:bCs/>
        </w:rPr>
        <w:t xml:space="preserve">Art. 858.</w:t>
      </w:r>
      <w:r>
        <w:t xml:space="preserve"> </w:t>
      </w:r>
      <w:r>
        <w:t xml:space="preserve">Quando a penhora recair sobre dívidas de dinheiro a juros, de direito a rendas ou de prestações periódicas, o exequente poderá levantar os juros, os rendimentos ou as prestações à medida que forem sendo depositados, abatendo-se do crédito as importâncias recebidas, conforme as regras de imputação do pagamento.</w:t>
      </w:r>
    </w:p>
    <w:bookmarkEnd w:id="668"/>
    <w:bookmarkStart w:id="669" w:name="art.-859"/>
    <w:p>
      <w:pPr>
        <w:pStyle w:val="Heading6"/>
        <w:pBdr>
          <w:left w:val="single" w:sz="36" w:space="4" w:color="2E75B6"/>
        </w:pBdr>
        <w:shd w:val="clear" w:color="auto" w:fill="E3EEF9"/>
        <w:spacing w:before="120" w:after="60"/>
        <w:ind w:left="85"/>
      </w:pPr>
      <w:r>
        <w:rPr>
          <w:i w:val="0"/>
          <w:color w:val="1F3A5F"/>
          <w:sz w:val="22"/>
        </w:rPr>
        <w:t xml:space="preserve">Art. 859</w:t>
      </w:r>
    </w:p>
    <w:p>
      <w:pPr>
        <w:pStyle w:val="FirstParagraph"/>
        <w:spacing w:after="60"/>
        <w:jc w:val="both"/>
      </w:pPr>
      <w:r>
        <w:rPr>
          <w:b/>
          <w:bCs/>
        </w:rPr>
        <w:t xml:space="preserve">Art. 859.</w:t>
      </w:r>
      <w:r>
        <w:t xml:space="preserve"> </w:t>
      </w:r>
      <w:r>
        <w:t xml:space="preserve">Recaindo a penhora sobre direito a prestação ou a restituição de coisa determinada, o executado será intimado para, no vencimento, depositá-la, correndo sobre ela a execução.</w:t>
      </w:r>
    </w:p>
    <w:bookmarkEnd w:id="669"/>
    <w:bookmarkStart w:id="670" w:name="art.-860"/>
    <w:p>
      <w:pPr>
        <w:pStyle w:val="Heading6"/>
        <w:pBdr>
          <w:left w:val="single" w:sz="36" w:space="4" w:color="2E75B6"/>
        </w:pBdr>
        <w:shd w:val="clear" w:color="auto" w:fill="E3EEF9"/>
        <w:spacing w:before="120" w:after="60"/>
        <w:ind w:left="85"/>
      </w:pPr>
      <w:r>
        <w:rPr>
          <w:i w:val="0"/>
          <w:color w:val="1F3A5F"/>
          <w:sz w:val="22"/>
        </w:rPr>
        <w:t xml:space="preserve">Art. 860</w:t>
      </w:r>
    </w:p>
    <w:p>
      <w:pPr>
        <w:pStyle w:val="FirstParagraph"/>
        <w:spacing w:after="60"/>
        <w:jc w:val="both"/>
      </w:pPr>
      <w:r>
        <w:rPr>
          <w:b/>
          <w:bCs/>
        </w:rPr>
        <w:t xml:space="preserve">Art. 860.</w:t>
      </w:r>
      <w:r>
        <w:t xml:space="preserve"> </w:t>
      </w:r>
      <w:r>
        <w:t xml:space="preserve">Quando o direito estiver sendo pleiteado em juízo, a penhora que recair sobre ele será averbada, com destaque, nos autos pertinentes ao direito e na ação correspondente à penhora, a fim de que esta seja efetivada nos bens que forem adjudicados ou que vierem a caber ao executado.</w:t>
      </w:r>
    </w:p>
    <w:bookmarkEnd w:id="670"/>
    <w:bookmarkStart w:id="671" w:name="art.-861"/>
    <w:p>
      <w:pPr>
        <w:pStyle w:val="Heading6"/>
        <w:pBdr>
          <w:left w:val="single" w:sz="36" w:space="4" w:color="2E75B6"/>
        </w:pBdr>
        <w:shd w:val="clear" w:color="auto" w:fill="E3EEF9"/>
        <w:spacing w:before="120" w:after="60"/>
        <w:ind w:left="85"/>
      </w:pPr>
      <w:r>
        <w:rPr>
          <w:i w:val="0"/>
          <w:color w:val="1F3A5F"/>
          <w:sz w:val="22"/>
        </w:rPr>
        <w:t xml:space="preserve">Art. 861</w:t>
      </w:r>
    </w:p>
    <w:p>
      <w:pPr>
        <w:pStyle w:val="FirstParagraph"/>
        <w:keepNext/>
        <w:spacing w:after="60"/>
        <w:jc w:val="both"/>
      </w:pPr>
      <w:r>
        <w:rPr>
          <w:b/>
          <w:bCs/>
        </w:rPr>
        <w:t xml:space="preserve">Art. 861.</w:t>
      </w:r>
      <w:r>
        <w:t xml:space="preserve"> </w:t>
      </w:r>
      <w:r>
        <w:t xml:space="preserve">Penhoradas as quotas ou as ações de sócio em sociedade simples ou empresária, o juiz assinará prazo razoável, não superior a 3 (três) meses, para que a sociedade: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1905"/>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655"/>
          </w:tcPr>
          <w:p>
            <w:pPr>
              <w:pStyle w:val="Compact"/>
              <w:spacing w:line="276" w:lineRule="auto" w:before="40" w:after="40"/>
            </w:pPr>
            <w:r>
              <w:rPr>
                <w:rFonts w:ascii="Liberation Sans Narrow" w:hAnsi="Liberation Sans Narrow"/>
                <w:sz w:val="17"/>
              </w:rPr>
              <w:t xml:space="preserve">Caput — penhora de quotas sociais do sócio de sociedade em recuperação judicial (aplicação narrada)</w:t>
            </w:r>
          </w:p>
        </w:tc>
        <w:tc>
          <w:tcPr>
            <w:tcW w:type="dxa" w:w="1655"/>
          </w:tcPr>
          <w:p>
            <w:pPr>
              <w:pStyle w:val="Compact"/>
              <w:spacing w:line="276" w:lineRule="auto" w:before="40" w:after="40"/>
            </w:pPr>
            <w:r>
              <w:rPr>
                <w:rFonts w:ascii="Liberation Sans Narrow" w:hAnsi="Liberation Sans Narrow"/>
                <w:sz w:val="17"/>
              </w:rPr>
              <w:t xml:space="preserve">STJ, AREsp 2.669.057, Terceira Turma, relator Min. Moura Ribeiro, julgado em 22/06/2026</w:t>
            </w:r>
          </w:p>
        </w:tc>
        <w:tc>
          <w:tcPr>
            <w:tcW w:type="dxa" w:w="1905"/>
          </w:tcPr>
          <w:p>
            <w:pPr>
              <w:pStyle w:val="Compact"/>
              <w:spacing w:line="276" w:lineRule="auto" w:before="40" w:after="40"/>
            </w:pPr>
            <w:r>
              <w:rPr>
                <w:rFonts w:ascii="Liberation Sans Narrow" w:hAnsi="Liberation Sans Narrow"/>
                <w:sz w:val="17"/>
              </w:rPr>
              <w:t xml:space="preserve">As quotas sociais integram o patrimônio pessoal dos sócios e não se confundem com os ativos da pessoa jurídica; a recuperação judicial da empresa não impede a penhora das quotas para a satisfação de dívida particular do sócio, pois a proteção da Lei 11.101/2005 alcança apenas o patrimônio da sociedade em recuperação, sobretudo quando o crédito exequendo não se sujeita aos efeitos da recuperação. Trecho: “A proteção conferida pela Lei nº 11.101/2005 destina-se a preservar o patrimônio da sociedade em recuperação, não se estendendo ao patrimônio particular de seus sócios para obstar a satisfação de créditos pessoais destes, sobretudo quando o crédito exequendo não se sujeita aos efeitos da recuperação.”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direito de preferência dos sócios e balanço especial</w:t>
            </w:r>
          </w:p>
        </w:tc>
        <w:tc>
          <w:tcPr>
            <w:tcW w:type="dxa" w:w="1655"/>
          </w:tcPr>
          <w:p>
            <w:pPr>
              <w:pStyle w:val="Compact"/>
              <w:spacing w:line="276" w:lineRule="auto" w:before="40" w:after="40"/>
            </w:pPr>
            <w:r>
              <w:rPr>
                <w:rFonts w:ascii="Liberation Sans Narrow" w:hAnsi="Liberation Sans Narrow"/>
                <w:sz w:val="17"/>
              </w:rPr>
              <w:t xml:space="preserve">STJ, REsp 2.101.226, Terceira Turma, relatora Min. Nancy Andrighi, julgado em 12/03/2024, DJe de 14/03/2024</w:t>
            </w:r>
          </w:p>
        </w:tc>
        <w:tc>
          <w:tcPr>
            <w:tcW w:type="dxa" w:w="1905"/>
          </w:tcPr>
          <w:p>
            <w:pPr>
              <w:pStyle w:val="Compact"/>
              <w:spacing w:line="276" w:lineRule="auto" w:before="40" w:after="40"/>
            </w:pPr>
            <w:r>
              <w:rPr>
                <w:rFonts w:ascii="Liberation Sans Narrow" w:hAnsi="Liberation Sans Narrow"/>
                <w:sz w:val="17"/>
              </w:rPr>
              <w:t xml:space="preserve">O direito de preferência do sócio na aquisição das quotas penhoradas só pode ser exercido depois da intimação da sociedade e da apresentação do balanço especial, na forma do art. 861.</w:t>
            </w:r>
          </w:p>
        </w:tc>
      </w:tr>
    </w:tbl>
    <w:p>
      <w:pPr>
        <w:pStyle w:val="BodyText"/>
        <w:spacing w:after="60"/>
        <w:jc w:val="both"/>
      </w:pPr>
      <w:r>
        <w:t xml:space="preserve">I - apresente balanço especial, na forma da lei;</w:t>
      </w:r>
    </w:p>
    <w:p>
      <w:pPr>
        <w:pStyle w:val="BodyText"/>
        <w:spacing w:after="60"/>
        <w:jc w:val="both"/>
      </w:pPr>
      <w:r>
        <w:t xml:space="preserve">II - ofereça as quotas ou as ações aos demais sócios, observado o direito de preferência legal ou contratual;</w:t>
      </w:r>
    </w:p>
    <w:p>
      <w:pPr>
        <w:pStyle w:val="BodyText"/>
        <w:spacing w:after="60"/>
        <w:jc w:val="both"/>
      </w:pPr>
      <w:r>
        <w:t xml:space="preserve">III - não havendo interesse dos sócios na aquisição das ações, proceda à liquidação das quotas ou das ações, depositando em juízo o valor apurado, em dinheiro.</w:t>
      </w:r>
    </w:p>
    <w:p>
      <w:pPr>
        <w:pStyle w:val="BodyText"/>
        <w:spacing w:after="60"/>
        <w:jc w:val="both"/>
      </w:pPr>
      <w:r>
        <w:t xml:space="preserve">§ 1º Para evitar a liquidação das quotas ou das ações, a sociedade poderá adquiri-las sem redução do capital social e com utilização de reservas, para manutenção em tesouraria.</w:t>
      </w:r>
    </w:p>
    <w:p>
      <w:pPr>
        <w:pStyle w:val="BodyText"/>
        <w:spacing w:after="60"/>
        <w:jc w:val="both"/>
      </w:pPr>
      <w:r>
        <w:t xml:space="preserve">§ 2º O disposto no caput e no § 1º não se aplica à sociedade anônima de capital aberto, cujas ações serão adjudicadas ao exequente ou alienadas em bolsa de valores, conforme o caso.</w:t>
      </w:r>
    </w:p>
    <w:p>
      <w:pPr>
        <w:pStyle w:val="BodyText"/>
        <w:spacing w:after="60"/>
        <w:jc w:val="both"/>
      </w:pPr>
      <w:r>
        <w:t xml:space="preserve">§ 3º Para os fins da liquidação de que trata o inciso III do caput , o juiz poderá, a requerimento do exequente ou da sociedade, nomear administrador, que deverá submeter à aprovação judicial a forma de liquidação.</w:t>
      </w:r>
    </w:p>
    <w:p>
      <w:pPr>
        <w:pStyle w:val="BodyText"/>
        <w:spacing w:after="60"/>
        <w:jc w:val="both"/>
      </w:pPr>
      <w:r>
        <w:t xml:space="preserve">§ 4º O prazo previsto no caput poderá ser ampliado pelo juiz, se o pagamento das quotas ou das ações liquidadas:</w:t>
      </w:r>
    </w:p>
    <w:p>
      <w:pPr>
        <w:pStyle w:val="BodyText"/>
        <w:spacing w:after="60"/>
        <w:jc w:val="both"/>
      </w:pPr>
      <w:r>
        <w:t xml:space="preserve">I - superar o valor do saldo de lucros ou reservas, exceto a legal, e sem diminuição do capital social, ou por doação; ou</w:t>
      </w:r>
    </w:p>
    <w:p>
      <w:pPr>
        <w:pStyle w:val="BodyText"/>
        <w:spacing w:after="60"/>
        <w:jc w:val="both"/>
      </w:pPr>
      <w:r>
        <w:t xml:space="preserve">II - colocar em risco a estabilidade financeira da sociedade simples ou empresária.</w:t>
      </w:r>
    </w:p>
    <w:p>
      <w:pPr>
        <w:pStyle w:val="BodyText"/>
        <w:spacing w:after="60"/>
        <w:jc w:val="both"/>
      </w:pPr>
      <w:r>
        <w:t xml:space="preserve">§ 5º Caso não haja interesse dos demais sócios no exercício de direito de preferência, não ocorra a aquisição das quotas ou das ações pela sociedade e a liquidação do inciso III do caput seja excessivamente onerosa para a sociedade, o juiz poderá determinar o leilão judicial das quotas ou das ações.</w:t>
      </w:r>
    </w:p>
    <w:bookmarkEnd w:id="671"/>
    <w:bookmarkStart w:id="672" w:name="art.-862"/>
    <w:p>
      <w:pPr>
        <w:pStyle w:val="Heading6"/>
        <w:pBdr>
          <w:left w:val="single" w:sz="36" w:space="4" w:color="2E75B6"/>
        </w:pBdr>
        <w:shd w:val="clear" w:color="auto" w:fill="E3EEF9"/>
        <w:spacing w:before="120" w:after="60"/>
        <w:ind w:left="85"/>
      </w:pPr>
      <w:r>
        <w:rPr>
          <w:i w:val="0"/>
          <w:color w:val="1F3A5F"/>
          <w:sz w:val="22"/>
        </w:rPr>
        <w:t xml:space="preserve">Art. 862</w:t>
      </w:r>
    </w:p>
    <w:p>
      <w:pPr>
        <w:pStyle w:val="FirstParagraph"/>
        <w:spacing w:after="60"/>
        <w:jc w:val="both"/>
      </w:pPr>
      <w:r>
        <w:rPr>
          <w:b/>
          <w:bCs/>
        </w:rPr>
        <w:t xml:space="preserve">Art. 862.</w:t>
      </w:r>
      <w:r>
        <w:t xml:space="preserve"> </w:t>
      </w:r>
      <w:r>
        <w:t xml:space="preserve">Quando a penhora recair em estabelecimento comercial, industrial ou agrícola, bem como em semoventes, plantações ou edifícios em construção, o juiz nomeará administrador-depositário, determinando-lhe que apresente em 10 (dez) dias o plano de administração.</w:t>
      </w:r>
    </w:p>
    <w:p>
      <w:pPr>
        <w:pStyle w:val="BodyText"/>
        <w:spacing w:after="60"/>
        <w:jc w:val="both"/>
      </w:pPr>
      <w:r>
        <w:t xml:space="preserve">§ 1º Ouvidas as partes, o juiz decidirá.</w:t>
      </w:r>
    </w:p>
    <w:p>
      <w:pPr>
        <w:pStyle w:val="BodyText"/>
        <w:spacing w:after="60"/>
        <w:jc w:val="both"/>
      </w:pPr>
      <w:r>
        <w:t xml:space="preserve">§ 2º É lícito às partes ajustar a forma de administração e escolher o depositário, hipótese em que o juiz homologará por despacho a indicação.</w:t>
      </w:r>
    </w:p>
    <w:p>
      <w:pPr>
        <w:pStyle w:val="BodyText"/>
        <w:spacing w:after="60"/>
        <w:jc w:val="both"/>
      </w:pPr>
      <w:r>
        <w:t xml:space="preserve">§ 3º Em relação aos edifícios em construção sob regime de incorporação imobiliária, a penhora somente poderá recair sobre as unidades imobiliárias ainda não comercializadas pelo incorporador.</w:t>
      </w:r>
    </w:p>
    <w:p>
      <w:pPr>
        <w:pStyle w:val="BodyText"/>
        <w:spacing w:after="60"/>
        <w:jc w:val="both"/>
      </w:pPr>
      <w:r>
        <w:t xml:space="preserve">§ 4º Sendo necessário afastar o incorporador da administração da incorporação, será ela exercida pela comissão de representantes dos adquirentes ou, se se tratar de construção financiada, por empresa ou profissional indicado pela instituição fornecedora dos recursos para a obra, devendo ser ouvida, neste último caso, a comissão de representantes dos adquirentes.</w:t>
      </w:r>
    </w:p>
    <w:bookmarkEnd w:id="672"/>
    <w:bookmarkStart w:id="673" w:name="art.-863"/>
    <w:p>
      <w:pPr>
        <w:pStyle w:val="Heading6"/>
        <w:pBdr>
          <w:left w:val="single" w:sz="36" w:space="4" w:color="2E75B6"/>
        </w:pBdr>
        <w:shd w:val="clear" w:color="auto" w:fill="E3EEF9"/>
        <w:spacing w:before="120" w:after="60"/>
        <w:ind w:left="85"/>
      </w:pPr>
      <w:r>
        <w:rPr>
          <w:i w:val="0"/>
          <w:color w:val="1F3A5F"/>
          <w:sz w:val="22"/>
        </w:rPr>
        <w:t xml:space="preserve">Art. 863</w:t>
      </w:r>
    </w:p>
    <w:p>
      <w:pPr>
        <w:pStyle w:val="FirstParagraph"/>
        <w:spacing w:after="60"/>
        <w:jc w:val="both"/>
      </w:pPr>
      <w:r>
        <w:rPr>
          <w:b/>
          <w:bCs/>
        </w:rPr>
        <w:t xml:space="preserve">Art. 863.</w:t>
      </w:r>
      <w:r>
        <w:t xml:space="preserve"> </w:t>
      </w:r>
      <w:r>
        <w:t xml:space="preserve">A penhora de empresa que funcione mediante concessão ou autorização far-se-á, conforme o valor do crédito, sobre a renda, sobre determinados bens ou sobre todo o patrimônio, e o juiz nomeará como depositário, de preferência, um de seus diretores.</w:t>
      </w:r>
    </w:p>
    <w:p>
      <w:pPr>
        <w:pStyle w:val="BodyText"/>
        <w:spacing w:after="60"/>
        <w:jc w:val="both"/>
      </w:pPr>
      <w:r>
        <w:t xml:space="preserve">§ 1º Quando a penhora recair sobre a renda ou sobre determinados bens, o administrador-depositário apresentará a forma de administração e o esquema de pagamento, observando-se, quanto ao mais, o disposto em relação ao regime de penhora de frutos e rendimentos de coisa móvel e imóvel.</w:t>
      </w:r>
    </w:p>
    <w:p>
      <w:pPr>
        <w:pStyle w:val="BodyText"/>
        <w:spacing w:after="60"/>
        <w:jc w:val="both"/>
      </w:pPr>
      <w:r>
        <w:t xml:space="preserve">§ 2º Recaindo a penhora sobre todo o patrimônio, prosseguirá a execução em seus ulteriores termos, ouvindo-se, antes da arrematação ou da adjudicação, o ente público que houver outorgado a concessão.</w:t>
      </w:r>
    </w:p>
    <w:bookmarkEnd w:id="673"/>
    <w:bookmarkStart w:id="674" w:name="art.-864"/>
    <w:p>
      <w:pPr>
        <w:pStyle w:val="Heading6"/>
        <w:pBdr>
          <w:left w:val="single" w:sz="36" w:space="4" w:color="2E75B6"/>
        </w:pBdr>
        <w:shd w:val="clear" w:color="auto" w:fill="E3EEF9"/>
        <w:spacing w:before="120" w:after="60"/>
        <w:ind w:left="85"/>
      </w:pPr>
      <w:r>
        <w:rPr>
          <w:i w:val="0"/>
          <w:color w:val="1F3A5F"/>
          <w:sz w:val="22"/>
        </w:rPr>
        <w:t xml:space="preserve">Art. 864</w:t>
      </w:r>
    </w:p>
    <w:p>
      <w:pPr>
        <w:pStyle w:val="FirstParagraph"/>
        <w:spacing w:after="60"/>
        <w:jc w:val="both"/>
      </w:pPr>
      <w:r>
        <w:rPr>
          <w:b/>
          <w:bCs/>
        </w:rPr>
        <w:t xml:space="preserve">Art. 864.</w:t>
      </w:r>
      <w:r>
        <w:t xml:space="preserve"> </w:t>
      </w:r>
      <w:r>
        <w:t xml:space="preserve">A penhora de navio ou de aeronave não obsta que continuem navegando ou operando até a alienação, mas o juiz, ao conceder a autorização para tanto, não permitirá que saiam do porto ou do aeroporto antes que o executado faça o seguro usual contra riscos.</w:t>
      </w:r>
    </w:p>
    <w:bookmarkEnd w:id="674"/>
    <w:bookmarkStart w:id="675" w:name="art.-865"/>
    <w:p>
      <w:pPr>
        <w:pStyle w:val="Heading6"/>
        <w:pBdr>
          <w:left w:val="single" w:sz="36" w:space="4" w:color="2E75B6"/>
        </w:pBdr>
        <w:shd w:val="clear" w:color="auto" w:fill="E3EEF9"/>
        <w:spacing w:before="120" w:after="60"/>
        <w:ind w:left="85"/>
      </w:pPr>
      <w:r>
        <w:rPr>
          <w:i w:val="0"/>
          <w:color w:val="1F3A5F"/>
          <w:sz w:val="22"/>
        </w:rPr>
        <w:t xml:space="preserve">Art. 865</w:t>
      </w:r>
    </w:p>
    <w:p>
      <w:pPr>
        <w:pStyle w:val="FirstParagraph"/>
        <w:spacing w:after="60"/>
        <w:jc w:val="both"/>
      </w:pPr>
      <w:r>
        <w:rPr>
          <w:b/>
          <w:bCs/>
        </w:rPr>
        <w:t xml:space="preserve">Art. 865.</w:t>
      </w:r>
      <w:r>
        <w:t xml:space="preserve"> </w:t>
      </w:r>
      <w:r>
        <w:t xml:space="preserve">A penhora de que trata esta Subseção somente será determinada se não houver outro meio eficaz para a efetivação do crédito.</w:t>
      </w:r>
    </w:p>
    <w:bookmarkEnd w:id="675"/>
    <w:bookmarkStart w:id="676" w:name="art.-866"/>
    <w:p>
      <w:pPr>
        <w:pStyle w:val="Heading6"/>
        <w:pBdr>
          <w:left w:val="single" w:sz="36" w:space="4" w:color="2E75B6"/>
        </w:pBdr>
        <w:shd w:val="clear" w:color="auto" w:fill="E3EEF9"/>
        <w:spacing w:before="120" w:after="60"/>
        <w:ind w:left="85"/>
      </w:pPr>
      <w:r>
        <w:rPr>
          <w:i w:val="0"/>
          <w:color w:val="1F3A5F"/>
          <w:sz w:val="22"/>
        </w:rPr>
        <w:t xml:space="preserve">Art. 866</w:t>
      </w:r>
    </w:p>
    <w:p>
      <w:pPr>
        <w:pStyle w:val="FirstParagraph"/>
        <w:keepNext/>
        <w:spacing w:after="60"/>
        <w:jc w:val="both"/>
      </w:pPr>
      <w:r>
        <w:rPr>
          <w:b/>
          <w:bCs/>
        </w:rPr>
        <w:t xml:space="preserve">Art. 866.</w:t>
      </w:r>
      <w:r>
        <w:t xml:space="preserve"> </w:t>
      </w:r>
      <w:r>
        <w:t xml:space="preserve">Se o executado não tiver outros bens penhoráveis ou se, tendo-os, esses forem de difícil alienação ou insuficientes para saldar o crédito executado, o juiz poderá ordenar a penhora de percentual de faturamento de empresa.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1905"/>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penhora de percentual de faturamento</w:t>
            </w:r>
          </w:p>
        </w:tc>
        <w:tc>
          <w:tcPr>
            <w:tcW w:type="dxa" w:w="1531"/>
          </w:tcPr>
          <w:p>
            <w:pPr>
              <w:pStyle w:val="Compact"/>
              <w:spacing w:line="276" w:lineRule="auto" w:before="40" w:after="40"/>
            </w:pPr>
            <w:r>
              <w:rPr>
                <w:rFonts w:ascii="Liberation Sans Narrow" w:hAnsi="Liberation Sans Narrow"/>
                <w:sz w:val="17"/>
              </w:rPr>
              <w:t xml:space="preserve">STJ, REsp 2.207.127, Terceira Turma, relator Min. Humberto Martins, julgado em 09/03/2026</w:t>
            </w:r>
          </w:p>
        </w:tc>
        <w:tc>
          <w:tcPr>
            <w:tcW w:type="dxa" w:w="1905"/>
          </w:tcPr>
          <w:p>
            <w:pPr>
              <w:pStyle w:val="Compact"/>
              <w:spacing w:line="276" w:lineRule="auto" w:before="40" w:after="40"/>
            </w:pPr>
            <w:r>
              <w:rPr>
                <w:rFonts w:ascii="Liberation Sans Narrow" w:hAnsi="Liberation Sans Narrow"/>
                <w:sz w:val="17"/>
              </w:rPr>
              <w:t xml:space="preserve">A penhora de percentual de faturamento de empresa é cabível quando não há outros bens penhoráveis ou quando os bens disponíveis são de difícil alienação ou insuficientes para saldar o crédito executado.</w:t>
            </w:r>
          </w:p>
        </w:tc>
      </w:tr>
    </w:tbl>
    <w:p>
      <w:pPr>
        <w:pStyle w:val="BodyText"/>
        <w:spacing w:after="60"/>
        <w:jc w:val="both"/>
      </w:pPr>
      <w:r>
        <w:t xml:space="preserve">§ 1º O juiz fixará percentual que propicie a satisfação do crédito exequendo em tempo razoável, mas que não torne inviável o exercício da atividade empresarial.</w:t>
      </w:r>
    </w:p>
    <w:p>
      <w:pPr>
        <w:pStyle w:val="BodyText"/>
        <w:spacing w:after="60"/>
        <w:jc w:val="both"/>
      </w:pPr>
      <w:r>
        <w:t xml:space="preserve">§ 2º O juiz nomeará administrador-depositário, o qual submeterá à aprovação judicial a forma de sua atuação e prestará contas mensalmente, entregando em juízo as quantias recebidas, com os respectivos balancetes mensais, a fim de serem imputadas no pagamento da dívida.</w:t>
      </w:r>
    </w:p>
    <w:p>
      <w:pPr>
        <w:pStyle w:val="BodyText"/>
        <w:spacing w:after="60"/>
        <w:jc w:val="both"/>
      </w:pPr>
      <w:r>
        <w:t xml:space="preserve">§ 3º Na penhora de percentual de faturamento de empresa, observar-se-á, no que couber, o disposto quanto ao regime de penhora de frutos e rendimentos de coisa móvel e imóvel.</w:t>
      </w:r>
    </w:p>
    <w:bookmarkEnd w:id="676"/>
    <w:bookmarkStart w:id="677" w:name="art.-867"/>
    <w:p>
      <w:pPr>
        <w:pStyle w:val="Heading6"/>
        <w:pBdr>
          <w:left w:val="single" w:sz="36" w:space="4" w:color="2E75B6"/>
        </w:pBdr>
        <w:shd w:val="clear" w:color="auto" w:fill="E3EEF9"/>
        <w:spacing w:before="120" w:after="60"/>
        <w:ind w:left="85"/>
      </w:pPr>
      <w:r>
        <w:rPr>
          <w:i w:val="0"/>
          <w:color w:val="1F3A5F"/>
          <w:sz w:val="22"/>
        </w:rPr>
        <w:t xml:space="preserve">Art. 867</w:t>
      </w:r>
    </w:p>
    <w:p>
      <w:pPr>
        <w:pStyle w:val="FirstParagraph"/>
        <w:keepNext/>
        <w:spacing w:after="60"/>
        <w:jc w:val="both"/>
      </w:pPr>
      <w:r>
        <w:rPr>
          <w:b/>
          <w:bCs/>
        </w:rPr>
        <w:t xml:space="preserve">Art. 867.</w:t>
      </w:r>
      <w:r>
        <w:t xml:space="preserve"> </w:t>
      </w:r>
      <w:r>
        <w:t xml:space="preserve">O juiz pode ordenar a penhora de frutos e rendimentos de coisa móvel ou imóvel quando a considerar mais eficiente para o recebimento do crédito e menos gravosa ao executado.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2279"/>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penhora de frutos e rendimentos</w:t>
            </w:r>
          </w:p>
        </w:tc>
        <w:tc>
          <w:tcPr>
            <w:tcW w:type="dxa" w:w="1655"/>
          </w:tcPr>
          <w:p>
            <w:pPr>
              <w:pStyle w:val="Compact"/>
              <w:spacing w:line="276" w:lineRule="auto" w:before="40" w:after="40"/>
            </w:pPr>
            <w:r>
              <w:rPr>
                <w:rFonts w:ascii="Liberation Sans Narrow" w:hAnsi="Liberation Sans Narrow"/>
                <w:sz w:val="17"/>
              </w:rPr>
              <w:t xml:space="preserve">STJ, AREsp 2.705.816, Quarta Turma, relator Min. João Otávio de Noronha, julgado em 30/03/2026, DJEN de 07/04/2026</w:t>
            </w:r>
          </w:p>
        </w:tc>
        <w:tc>
          <w:tcPr>
            <w:tcW w:type="dxa" w:w="2279"/>
          </w:tcPr>
          <w:p>
            <w:pPr>
              <w:pStyle w:val="Compact"/>
              <w:spacing w:line="276" w:lineRule="auto" w:before="40" w:after="40"/>
            </w:pPr>
            <w:r>
              <w:rPr>
                <w:rFonts w:ascii="Liberation Sans Narrow" w:hAnsi="Liberation Sans Narrow"/>
                <w:sz w:val="17"/>
              </w:rPr>
              <w:t xml:space="preserve">É viável a penhora dos frutos e rendimentos de imóvel alienado fiduciariamente, pois a constrição recai sobre os frutos, e não sobre o domínio fiduciário.</w:t>
            </w:r>
          </w:p>
        </w:tc>
      </w:tr>
    </w:tbl>
    <w:bookmarkEnd w:id="677"/>
    <w:bookmarkStart w:id="678" w:name="art.-868"/>
    <w:p>
      <w:pPr>
        <w:pStyle w:val="Heading6"/>
        <w:pBdr>
          <w:left w:val="single" w:sz="36" w:space="4" w:color="2E75B6"/>
        </w:pBdr>
        <w:shd w:val="clear" w:color="auto" w:fill="E3EEF9"/>
        <w:spacing w:before="120" w:after="60"/>
        <w:ind w:left="85"/>
      </w:pPr>
      <w:r>
        <w:rPr>
          <w:i w:val="0"/>
          <w:color w:val="1F3A5F"/>
          <w:sz w:val="22"/>
        </w:rPr>
        <w:t xml:space="preserve">Art. 868</w:t>
      </w:r>
    </w:p>
    <w:p>
      <w:pPr>
        <w:pStyle w:val="FirstParagraph"/>
        <w:spacing w:after="60"/>
        <w:jc w:val="both"/>
      </w:pPr>
      <w:r>
        <w:rPr>
          <w:b/>
          <w:bCs/>
        </w:rPr>
        <w:t xml:space="preserve">Art. 868.</w:t>
      </w:r>
      <w:r>
        <w:t xml:space="preserve"> </w:t>
      </w:r>
      <w:r>
        <w:t xml:space="preserve">Ordenada a penhora de frutos e rendimentos, o juiz nomeará administrador-depositário, que será investido de todos os poderes que concernem à administração do bem e à fruição de seus frutos e utilidades, perdendo o executado o direito de gozo do bem, até que o exequente seja pago do principal, dos juros, das custas e dos honorários advocatícios.</w:t>
      </w:r>
    </w:p>
    <w:p>
      <w:pPr>
        <w:pStyle w:val="BodyText"/>
        <w:spacing w:after="60"/>
        <w:jc w:val="both"/>
      </w:pPr>
      <w:r>
        <w:t xml:space="preserve">§ 1º A medida terá eficácia em relação a terceiros a partir da publicação da decisão que a conceda ou de sua averbação no ofício imobiliário, em caso de imóveis.</w:t>
      </w:r>
    </w:p>
    <w:p>
      <w:pPr>
        <w:pStyle w:val="BodyText"/>
        <w:spacing w:after="60"/>
        <w:jc w:val="both"/>
      </w:pPr>
      <w:r>
        <w:t xml:space="preserve">§ 2º O exequente providenciará a averbação no ofício imobiliário mediante a apresentação de certidão de inteiro teor do ato, independentemente de mandado judicial.</w:t>
      </w:r>
    </w:p>
    <w:bookmarkEnd w:id="678"/>
    <w:bookmarkStart w:id="679" w:name="art.-869"/>
    <w:p>
      <w:pPr>
        <w:pStyle w:val="Heading6"/>
        <w:pBdr>
          <w:left w:val="single" w:sz="36" w:space="4" w:color="2E75B6"/>
        </w:pBdr>
        <w:shd w:val="clear" w:color="auto" w:fill="E3EEF9"/>
        <w:spacing w:before="120" w:after="60"/>
        <w:ind w:left="85"/>
      </w:pPr>
      <w:r>
        <w:rPr>
          <w:i w:val="0"/>
          <w:color w:val="1F3A5F"/>
          <w:sz w:val="22"/>
        </w:rPr>
        <w:t xml:space="preserve">Art. 869</w:t>
      </w:r>
    </w:p>
    <w:p>
      <w:pPr>
        <w:pStyle w:val="FirstParagraph"/>
        <w:spacing w:after="60"/>
        <w:jc w:val="both"/>
      </w:pPr>
      <w:r>
        <w:rPr>
          <w:b/>
          <w:bCs/>
        </w:rPr>
        <w:t xml:space="preserve">Art. 869.</w:t>
      </w:r>
      <w:r>
        <w:t xml:space="preserve"> </w:t>
      </w:r>
      <w:r>
        <w:t xml:space="preserve">O juiz poderá nomear administrador-depositário o exequente ou o executado, ouvida a parte contrária, e, não havendo acordo, nomeará profissional qualificado para o desempenho da função.</w:t>
      </w:r>
    </w:p>
    <w:p>
      <w:pPr>
        <w:pStyle w:val="BodyText"/>
        <w:spacing w:after="60"/>
        <w:jc w:val="both"/>
      </w:pPr>
      <w:r>
        <w:t xml:space="preserve">§ 1º O administrador submeterá à aprovação judicial a forma de administração e a de prestar contas periodicamente.</w:t>
      </w:r>
    </w:p>
    <w:p>
      <w:pPr>
        <w:pStyle w:val="BodyText"/>
        <w:spacing w:after="60"/>
        <w:jc w:val="both"/>
      </w:pPr>
      <w:r>
        <w:t xml:space="preserve">§ 2º Havendo discordância entre as partes ou entre essas e o administrador, o juiz decidirá a melhor forma de administração do bem.</w:t>
      </w:r>
    </w:p>
    <w:p>
      <w:pPr>
        <w:pStyle w:val="BodyText"/>
        <w:spacing w:after="60"/>
        <w:jc w:val="both"/>
      </w:pPr>
      <w:r>
        <w:t xml:space="preserve">§ 3º Se o imóvel estiver arrendado, o inquilino pagará o aluguel diretamente ao exequente, salvo se houver administrador.</w:t>
      </w:r>
    </w:p>
    <w:p>
      <w:pPr>
        <w:pStyle w:val="BodyText"/>
        <w:spacing w:after="60"/>
        <w:jc w:val="both"/>
      </w:pPr>
      <w:r>
        <w:t xml:space="preserve">§ 4º O exequente ou o administrador poderá celebrar locação do móvel ou do imóvel, ouvido o executado.</w:t>
      </w:r>
    </w:p>
    <w:p>
      <w:pPr>
        <w:pStyle w:val="BodyText"/>
        <w:spacing w:after="60"/>
        <w:jc w:val="both"/>
      </w:pPr>
      <w:r>
        <w:t xml:space="preserve">§ 5º As quantias recebidas pelo administrador serão entregues ao exequente, a fim de serem imputadas ao pagamento da dívida.</w:t>
      </w:r>
    </w:p>
    <w:p>
      <w:pPr>
        <w:pStyle w:val="BodyText"/>
        <w:spacing w:after="60"/>
        <w:jc w:val="both"/>
      </w:pPr>
      <w:r>
        <w:t xml:space="preserve">§ 6º O exequente dará ao executado, por termo nos autos, quitação das quantias recebidas.</w:t>
      </w:r>
    </w:p>
    <w:bookmarkEnd w:id="679"/>
    <w:bookmarkStart w:id="680" w:name="art.-870"/>
    <w:p>
      <w:pPr>
        <w:pStyle w:val="Heading6"/>
        <w:pBdr>
          <w:left w:val="single" w:sz="36" w:space="4" w:color="2E75B6"/>
        </w:pBdr>
        <w:shd w:val="clear" w:color="auto" w:fill="E3EEF9"/>
        <w:spacing w:before="120" w:after="60"/>
        <w:ind w:left="85"/>
      </w:pPr>
      <w:r>
        <w:rPr>
          <w:i w:val="0"/>
          <w:color w:val="1F3A5F"/>
          <w:sz w:val="22"/>
        </w:rPr>
        <w:t xml:space="preserve">Art. 870</w:t>
      </w:r>
    </w:p>
    <w:p>
      <w:pPr>
        <w:pStyle w:val="FirstParagraph"/>
        <w:spacing w:after="60"/>
        <w:jc w:val="both"/>
      </w:pPr>
      <w:r>
        <w:rPr>
          <w:b/>
          <w:bCs/>
        </w:rPr>
        <w:t xml:space="preserve">Art. 870.</w:t>
      </w:r>
      <w:r>
        <w:t xml:space="preserve"> </w:t>
      </w:r>
      <w:r>
        <w:t xml:space="preserve">A avaliação será feita pelo oficial de justiça.</w:t>
      </w:r>
    </w:p>
    <w:p>
      <w:pPr>
        <w:pStyle w:val="BodyText"/>
        <w:spacing w:after="60"/>
        <w:jc w:val="both"/>
      </w:pPr>
      <w:r>
        <w:t xml:space="preserve">Parágrafo único. Se forem necessários conhecimentos especializados e o valor da execução o comportar, o juiz nomeará avaliador, fixando-lhe prazo não superior a 10 (dez) dias para entrega do laudo.</w:t>
      </w:r>
    </w:p>
    <w:bookmarkEnd w:id="680"/>
    <w:bookmarkStart w:id="681" w:name="art.-871"/>
    <w:p>
      <w:pPr>
        <w:pStyle w:val="Heading6"/>
        <w:pBdr>
          <w:left w:val="single" w:sz="36" w:space="4" w:color="2E75B6"/>
        </w:pBdr>
        <w:shd w:val="clear" w:color="auto" w:fill="E3EEF9"/>
        <w:spacing w:before="120" w:after="60"/>
        <w:ind w:left="85"/>
      </w:pPr>
      <w:r>
        <w:rPr>
          <w:i w:val="0"/>
          <w:color w:val="1F3A5F"/>
          <w:sz w:val="22"/>
        </w:rPr>
        <w:t xml:space="preserve">Art. 871</w:t>
      </w:r>
    </w:p>
    <w:p>
      <w:pPr>
        <w:pStyle w:val="FirstParagraph"/>
        <w:spacing w:after="60"/>
        <w:jc w:val="both"/>
      </w:pPr>
      <w:r>
        <w:rPr>
          <w:b/>
          <w:bCs/>
        </w:rPr>
        <w:t xml:space="preserve">Art. 871.</w:t>
      </w:r>
      <w:r>
        <w:t xml:space="preserve"> </w:t>
      </w:r>
      <w:r>
        <w:t xml:space="preserve">Não se procederá à avaliação quando:</w:t>
      </w:r>
    </w:p>
    <w:p>
      <w:pPr>
        <w:pStyle w:val="BodyText"/>
        <w:keepNext/>
        <w:spacing w:after="60"/>
        <w:jc w:val="both"/>
      </w:pPr>
      <w:r>
        <w:t xml:space="preserve">I - uma das partes aceitar a estimativa feita pela outra;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94"/>
        <w:gridCol w:w="1707"/>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94"/>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07"/>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Inciso I — dispensa de avaliação</w:t>
            </w:r>
          </w:p>
        </w:tc>
        <w:tc>
          <w:tcPr>
            <w:tcW w:type="dxa" w:w="1694"/>
          </w:tcPr>
          <w:p>
            <w:pPr>
              <w:pStyle w:val="Compact"/>
              <w:spacing w:line="276" w:lineRule="auto" w:before="40" w:after="40"/>
            </w:pPr>
            <w:r>
              <w:rPr>
                <w:rFonts w:ascii="Liberation Sans Narrow" w:hAnsi="Liberation Sans Narrow"/>
                <w:sz w:val="17"/>
              </w:rPr>
              <w:t xml:space="preserve">STJ, AREsp 3.077.841, Quarta Turma, relator Min. João Otávio de Noronha, julgado em 16/03/2026, DJEN de 19/03/2026</w:t>
            </w:r>
          </w:p>
        </w:tc>
        <w:tc>
          <w:tcPr>
            <w:tcW w:type="dxa" w:w="1707"/>
          </w:tcPr>
          <w:p>
            <w:pPr>
              <w:pStyle w:val="Compact"/>
              <w:spacing w:line="276" w:lineRule="auto" w:before="40" w:after="40"/>
            </w:pPr>
            <w:r>
              <w:rPr>
                <w:rFonts w:ascii="Liberation Sans Narrow" w:hAnsi="Liberation Sans Narrow"/>
                <w:sz w:val="17"/>
              </w:rPr>
              <w:t xml:space="preserve">A avaliação pode ser dispensada quando uma das partes aceitar a estimativa feita pela outra, na forma do art. 871, I.</w:t>
            </w:r>
          </w:p>
        </w:tc>
      </w:tr>
    </w:tbl>
    <w:p>
      <w:pPr>
        <w:pStyle w:val="BodyText"/>
        <w:spacing w:after="60"/>
        <w:jc w:val="both"/>
      </w:pPr>
      <w:r>
        <w:t xml:space="preserve">II - se tratar de títulos ou de mercadorias que tenham cotação em bolsa, comprovada por certidão ou publicação no órgão oficial;</w:t>
      </w:r>
    </w:p>
    <w:p>
      <w:pPr>
        <w:pStyle w:val="BodyText"/>
        <w:spacing w:after="60"/>
        <w:jc w:val="both"/>
      </w:pPr>
      <w:r>
        <w:t xml:space="preserve">III - se tratar de títulos da dívida pública, de ações de sociedades e de títulos de crédito negociáveis em bolsa, cujo valor será o da cotação oficial do dia, comprovada por certidão ou publicação no órgão oficial;</w:t>
      </w:r>
    </w:p>
    <w:p>
      <w:pPr>
        <w:pStyle w:val="BodyText"/>
        <w:spacing w:after="60"/>
        <w:jc w:val="both"/>
      </w:pPr>
      <w:r>
        <w:t xml:space="preserve">IV - se tratar de veículos automotores ou de outros bens cujo preço médio de mercado possa ser conhecido por meio de pesquisas realizadas por órgãos oficiais ou de anúncios de venda divulgados em meios de comunicação, caso em que caberá a quem fizer a nomeação o encargo de comprovar a cotação de mercado.</w:t>
      </w:r>
    </w:p>
    <w:p>
      <w:pPr>
        <w:pStyle w:val="BodyText"/>
        <w:spacing w:after="60"/>
        <w:jc w:val="both"/>
      </w:pPr>
      <w:r>
        <w:t xml:space="preserve">Parágrafo único. Ocorrendo a hipótese do inciso I deste artigo, a avaliação poderá ser realizada quando houver fundada dúvida do juiz quanto ao real valor do bem.</w:t>
      </w:r>
    </w:p>
    <w:bookmarkEnd w:id="681"/>
    <w:bookmarkStart w:id="682" w:name="art.-872"/>
    <w:p>
      <w:pPr>
        <w:pStyle w:val="Heading6"/>
        <w:pBdr>
          <w:left w:val="single" w:sz="36" w:space="4" w:color="2E75B6"/>
        </w:pBdr>
        <w:shd w:val="clear" w:color="auto" w:fill="E3EEF9"/>
        <w:spacing w:before="120" w:after="60"/>
        <w:ind w:left="85"/>
      </w:pPr>
      <w:r>
        <w:rPr>
          <w:i w:val="0"/>
          <w:color w:val="1F3A5F"/>
          <w:sz w:val="22"/>
        </w:rPr>
        <w:t xml:space="preserve">Art. 872</w:t>
      </w:r>
    </w:p>
    <w:p>
      <w:pPr>
        <w:pStyle w:val="FirstParagraph"/>
        <w:spacing w:after="60"/>
        <w:jc w:val="both"/>
      </w:pPr>
      <w:r>
        <w:rPr>
          <w:b/>
          <w:bCs/>
        </w:rPr>
        <w:t xml:space="preserve">Art. 872.</w:t>
      </w:r>
      <w:r>
        <w:t xml:space="preserve"> </w:t>
      </w:r>
      <w:r>
        <w:t xml:space="preserve">A avaliação realizada pelo oficial de justiça constará de vistoria e de laudo anexados ao auto de penhora ou, em caso de perícia realizada por avaliador, de laudo apresentado no prazo fixado pelo juiz, devendo-se, em qualquer hipótese, especificar:</w:t>
      </w:r>
    </w:p>
    <w:p>
      <w:pPr>
        <w:pStyle w:val="BodyText"/>
        <w:spacing w:after="60"/>
        <w:jc w:val="both"/>
      </w:pPr>
      <w:r>
        <w:t xml:space="preserve">I - os bens, com as suas características, e o estado em que se encontram;</w:t>
      </w:r>
    </w:p>
    <w:p>
      <w:pPr>
        <w:pStyle w:val="BodyText"/>
        <w:spacing w:after="60"/>
        <w:jc w:val="both"/>
      </w:pPr>
      <w:r>
        <w:t xml:space="preserve">II - o valor dos bens.</w:t>
      </w:r>
    </w:p>
    <w:p>
      <w:pPr>
        <w:pStyle w:val="BodyText"/>
        <w:spacing w:after="60"/>
        <w:jc w:val="both"/>
      </w:pPr>
      <w:r>
        <w:t xml:space="preserve">§ 1º Quando o imóvel for suscetível de cômoda divisão, a avaliação, tendo em conta o crédito reclamado, será realizada em partes, sugerindo-se, com a apresentação de memorial descritivo, os possíveis desmembramentos para alienação.</w:t>
      </w:r>
    </w:p>
    <w:p>
      <w:pPr>
        <w:pStyle w:val="BodyText"/>
        <w:spacing w:after="60"/>
        <w:jc w:val="both"/>
      </w:pPr>
      <w:r>
        <w:t xml:space="preserve">§ 2º Realizada a avaliação e, sendo o caso, apresentada a proposta de desmembramento, as partes serão ouvidas no prazo de 5 (cinco) dias.</w:t>
      </w:r>
    </w:p>
    <w:bookmarkEnd w:id="682"/>
    <w:bookmarkStart w:id="683" w:name="art.-873"/>
    <w:p>
      <w:pPr>
        <w:pStyle w:val="Heading6"/>
        <w:pBdr>
          <w:left w:val="single" w:sz="36" w:space="4" w:color="2E75B6"/>
        </w:pBdr>
        <w:shd w:val="clear" w:color="auto" w:fill="E3EEF9"/>
        <w:spacing w:before="120" w:after="60"/>
        <w:ind w:left="85"/>
      </w:pPr>
      <w:r>
        <w:rPr>
          <w:i w:val="0"/>
          <w:color w:val="1F3A5F"/>
          <w:sz w:val="22"/>
        </w:rPr>
        <w:t xml:space="preserve">Art. 873</w:t>
      </w:r>
    </w:p>
    <w:p>
      <w:pPr>
        <w:pStyle w:val="FirstParagraph"/>
        <w:keepNext/>
        <w:spacing w:after="60"/>
        <w:jc w:val="both"/>
      </w:pPr>
      <w:r>
        <w:rPr>
          <w:b/>
          <w:bCs/>
        </w:rPr>
        <w:t xml:space="preserve">Art. 873.</w:t>
      </w:r>
      <w:r>
        <w:t xml:space="preserve"> </w:t>
      </w:r>
      <w:r>
        <w:t xml:space="preserve">É admitida nova avaliação quando: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hipóteses de nova avaliação</w:t>
            </w:r>
          </w:p>
        </w:tc>
        <w:tc>
          <w:tcPr>
            <w:tcW w:type="dxa" w:w="1531"/>
          </w:tcPr>
          <w:p>
            <w:pPr>
              <w:pStyle w:val="Compact"/>
              <w:spacing w:line="276" w:lineRule="auto" w:before="40" w:after="40"/>
            </w:pPr>
            <w:r>
              <w:rPr>
                <w:rFonts w:ascii="Liberation Sans Narrow" w:hAnsi="Liberation Sans Narrow"/>
                <w:sz w:val="17"/>
              </w:rPr>
              <w:t xml:space="preserve">STJ, AgInt no AREsp 3.116.356, Terceira Turma, relator Min. Humberto Martins, julgado em 22/06/2026</w:t>
            </w:r>
          </w:p>
        </w:tc>
        <w:tc>
          <w:tcPr>
            <w:tcW w:type="dxa" w:w="1905"/>
          </w:tcPr>
          <w:p>
            <w:pPr>
              <w:pStyle w:val="Compact"/>
              <w:spacing w:line="276" w:lineRule="auto" w:before="40" w:after="40"/>
            </w:pPr>
            <w:r>
              <w:rPr>
                <w:rFonts w:ascii="Liberation Sans Narrow" w:hAnsi="Liberation Sans Narrow"/>
                <w:sz w:val="17"/>
              </w:rPr>
              <w:t xml:space="preserve">A avaliação por oficial de justiça é a regra (art. 870), e a nova avaliação somente se admite nas hipóteses do art. 873, mediante demonstração de erro, dolo, alteração significativa do valor ou fundada dúvida.</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nova avaliação</w:t>
            </w:r>
          </w:p>
        </w:tc>
        <w:tc>
          <w:tcPr>
            <w:tcW w:type="dxa" w:w="1531"/>
          </w:tcPr>
          <w:p>
            <w:pPr>
              <w:pStyle w:val="Compact"/>
              <w:spacing w:line="276" w:lineRule="auto" w:before="40" w:after="40"/>
            </w:pPr>
            <w:r>
              <w:rPr>
                <w:rFonts w:ascii="Liberation Sans Narrow" w:hAnsi="Liberation Sans Narrow"/>
                <w:sz w:val="17"/>
              </w:rPr>
              <w:t xml:space="preserve">STJ, AgInt no AREsp 1.740.029, Terceira Turma, relator Min. Marco Aurélio Bellizze, DJe de 17/03/2021</w:t>
            </w:r>
          </w:p>
        </w:tc>
        <w:tc>
          <w:tcPr>
            <w:tcW w:type="dxa" w:w="1905"/>
          </w:tcPr>
          <w:p>
            <w:pPr>
              <w:pStyle w:val="Compact"/>
              <w:spacing w:line="276" w:lineRule="auto" w:before="40" w:after="40"/>
            </w:pPr>
            <w:r>
              <w:rPr>
                <w:rFonts w:ascii="Liberation Sans Narrow" w:hAnsi="Liberation Sans Narrow"/>
                <w:sz w:val="17"/>
              </w:rPr>
              <w:t xml:space="preserve">A nova avaliação só é admitida nas hipóteses taxativas do art. 873 — erro na avaliação ou dolo do avaliador, alteração posterior do valor do bem ou fundada dúvida do juiz —, e a revisão do indeferimento exige reexame de provas.</w:t>
            </w:r>
          </w:p>
        </w:tc>
      </w:tr>
    </w:tbl>
    <w:p>
      <w:pPr>
        <w:pStyle w:val="BodyText"/>
        <w:spacing w:after="60"/>
        <w:jc w:val="both"/>
      </w:pPr>
      <w:r>
        <w:t xml:space="preserve">I - qualquer das partes arguir, fundamentadamente, a ocorrência de erro na avaliação ou dolo do avaliador;</w:t>
      </w:r>
    </w:p>
    <w:p>
      <w:pPr>
        <w:pStyle w:val="BodyText"/>
        <w:spacing w:after="60"/>
        <w:jc w:val="both"/>
      </w:pPr>
      <w:r>
        <w:t xml:space="preserve">II - se verificar, posteriormente à avaliação, que houve majoração ou diminuição no valor do bem;</w:t>
      </w:r>
    </w:p>
    <w:p>
      <w:pPr>
        <w:pStyle w:val="BodyText"/>
        <w:spacing w:after="60"/>
        <w:jc w:val="both"/>
      </w:pPr>
      <w:r>
        <w:t xml:space="preserve">III - o juiz tiver fundada dúvida sobre o valor atribuído ao bem na primeira avaliação.</w:t>
      </w:r>
    </w:p>
    <w:p>
      <w:pPr>
        <w:pStyle w:val="BodyText"/>
        <w:spacing w:after="60"/>
        <w:jc w:val="both"/>
      </w:pPr>
      <w:r>
        <w:t xml:space="preserve">Parágrafo único. Aplica-se o art. 480 à nova avaliação prevista no inciso III do caput deste artigo.</w:t>
      </w:r>
    </w:p>
    <w:bookmarkEnd w:id="683"/>
    <w:bookmarkStart w:id="684" w:name="art.-874"/>
    <w:p>
      <w:pPr>
        <w:pStyle w:val="Heading6"/>
        <w:pBdr>
          <w:left w:val="single" w:sz="36" w:space="4" w:color="2E75B6"/>
        </w:pBdr>
        <w:shd w:val="clear" w:color="auto" w:fill="E3EEF9"/>
        <w:spacing w:before="120" w:after="60"/>
        <w:ind w:left="85"/>
      </w:pPr>
      <w:r>
        <w:rPr>
          <w:i w:val="0"/>
          <w:color w:val="1F3A5F"/>
          <w:sz w:val="22"/>
        </w:rPr>
        <w:t xml:space="preserve">Art. 874</w:t>
      </w:r>
    </w:p>
    <w:p>
      <w:pPr>
        <w:pStyle w:val="FirstParagraph"/>
        <w:spacing w:after="60"/>
        <w:jc w:val="both"/>
      </w:pPr>
      <w:r>
        <w:rPr>
          <w:b/>
          <w:bCs/>
        </w:rPr>
        <w:t xml:space="preserve">Art. 874.</w:t>
      </w:r>
      <w:r>
        <w:t xml:space="preserve"> </w:t>
      </w:r>
      <w:r>
        <w:t xml:space="preserve">Após a avaliação, o juiz poderá, a requerimento do interessado e ouvida a parte contrária, mandar:</w:t>
      </w:r>
    </w:p>
    <w:p>
      <w:pPr>
        <w:pStyle w:val="BodyText"/>
        <w:spacing w:after="60"/>
        <w:jc w:val="both"/>
      </w:pPr>
      <w:r>
        <w:t xml:space="preserve">I - reduzir a penhora aos bens suficientes ou transferi-la para outros, se o valor dos bens penhorados for consideravelmente superior ao crédito do exequente e dos acessórios;</w:t>
      </w:r>
    </w:p>
    <w:p>
      <w:pPr>
        <w:pStyle w:val="BodyText"/>
        <w:spacing w:after="60"/>
        <w:jc w:val="both"/>
      </w:pPr>
      <w:r>
        <w:t xml:space="preserve">II - ampliar a penhora ou transferi-la para outros bens mais valiosos, se o valor dos bens penhorados for inferior ao crédito do exequente.</w:t>
      </w:r>
    </w:p>
    <w:bookmarkEnd w:id="684"/>
    <w:bookmarkStart w:id="685" w:name="art.-875"/>
    <w:p>
      <w:pPr>
        <w:pStyle w:val="Heading6"/>
        <w:pBdr>
          <w:left w:val="single" w:sz="36" w:space="4" w:color="2E75B6"/>
        </w:pBdr>
        <w:shd w:val="clear" w:color="auto" w:fill="E3EEF9"/>
        <w:spacing w:before="120" w:after="60"/>
        <w:ind w:left="85"/>
      </w:pPr>
      <w:r>
        <w:rPr>
          <w:i w:val="0"/>
          <w:color w:val="1F3A5F"/>
          <w:sz w:val="22"/>
        </w:rPr>
        <w:t xml:space="preserve">Art. 875</w:t>
      </w:r>
    </w:p>
    <w:p>
      <w:pPr>
        <w:pStyle w:val="FirstParagraph"/>
        <w:keepNext/>
        <w:spacing w:after="60"/>
        <w:jc w:val="both"/>
      </w:pPr>
      <w:r>
        <w:rPr>
          <w:b/>
          <w:bCs/>
        </w:rPr>
        <w:t xml:space="preserve">Art. 875.</w:t>
      </w:r>
      <w:r>
        <w:t xml:space="preserve"> </w:t>
      </w:r>
      <w:r>
        <w:t xml:space="preserve">Realizadas a penhora e a avaliação, o juiz dará início aos atos de expropriação do bem.</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530"/>
        <w:gridCol w:w="1905"/>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Caput — início dos atos de expropriação</w:t>
            </w:r>
          </w:p>
        </w:tc>
        <w:tc>
          <w:tcPr>
            <w:tcW w:type="dxa" w:w="1531"/>
          </w:tcPr>
          <w:p>
            <w:pPr>
              <w:pStyle w:val="Compact"/>
              <w:spacing w:line="276" w:lineRule="auto" w:before="40" w:after="40"/>
            </w:pPr>
            <w:r>
              <w:rPr>
                <w:rFonts w:ascii="Liberation Sans Narrow" w:hAnsi="Liberation Sans Narrow"/>
                <w:sz w:val="17"/>
              </w:rPr>
              <w:t xml:space="preserve">STJ, AREsp 3.141.140, Quarta Turma, relator Min. Raul Araújo, julgado em 22/06/2026</w:t>
            </w:r>
          </w:p>
        </w:tc>
        <w:tc>
          <w:tcPr>
            <w:tcW w:type="dxa" w:w="1905"/>
          </w:tcPr>
          <w:p>
            <w:pPr>
              <w:pStyle w:val="Compact"/>
              <w:spacing w:line="276" w:lineRule="auto" w:before="40" w:after="40"/>
            </w:pPr>
            <w:r>
              <w:rPr>
                <w:rFonts w:ascii="Liberation Sans Narrow" w:hAnsi="Liberation Sans Narrow"/>
                <w:sz w:val="17"/>
              </w:rPr>
              <w:t xml:space="preserve">Após a penhora e a avaliação, os atos de expropriação independem de pedido específico do credor; o art. 880 confere apenas a opção quanto à forma da alienação, sem condicionar sua realização a requerimento.</w:t>
            </w:r>
          </w:p>
        </w:tc>
      </w:tr>
    </w:tbl>
    <w:bookmarkEnd w:id="685"/>
    <w:bookmarkEnd w:id="686"/>
    <w:bookmarkStart w:id="715" w:name="X36a734f90baff77040c9be350e89d25a63a12e5"/>
    <w:p>
      <w:pPr>
        <w:pStyle w:val="Heading5"/>
        <w:spacing w:before="60" w:after="20"/>
      </w:pPr>
      <w:r>
        <w:rPr>
          <w:i/>
          <w:color w:val="595959"/>
        </w:rPr>
        <w:t xml:space="preserve">Seção IV: da expropriação de bens (arts. 876 a 903)</w:t>
      </w:r>
    </w:p>
    <w:bookmarkStart w:id="687" w:name="art.-876"/>
    <w:p>
      <w:pPr>
        <w:pStyle w:val="Heading6"/>
        <w:pBdr>
          <w:left w:val="single" w:sz="36" w:space="4" w:color="2E75B6"/>
        </w:pBdr>
        <w:shd w:val="clear" w:color="auto" w:fill="E3EEF9"/>
        <w:spacing w:before="120" w:after="60"/>
        <w:ind w:left="85"/>
      </w:pPr>
      <w:r>
        <w:rPr>
          <w:i w:val="0"/>
          <w:color w:val="1F3A5F"/>
          <w:sz w:val="22"/>
        </w:rPr>
        <w:t xml:space="preserve">Art. 876</w:t>
      </w:r>
    </w:p>
    <w:p>
      <w:pPr>
        <w:pStyle w:val="FirstParagraph"/>
        <w:keepNext/>
        <w:spacing w:after="60"/>
        <w:jc w:val="both"/>
      </w:pPr>
      <w:r>
        <w:rPr>
          <w:b/>
          <w:bCs/>
        </w:rPr>
        <w:t xml:space="preserve">Art. 876.</w:t>
      </w:r>
      <w:r>
        <w:t xml:space="preserve"> </w:t>
      </w:r>
      <w:r>
        <w:t xml:space="preserve">É lícito ao exequente, oferecendo preço não inferior ao da avaliação, requerer que lhe sejam adjudicados os bens penhorados.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1905"/>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adjudicação</w:t>
            </w:r>
          </w:p>
        </w:tc>
        <w:tc>
          <w:tcPr>
            <w:tcW w:type="dxa" w:w="1531"/>
          </w:tcPr>
          <w:p>
            <w:pPr>
              <w:pStyle w:val="Compact"/>
              <w:spacing w:line="276" w:lineRule="auto" w:before="40" w:after="40"/>
            </w:pPr>
            <w:r>
              <w:rPr>
                <w:rFonts w:ascii="Liberation Sans Narrow" w:hAnsi="Liberation Sans Narrow"/>
                <w:sz w:val="17"/>
              </w:rPr>
              <w:t xml:space="preserve">STJ, AgInt no AREsp 2.254.162, Terceira Turma, relator Min. Marco Aurélio Bellizze, DJe de 24/05/2023</w:t>
            </w:r>
          </w:p>
        </w:tc>
        <w:tc>
          <w:tcPr>
            <w:tcW w:type="dxa" w:w="1905"/>
          </w:tcPr>
          <w:p>
            <w:pPr>
              <w:pStyle w:val="Compact"/>
              <w:spacing w:line="276" w:lineRule="auto" w:before="40" w:after="40"/>
            </w:pPr>
            <w:r>
              <w:rPr>
                <w:rFonts w:ascii="Liberation Sans Narrow" w:hAnsi="Liberation Sans Narrow"/>
                <w:sz w:val="17"/>
              </w:rPr>
              <w:t xml:space="preserve">O art. 876 não se aplica à arrematação realizada em segunda hasta, em que a exequente arrematou o imóvel: a adjudicação é modalidade distinta de expropriação, com pressupostos próprios.</w:t>
            </w:r>
          </w:p>
        </w:tc>
      </w:tr>
    </w:tbl>
    <w:p>
      <w:pPr>
        <w:pStyle w:val="BodyText"/>
        <w:spacing w:after="60"/>
        <w:jc w:val="both"/>
      </w:pPr>
      <w:r>
        <w:t xml:space="preserve">§ 1º Requerida a adjudicação, o executado será intimado do pedido:</w:t>
      </w:r>
    </w:p>
    <w:p>
      <w:pPr>
        <w:pStyle w:val="BodyText"/>
        <w:spacing w:after="60"/>
        <w:jc w:val="both"/>
      </w:pPr>
      <w:r>
        <w:t xml:space="preserve">I - pelo Diário da Justiça, na pessoa de seu advogado constituído nos autos;</w:t>
      </w:r>
    </w:p>
    <w:p>
      <w:pPr>
        <w:pStyle w:val="BodyText"/>
        <w:spacing w:after="60"/>
        <w:jc w:val="both"/>
      </w:pPr>
      <w:r>
        <w:t xml:space="preserve">II - por carta com aviso de recebimento, quando representado pela Defensoria Pública ou quando não tiver procurador constituído nos autos;</w:t>
      </w:r>
    </w:p>
    <w:p>
      <w:pPr>
        <w:pStyle w:val="BodyText"/>
        <w:spacing w:after="60"/>
        <w:jc w:val="both"/>
      </w:pPr>
      <w:r>
        <w:t xml:space="preserve">III - por meio eletrônico, quando, sendo o caso do § 1º do art. 246, não tiver procurador constituído nos autos.</w:t>
      </w:r>
    </w:p>
    <w:p>
      <w:pPr>
        <w:pStyle w:val="BodyText"/>
        <w:spacing w:after="60"/>
        <w:jc w:val="both"/>
      </w:pPr>
      <w:r>
        <w:t xml:space="preserve">§ 2º Considera-se realizada a intimação quando o executado houver mudado de endereço sem prévia comunicação ao juízo, observado o disposto no art. 274, parágrafo único.</w:t>
      </w:r>
    </w:p>
    <w:p>
      <w:pPr>
        <w:pStyle w:val="BodyText"/>
        <w:spacing w:after="60"/>
        <w:jc w:val="both"/>
      </w:pPr>
      <w:r>
        <w:t xml:space="preserve">§ 3º Se o executado, citado por edital, não tiver procurador constituído nos autos, é dispensável a intimação prevista no § 1º.</w:t>
      </w:r>
    </w:p>
    <w:p>
      <w:pPr>
        <w:pStyle w:val="BodyText"/>
        <w:spacing w:after="60"/>
        <w:jc w:val="both"/>
      </w:pPr>
      <w:r>
        <w:t xml:space="preserve">§ 4º Se o valor do crédito for:</w:t>
      </w:r>
    </w:p>
    <w:p>
      <w:pPr>
        <w:pStyle w:val="BodyText"/>
        <w:spacing w:after="60"/>
        <w:jc w:val="both"/>
      </w:pPr>
      <w:r>
        <w:t xml:space="preserve">I - inferior ao dos bens, o requerente da adjudicação depositará de imediato a diferença, que ficará à disposição do executado;</w:t>
      </w:r>
    </w:p>
    <w:p>
      <w:pPr>
        <w:pStyle w:val="BodyText"/>
        <w:spacing w:after="60"/>
        <w:jc w:val="both"/>
      </w:pPr>
      <w:r>
        <w:t xml:space="preserve">II - superior ao dos bens, a execução prosseguirá pelo saldo remanescente.</w:t>
      </w:r>
    </w:p>
    <w:p>
      <w:pPr>
        <w:pStyle w:val="BodyText"/>
        <w:spacing w:after="60"/>
        <w:jc w:val="both"/>
      </w:pPr>
      <w:r>
        <w:t xml:space="preserve">§ 5º Idêntico direito pode ser exercido por aqueles indicados no art. 889, incisos II a VIII, pelos credores concorrentes que hajam penhorado o mesmo bem, pelo cônjuge, pelo companheiro, pelos descendentes ou pelos ascendentes do executado.</w:t>
      </w:r>
    </w:p>
    <w:p>
      <w:pPr>
        <w:pStyle w:val="BodyText"/>
        <w:spacing w:after="60"/>
        <w:jc w:val="both"/>
      </w:pPr>
      <w:r>
        <w:t xml:space="preserve">§ 6º Se houver mais de um pretendente, proceder-se-á a licitação entre eles, tendo preferência, em caso de igualdade de oferta, o cônjuge, o companheiro, o descendente ou o ascendente, nessa ordem.</w:t>
      </w:r>
    </w:p>
    <w:p>
      <w:pPr>
        <w:pStyle w:val="BodyText"/>
        <w:spacing w:after="60"/>
        <w:jc w:val="both"/>
      </w:pPr>
      <w:r>
        <w:t xml:space="preserve">§ 7º No caso de penhora de quota social ou de ação de sociedade anônima fechada realizada em favor de exequente alheio à sociedade, esta será intimada, ficando responsável por informar aos sócios a ocorrência da penhora, assegurando-se a estes a preferência.</w:t>
      </w:r>
    </w:p>
    <w:bookmarkEnd w:id="687"/>
    <w:bookmarkStart w:id="688" w:name="art.-877"/>
    <w:p>
      <w:pPr>
        <w:pStyle w:val="Heading6"/>
        <w:pBdr>
          <w:left w:val="single" w:sz="36" w:space="4" w:color="2E75B6"/>
        </w:pBdr>
        <w:shd w:val="clear" w:color="auto" w:fill="E3EEF9"/>
        <w:spacing w:before="120" w:after="60"/>
        <w:ind w:left="85"/>
      </w:pPr>
      <w:r>
        <w:rPr>
          <w:i w:val="0"/>
          <w:color w:val="1F3A5F"/>
          <w:sz w:val="22"/>
        </w:rPr>
        <w:t xml:space="preserve">Art. 877</w:t>
      </w:r>
    </w:p>
    <w:p>
      <w:pPr>
        <w:pStyle w:val="FirstParagraph"/>
        <w:spacing w:after="60"/>
        <w:jc w:val="both"/>
      </w:pPr>
      <w:r>
        <w:rPr>
          <w:b/>
          <w:bCs/>
        </w:rPr>
        <w:t xml:space="preserve">Art. 877.</w:t>
      </w:r>
      <w:r>
        <w:t xml:space="preserve"> </w:t>
      </w:r>
      <w:r>
        <w:t xml:space="preserve">Transcorrido o prazo de 5 (cinco) dias, contado da última intimação, e decididas eventuais questões, o juiz ordenará a lavratura do auto de adjudicação.</w:t>
      </w:r>
    </w:p>
    <w:p>
      <w:pPr>
        <w:pStyle w:val="BodyText"/>
        <w:keepNext/>
        <w:spacing w:after="60"/>
        <w:jc w:val="both"/>
      </w:pPr>
      <w:r>
        <w:t xml:space="preserve">§ 1º Considera-se perfeita e acabada a adjudicação com a lavratura e a assinatura do auto pelo juiz, pelo adjudicatário, pelo escrivão ou chefe de secretaria, e, se estiver presente, pelo executado, expedindo-se: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530"/>
        <w:gridCol w:w="2279"/>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 1º — nulidade da adjudicação e via adequada</w:t>
            </w:r>
          </w:p>
        </w:tc>
        <w:tc>
          <w:tcPr>
            <w:tcW w:type="dxa" w:w="1531"/>
          </w:tcPr>
          <w:p>
            <w:pPr>
              <w:pStyle w:val="Compact"/>
              <w:spacing w:line="276" w:lineRule="auto" w:before="40" w:after="40"/>
            </w:pPr>
            <w:r>
              <w:rPr>
                <w:rFonts w:ascii="Liberation Sans Narrow" w:hAnsi="Liberation Sans Narrow"/>
                <w:sz w:val="17"/>
              </w:rPr>
              <w:t xml:space="preserve">STJ, EDcl no AREsp 2.505.836, Quarta Turma, relator Min. Raul Araújo, julgado em 13/04/2026</w:t>
            </w:r>
          </w:p>
        </w:tc>
        <w:tc>
          <w:tcPr>
            <w:tcW w:type="dxa" w:w="2279"/>
          </w:tcPr>
          <w:p>
            <w:pPr>
              <w:pStyle w:val="Compact"/>
              <w:spacing w:line="276" w:lineRule="auto" w:before="40" w:after="40"/>
            </w:pPr>
            <w:r>
              <w:rPr>
                <w:rFonts w:ascii="Liberation Sans Narrow" w:hAnsi="Liberation Sans Narrow"/>
                <w:sz w:val="17"/>
              </w:rPr>
              <w:t xml:space="preserve">Inexistindo expedição da carta de adjudicação ou registro da transferência da propriedade, a alegação de nulidade da adjudicação pode ser apreciada nos próprios autos da execução, sendo desnecessária a propositura de ação anulatória autônoma.</w:t>
            </w:r>
          </w:p>
        </w:tc>
      </w:tr>
      <w:tr>
        <w:trPr/>
        <w:tc>
          <w:tcPr>
            <w:tcW w:type="dxa" w:w="1780"/>
          </w:tcPr>
          <w:p>
            <w:pPr>
              <w:pStyle w:val="Compact"/>
              <w:spacing w:line="276" w:lineRule="auto" w:before="40" w:after="40"/>
            </w:pPr>
            <w:r>
              <w:rPr>
                <w:rFonts w:ascii="Liberation Sans Narrow" w:hAnsi="Liberation Sans Narrow"/>
                <w:sz w:val="17"/>
              </w:rPr>
              <w:t xml:space="preserve">§§ 1º e 2º — carta de adjudicação, registro e emolumentos (aplicação narrada)</w:t>
            </w:r>
          </w:p>
        </w:tc>
        <w:tc>
          <w:tcPr>
            <w:tcW w:type="dxa" w:w="1531"/>
          </w:tcPr>
          <w:p>
            <w:pPr>
              <w:pStyle w:val="Compact"/>
              <w:spacing w:line="276" w:lineRule="auto" w:before="40" w:after="40"/>
            </w:pPr>
            <w:r>
              <w:rPr>
                <w:rFonts w:ascii="Liberation Sans Narrow" w:hAnsi="Liberation Sans Narrow"/>
                <w:sz w:val="17"/>
              </w:rPr>
              <w:t xml:space="preserve">STJ, AREsp 3.052.836, Terceira Turma, relator Min. Humberto Martins, julgado em 30/03/2026</w:t>
            </w:r>
          </w:p>
        </w:tc>
        <w:tc>
          <w:tcPr>
            <w:tcW w:type="dxa" w:w="2279"/>
          </w:tcPr>
          <w:p>
            <w:pPr>
              <w:pStyle w:val="Compact"/>
              <w:spacing w:line="276" w:lineRule="auto" w:before="40" w:after="40"/>
            </w:pPr>
            <w:r>
              <w:rPr>
                <w:rFonts w:ascii="Liberation Sans Narrow" w:hAnsi="Liberation Sans Narrow"/>
                <w:sz w:val="17"/>
              </w:rPr>
              <w:t xml:space="preserve">A adjudicação se concretiza com a expedição da carta de adjudicação, e a aquisição da propriedade perante terceiros depende do registro no cartório de registro de imóveis; os emolumentos cartorários despendidos pelo credor para viabilizar esse registro configuram dano emergente diretamente decorrente da mora do devedor e podem ser reconhecidos e cobrados no bojo da própria execução, sem necessidade de ação autônoma. Trecho: “Os emolumentos cartorários despendidos pelo credor para viabilizar o registro da carta de adjudicação configuram dano emergente diretamente decorrente da mora do devedor, enquadrando-se na responsabilidade civil abrangente prevista no art.”</w:t>
            </w:r>
          </w:p>
        </w:tc>
      </w:tr>
    </w:tbl>
    <w:p>
      <w:pPr>
        <w:pStyle w:val="BodyText"/>
        <w:spacing w:after="60"/>
        <w:jc w:val="both"/>
      </w:pPr>
      <w:r>
        <w:t xml:space="preserve">I - a carta de adjudicação e o mandado de imissão na posse, quando se tratar de bem imóvel;</w:t>
      </w:r>
    </w:p>
    <w:p>
      <w:pPr>
        <w:pStyle w:val="BodyText"/>
        <w:spacing w:after="60"/>
        <w:jc w:val="both"/>
      </w:pPr>
      <w:r>
        <w:t xml:space="preserve">II - a ordem de entrega ao adjudicatário, quando se tratar de bem móvel.</w:t>
      </w:r>
    </w:p>
    <w:p>
      <w:pPr>
        <w:pStyle w:val="BodyText"/>
        <w:spacing w:after="60"/>
        <w:jc w:val="both"/>
      </w:pPr>
      <w:r>
        <w:t xml:space="preserve">§ 2º A carta de adjudicação conterá a descrição do imóvel, com remissão à sua matrícula e aos seus registros, a cópia do auto de adjudicação e a prova de quitação do imposto de transmissão.</w:t>
      </w:r>
    </w:p>
    <w:p>
      <w:pPr>
        <w:pStyle w:val="BodyText"/>
        <w:spacing w:after="60"/>
        <w:jc w:val="both"/>
      </w:pPr>
      <w:r>
        <w:t xml:space="preserve">§ 3º No caso de penhora de bem hipotecado, o executado poderá remi-lo até a assinatura do auto de adjudicação, oferecendo preço igual ao da avaliação, se não tiver havido licitantes, ou ao do maior lance oferecido.</w:t>
      </w:r>
    </w:p>
    <w:p>
      <w:pPr>
        <w:pStyle w:val="BodyText"/>
        <w:spacing w:after="60"/>
        <w:jc w:val="both"/>
      </w:pPr>
      <w:r>
        <w:t xml:space="preserve">§ 4º Na hipótese de falência ou de insolvência do devedor hipotecário, o direito de remição previsto no § 3º será deferido à massa ou aos credores em concurso, não podendo o exequente recusar o preço da avaliação do imóvel.</w:t>
      </w:r>
    </w:p>
    <w:bookmarkEnd w:id="688"/>
    <w:bookmarkStart w:id="689" w:name="art.-878"/>
    <w:p>
      <w:pPr>
        <w:pStyle w:val="Heading6"/>
        <w:pBdr>
          <w:left w:val="single" w:sz="36" w:space="4" w:color="2E75B6"/>
        </w:pBdr>
        <w:shd w:val="clear" w:color="auto" w:fill="E3EEF9"/>
        <w:spacing w:before="120" w:after="60"/>
        <w:ind w:left="85"/>
      </w:pPr>
      <w:r>
        <w:rPr>
          <w:i w:val="0"/>
          <w:color w:val="1F3A5F"/>
          <w:sz w:val="22"/>
        </w:rPr>
        <w:t xml:space="preserve">Art. 878</w:t>
      </w:r>
    </w:p>
    <w:p>
      <w:pPr>
        <w:pStyle w:val="FirstParagraph"/>
        <w:spacing w:after="60"/>
        <w:jc w:val="both"/>
      </w:pPr>
      <w:r>
        <w:rPr>
          <w:b/>
          <w:bCs/>
        </w:rPr>
        <w:t xml:space="preserve">Art. 878.</w:t>
      </w:r>
      <w:r>
        <w:t xml:space="preserve"> </w:t>
      </w:r>
      <w:r>
        <w:t xml:space="preserve">Frustradas as tentativas de alienação do bem, será reaberta oportunidade para requerimento de adjudicação, caso em que também se poderá pleitear a realização de nova avaliação.</w:t>
      </w:r>
    </w:p>
    <w:bookmarkEnd w:id="689"/>
    <w:bookmarkStart w:id="690" w:name="art.-879"/>
    <w:p>
      <w:pPr>
        <w:pStyle w:val="Heading6"/>
        <w:pBdr>
          <w:left w:val="single" w:sz="36" w:space="4" w:color="2E75B6"/>
        </w:pBdr>
        <w:shd w:val="clear" w:color="auto" w:fill="E3EEF9"/>
        <w:spacing w:before="120" w:after="60"/>
        <w:ind w:left="85"/>
      </w:pPr>
      <w:r>
        <w:rPr>
          <w:i w:val="0"/>
          <w:color w:val="1F3A5F"/>
          <w:sz w:val="22"/>
        </w:rPr>
        <w:t xml:space="preserve">Art. 879</w:t>
      </w:r>
    </w:p>
    <w:p>
      <w:pPr>
        <w:pStyle w:val="FirstParagraph"/>
        <w:spacing w:after="60"/>
        <w:jc w:val="both"/>
      </w:pPr>
      <w:r>
        <w:rPr>
          <w:b/>
          <w:bCs/>
        </w:rPr>
        <w:t xml:space="preserve">Art. 879.</w:t>
      </w:r>
      <w:r>
        <w:t xml:space="preserve"> </w:t>
      </w:r>
      <w:r>
        <w:t xml:space="preserve">A alienação far-se-á:</w:t>
      </w:r>
    </w:p>
    <w:p>
      <w:pPr>
        <w:pStyle w:val="BodyText"/>
        <w:keepNext/>
        <w:spacing w:after="60"/>
        <w:jc w:val="both"/>
      </w:pPr>
      <w:r>
        <w:t xml:space="preserve">I - por iniciativa particular;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Incisos I e II — alienação por iniciativa particular e em leilão</w:t>
            </w:r>
          </w:p>
        </w:tc>
        <w:tc>
          <w:tcPr>
            <w:tcW w:type="dxa" w:w="1531"/>
          </w:tcPr>
          <w:p>
            <w:pPr>
              <w:pStyle w:val="Compact"/>
              <w:spacing w:line="276" w:lineRule="auto" w:before="40" w:after="40"/>
            </w:pPr>
            <w:r>
              <w:rPr>
                <w:rFonts w:ascii="Liberation Sans Narrow" w:hAnsi="Liberation Sans Narrow"/>
                <w:sz w:val="17"/>
              </w:rPr>
              <w:t xml:space="preserve">STJ, AREsp 2.261.674, Quarta Turma, relator Min. Raul Araújo, julgado em 16/03/2026</w:t>
            </w:r>
          </w:p>
        </w:tc>
        <w:tc>
          <w:tcPr>
            <w:tcW w:type="dxa" w:w="1905"/>
          </w:tcPr>
          <w:p>
            <w:pPr>
              <w:pStyle w:val="Compact"/>
              <w:spacing w:line="276" w:lineRule="auto" w:before="40" w:after="40"/>
            </w:pPr>
            <w:r>
              <w:rPr>
                <w:rFonts w:ascii="Liberation Sans Narrow" w:hAnsi="Liberation Sans Narrow"/>
                <w:sz w:val="17"/>
              </w:rPr>
              <w:t xml:space="preserve">A alienação do bem penhorado pode dar-se por iniciativa particular ou por corretor ou leiloeiro público, cabendo ao exequente a opção entre uma e outra forma; a determinação judicial de alienação é fase procedimental da execução por quantia certa e independe de pedido expresso do credor.</w:t>
            </w:r>
          </w:p>
        </w:tc>
      </w:tr>
    </w:tbl>
    <w:p>
      <w:pPr>
        <w:pStyle w:val="BodyText"/>
        <w:spacing w:after="60"/>
        <w:jc w:val="both"/>
      </w:pPr>
      <w:r>
        <w:t xml:space="preserve">II - em leilão judicial eletrônico ou presencial.</w:t>
      </w:r>
    </w:p>
    <w:bookmarkEnd w:id="690"/>
    <w:bookmarkStart w:id="691" w:name="art.-880"/>
    <w:p>
      <w:pPr>
        <w:pStyle w:val="Heading6"/>
        <w:pBdr>
          <w:left w:val="single" w:sz="36" w:space="4" w:color="2E75B6"/>
        </w:pBdr>
        <w:shd w:val="clear" w:color="auto" w:fill="E3EEF9"/>
        <w:spacing w:before="120" w:after="60"/>
        <w:ind w:left="85"/>
      </w:pPr>
      <w:r>
        <w:rPr>
          <w:i w:val="0"/>
          <w:color w:val="1F3A5F"/>
          <w:sz w:val="22"/>
        </w:rPr>
        <w:t xml:space="preserve">Art. 880</w:t>
      </w:r>
    </w:p>
    <w:p>
      <w:pPr>
        <w:pStyle w:val="FirstParagraph"/>
        <w:keepNext/>
        <w:spacing w:after="60"/>
        <w:jc w:val="both"/>
      </w:pPr>
      <w:r>
        <w:rPr>
          <w:b/>
          <w:bCs/>
        </w:rPr>
        <w:t xml:space="preserve">Art. 880.</w:t>
      </w:r>
      <w:r>
        <w:t xml:space="preserve"> </w:t>
      </w:r>
      <w:r>
        <w:t xml:space="preserve">Não efetivada a adjudicação, o exequente poderá requerer a alienação por sua própria iniciativa ou por intermédio de corretor ou leiloeiro público credenciado perante o órgão judiciário.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alienação por iniciativa particular</w:t>
            </w:r>
          </w:p>
        </w:tc>
        <w:tc>
          <w:tcPr>
            <w:tcW w:type="dxa" w:w="1531"/>
          </w:tcPr>
          <w:p>
            <w:pPr>
              <w:pStyle w:val="Compact"/>
              <w:spacing w:line="276" w:lineRule="auto" w:before="40" w:after="40"/>
            </w:pPr>
            <w:r>
              <w:rPr>
                <w:rFonts w:ascii="Liberation Sans Narrow" w:hAnsi="Liberation Sans Narrow"/>
                <w:sz w:val="17"/>
              </w:rPr>
              <w:t xml:space="preserve">STJ, AREsp 2.996.240, Quarta Turma, relator Min. Antonio Carlos Ferreira, julgado em 30/06/2026</w:t>
            </w:r>
          </w:p>
        </w:tc>
        <w:tc>
          <w:tcPr>
            <w:tcW w:type="dxa" w:w="1905"/>
          </w:tcPr>
          <w:p>
            <w:pPr>
              <w:pStyle w:val="Compact"/>
              <w:spacing w:line="276" w:lineRule="auto" w:before="40" w:after="40"/>
            </w:pPr>
            <w:r>
              <w:rPr>
                <w:rFonts w:ascii="Liberation Sans Narrow" w:hAnsi="Liberation Sans Narrow"/>
                <w:sz w:val="17"/>
              </w:rPr>
              <w:t xml:space="preserve">O art. 897, que determina o retorno do bem a leilão por inadimplência do arrematante, refere-se ao rito do leilão judicial (art. 881); na alienação por iniciativa particular (art. 880), admite-se a homologação da melhor proposta remanescente que atenda às condições do juízo e não configure preço vil.</w:t>
            </w:r>
          </w:p>
        </w:tc>
      </w:tr>
    </w:tbl>
    <w:p>
      <w:pPr>
        <w:pStyle w:val="BodyText"/>
        <w:keepNext/>
        <w:spacing w:after="60"/>
        <w:jc w:val="both"/>
      </w:pPr>
      <w:r>
        <w:t xml:space="preserve">§ 1º O juiz fixará o prazo em que a alienação deve ser efetivada, a forma de publicidade, o preço mínimo, as condições de pagamento, as garantias e, se for o caso, a comissão de corretagem.</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 1º — alienação por iniciativa particular</w:t>
            </w:r>
          </w:p>
        </w:tc>
        <w:tc>
          <w:tcPr>
            <w:tcW w:type="dxa" w:w="1655"/>
          </w:tcPr>
          <w:p>
            <w:pPr>
              <w:pStyle w:val="Compact"/>
              <w:spacing w:line="276" w:lineRule="auto" w:before="40" w:after="40"/>
            </w:pPr>
            <w:r>
              <w:rPr>
                <w:rFonts w:ascii="Liberation Sans Narrow" w:hAnsi="Liberation Sans Narrow"/>
                <w:sz w:val="17"/>
              </w:rPr>
              <w:t xml:space="preserve">STJ, REsp 2.202.208, Terceira Turma, relatora Min. Nancy Andrighi, julgado em 05/05/2026, DJEN de 13/05/2026</w:t>
            </w:r>
          </w:p>
        </w:tc>
        <w:tc>
          <w:tcPr>
            <w:tcW w:type="dxa" w:w="2030"/>
          </w:tcPr>
          <w:p>
            <w:pPr>
              <w:pStyle w:val="Compact"/>
              <w:spacing w:line="276" w:lineRule="auto" w:before="40" w:after="40"/>
            </w:pPr>
            <w:r>
              <w:rPr>
                <w:rFonts w:ascii="Liberation Sans Narrow" w:hAnsi="Liberation Sans Narrow"/>
                <w:sz w:val="17"/>
              </w:rPr>
              <w:t xml:space="preserve">As invalidades da alienação por iniciativa particular dependem da demonstração de prejuízo; o juiz tem flexibilidade para fixar as condições do art. 880, § 1º (prazo, publicidade, preço mínimo, pagamento e garantias), e a vedação ao preço vil comporta exceção diante das peculiaridades do caso.</w:t>
            </w:r>
          </w:p>
        </w:tc>
      </w:tr>
    </w:tbl>
    <w:p>
      <w:pPr>
        <w:pStyle w:val="BodyText"/>
        <w:spacing w:after="60"/>
        <w:jc w:val="both"/>
      </w:pPr>
      <w:r>
        <w:t xml:space="preserve">§ 2º A alienação será formalizada por termo nos autos, com a assinatura do juiz, do exequente, do adquirente e, se estiver presente, do executado, expedindo-se:</w:t>
      </w:r>
    </w:p>
    <w:p>
      <w:pPr>
        <w:pStyle w:val="BodyText"/>
        <w:spacing w:after="60"/>
        <w:jc w:val="both"/>
      </w:pPr>
      <w:r>
        <w:t xml:space="preserve">I - a carta de alienação e o mandado de imissão na posse, quando se tratar de bem imóvel;</w:t>
      </w:r>
    </w:p>
    <w:p>
      <w:pPr>
        <w:pStyle w:val="BodyText"/>
        <w:spacing w:after="60"/>
        <w:jc w:val="both"/>
      </w:pPr>
      <w:r>
        <w:t xml:space="preserve">II - a ordem de entrega ao adquirente, quando se tratar de bem móvel.</w:t>
      </w:r>
    </w:p>
    <w:p>
      <w:pPr>
        <w:pStyle w:val="BodyText"/>
        <w:spacing w:after="60"/>
        <w:jc w:val="both"/>
      </w:pPr>
      <w:r>
        <w:t xml:space="preserve">§ 3º Os tribunais poderão editar disposições complementares sobre o procedimento da alienação prevista neste artigo, admitindo, quando for o caso, o concurso de meios eletrônicos, e dispor sobre o credenciamento dos corretores e leiloeiros públicos, os quais deverão estar em exercício profissional por não menos que 3 (três) anos.</w:t>
      </w:r>
    </w:p>
    <w:p>
      <w:pPr>
        <w:pStyle w:val="BodyText"/>
        <w:spacing w:after="60"/>
        <w:jc w:val="both"/>
      </w:pPr>
      <w:r>
        <w:t xml:space="preserve">§ 4º Nas localidades em que não houver corretor ou leiloeiro público credenciado nos termos do § 3º, a indicação será de livre escolha do exequente.</w:t>
      </w:r>
    </w:p>
    <w:bookmarkEnd w:id="691"/>
    <w:bookmarkStart w:id="692" w:name="art.-881"/>
    <w:p>
      <w:pPr>
        <w:pStyle w:val="Heading6"/>
        <w:pBdr>
          <w:left w:val="single" w:sz="36" w:space="4" w:color="2E75B6"/>
        </w:pBdr>
        <w:shd w:val="clear" w:color="auto" w:fill="E3EEF9"/>
        <w:spacing w:before="120" w:after="60"/>
        <w:ind w:left="85"/>
      </w:pPr>
      <w:r>
        <w:rPr>
          <w:i w:val="0"/>
          <w:color w:val="1F3A5F"/>
          <w:sz w:val="22"/>
        </w:rPr>
        <w:t xml:space="preserve">Art. 881</w:t>
      </w:r>
    </w:p>
    <w:p>
      <w:pPr>
        <w:pStyle w:val="FirstParagraph"/>
        <w:spacing w:after="60"/>
        <w:jc w:val="both"/>
      </w:pPr>
      <w:r>
        <w:rPr>
          <w:b/>
          <w:bCs/>
        </w:rPr>
        <w:t xml:space="preserve">Art. 881.</w:t>
      </w:r>
      <w:r>
        <w:t xml:space="preserve"> </w:t>
      </w:r>
      <w:r>
        <w:t xml:space="preserve">A alienação far-se-á em leilão judicial se não efetivada a adjudicação ou a alienação por iniciativa particular.</w:t>
      </w:r>
    </w:p>
    <w:p>
      <w:pPr>
        <w:pStyle w:val="BodyText"/>
        <w:spacing w:after="60"/>
        <w:jc w:val="both"/>
      </w:pPr>
      <w:r>
        <w:t xml:space="preserve">§ 1º O leilão do bem penhorado será realizado por leiloeiro público.</w:t>
      </w:r>
    </w:p>
    <w:p>
      <w:pPr>
        <w:pStyle w:val="BodyText"/>
        <w:spacing w:after="60"/>
        <w:jc w:val="both"/>
      </w:pPr>
      <w:r>
        <w:t xml:space="preserve">§ 2º Ressalvados os casos de alienação a cargo de corretores de bolsa de valores, todos os demais bens serão alienados em leilão público.</w:t>
      </w:r>
    </w:p>
    <w:bookmarkEnd w:id="692"/>
    <w:bookmarkStart w:id="693" w:name="art.-882"/>
    <w:p>
      <w:pPr>
        <w:pStyle w:val="Heading6"/>
        <w:pBdr>
          <w:left w:val="single" w:sz="36" w:space="4" w:color="2E75B6"/>
        </w:pBdr>
        <w:shd w:val="clear" w:color="auto" w:fill="E3EEF9"/>
        <w:spacing w:before="120" w:after="60"/>
        <w:ind w:left="85"/>
      </w:pPr>
      <w:r>
        <w:rPr>
          <w:i w:val="0"/>
          <w:color w:val="1F3A5F"/>
          <w:sz w:val="22"/>
        </w:rPr>
        <w:t xml:space="preserve">Art. 882</w:t>
      </w:r>
    </w:p>
    <w:p>
      <w:pPr>
        <w:pStyle w:val="FirstParagraph"/>
        <w:keepNext/>
        <w:spacing w:after="60"/>
        <w:jc w:val="both"/>
      </w:pPr>
      <w:r>
        <w:rPr>
          <w:b/>
          <w:bCs/>
        </w:rPr>
        <w:t xml:space="preserve">Art. 882.</w:t>
      </w:r>
      <w:r>
        <w:t xml:space="preserve"> </w:t>
      </w:r>
      <w:r>
        <w:t xml:space="preserve">Não sendo possível a sua realização por meio eletrônico, o leilão será presencial.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871"/>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871"/>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leilão eletrônico</w:t>
            </w:r>
          </w:p>
        </w:tc>
        <w:tc>
          <w:tcPr>
            <w:tcW w:type="dxa" w:w="1531"/>
          </w:tcPr>
          <w:p>
            <w:pPr>
              <w:pStyle w:val="Compact"/>
              <w:spacing w:line="276" w:lineRule="auto" w:before="40" w:after="40"/>
            </w:pPr>
            <w:r>
              <w:rPr>
                <w:rFonts w:ascii="Liberation Sans Narrow" w:hAnsi="Liberation Sans Narrow"/>
                <w:sz w:val="17"/>
              </w:rPr>
              <w:t xml:space="preserve">STJ, CC 210.807, Segunda Seção, relator Min. Moura Ribeiro, DJe de 11/06/2025</w:t>
            </w:r>
          </w:p>
        </w:tc>
        <w:tc>
          <w:tcPr>
            <w:tcW w:type="dxa" w:w="1871"/>
          </w:tcPr>
          <w:p>
            <w:pPr>
              <w:pStyle w:val="Compact"/>
              <w:spacing w:line="276" w:lineRule="auto" w:before="40" w:after="40"/>
            </w:pPr>
            <w:r>
              <w:rPr>
                <w:rFonts w:ascii="Liberation Sans Narrow" w:hAnsi="Liberation Sans Narrow"/>
                <w:sz w:val="17"/>
              </w:rPr>
              <w:t xml:space="preserve">O art. 882 do CPC determina a prevalência do leilão eletrônico sobre o presencial, e o juízo da execução é o competente para os atos do leilão por meio eletrônico (Resolução 236/2016 do Conselho Nacional de Justiça); o juízo deprecado não pode recusar o cumprimento da carta que determina leilão presencial fora das hipóteses do art. 267.</w:t>
            </w:r>
          </w:p>
        </w:tc>
      </w:tr>
    </w:tbl>
    <w:p>
      <w:pPr>
        <w:pStyle w:val="BodyText"/>
        <w:spacing w:after="60"/>
        <w:jc w:val="both"/>
      </w:pPr>
      <w:r>
        <w:t xml:space="preserve">§ 1º A alienação judicial por meio eletrônico será realizada, observando-se as garantias processuais das partes, de acordo com regulamentação específica do Conselho Nacional de Justiça.</w:t>
      </w:r>
    </w:p>
    <w:p>
      <w:pPr>
        <w:pStyle w:val="BodyText"/>
        <w:spacing w:after="60"/>
        <w:jc w:val="both"/>
      </w:pPr>
      <w:r>
        <w:t xml:space="preserve">§ 2º A alienação judicial por meio eletrônico deverá atender aos requisitos de ampla publicidade, autenticidade e segurança, com observância das regras estabelecidas na legislação sobre certificação digital.</w:t>
      </w:r>
    </w:p>
    <w:p>
      <w:pPr>
        <w:pStyle w:val="BodyText"/>
        <w:spacing w:after="60"/>
        <w:jc w:val="both"/>
      </w:pPr>
      <w:r>
        <w:t xml:space="preserve">§ 3º O leilão presencial será realizado no local designado pelo juiz.</w:t>
      </w:r>
    </w:p>
    <w:bookmarkEnd w:id="693"/>
    <w:bookmarkStart w:id="694" w:name="art.-883"/>
    <w:p>
      <w:pPr>
        <w:pStyle w:val="Heading6"/>
        <w:pBdr>
          <w:left w:val="single" w:sz="36" w:space="4" w:color="2E75B6"/>
        </w:pBdr>
        <w:shd w:val="clear" w:color="auto" w:fill="E3EEF9"/>
        <w:spacing w:before="120" w:after="60"/>
        <w:ind w:left="85"/>
      </w:pPr>
      <w:r>
        <w:rPr>
          <w:i w:val="0"/>
          <w:color w:val="1F3A5F"/>
          <w:sz w:val="22"/>
        </w:rPr>
        <w:t xml:space="preserve">Art. 883</w:t>
      </w:r>
    </w:p>
    <w:p>
      <w:pPr>
        <w:pStyle w:val="FirstParagraph"/>
        <w:spacing w:after="60"/>
        <w:jc w:val="both"/>
      </w:pPr>
      <w:r>
        <w:rPr>
          <w:b/>
          <w:bCs/>
        </w:rPr>
        <w:t xml:space="preserve">Art. 883.</w:t>
      </w:r>
      <w:r>
        <w:t xml:space="preserve"> </w:t>
      </w:r>
      <w:r>
        <w:t xml:space="preserve">Caberá ao juiz a designação do leiloeiro público, que poderá ser indicado pelo exequente.</w:t>
      </w:r>
    </w:p>
    <w:bookmarkEnd w:id="694"/>
    <w:bookmarkStart w:id="695" w:name="art.-884"/>
    <w:p>
      <w:pPr>
        <w:pStyle w:val="Heading6"/>
        <w:pBdr>
          <w:left w:val="single" w:sz="36" w:space="4" w:color="2E75B6"/>
        </w:pBdr>
        <w:shd w:val="clear" w:color="auto" w:fill="E3EEF9"/>
        <w:spacing w:before="120" w:after="60"/>
        <w:ind w:left="85"/>
      </w:pPr>
      <w:r>
        <w:rPr>
          <w:i w:val="0"/>
          <w:color w:val="1F3A5F"/>
          <w:sz w:val="22"/>
        </w:rPr>
        <w:t xml:space="preserve">Art. 884</w:t>
      </w:r>
    </w:p>
    <w:p>
      <w:pPr>
        <w:pStyle w:val="FirstParagraph"/>
        <w:spacing w:after="60"/>
        <w:jc w:val="both"/>
      </w:pPr>
      <w:r>
        <w:rPr>
          <w:b/>
          <w:bCs/>
        </w:rPr>
        <w:t xml:space="preserve">Art. 884.</w:t>
      </w:r>
      <w:r>
        <w:t xml:space="preserve"> </w:t>
      </w:r>
      <w:r>
        <w:t xml:space="preserve">Incumbe ao leiloeiro público:</w:t>
      </w:r>
    </w:p>
    <w:p>
      <w:pPr>
        <w:pStyle w:val="BodyText"/>
        <w:spacing w:after="60"/>
        <w:jc w:val="both"/>
      </w:pPr>
      <w:r>
        <w:t xml:space="preserve">I - publicar o edital, anunciando a alienação;</w:t>
      </w:r>
    </w:p>
    <w:p>
      <w:pPr>
        <w:pStyle w:val="BodyText"/>
        <w:spacing w:after="60"/>
        <w:jc w:val="both"/>
      </w:pPr>
      <w:r>
        <w:t xml:space="preserve">II - realizar o leilão onde se encontrem os bens ou no lugar designado pelo juiz;</w:t>
      </w:r>
    </w:p>
    <w:p>
      <w:pPr>
        <w:pStyle w:val="BodyText"/>
        <w:spacing w:after="60"/>
        <w:jc w:val="both"/>
      </w:pPr>
      <w:r>
        <w:t xml:space="preserve">III - expor aos pretendentes os bens ou as amostras das mercadorias;</w:t>
      </w:r>
    </w:p>
    <w:p>
      <w:pPr>
        <w:pStyle w:val="BodyText"/>
        <w:spacing w:after="60"/>
        <w:jc w:val="both"/>
      </w:pPr>
      <w:r>
        <w:t xml:space="preserve">IV - receber e depositar, dentro de 1 (um) dia, à ordem do juiz, o produto da alienação;</w:t>
      </w:r>
    </w:p>
    <w:p>
      <w:pPr>
        <w:pStyle w:val="BodyText"/>
        <w:spacing w:after="60"/>
        <w:jc w:val="both"/>
      </w:pPr>
      <w:r>
        <w:t xml:space="preserve">V - prestar contas nos 2 (dois) dias subsequentes ao depósito.</w:t>
      </w:r>
    </w:p>
    <w:p>
      <w:pPr>
        <w:pStyle w:val="BodyText"/>
        <w:keepNext/>
        <w:spacing w:after="60"/>
        <w:jc w:val="both"/>
      </w:pPr>
      <w:r>
        <w:t xml:space="preserve">Parágrafo único. O leiloeiro tem o direito de receber do arrematante a comissão estabelecida em lei ou arbitrada pelo juiz.</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780"/>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Parágrafo único — comissão do leiloeiro</w:t>
            </w:r>
          </w:p>
        </w:tc>
        <w:tc>
          <w:tcPr>
            <w:tcW w:type="dxa" w:w="1655"/>
          </w:tcPr>
          <w:p>
            <w:pPr>
              <w:pStyle w:val="Compact"/>
              <w:spacing w:line="276" w:lineRule="auto" w:before="40" w:after="40"/>
            </w:pPr>
            <w:r>
              <w:rPr>
                <w:rFonts w:ascii="Liberation Sans Narrow" w:hAnsi="Liberation Sans Narrow"/>
                <w:sz w:val="17"/>
              </w:rPr>
              <w:t xml:space="preserve">STJ, REsp 2.198.525, Terceira Turma, relator Min. Ricardo Villas Bôas Cueva, julgado em 19/05/2026, DJEN de 03/06/2026</w:t>
            </w:r>
          </w:p>
        </w:tc>
        <w:tc>
          <w:tcPr>
            <w:tcW w:type="dxa" w:w="1780"/>
          </w:tcPr>
          <w:p>
            <w:pPr>
              <w:pStyle w:val="Compact"/>
              <w:spacing w:line="276" w:lineRule="auto" w:before="40" w:after="40"/>
            </w:pPr>
            <w:r>
              <w:rPr>
                <w:rFonts w:ascii="Liberation Sans Narrow" w:hAnsi="Liberation Sans Narrow"/>
                <w:sz w:val="17"/>
              </w:rPr>
              <w:t xml:space="preserve">A remição realizada após a alienação judicial, mas antes da assinatura do auto de arrematação, não afasta o direito do leiloeiro à comissão prevista no art. 884, parágrafo único, quando concluído o seu trabalho com resultado útil.</w:t>
            </w:r>
          </w:p>
        </w:tc>
      </w:tr>
    </w:tbl>
    <w:bookmarkEnd w:id="695"/>
    <w:bookmarkStart w:id="696" w:name="art.-885"/>
    <w:p>
      <w:pPr>
        <w:pStyle w:val="Heading6"/>
        <w:pBdr>
          <w:left w:val="single" w:sz="36" w:space="4" w:color="2E75B6"/>
        </w:pBdr>
        <w:shd w:val="clear" w:color="auto" w:fill="E3EEF9"/>
        <w:spacing w:before="120" w:after="60"/>
        <w:ind w:left="85"/>
      </w:pPr>
      <w:r>
        <w:rPr>
          <w:i w:val="0"/>
          <w:color w:val="1F3A5F"/>
          <w:sz w:val="22"/>
        </w:rPr>
        <w:t xml:space="preserve">Art. 885</w:t>
      </w:r>
    </w:p>
    <w:p>
      <w:pPr>
        <w:pStyle w:val="FirstParagraph"/>
        <w:spacing w:after="60"/>
        <w:jc w:val="both"/>
      </w:pPr>
      <w:r>
        <w:rPr>
          <w:b/>
          <w:bCs/>
        </w:rPr>
        <w:t xml:space="preserve">Art. 885.</w:t>
      </w:r>
      <w:r>
        <w:t xml:space="preserve"> </w:t>
      </w:r>
      <w:r>
        <w:t xml:space="preserve">O juiz da execução estabelecerá o preço mínimo, as condições de pagamento e as garantias que poderão ser prestadas pelo arrematante.</w:t>
      </w:r>
    </w:p>
    <w:bookmarkEnd w:id="696"/>
    <w:bookmarkStart w:id="697" w:name="art.-886"/>
    <w:p>
      <w:pPr>
        <w:pStyle w:val="Heading6"/>
        <w:pBdr>
          <w:left w:val="single" w:sz="36" w:space="4" w:color="2E75B6"/>
        </w:pBdr>
        <w:shd w:val="clear" w:color="auto" w:fill="E3EEF9"/>
        <w:spacing w:before="120" w:after="60"/>
        <w:ind w:left="85"/>
      </w:pPr>
      <w:r>
        <w:rPr>
          <w:i w:val="0"/>
          <w:color w:val="1F3A5F"/>
          <w:sz w:val="22"/>
        </w:rPr>
        <w:t xml:space="preserve">Art. 886</w:t>
      </w:r>
    </w:p>
    <w:p>
      <w:pPr>
        <w:pStyle w:val="FirstParagraph"/>
        <w:spacing w:after="60"/>
        <w:jc w:val="both"/>
      </w:pPr>
      <w:r>
        <w:rPr>
          <w:b/>
          <w:bCs/>
        </w:rPr>
        <w:t xml:space="preserve">Art. 886.</w:t>
      </w:r>
      <w:r>
        <w:t xml:space="preserve"> </w:t>
      </w:r>
      <w:r>
        <w:t xml:space="preserve">O leilão será precedido de publicação de edital, que conterá:</w:t>
      </w:r>
    </w:p>
    <w:p>
      <w:pPr>
        <w:pStyle w:val="BodyText"/>
        <w:spacing w:after="60"/>
        <w:jc w:val="both"/>
      </w:pPr>
      <w:r>
        <w:t xml:space="preserve">I - a descrição do bem penhorado, com suas características, e, tratando-se de imóvel, sua situação e suas divisas, com remissão à matrícula e aos registros;</w:t>
      </w:r>
    </w:p>
    <w:p>
      <w:pPr>
        <w:pStyle w:val="BodyText"/>
        <w:spacing w:after="60"/>
        <w:jc w:val="both"/>
      </w:pPr>
      <w:r>
        <w:t xml:space="preserve">II - o valor pelo qual o bem foi avaliado, o preço mínimo pelo qual poderá ser alienado, as condições de pagamento e, se for o caso, a comissão do leiloeiro designado;</w:t>
      </w:r>
    </w:p>
    <w:p>
      <w:pPr>
        <w:pStyle w:val="BodyText"/>
        <w:spacing w:after="60"/>
        <w:jc w:val="both"/>
      </w:pPr>
      <w:r>
        <w:t xml:space="preserve">III - o lugar onde estiverem os móveis, os veículos e os semoventes e, tratando-se de créditos ou direitos, a identificação dos autos do processo em que foram penhorados;</w:t>
      </w:r>
    </w:p>
    <w:p>
      <w:pPr>
        <w:pStyle w:val="BodyText"/>
        <w:spacing w:after="60"/>
        <w:jc w:val="both"/>
      </w:pPr>
      <w:r>
        <w:t xml:space="preserve">IV - o sítio, na rede mundial de computadores, e o período em que se realizará o leilão, salvo se este se der de modo presencial, hipótese em que serão indicados o local, o dia e a hora de sua realização;</w:t>
      </w:r>
    </w:p>
    <w:p>
      <w:pPr>
        <w:pStyle w:val="BodyText"/>
        <w:spacing w:after="60"/>
        <w:jc w:val="both"/>
      </w:pPr>
      <w:r>
        <w:t xml:space="preserve">V - a indicação de local, dia e hora de segundo leilão presencial, para a hipótese de não haver interessado no primeiro;</w:t>
      </w:r>
    </w:p>
    <w:p>
      <w:pPr>
        <w:pStyle w:val="BodyText"/>
        <w:keepNext/>
        <w:spacing w:after="60"/>
        <w:jc w:val="both"/>
      </w:pPr>
      <w:r>
        <w:t xml:space="preserve">VI - menção da existência de ônus, recurso ou processo pendente sobre os bens a serem leiloados.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27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VI — menção a ônus no edital</w:t>
            </w:r>
          </w:p>
        </w:tc>
        <w:tc>
          <w:tcPr>
            <w:tcW w:type="dxa" w:w="1531"/>
          </w:tcPr>
          <w:p>
            <w:pPr>
              <w:pStyle w:val="Compact"/>
              <w:spacing w:line="276" w:lineRule="auto" w:before="40" w:after="40"/>
            </w:pPr>
            <w:r>
              <w:rPr>
                <w:rFonts w:ascii="Liberation Sans Narrow" w:hAnsi="Liberation Sans Narrow"/>
                <w:sz w:val="17"/>
              </w:rPr>
              <w:t xml:space="preserve">STJ, AREsp 2.664.065, Quarta Turma, relator Min. João Otávio de Noronha, julgado em 09/02/2026</w:t>
            </w:r>
          </w:p>
        </w:tc>
        <w:tc>
          <w:tcPr>
            <w:tcW w:type="dxa" w:w="2279"/>
          </w:tcPr>
          <w:p>
            <w:pPr>
              <w:pStyle w:val="Compact"/>
              <w:spacing w:line="276" w:lineRule="auto" w:before="40" w:after="40"/>
            </w:pPr>
            <w:r>
              <w:rPr>
                <w:rFonts w:ascii="Liberation Sans Narrow" w:hAnsi="Liberation Sans Narrow"/>
                <w:sz w:val="17"/>
              </w:rPr>
              <w:t xml:space="preserve">A responsabilidade do arrematante por débitos condominiais pretéritos somente se configura quando há previsão expressa no edital de leilão; ausente a advertência, mantém-se a execução contra o antigo proprietário.</w:t>
            </w:r>
          </w:p>
        </w:tc>
      </w:tr>
    </w:tbl>
    <w:p>
      <w:pPr>
        <w:pStyle w:val="BodyText"/>
        <w:spacing w:after="60"/>
        <w:jc w:val="both"/>
      </w:pPr>
      <w:r>
        <w:t xml:space="preserve">Parágrafo único. No caso de títulos da dívida pública e de títulos negociados em bolsa, constará do edital o valor da última cotação.</w:t>
      </w:r>
    </w:p>
    <w:bookmarkEnd w:id="697"/>
    <w:bookmarkStart w:id="698" w:name="art.-887"/>
    <w:p>
      <w:pPr>
        <w:pStyle w:val="Heading6"/>
        <w:pBdr>
          <w:left w:val="single" w:sz="36" w:space="4" w:color="2E75B6"/>
        </w:pBdr>
        <w:shd w:val="clear" w:color="auto" w:fill="E3EEF9"/>
        <w:spacing w:before="120" w:after="60"/>
        <w:ind w:left="85"/>
      </w:pPr>
      <w:r>
        <w:rPr>
          <w:i w:val="0"/>
          <w:color w:val="1F3A5F"/>
          <w:sz w:val="22"/>
        </w:rPr>
        <w:t xml:space="preserve">Art. 887</w:t>
      </w:r>
    </w:p>
    <w:p>
      <w:pPr>
        <w:pStyle w:val="FirstParagraph"/>
        <w:spacing w:after="60"/>
        <w:jc w:val="both"/>
      </w:pPr>
      <w:r>
        <w:rPr>
          <w:b/>
          <w:bCs/>
        </w:rPr>
        <w:t xml:space="preserve">Art. 887.</w:t>
      </w:r>
      <w:r>
        <w:t xml:space="preserve"> </w:t>
      </w:r>
      <w:r>
        <w:t xml:space="preserve">O leiloeiro público designado adotará providências para a ampla divulgação da alienação.</w:t>
      </w:r>
    </w:p>
    <w:p>
      <w:pPr>
        <w:pStyle w:val="BodyText"/>
        <w:spacing w:after="60"/>
        <w:jc w:val="both"/>
      </w:pPr>
      <w:r>
        <w:t xml:space="preserve">§ 1º A publicação do edital deverá ocorrer pelo menos 5 (cinco) dias antes da data marcada para o leilão.</w:t>
      </w:r>
    </w:p>
    <w:p>
      <w:pPr>
        <w:pStyle w:val="BodyText"/>
        <w:spacing w:after="60"/>
        <w:jc w:val="both"/>
      </w:pPr>
      <w:r>
        <w:t xml:space="preserve">§ 2º O edital será publicado na rede mundial de computadores, em sítio designado pelo juízo da execução, e conterá descrição detalhada e, sempre que possível, ilustrada dos bens, informando expressamente se o leilão se realizará de forma eletrônica ou presencial.</w:t>
      </w:r>
    </w:p>
    <w:p>
      <w:pPr>
        <w:pStyle w:val="BodyText"/>
        <w:spacing w:after="60"/>
        <w:jc w:val="both"/>
      </w:pPr>
      <w:r>
        <w:t xml:space="preserve">§ 3º Não sendo possível a publicação na rede mundial de computadores ou considerando o juiz, em atenção às condições da sede do juízo, que esse modo de divulgação é insuficiente ou inadequado, o edital será afixado em local de costume e publicado, em resumo, pelo menos uma vez em jornal de ampla circulação local.</w:t>
      </w:r>
    </w:p>
    <w:p>
      <w:pPr>
        <w:pStyle w:val="BodyText"/>
        <w:spacing w:after="60"/>
        <w:jc w:val="both"/>
      </w:pPr>
      <w:r>
        <w:t xml:space="preserve">§ 4º Atendendo ao valor dos bens e às condições da sede do juízo, o juiz poderá alterar a forma e a frequência da publicidade na imprensa, mandar publicar o edital em local de ampla circulação de pessoas e divulgar avisos em emissora de rádio ou televisão local, bem como em sítios distintos do indicado no § 2º.</w:t>
      </w:r>
    </w:p>
    <w:p>
      <w:pPr>
        <w:pStyle w:val="BodyText"/>
        <w:spacing w:after="60"/>
        <w:jc w:val="both"/>
      </w:pPr>
      <w:r>
        <w:t xml:space="preserve">§ 5º Os editais de leilão de imóveis e de veículos automotores serão publicados pela imprensa ou por outros meios de divulgação, preferencialmente na seção ou no local reservados à publicidade dos respectivos negócios.</w:t>
      </w:r>
    </w:p>
    <w:p>
      <w:pPr>
        <w:pStyle w:val="BodyText"/>
        <w:spacing w:after="60"/>
        <w:jc w:val="both"/>
      </w:pPr>
      <w:r>
        <w:t xml:space="preserve">§ 6º O juiz poderá determinar a reunião de publicações em listas referentes a mais de uma execução.</w:t>
      </w:r>
    </w:p>
    <w:bookmarkEnd w:id="698"/>
    <w:bookmarkStart w:id="699" w:name="art.-888"/>
    <w:p>
      <w:pPr>
        <w:pStyle w:val="Heading6"/>
        <w:pBdr>
          <w:left w:val="single" w:sz="36" w:space="4" w:color="2E75B6"/>
        </w:pBdr>
        <w:shd w:val="clear" w:color="auto" w:fill="E3EEF9"/>
        <w:spacing w:before="120" w:after="60"/>
        <w:ind w:left="85"/>
      </w:pPr>
      <w:r>
        <w:rPr>
          <w:i w:val="0"/>
          <w:color w:val="1F3A5F"/>
          <w:sz w:val="22"/>
        </w:rPr>
        <w:t xml:space="preserve">Art. 888</w:t>
      </w:r>
    </w:p>
    <w:p>
      <w:pPr>
        <w:pStyle w:val="FirstParagraph"/>
        <w:spacing w:after="60"/>
        <w:jc w:val="both"/>
      </w:pPr>
      <w:r>
        <w:rPr>
          <w:b/>
          <w:bCs/>
        </w:rPr>
        <w:t xml:space="preserve">Art. 888.</w:t>
      </w:r>
      <w:r>
        <w:t xml:space="preserve"> </w:t>
      </w:r>
      <w:r>
        <w:t xml:space="preserve">Não se realizando o leilão por qualquer motivo, o juiz mandará publicar a transferência, observando-se o disposto no art. 887.</w:t>
      </w:r>
    </w:p>
    <w:p>
      <w:pPr>
        <w:pStyle w:val="BodyText"/>
        <w:spacing w:after="60"/>
        <w:jc w:val="both"/>
      </w:pPr>
      <w:r>
        <w:t xml:space="preserve">Parágrafo único. O escrivão, o chefe de secretaria ou o leiloeiro que culposamente der causa à transferência responde pelas despesas da nova publicação, podendo o juiz aplicar-lhe a pena de suspensão por 5 (cinco) dias a 3 (três) meses, em procedimento administrativo regular.</w:t>
      </w:r>
    </w:p>
    <w:bookmarkEnd w:id="699"/>
    <w:bookmarkStart w:id="700" w:name="art.-889"/>
    <w:p>
      <w:pPr>
        <w:pStyle w:val="Heading6"/>
        <w:pBdr>
          <w:left w:val="single" w:sz="36" w:space="4" w:color="2E75B6"/>
        </w:pBdr>
        <w:shd w:val="clear" w:color="auto" w:fill="E3EEF9"/>
        <w:spacing w:before="120" w:after="60"/>
        <w:ind w:left="85"/>
      </w:pPr>
      <w:r>
        <w:rPr>
          <w:i w:val="0"/>
          <w:color w:val="1F3A5F"/>
          <w:sz w:val="22"/>
        </w:rPr>
        <w:t xml:space="preserve">Art. 889</w:t>
      </w:r>
    </w:p>
    <w:p>
      <w:pPr>
        <w:pStyle w:val="FirstParagraph"/>
        <w:spacing w:after="60"/>
        <w:jc w:val="both"/>
      </w:pPr>
      <w:r>
        <w:rPr>
          <w:b/>
          <w:bCs/>
        </w:rPr>
        <w:t xml:space="preserve">Art. 889.</w:t>
      </w:r>
      <w:r>
        <w:t xml:space="preserve"> </w:t>
      </w:r>
      <w:r>
        <w:t xml:space="preserve">Serão cientificados da alienação judicial, com pelo menos 5 (cinco) dias de antecedência:</w:t>
      </w:r>
    </w:p>
    <w:p>
      <w:pPr>
        <w:pStyle w:val="BodyText"/>
        <w:spacing w:after="60"/>
        <w:jc w:val="both"/>
      </w:pPr>
      <w:r>
        <w:t xml:space="preserve">I - o executado, por meio de seu advogado ou, se não tiver procurador constituído nos autos, por carta registrada, mandado, edital ou outro meio idôneo;</w:t>
      </w:r>
    </w:p>
    <w:p>
      <w:pPr>
        <w:pStyle w:val="BodyText"/>
        <w:spacing w:after="60"/>
        <w:jc w:val="both"/>
      </w:pPr>
      <w:r>
        <w:t xml:space="preserve">II - o coproprietário de bem indivisível do qual tenha sido penhorada fração ideal;</w:t>
      </w:r>
    </w:p>
    <w:p>
      <w:pPr>
        <w:pStyle w:val="BodyText"/>
        <w:spacing w:after="60"/>
        <w:jc w:val="both"/>
      </w:pPr>
      <w:r>
        <w:t xml:space="preserve">III - o titular de usufruto, uso, habitação, enfiteuse, direito de superfície, concessão de uso especial para fins de moradia ou concessão de direito real de uso, quando a penhora recair sobre bem gravado com tais direitos reais;</w:t>
      </w:r>
    </w:p>
    <w:p>
      <w:pPr>
        <w:pStyle w:val="BodyText"/>
        <w:spacing w:after="60"/>
        <w:jc w:val="both"/>
      </w:pPr>
      <w:r>
        <w:t xml:space="preserve">IV - o proprietário do terreno submetido ao regime de direito de superfície, enfiteuse, concessão de uso especial para fins de moradia ou concessão de direito real de uso, quando a penhora recair sobre tais direitos reais;</w:t>
      </w:r>
    </w:p>
    <w:p>
      <w:pPr>
        <w:pStyle w:val="BodyText"/>
        <w:spacing w:after="60"/>
        <w:jc w:val="both"/>
      </w:pPr>
      <w:r>
        <w:t xml:space="preserve">V - o credor pignoratício, hipotecário, anticrético, fiduciário ou com penhora anteriormente averbada, quando a penhora recair sobre bens com tais gravames, caso não seja o credor, de qualquer modo, parte na execução;</w:t>
      </w:r>
    </w:p>
    <w:p>
      <w:pPr>
        <w:pStyle w:val="BodyText"/>
        <w:spacing w:after="60"/>
        <w:jc w:val="both"/>
      </w:pPr>
      <w:r>
        <w:t xml:space="preserve">VI - o promitente comprador, quando a penhora recair sobre bem em relação ao qual haja promessa de compra e venda registrada;</w:t>
      </w:r>
    </w:p>
    <w:p>
      <w:pPr>
        <w:pStyle w:val="BodyText"/>
        <w:spacing w:after="60"/>
        <w:jc w:val="both"/>
      </w:pPr>
      <w:r>
        <w:t xml:space="preserve">VII - o promitente vendedor, quando a penhora recair sobre direito aquisitivo derivado de promessa de compra e venda registrada;</w:t>
      </w:r>
    </w:p>
    <w:p>
      <w:pPr>
        <w:pStyle w:val="BodyText"/>
        <w:spacing w:after="60"/>
        <w:jc w:val="both"/>
      </w:pPr>
      <w:r>
        <w:t xml:space="preserve">VIII - a União, o Estado e o Município, no caso de alienação de bem tombado.</w:t>
      </w:r>
    </w:p>
    <w:p>
      <w:pPr>
        <w:pStyle w:val="BodyText"/>
        <w:spacing w:after="60"/>
        <w:jc w:val="both"/>
      </w:pPr>
      <w:r>
        <w:t xml:space="preserve">Parágrafo único. Se o executado for revel e não tiver advogado constituído, não constando dos autos seu endereço atual ou, ainda, não sendo ele encontrado no endereço constante do processo, a intimação considerar-se-á feita por meio do próprio edital de leilão.</w:t>
      </w:r>
    </w:p>
    <w:bookmarkEnd w:id="700"/>
    <w:bookmarkStart w:id="701" w:name="art.-890"/>
    <w:p>
      <w:pPr>
        <w:pStyle w:val="Heading6"/>
        <w:pBdr>
          <w:left w:val="single" w:sz="36" w:space="4" w:color="2E75B6"/>
        </w:pBdr>
        <w:shd w:val="clear" w:color="auto" w:fill="E3EEF9"/>
        <w:spacing w:before="120" w:after="60"/>
        <w:ind w:left="85"/>
      </w:pPr>
      <w:r>
        <w:rPr>
          <w:i w:val="0"/>
          <w:color w:val="1F3A5F"/>
          <w:sz w:val="22"/>
        </w:rPr>
        <w:t xml:space="preserve">Art. 890</w:t>
      </w:r>
    </w:p>
    <w:p>
      <w:pPr>
        <w:pStyle w:val="FirstParagraph"/>
        <w:spacing w:after="60"/>
        <w:jc w:val="both"/>
      </w:pPr>
      <w:r>
        <w:rPr>
          <w:b/>
          <w:bCs/>
        </w:rPr>
        <w:t xml:space="preserve">Art. 890.</w:t>
      </w:r>
      <w:r>
        <w:t xml:space="preserve"> </w:t>
      </w:r>
      <w:r>
        <w:t xml:space="preserve">Pode oferecer lance quem estiver na livre administração de seus bens, com exceção:</w:t>
      </w:r>
    </w:p>
    <w:p>
      <w:pPr>
        <w:pStyle w:val="BodyText"/>
        <w:spacing w:after="60"/>
        <w:jc w:val="both"/>
      </w:pPr>
      <w:r>
        <w:t xml:space="preserve">I - dos tutores, dos curadores, dos testamenteiros, dos administradores ou dos liquidantes, quanto aos bens confiados à sua guarda e à sua responsabilidade;</w:t>
      </w:r>
    </w:p>
    <w:p>
      <w:pPr>
        <w:pStyle w:val="BodyText"/>
        <w:spacing w:after="60"/>
        <w:jc w:val="both"/>
      </w:pPr>
      <w:r>
        <w:t xml:space="preserve">II - dos mandatários, quanto aos bens de cuja administração ou alienação estejam encarregados;</w:t>
      </w:r>
    </w:p>
    <w:p>
      <w:pPr>
        <w:pStyle w:val="BodyText"/>
        <w:spacing w:after="60"/>
        <w:jc w:val="both"/>
      </w:pPr>
      <w:r>
        <w:t xml:space="preserve">III - do juiz, do membro do Ministério Público e da Defensoria Pública, do escrivão, do chefe de secretaria e dos demais servidores e auxiliares da justiça, em relação aos bens e direitos objeto de alienação na localidade onde servirem ou a que se estender a sua autoridade;</w:t>
      </w:r>
    </w:p>
    <w:p>
      <w:pPr>
        <w:pStyle w:val="BodyText"/>
        <w:spacing w:after="60"/>
        <w:jc w:val="both"/>
      </w:pPr>
      <w:r>
        <w:t xml:space="preserve">IV - dos servidores públicos em geral, quanto aos bens ou aos direitos da pessoa jurídica a que servirem ou que estejam sob sua administração direta ou indireta;</w:t>
      </w:r>
    </w:p>
    <w:p>
      <w:pPr>
        <w:pStyle w:val="BodyText"/>
        <w:spacing w:after="60"/>
        <w:jc w:val="both"/>
      </w:pPr>
      <w:r>
        <w:t xml:space="preserve">V - dos leiloeiros e seus prepostos, quanto aos bens de cuja venda estejam encarregados;</w:t>
      </w:r>
    </w:p>
    <w:p>
      <w:pPr>
        <w:pStyle w:val="BodyText"/>
        <w:spacing w:after="60"/>
        <w:jc w:val="both"/>
      </w:pPr>
      <w:r>
        <w:t xml:space="preserve">VI - dos advogados de qualquer das partes.</w:t>
      </w:r>
    </w:p>
    <w:bookmarkEnd w:id="701"/>
    <w:bookmarkStart w:id="702" w:name="art.-891"/>
    <w:p>
      <w:pPr>
        <w:pStyle w:val="Heading6"/>
        <w:pBdr>
          <w:left w:val="single" w:sz="36" w:space="4" w:color="2E75B6"/>
        </w:pBdr>
        <w:shd w:val="clear" w:color="auto" w:fill="E3EEF9"/>
        <w:spacing w:before="120" w:after="60"/>
        <w:ind w:left="85"/>
      </w:pPr>
      <w:r>
        <w:rPr>
          <w:i w:val="0"/>
          <w:color w:val="1F3A5F"/>
          <w:sz w:val="22"/>
        </w:rPr>
        <w:t xml:space="preserve">Art. 891</w:t>
      </w:r>
    </w:p>
    <w:p>
      <w:pPr>
        <w:pStyle w:val="FirstParagraph"/>
        <w:spacing w:after="60"/>
        <w:jc w:val="both"/>
      </w:pPr>
      <w:r>
        <w:rPr>
          <w:b/>
          <w:bCs/>
        </w:rPr>
        <w:t xml:space="preserve">Art. 891.</w:t>
      </w:r>
      <w:r>
        <w:t xml:space="preserve"> </w:t>
      </w:r>
      <w:r>
        <w:t xml:space="preserve">Não será aceito lance que ofereça preço vil.</w:t>
      </w:r>
    </w:p>
    <w:p>
      <w:pPr>
        <w:pStyle w:val="BodyText"/>
        <w:spacing w:after="60"/>
        <w:jc w:val="both"/>
      </w:pPr>
      <w:r>
        <w:t xml:space="preserve">Parágrafo único. Considera-se vil o preço inferior ao mínimo estipulado pelo juiz e constante do edital, e, não tendo sido fixado preço mínimo, considera-se vil o preço inferior a cinquenta por cento do valor da avaliação.</w:t>
      </w:r>
    </w:p>
    <w:bookmarkEnd w:id="702"/>
    <w:bookmarkStart w:id="703" w:name="art.-892"/>
    <w:p>
      <w:pPr>
        <w:pStyle w:val="Heading6"/>
        <w:pBdr>
          <w:left w:val="single" w:sz="36" w:space="4" w:color="2E75B6"/>
        </w:pBdr>
        <w:shd w:val="clear" w:color="auto" w:fill="E3EEF9"/>
        <w:spacing w:before="120" w:after="60"/>
        <w:ind w:left="85"/>
      </w:pPr>
      <w:r>
        <w:rPr>
          <w:i w:val="0"/>
          <w:color w:val="1F3A5F"/>
          <w:sz w:val="22"/>
        </w:rPr>
        <w:t xml:space="preserve">Art. 892</w:t>
      </w:r>
    </w:p>
    <w:p>
      <w:pPr>
        <w:pStyle w:val="FirstParagraph"/>
        <w:spacing w:after="60"/>
        <w:jc w:val="both"/>
      </w:pPr>
      <w:r>
        <w:rPr>
          <w:b/>
          <w:bCs/>
        </w:rPr>
        <w:t xml:space="preserve">Art. 892.</w:t>
      </w:r>
      <w:r>
        <w:t xml:space="preserve"> </w:t>
      </w:r>
      <w:r>
        <w:t xml:space="preserve">Salvo pronunciamento judicial em sentido diverso, o pagamento deverá ser realizado de imediato pelo arrematante, por depósito judicial ou por meio eletrônico.</w:t>
      </w:r>
    </w:p>
    <w:p>
      <w:pPr>
        <w:pStyle w:val="BodyText"/>
        <w:spacing w:after="60"/>
        <w:jc w:val="both"/>
      </w:pPr>
      <w:r>
        <w:t xml:space="preserve">§ 1º Se o exequente arrematar os bens e for o único credor, não estará obrigado a exibir o preço, mas, se o valor dos bens exceder ao seu crédito, depositará, dentro de 3 (três) dias, a diferença, sob pena de tornar-se sem efeito a arrematação, e, nesse caso, realizar-se-á novo leilão, à custa do exequente.</w:t>
      </w:r>
    </w:p>
    <w:p>
      <w:pPr>
        <w:pStyle w:val="BodyText"/>
        <w:spacing w:after="60"/>
        <w:jc w:val="both"/>
      </w:pPr>
      <w:r>
        <w:t xml:space="preserve">§ 2º Se houver mais de um pretendente, proceder-se-á entre eles à licitação, e, no caso de igualdade de oferta, terá preferência o cônjuge, o companheiro, o descendente ou o ascendente do executado, nessa ordem.</w:t>
      </w:r>
    </w:p>
    <w:p>
      <w:pPr>
        <w:pStyle w:val="BodyText"/>
        <w:spacing w:after="60"/>
        <w:jc w:val="both"/>
      </w:pPr>
      <w:r>
        <w:t xml:space="preserve">§ 3º No caso de leilão de bem tombado, a União, os Estados e os Municípios terão, nessa ordem, o direito de preferência na arrematação, em igualdade de oferta.</w:t>
      </w:r>
    </w:p>
    <w:bookmarkEnd w:id="703"/>
    <w:bookmarkStart w:id="704" w:name="art.-893"/>
    <w:p>
      <w:pPr>
        <w:pStyle w:val="Heading6"/>
        <w:pBdr>
          <w:left w:val="single" w:sz="36" w:space="4" w:color="2E75B6"/>
        </w:pBdr>
        <w:shd w:val="clear" w:color="auto" w:fill="E3EEF9"/>
        <w:spacing w:before="120" w:after="60"/>
        <w:ind w:left="85"/>
      </w:pPr>
      <w:r>
        <w:rPr>
          <w:i w:val="0"/>
          <w:color w:val="1F3A5F"/>
          <w:sz w:val="22"/>
        </w:rPr>
        <w:t xml:space="preserve">Art. 893</w:t>
      </w:r>
    </w:p>
    <w:p>
      <w:pPr>
        <w:pStyle w:val="FirstParagraph"/>
        <w:spacing w:after="60"/>
        <w:jc w:val="both"/>
      </w:pPr>
      <w:r>
        <w:rPr>
          <w:b/>
          <w:bCs/>
        </w:rPr>
        <w:t xml:space="preserve">Art. 893.</w:t>
      </w:r>
      <w:r>
        <w:t xml:space="preserve"> </w:t>
      </w:r>
      <w:r>
        <w:t xml:space="preserve">Se o leilão for de diversos bens e houver mais de um lançador, terá preferência aquele que se propuser a arrematá-los todos, em conjunto, oferecendo, para os bens que não tiverem lance, preço igual ao da avaliação e, para os demais, preço igual ao do maior lance que, na tentativa de arrematação individualizada, tenha sido oferecido para eles.</w:t>
      </w:r>
    </w:p>
    <w:bookmarkEnd w:id="704"/>
    <w:bookmarkStart w:id="705" w:name="art.-894"/>
    <w:p>
      <w:pPr>
        <w:pStyle w:val="Heading6"/>
        <w:pBdr>
          <w:left w:val="single" w:sz="36" w:space="4" w:color="2E75B6"/>
        </w:pBdr>
        <w:shd w:val="clear" w:color="auto" w:fill="E3EEF9"/>
        <w:spacing w:before="120" w:after="60"/>
        <w:ind w:left="85"/>
      </w:pPr>
      <w:r>
        <w:rPr>
          <w:i w:val="0"/>
          <w:color w:val="1F3A5F"/>
          <w:sz w:val="22"/>
        </w:rPr>
        <w:t xml:space="preserve">Art. 894</w:t>
      </w:r>
    </w:p>
    <w:p>
      <w:pPr>
        <w:pStyle w:val="FirstParagraph"/>
        <w:spacing w:after="60"/>
        <w:jc w:val="both"/>
      </w:pPr>
      <w:r>
        <w:rPr>
          <w:b/>
          <w:bCs/>
        </w:rPr>
        <w:t xml:space="preserve">Art. 894.</w:t>
      </w:r>
      <w:r>
        <w:t xml:space="preserve"> </w:t>
      </w:r>
      <w:r>
        <w:t xml:space="preserve">Quando o imóvel admitir cômoda divisão, o juiz, a requerimento do executado, ordenará a alienação judicial de parte dele, desde que suficiente para o pagamento do exequente e para a satisfação das despesas da execução.</w:t>
      </w:r>
    </w:p>
    <w:p>
      <w:pPr>
        <w:pStyle w:val="BodyText"/>
        <w:spacing w:after="60"/>
        <w:jc w:val="both"/>
      </w:pPr>
      <w:r>
        <w:t xml:space="preserve">§ 1º Não havendo lançador, far-se-á a alienação do imóvel em sua integridade.</w:t>
      </w:r>
    </w:p>
    <w:p>
      <w:pPr>
        <w:pStyle w:val="BodyText"/>
        <w:spacing w:after="60"/>
        <w:jc w:val="both"/>
      </w:pPr>
      <w:r>
        <w:t xml:space="preserve">§ 2º A alienação por partes deverá ser requerida a tempo de permitir a avaliação das glebas destacadas e sua inclusão no edital, e, nesse caso, caberá ao executado instruir o requerimento com planta e memorial descritivo subscritos por profissional habilitado.</w:t>
      </w:r>
    </w:p>
    <w:bookmarkEnd w:id="705"/>
    <w:bookmarkStart w:id="706" w:name="art.-895"/>
    <w:p>
      <w:pPr>
        <w:pStyle w:val="Heading6"/>
        <w:pBdr>
          <w:left w:val="single" w:sz="36" w:space="4" w:color="2E75B6"/>
        </w:pBdr>
        <w:shd w:val="clear" w:color="auto" w:fill="E3EEF9"/>
        <w:spacing w:before="120" w:after="60"/>
        <w:ind w:left="85"/>
      </w:pPr>
      <w:r>
        <w:rPr>
          <w:i w:val="0"/>
          <w:color w:val="1F3A5F"/>
          <w:sz w:val="22"/>
        </w:rPr>
        <w:t xml:space="preserve">Art. 895</w:t>
      </w:r>
    </w:p>
    <w:p>
      <w:pPr>
        <w:pStyle w:val="FirstParagraph"/>
        <w:spacing w:after="60"/>
        <w:jc w:val="both"/>
      </w:pPr>
      <w:r>
        <w:rPr>
          <w:b/>
          <w:bCs/>
        </w:rPr>
        <w:t xml:space="preserve">Art. 895.</w:t>
      </w:r>
      <w:r>
        <w:t xml:space="preserve"> </w:t>
      </w:r>
      <w:r>
        <w:t xml:space="preserve">O interessado em adquirir o bem penhorado em prestações poderá apresentar, por escrito:</w:t>
      </w:r>
    </w:p>
    <w:p>
      <w:pPr>
        <w:pStyle w:val="BodyText"/>
        <w:spacing w:after="60"/>
        <w:jc w:val="both"/>
      </w:pPr>
      <w:r>
        <w:t xml:space="preserve">I - até o início do primeiro leilão, proposta de aquisição do bem por valor não inferior ao da avaliação;</w:t>
      </w:r>
    </w:p>
    <w:p>
      <w:pPr>
        <w:pStyle w:val="BodyText"/>
        <w:keepNext/>
        <w:spacing w:after="60"/>
        <w:jc w:val="both"/>
      </w:pPr>
      <w:r>
        <w:t xml:space="preserve">II - até o início do segundo leilão, proposta de aquisição do bem por valor que não seja considerado vil.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871"/>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871"/>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II — proposta parcelada até o segundo leilão</w:t>
            </w:r>
          </w:p>
        </w:tc>
        <w:tc>
          <w:tcPr>
            <w:tcW w:type="dxa" w:w="1531"/>
          </w:tcPr>
          <w:p>
            <w:pPr>
              <w:pStyle w:val="Compact"/>
              <w:spacing w:line="276" w:lineRule="auto" w:before="40" w:after="40"/>
            </w:pPr>
            <w:r>
              <w:rPr>
                <w:rFonts w:ascii="Liberation Sans Narrow" w:hAnsi="Liberation Sans Narrow"/>
                <w:sz w:val="17"/>
              </w:rPr>
              <w:t xml:space="preserve">STJ, AREsp 2.498.470, Quarta Turma, relator Min. Raul Araújo, julgado em 04/05/2026</w:t>
            </w:r>
          </w:p>
        </w:tc>
        <w:tc>
          <w:tcPr>
            <w:tcW w:type="dxa" w:w="1871"/>
          </w:tcPr>
          <w:p>
            <w:pPr>
              <w:pStyle w:val="Compact"/>
              <w:spacing w:line="276" w:lineRule="auto" w:before="40" w:after="40"/>
            </w:pPr>
            <w:r>
              <w:rPr>
                <w:rFonts w:ascii="Liberation Sans Narrow" w:hAnsi="Liberation Sans Narrow"/>
                <w:sz w:val="17"/>
              </w:rPr>
              <w:t xml:space="preserve">É válida a proposta de arrematação parcelada apresentada durante o curso da segunda praça, antes do encerramento do leilão eletrônico, quando inexistentes lances à vista, admitindo-se a mitigação do limite temporal do art. 895, II, do CPC, à luz da efetividade da execução e da ausência de prejuízo.</w:t>
            </w:r>
          </w:p>
        </w:tc>
      </w:tr>
    </w:tbl>
    <w:p>
      <w:pPr>
        <w:pStyle w:val="BodyText"/>
        <w:spacing w:after="60"/>
        <w:jc w:val="both"/>
      </w:pPr>
      <w:r>
        <w:t xml:space="preserve">§ 1º A proposta conterá, em qualquer hipótese, oferta de pagamento de pelo menos vinte e cinco por cento do valor do lance à vista e o restante parcelado em até 30 (trinta) meses, garantido por caução idônea, quando se tratar de móveis, e por hipoteca do próprio bem, quando se tratar de imóveis.</w:t>
      </w:r>
    </w:p>
    <w:p>
      <w:pPr>
        <w:pStyle w:val="BodyText"/>
        <w:spacing w:after="60"/>
        <w:jc w:val="both"/>
      </w:pPr>
      <w:r>
        <w:t xml:space="preserve">§ 2º As propostas para aquisição em prestações indicarão o prazo, a modalidade, o indexador de correção monetária e as condições de pagamento do saldo.</w:t>
      </w:r>
    </w:p>
    <w:p>
      <w:pPr>
        <w:pStyle w:val="BodyText"/>
        <w:spacing w:after="60"/>
        <w:jc w:val="both"/>
      </w:pPr>
      <w:r>
        <w:t xml:space="preserve">§ 3º (VETADO).</w:t>
      </w:r>
    </w:p>
    <w:p>
      <w:pPr>
        <w:pStyle w:val="BodyText"/>
        <w:spacing w:after="60"/>
        <w:jc w:val="both"/>
      </w:pPr>
      <w:r>
        <w:t xml:space="preserve">§ 4º No caso de atraso no pagamento de qualquer das prestações, incidirá multa de dez por cento sobre a soma da parcela inadimplida com as parcelas vincendas.</w:t>
      </w:r>
    </w:p>
    <w:p>
      <w:pPr>
        <w:pStyle w:val="BodyText"/>
        <w:spacing w:after="60"/>
        <w:jc w:val="both"/>
      </w:pPr>
      <w:r>
        <w:t xml:space="preserve">§ 5º O inadimplemento autoriza o exequente a pedir a resolução da arrematação ou promover, em face do arrematante, a execução do valor devido, devendo ambos os pedidos ser formulados nos autos da execução em que se deu a arrematação.</w:t>
      </w:r>
    </w:p>
    <w:p>
      <w:pPr>
        <w:pStyle w:val="BodyText"/>
        <w:spacing w:after="60"/>
        <w:jc w:val="both"/>
      </w:pPr>
      <w:r>
        <w:t xml:space="preserve">§ 6º A apresentação da proposta prevista neste artigo não suspende o leilão.</w:t>
      </w:r>
    </w:p>
    <w:p>
      <w:pPr>
        <w:pStyle w:val="BodyText"/>
        <w:spacing w:after="60"/>
        <w:jc w:val="both"/>
      </w:pPr>
      <w:r>
        <w:t xml:space="preserve">§ 7º A proposta de pagamento do lance à vista sempre prevalecerá sobre as propostas de pagamento parcelado.</w:t>
      </w:r>
    </w:p>
    <w:p>
      <w:pPr>
        <w:pStyle w:val="BodyText"/>
        <w:spacing w:after="60"/>
        <w:jc w:val="both"/>
      </w:pPr>
      <w:r>
        <w:t xml:space="preserve">§ 8º Havendo mais de uma proposta de pagamento parcelado:</w:t>
      </w:r>
    </w:p>
    <w:p>
      <w:pPr>
        <w:pStyle w:val="BodyText"/>
        <w:spacing w:after="60"/>
        <w:jc w:val="both"/>
      </w:pPr>
      <w:r>
        <w:t xml:space="preserve">I - em diferentes condições, o juiz decidirá pela mais vantajosa, assim compreendida, sempre, a de maior valor;</w:t>
      </w:r>
    </w:p>
    <w:p>
      <w:pPr>
        <w:pStyle w:val="BodyText"/>
        <w:spacing w:after="60"/>
        <w:jc w:val="both"/>
      </w:pPr>
      <w:r>
        <w:t xml:space="preserve">II - em iguais condições, o juiz decidirá pela formulada em primeiro lugar.</w:t>
      </w:r>
    </w:p>
    <w:p>
      <w:pPr>
        <w:pStyle w:val="BodyText"/>
        <w:spacing w:after="60"/>
        <w:jc w:val="both"/>
      </w:pPr>
      <w:r>
        <w:t xml:space="preserve">§ 9º No caso de arrematação a prazo, os pagamentos feitos pelo arrematante pertencerão ao exequente até o limite de seu crédito, e os subsequentes, ao executado.</w:t>
      </w:r>
    </w:p>
    <w:bookmarkEnd w:id="706"/>
    <w:bookmarkStart w:id="707" w:name="art.-896"/>
    <w:p>
      <w:pPr>
        <w:pStyle w:val="Heading6"/>
        <w:pBdr>
          <w:left w:val="single" w:sz="36" w:space="4" w:color="2E75B6"/>
        </w:pBdr>
        <w:shd w:val="clear" w:color="auto" w:fill="E3EEF9"/>
        <w:spacing w:before="120" w:after="60"/>
        <w:ind w:left="85"/>
      </w:pPr>
      <w:r>
        <w:rPr>
          <w:i w:val="0"/>
          <w:color w:val="1F3A5F"/>
          <w:sz w:val="22"/>
        </w:rPr>
        <w:t xml:space="preserve">Art. 896</w:t>
      </w:r>
    </w:p>
    <w:p>
      <w:pPr>
        <w:pStyle w:val="FirstParagraph"/>
        <w:spacing w:after="60"/>
        <w:jc w:val="both"/>
      </w:pPr>
      <w:r>
        <w:rPr>
          <w:b/>
          <w:bCs/>
        </w:rPr>
        <w:t xml:space="preserve">Art. 896.</w:t>
      </w:r>
      <w:r>
        <w:t xml:space="preserve"> </w:t>
      </w:r>
      <w:r>
        <w:t xml:space="preserve">Quando o imóvel de incapaz não alcançar em leilão pelo menos oitenta por cento do valor da avaliação, o juiz o confiará à guarda e à administração de depositário idôneo, adiando a alienação por prazo não superior a 1 (um) ano.</w:t>
      </w:r>
    </w:p>
    <w:p>
      <w:pPr>
        <w:pStyle w:val="BodyText"/>
        <w:spacing w:after="60"/>
        <w:jc w:val="both"/>
      </w:pPr>
      <w:r>
        <w:t xml:space="preserve">§ 1º Se, durante o adiamento, algum pretendente assegurar, mediante caução idônea, o preço da avaliação, o juiz ordenará a alienação em leilão.</w:t>
      </w:r>
    </w:p>
    <w:p>
      <w:pPr>
        <w:pStyle w:val="BodyText"/>
        <w:spacing w:after="60"/>
        <w:jc w:val="both"/>
      </w:pPr>
      <w:r>
        <w:t xml:space="preserve">§ 2º Se o pretendente à arrematação se arrepender, o juiz impor-lhe-á multa de vinte por cento sobre o valor da avaliação, em benefício do incapaz, valendo a decisão como título executivo.</w:t>
      </w:r>
    </w:p>
    <w:p>
      <w:pPr>
        <w:pStyle w:val="BodyText"/>
        <w:spacing w:after="60"/>
        <w:jc w:val="both"/>
      </w:pPr>
      <w:r>
        <w:t xml:space="preserve">§ 3º Sem prejuízo do disposto nos §§ 1º e 2º, o juiz poderá autorizar a locação do imóvel no prazo do adiamento.</w:t>
      </w:r>
    </w:p>
    <w:p>
      <w:pPr>
        <w:pStyle w:val="BodyText"/>
        <w:spacing w:after="60"/>
        <w:jc w:val="both"/>
      </w:pPr>
      <w:r>
        <w:t xml:space="preserve">§ 4º Findo o prazo do adiamento, o imóvel será submetido a novo leilão.</w:t>
      </w:r>
    </w:p>
    <w:bookmarkEnd w:id="707"/>
    <w:bookmarkStart w:id="708" w:name="art.-897"/>
    <w:p>
      <w:pPr>
        <w:pStyle w:val="Heading6"/>
        <w:pBdr>
          <w:left w:val="single" w:sz="36" w:space="4" w:color="2E75B6"/>
        </w:pBdr>
        <w:shd w:val="clear" w:color="auto" w:fill="E3EEF9"/>
        <w:spacing w:before="120" w:after="60"/>
        <w:ind w:left="85"/>
      </w:pPr>
      <w:r>
        <w:rPr>
          <w:i w:val="0"/>
          <w:color w:val="1F3A5F"/>
          <w:sz w:val="22"/>
        </w:rPr>
        <w:t xml:space="preserve">Art. 897</w:t>
      </w:r>
    </w:p>
    <w:p>
      <w:pPr>
        <w:pStyle w:val="FirstParagraph"/>
        <w:spacing w:after="60"/>
        <w:jc w:val="both"/>
      </w:pPr>
      <w:r>
        <w:rPr>
          <w:b/>
          <w:bCs/>
        </w:rPr>
        <w:t xml:space="preserve">Art. 897.</w:t>
      </w:r>
      <w:r>
        <w:t xml:space="preserve"> </w:t>
      </w:r>
      <w:r>
        <w:t xml:space="preserve">Se o arrematante ou seu fiador não pagar o preço no prazo estabelecido, o juiz impor-lhe-á, em favor do exequente, a perda da caução, voltando os bens a novo leilão, do qual não serão admitidos a participar o arrematante e o fiador remissos.</w:t>
      </w:r>
    </w:p>
    <w:bookmarkEnd w:id="708"/>
    <w:bookmarkStart w:id="709" w:name="art.-898"/>
    <w:p>
      <w:pPr>
        <w:pStyle w:val="Heading6"/>
        <w:pBdr>
          <w:left w:val="single" w:sz="36" w:space="4" w:color="2E75B6"/>
        </w:pBdr>
        <w:shd w:val="clear" w:color="auto" w:fill="E3EEF9"/>
        <w:spacing w:before="120" w:after="60"/>
        <w:ind w:left="85"/>
      </w:pPr>
      <w:r>
        <w:rPr>
          <w:i w:val="0"/>
          <w:color w:val="1F3A5F"/>
          <w:sz w:val="22"/>
        </w:rPr>
        <w:t xml:space="preserve">Art. 898</w:t>
      </w:r>
    </w:p>
    <w:p>
      <w:pPr>
        <w:pStyle w:val="FirstParagraph"/>
        <w:spacing w:after="60"/>
        <w:jc w:val="both"/>
      </w:pPr>
      <w:r>
        <w:rPr>
          <w:b/>
          <w:bCs/>
        </w:rPr>
        <w:t xml:space="preserve">Art. 898.</w:t>
      </w:r>
      <w:r>
        <w:t xml:space="preserve"> </w:t>
      </w:r>
      <w:r>
        <w:t xml:space="preserve">O fiador do arrematante que pagar o valor do lance e a multa poderá requerer que a arrematação lhe seja transferida.</w:t>
      </w:r>
    </w:p>
    <w:bookmarkEnd w:id="709"/>
    <w:bookmarkStart w:id="710" w:name="art.-899"/>
    <w:p>
      <w:pPr>
        <w:pStyle w:val="Heading6"/>
        <w:pBdr>
          <w:left w:val="single" w:sz="36" w:space="4" w:color="2E75B6"/>
        </w:pBdr>
        <w:shd w:val="clear" w:color="auto" w:fill="E3EEF9"/>
        <w:spacing w:before="120" w:after="60"/>
        <w:ind w:left="85"/>
      </w:pPr>
      <w:r>
        <w:rPr>
          <w:i w:val="0"/>
          <w:color w:val="1F3A5F"/>
          <w:sz w:val="22"/>
        </w:rPr>
        <w:t xml:space="preserve">Art. 899</w:t>
      </w:r>
    </w:p>
    <w:p>
      <w:pPr>
        <w:pStyle w:val="FirstParagraph"/>
        <w:spacing w:after="60"/>
        <w:jc w:val="both"/>
      </w:pPr>
      <w:r>
        <w:rPr>
          <w:b/>
          <w:bCs/>
        </w:rPr>
        <w:t xml:space="preserve">Art. 899.</w:t>
      </w:r>
      <w:r>
        <w:t xml:space="preserve"> </w:t>
      </w:r>
      <w:r>
        <w:t xml:space="preserve">Será suspensa a arrematação logo que o produto da alienação dos bens for suficiente para o pagamento do credor e para a satisfação das despesas da execução.</w:t>
      </w:r>
    </w:p>
    <w:bookmarkEnd w:id="710"/>
    <w:bookmarkStart w:id="711" w:name="art.-900"/>
    <w:p>
      <w:pPr>
        <w:pStyle w:val="Heading6"/>
        <w:pBdr>
          <w:left w:val="single" w:sz="36" w:space="4" w:color="2E75B6"/>
        </w:pBdr>
        <w:shd w:val="clear" w:color="auto" w:fill="E3EEF9"/>
        <w:spacing w:before="120" w:after="60"/>
        <w:ind w:left="85"/>
      </w:pPr>
      <w:r>
        <w:rPr>
          <w:i w:val="0"/>
          <w:color w:val="1F3A5F"/>
          <w:sz w:val="22"/>
        </w:rPr>
        <w:t xml:space="preserve">Art. 900</w:t>
      </w:r>
    </w:p>
    <w:p>
      <w:pPr>
        <w:pStyle w:val="FirstParagraph"/>
        <w:spacing w:after="60"/>
        <w:jc w:val="both"/>
      </w:pPr>
      <w:r>
        <w:rPr>
          <w:b/>
          <w:bCs/>
        </w:rPr>
        <w:t xml:space="preserve">Art. 900.</w:t>
      </w:r>
      <w:r>
        <w:t xml:space="preserve"> </w:t>
      </w:r>
      <w:r>
        <w:t xml:space="preserve">O leilão prosseguirá no dia útil imediato, à mesma hora em que teve início, independentemente de novo edital, se for ultrapassado o horário de expediente forense.</w:t>
      </w:r>
    </w:p>
    <w:bookmarkEnd w:id="711"/>
    <w:bookmarkStart w:id="712" w:name="art.-901"/>
    <w:p>
      <w:pPr>
        <w:pStyle w:val="Heading6"/>
        <w:pBdr>
          <w:left w:val="single" w:sz="36" w:space="4" w:color="2E75B6"/>
        </w:pBdr>
        <w:shd w:val="clear" w:color="auto" w:fill="E3EEF9"/>
        <w:spacing w:before="120" w:after="60"/>
        <w:ind w:left="85"/>
      </w:pPr>
      <w:r>
        <w:rPr>
          <w:i w:val="0"/>
          <w:color w:val="1F3A5F"/>
          <w:sz w:val="22"/>
        </w:rPr>
        <w:t xml:space="preserve">Art. 901</w:t>
      </w:r>
    </w:p>
    <w:p>
      <w:pPr>
        <w:pStyle w:val="FirstParagraph"/>
        <w:spacing w:after="60"/>
        <w:jc w:val="both"/>
      </w:pPr>
      <w:r>
        <w:rPr>
          <w:b/>
          <w:bCs/>
        </w:rPr>
        <w:t xml:space="preserve">Art. 901.</w:t>
      </w:r>
      <w:r>
        <w:t xml:space="preserve"> </w:t>
      </w:r>
      <w:r>
        <w:t xml:space="preserve">A arrematação constará de auto que será lavrado de imediato e poderá abranger bens penhorados em mais de uma execução, nele mencionadas as condições nas quais foi alienado o bem.</w:t>
      </w:r>
    </w:p>
    <w:p>
      <w:pPr>
        <w:pStyle w:val="BodyText"/>
        <w:spacing w:after="60"/>
        <w:jc w:val="both"/>
      </w:pPr>
      <w:r>
        <w:t xml:space="preserve">§ 1º A ordem de entrega do bem móvel ou a carta de arrematação do bem imóvel, com o respectivo mandado de imissão na posse, será expedida depois de efetuado o depósito ou prestadas as garantias pelo arrematante, bem como realizado o pagamento da comissão do leiloeiro e das demais despesas da execução.</w:t>
      </w:r>
    </w:p>
    <w:p>
      <w:pPr>
        <w:pStyle w:val="BodyText"/>
        <w:spacing w:after="60"/>
        <w:jc w:val="both"/>
      </w:pPr>
      <w:r>
        <w:t xml:space="preserve">§ 2º A carta de arrematação conterá a descrição do imóvel, com remissão à sua matrícula ou individuação e aos seus registros, a cópia do auto de arrematação e a prova de pagamento do imposto de transmissão, além da indicação da existência de eventual ônus real ou gravame.</w:t>
      </w:r>
    </w:p>
    <w:bookmarkEnd w:id="712"/>
    <w:bookmarkStart w:id="713" w:name="art.-902"/>
    <w:p>
      <w:pPr>
        <w:pStyle w:val="Heading6"/>
        <w:pBdr>
          <w:left w:val="single" w:sz="36" w:space="4" w:color="2E75B6"/>
        </w:pBdr>
        <w:shd w:val="clear" w:color="auto" w:fill="E3EEF9"/>
        <w:spacing w:before="120" w:after="60"/>
        <w:ind w:left="85"/>
      </w:pPr>
      <w:r>
        <w:rPr>
          <w:i w:val="0"/>
          <w:color w:val="1F3A5F"/>
          <w:sz w:val="22"/>
        </w:rPr>
        <w:t xml:space="preserve">Art. 902</w:t>
      </w:r>
    </w:p>
    <w:p>
      <w:pPr>
        <w:pStyle w:val="FirstParagraph"/>
        <w:spacing w:after="60"/>
        <w:jc w:val="both"/>
      </w:pPr>
      <w:r>
        <w:rPr>
          <w:b/>
          <w:bCs/>
        </w:rPr>
        <w:t xml:space="preserve">Art. 902.</w:t>
      </w:r>
      <w:r>
        <w:t xml:space="preserve"> </w:t>
      </w:r>
      <w:r>
        <w:t xml:space="preserve">No caso de leilão de bem hipotecado, o executado poderá remi-lo até a assinatura do auto de arrematação, oferecendo preço igual ao do maior lance oferecido.</w:t>
      </w:r>
    </w:p>
    <w:p>
      <w:pPr>
        <w:pStyle w:val="BodyText"/>
        <w:spacing w:after="60"/>
        <w:jc w:val="both"/>
      </w:pPr>
      <w:r>
        <w:t xml:space="preserve">Parágrafo único. No caso de falência ou insolvência do devedor hipotecário, o direito de remição previsto no caput defere-se à massa ou aos credores em concurso, não podendo o exequente recusar o preço da avaliação do imóvel.</w:t>
      </w:r>
    </w:p>
    <w:bookmarkEnd w:id="713"/>
    <w:bookmarkStart w:id="714" w:name="art.-903"/>
    <w:p>
      <w:pPr>
        <w:pStyle w:val="Heading6"/>
        <w:pBdr>
          <w:left w:val="single" w:sz="36" w:space="4" w:color="2E75B6"/>
        </w:pBdr>
        <w:shd w:val="clear" w:color="auto" w:fill="E3EEF9"/>
        <w:spacing w:before="120" w:after="60"/>
        <w:ind w:left="85"/>
      </w:pPr>
      <w:r>
        <w:rPr>
          <w:i w:val="0"/>
          <w:color w:val="1F3A5F"/>
          <w:sz w:val="22"/>
        </w:rPr>
        <w:t xml:space="preserve">Art. 903</w:t>
      </w:r>
    </w:p>
    <w:p>
      <w:pPr>
        <w:pStyle w:val="FirstParagraph"/>
        <w:spacing w:after="60"/>
        <w:jc w:val="both"/>
      </w:pPr>
      <w:r>
        <w:rPr>
          <w:b/>
          <w:bCs/>
        </w:rPr>
        <w:t xml:space="preserve">Art. 903.</w:t>
      </w:r>
      <w:r>
        <w:t xml:space="preserve"> </w:t>
      </w:r>
      <w:r>
        <w:t xml:space="preserve">Qualquer que seja a modalidade de leilão, assinado o auto pelo juiz, pelo arrematante e pelo leiloeiro, a arrematação será considerada perfeita, acabada e irretratável, ainda que venham a ser julgados procedentes os embargos do executado ou a ação autônoma de que trata o § 4º deste artigo, assegurada a possibilidade de reparação pelos prejuízos sofridos.</w:t>
      </w:r>
    </w:p>
    <w:p>
      <w:pPr>
        <w:pStyle w:val="BodyText"/>
        <w:spacing w:after="60"/>
        <w:jc w:val="both"/>
      </w:pPr>
      <w:r>
        <w:t xml:space="preserve">§ 1º Ressalvadas outras situações previstas neste Código, a arrematação poderá, no entanto, ser:</w:t>
      </w:r>
    </w:p>
    <w:p>
      <w:pPr>
        <w:pStyle w:val="BodyText"/>
        <w:spacing w:after="60"/>
        <w:jc w:val="both"/>
      </w:pPr>
      <w:r>
        <w:t xml:space="preserve">I - invalidada, quando realizada por preço vil ou com outro vício;</w:t>
      </w:r>
    </w:p>
    <w:p>
      <w:pPr>
        <w:pStyle w:val="BodyText"/>
        <w:spacing w:after="60"/>
        <w:jc w:val="both"/>
      </w:pPr>
      <w:r>
        <w:t xml:space="preserve">II - considerada ineficaz, se não observado o disposto no art. 804;</w:t>
      </w:r>
    </w:p>
    <w:p>
      <w:pPr>
        <w:pStyle w:val="BodyText"/>
        <w:spacing w:after="60"/>
        <w:jc w:val="both"/>
      </w:pPr>
      <w:r>
        <w:t xml:space="preserve">III - resolvida, se não for pago o preço ou se não for prestada a caução.</w:t>
      </w:r>
    </w:p>
    <w:p>
      <w:pPr>
        <w:pStyle w:val="BodyText"/>
        <w:spacing w:after="60"/>
        <w:jc w:val="both"/>
      </w:pPr>
      <w:r>
        <w:t xml:space="preserve">§ 2º O juiz decidirá acerca das situações referidas no § 1º, se for provocado em até 10 (dez) dias após o aperfeiçoamento da arrematação.</w:t>
      </w:r>
    </w:p>
    <w:p>
      <w:pPr>
        <w:pStyle w:val="BodyText"/>
        <w:spacing w:after="60"/>
        <w:jc w:val="both"/>
      </w:pPr>
      <w:r>
        <w:t xml:space="preserve">§ 3º Passado o prazo previsto no § 2º sem que tenha havido alegação de qualquer das situações previstas no § 1º, será expedida a carta de arrematação e, conforme o caso, a ordem de entrega ou mandado de imissão na posse.</w:t>
      </w:r>
    </w:p>
    <w:p>
      <w:pPr>
        <w:pStyle w:val="BodyText"/>
        <w:keepNext/>
        <w:spacing w:after="60"/>
        <w:jc w:val="both"/>
      </w:pPr>
      <w:r>
        <w:t xml:space="preserve">§ 4º Após a expedição da carta de arrematação ou da ordem de entrega, a invalidação da arrematação poderá ser pleiteada por ação autônoma, em cujo processo o arrematante figurará como litisconsorte necessário.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2154"/>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 4º — invalidação após a carta de arrematação</w:t>
            </w:r>
          </w:p>
        </w:tc>
        <w:tc>
          <w:tcPr>
            <w:tcW w:type="dxa" w:w="1531"/>
          </w:tcPr>
          <w:p>
            <w:pPr>
              <w:pStyle w:val="Compact"/>
              <w:spacing w:line="276" w:lineRule="auto" w:before="40" w:after="40"/>
            </w:pPr>
            <w:r>
              <w:rPr>
                <w:rFonts w:ascii="Liberation Sans Narrow" w:hAnsi="Liberation Sans Narrow"/>
                <w:sz w:val="17"/>
              </w:rPr>
              <w:t xml:space="preserve">STJ, AgInt nos EDcl no AREsp 2.980.872, Quarta Turma, relatora Min. Maria Isabel Gallotti, julgado em 12/08/2026</w:t>
            </w:r>
          </w:p>
        </w:tc>
        <w:tc>
          <w:tcPr>
            <w:tcW w:type="dxa" w:w="2154"/>
          </w:tcPr>
          <w:p>
            <w:pPr>
              <w:pStyle w:val="Compact"/>
              <w:spacing w:line="276" w:lineRule="auto" w:before="40" w:after="40"/>
            </w:pPr>
            <w:r>
              <w:rPr>
                <w:rFonts w:ascii="Liberation Sans Narrow" w:hAnsi="Liberation Sans Narrow"/>
                <w:sz w:val="17"/>
              </w:rPr>
              <w:t xml:space="preserve">Após a expedição da carta de arrematação, a desconstituição do ato somente pode ser pleiteada por meio de ação autônoma, nos termos do art. 903, § 4º, do CPC, sendo inviável a discussão nos próprios autos da execução.</w:t>
            </w:r>
          </w:p>
        </w:tc>
      </w:tr>
      <w:tr>
        <w:trPr>
          <w:cantSplit/>
        </w:trPr>
        <w:tc>
          <w:tcPr>
            <w:tcW w:type="dxa" w:w="1655"/>
          </w:tcPr>
          <w:p>
            <w:pPr>
              <w:pStyle w:val="Compact"/>
              <w:spacing w:line="276" w:lineRule="auto" w:before="40" w:after="40"/>
            </w:pPr>
            <w:r>
              <w:rPr>
                <w:rFonts w:ascii="Liberation Sans Narrow" w:hAnsi="Liberation Sans Narrow"/>
                <w:sz w:val="17"/>
              </w:rPr>
              <w:t xml:space="preserve">§ 4º — invalidação da arrematação</w:t>
            </w:r>
          </w:p>
        </w:tc>
        <w:tc>
          <w:tcPr>
            <w:tcW w:type="dxa" w:w="1531"/>
          </w:tcPr>
          <w:p>
            <w:pPr>
              <w:pStyle w:val="Compact"/>
              <w:spacing w:line="276" w:lineRule="auto" w:before="40" w:after="40"/>
            </w:pPr>
            <w:r>
              <w:rPr>
                <w:rFonts w:ascii="Liberation Sans Narrow" w:hAnsi="Liberation Sans Narrow"/>
                <w:sz w:val="17"/>
              </w:rPr>
              <w:t xml:space="preserve">STJ, AgInt no AREsp 2.331.515, Primeira Turma, relator Min. Paulo Sérgio Domingues, DJe de 27/02/2025</w:t>
            </w:r>
          </w:p>
        </w:tc>
        <w:tc>
          <w:tcPr>
            <w:tcW w:type="dxa" w:w="2154"/>
          </w:tcPr>
          <w:p>
            <w:pPr>
              <w:pStyle w:val="Compact"/>
              <w:spacing w:line="276" w:lineRule="auto" w:before="40" w:after="40"/>
            </w:pPr>
            <w:r>
              <w:rPr>
                <w:rFonts w:ascii="Liberation Sans Narrow" w:hAnsi="Liberation Sans Narrow"/>
                <w:sz w:val="17"/>
              </w:rPr>
              <w:t xml:space="preserve">Após a expedição da carta de arrematação, a invalidação do ato pode ser pleiteada por ação autônoma, com o arrematante como litisconsorte necessário, e a ação anulatória é admissível também na hipótese do § 1º, I (preço vil ou outro vício), não se limitando à apuração de indenização ao expropriado.</w:t>
            </w:r>
          </w:p>
        </w:tc>
      </w:tr>
    </w:tbl>
    <w:p>
      <w:pPr>
        <w:pStyle w:val="BodyText"/>
        <w:spacing w:after="60"/>
        <w:jc w:val="both"/>
      </w:pPr>
      <w:r>
        <w:t xml:space="preserve">§ 5º O arrematante poderá desistir da arrematação, sendo-lhe imediatamente devolvido o depósito que tiver feito:</w:t>
      </w:r>
    </w:p>
    <w:p>
      <w:pPr>
        <w:pStyle w:val="BodyText"/>
        <w:spacing w:after="60"/>
        <w:jc w:val="both"/>
      </w:pPr>
      <w:r>
        <w:t xml:space="preserve">I - se provar, nos 10 (dez) dias seguintes, a existência de ônus real ou gravame não mencionado no edital;</w:t>
      </w:r>
    </w:p>
    <w:p>
      <w:pPr>
        <w:pStyle w:val="BodyText"/>
        <w:spacing w:after="60"/>
        <w:jc w:val="both"/>
      </w:pPr>
      <w:r>
        <w:t xml:space="preserve">II - se, antes de expedida a carta de arrematação ou a ordem de entrega, o executado alegar alguma das situações previstas no § 1º ;</w:t>
      </w:r>
    </w:p>
    <w:p>
      <w:pPr>
        <w:pStyle w:val="BodyText"/>
        <w:spacing w:after="60"/>
        <w:jc w:val="both"/>
      </w:pPr>
      <w:r>
        <w:t xml:space="preserve">III - uma vez citado para responder a ação autônoma de que trata o § 4º deste artigo, desde que apresente a desistência no prazo de que dispõe para responder a essa ação.</w:t>
      </w:r>
    </w:p>
    <w:p>
      <w:pPr>
        <w:pStyle w:val="BodyText"/>
        <w:spacing w:after="60"/>
        <w:jc w:val="both"/>
      </w:pPr>
      <w:r>
        <w:t xml:space="preserve">§ 6º Considera-se ato atentatório à dignidade da justiça a suscitação infundada de vício com o objetivo de ensejar a desistência do arrematante, devendo o suscitante ser condenado, sem prejuízo da responsabilidade por perdas e danos, ao pagamento de multa, a ser fixada pelo juiz e devida ao exequente, em montante não superior a vinte por cento do valor atualizado do bem.</w:t>
      </w:r>
    </w:p>
    <w:bookmarkEnd w:id="714"/>
    <w:bookmarkEnd w:id="715"/>
    <w:bookmarkStart w:id="722" w:name="Xec800881025364dfefa1e79f68d8b19b5e4ee80"/>
    <w:p>
      <w:pPr>
        <w:pStyle w:val="Heading5"/>
        <w:spacing w:before="60" w:after="20"/>
      </w:pPr>
      <w:r>
        <w:rPr>
          <w:i/>
          <w:color w:val="595959"/>
        </w:rPr>
        <w:t xml:space="preserve">Seção V: da satisfação do crédito (arts. 904 a 909)</w:t>
      </w:r>
    </w:p>
    <w:bookmarkStart w:id="716" w:name="art.-904"/>
    <w:p>
      <w:pPr>
        <w:pStyle w:val="Heading6"/>
        <w:pBdr>
          <w:left w:val="single" w:sz="36" w:space="4" w:color="2E75B6"/>
        </w:pBdr>
        <w:shd w:val="clear" w:color="auto" w:fill="E3EEF9"/>
        <w:spacing w:before="120" w:after="60"/>
        <w:ind w:left="85"/>
      </w:pPr>
      <w:r>
        <w:rPr>
          <w:i w:val="0"/>
          <w:color w:val="1F3A5F"/>
          <w:sz w:val="22"/>
        </w:rPr>
        <w:t xml:space="preserve">Art. 904</w:t>
      </w:r>
    </w:p>
    <w:p>
      <w:pPr>
        <w:pStyle w:val="FirstParagraph"/>
        <w:spacing w:after="60"/>
        <w:jc w:val="both"/>
      </w:pPr>
      <w:r>
        <w:rPr>
          <w:b/>
          <w:bCs/>
        </w:rPr>
        <w:t xml:space="preserve">Art. 904.</w:t>
      </w:r>
      <w:r>
        <w:t xml:space="preserve"> </w:t>
      </w:r>
      <w:r>
        <w:t xml:space="preserve">A satisfação do crédito exequendo far-se-á:</w:t>
      </w:r>
    </w:p>
    <w:p>
      <w:pPr>
        <w:pStyle w:val="BodyText"/>
        <w:keepNext/>
        <w:spacing w:after="60"/>
        <w:jc w:val="both"/>
      </w:pPr>
      <w:r>
        <w:t xml:space="preserve">I - pela entrega do dinheiro;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871"/>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871"/>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I — satisfação pela entrega do dinheiro</w:t>
            </w:r>
          </w:p>
        </w:tc>
        <w:tc>
          <w:tcPr>
            <w:tcW w:type="dxa" w:w="1531"/>
          </w:tcPr>
          <w:p>
            <w:pPr>
              <w:pStyle w:val="Compact"/>
              <w:spacing w:line="276" w:lineRule="auto" w:before="40" w:after="40"/>
            </w:pPr>
            <w:r>
              <w:rPr>
                <w:rFonts w:ascii="Liberation Sans Narrow" w:hAnsi="Liberation Sans Narrow"/>
                <w:sz w:val="17"/>
              </w:rPr>
              <w:t xml:space="preserve">STJ, AREsp 3.001.994, Terceira Turma, relatora Min. Nancy Andrighi, julgado em 02/03/2026</w:t>
            </w:r>
          </w:p>
        </w:tc>
        <w:tc>
          <w:tcPr>
            <w:tcW w:type="dxa" w:w="1871"/>
          </w:tcPr>
          <w:p>
            <w:pPr>
              <w:pStyle w:val="Compact"/>
              <w:spacing w:line="276" w:lineRule="auto" w:before="40" w:after="40"/>
            </w:pPr>
            <w:r>
              <w:rPr>
                <w:rFonts w:ascii="Liberation Sans Narrow" w:hAnsi="Liberation Sans Narrow"/>
                <w:sz w:val="17"/>
              </w:rPr>
              <w:t xml:space="preserve">Na execução, o depósito efetuado a título de garantia do juízo ou decorrente da penhora de ativos financeiros não isenta o devedor do pagamento dos consectários de sua mora previstos no título executivo, devendo-se, quando da efetiva entrega do dinheiro ao credor, deduzir do montante final devido o saldo da conta judicial (Tema 677).</w:t>
            </w:r>
          </w:p>
        </w:tc>
      </w:tr>
    </w:tbl>
    <w:p>
      <w:pPr>
        <w:pStyle w:val="BodyText"/>
        <w:spacing w:after="60"/>
        <w:jc w:val="both"/>
      </w:pPr>
      <w:r>
        <w:t xml:space="preserve">II - pela adjudicação dos bens penhorados.</w:t>
      </w:r>
    </w:p>
    <w:bookmarkEnd w:id="716"/>
    <w:bookmarkStart w:id="717" w:name="art.-905"/>
    <w:p>
      <w:pPr>
        <w:pStyle w:val="Heading6"/>
        <w:pBdr>
          <w:left w:val="single" w:sz="36" w:space="4" w:color="2E75B6"/>
        </w:pBdr>
        <w:shd w:val="clear" w:color="auto" w:fill="E3EEF9"/>
        <w:spacing w:before="120" w:after="60"/>
        <w:ind w:left="85"/>
      </w:pPr>
      <w:r>
        <w:rPr>
          <w:i w:val="0"/>
          <w:color w:val="1F3A5F"/>
          <w:sz w:val="22"/>
        </w:rPr>
        <w:t xml:space="preserve">Art. 905</w:t>
      </w:r>
    </w:p>
    <w:p>
      <w:pPr>
        <w:pStyle w:val="FirstParagraph"/>
        <w:spacing w:after="60"/>
        <w:jc w:val="both"/>
      </w:pPr>
      <w:r>
        <w:rPr>
          <w:b/>
          <w:bCs/>
        </w:rPr>
        <w:t xml:space="preserve">Art. 905.</w:t>
      </w:r>
      <w:r>
        <w:t xml:space="preserve"> </w:t>
      </w:r>
      <w:r>
        <w:t xml:space="preserve">O juiz autorizará que o exequente levante, até a satisfação integral de seu crédito, o dinheiro depositado para segurar o juízo ou o produto dos bens alienados, bem como do faturamento de empresa ou de outros frutos e rendimentos de coisas ou empresas penhoradas, quando:</w:t>
      </w:r>
    </w:p>
    <w:p>
      <w:pPr>
        <w:pStyle w:val="BodyText"/>
        <w:spacing w:after="60"/>
        <w:jc w:val="both"/>
      </w:pPr>
      <w:r>
        <w:t xml:space="preserve">I - a execução for movida só a benefício do exequente singular, a quem, por força da penhora, cabe o direito de preferência sobre os bens penhorados e alienados;</w:t>
      </w:r>
    </w:p>
    <w:p>
      <w:pPr>
        <w:pStyle w:val="BodyText"/>
        <w:spacing w:after="60"/>
        <w:jc w:val="both"/>
      </w:pPr>
      <w:r>
        <w:t xml:space="preserve">II - não houver sobre os bens alienados outros privilégios ou preferências instituídos anteriormente à penhora.</w:t>
      </w:r>
    </w:p>
    <w:p>
      <w:pPr>
        <w:pStyle w:val="BodyText"/>
        <w:spacing w:after="60"/>
        <w:jc w:val="both"/>
      </w:pPr>
      <w:r>
        <w:t xml:space="preserve">Parágrafo único. Durante o plantão judiciário, veda-se a concessão de pedidos de levantamento de importância em dinheiro ou valores ou de liberação de bens apreendidos.</w:t>
      </w:r>
    </w:p>
    <w:bookmarkEnd w:id="717"/>
    <w:bookmarkStart w:id="718" w:name="art.-906"/>
    <w:p>
      <w:pPr>
        <w:pStyle w:val="Heading6"/>
        <w:pBdr>
          <w:left w:val="single" w:sz="36" w:space="4" w:color="2E75B6"/>
        </w:pBdr>
        <w:shd w:val="clear" w:color="auto" w:fill="E3EEF9"/>
        <w:spacing w:before="120" w:after="60"/>
        <w:ind w:left="85"/>
      </w:pPr>
      <w:r>
        <w:rPr>
          <w:i w:val="0"/>
          <w:color w:val="1F3A5F"/>
          <w:sz w:val="22"/>
        </w:rPr>
        <w:t xml:space="preserve">Art. 906</w:t>
      </w:r>
    </w:p>
    <w:p>
      <w:pPr>
        <w:pStyle w:val="FirstParagraph"/>
        <w:keepNext/>
        <w:spacing w:after="60"/>
        <w:jc w:val="both"/>
      </w:pPr>
      <w:r>
        <w:rPr>
          <w:b/>
          <w:bCs/>
        </w:rPr>
        <w:t xml:space="preserve">Art. 906.</w:t>
      </w:r>
      <w:r>
        <w:t xml:space="preserve"> </w:t>
      </w:r>
      <w:r>
        <w:t xml:space="preserve">Ao receber o mandado de levantamento, o exequente dará ao executado, por termo nos autos, quitação da quantia paga.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27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quitação da quantia paga ao exequente</w:t>
            </w:r>
          </w:p>
        </w:tc>
        <w:tc>
          <w:tcPr>
            <w:tcW w:type="dxa" w:w="1531"/>
          </w:tcPr>
          <w:p>
            <w:pPr>
              <w:pStyle w:val="Compact"/>
              <w:spacing w:line="276" w:lineRule="auto" w:before="40" w:after="40"/>
            </w:pPr>
            <w:r>
              <w:rPr>
                <w:rFonts w:ascii="Liberation Sans Narrow" w:hAnsi="Liberation Sans Narrow"/>
                <w:sz w:val="17"/>
              </w:rPr>
              <w:t xml:space="preserve">STJ, REsp 2.167.656, Quarta Turma, relator Min. João Otávio de Noronha, julgado em 09/03/2026</w:t>
            </w:r>
          </w:p>
        </w:tc>
        <w:tc>
          <w:tcPr>
            <w:tcW w:type="dxa" w:w="2279"/>
          </w:tcPr>
          <w:p>
            <w:pPr>
              <w:pStyle w:val="Compact"/>
              <w:spacing w:line="276" w:lineRule="auto" w:before="40" w:after="40"/>
            </w:pPr>
            <w:r>
              <w:rPr>
                <w:rFonts w:ascii="Liberation Sans Narrow" w:hAnsi="Liberation Sans Narrow"/>
                <w:sz w:val="17"/>
              </w:rPr>
              <w:t xml:space="preserve">A satisfação do crédito e a quitação exigem a entrega do numerário ao credor ou o mandado de levantamento; o simples depósito judicial não quita a obrigação nem faz cessar os consectários da mora, que incidem até a efetiva disponibilização dos valores (Tema 677).</w:t>
            </w:r>
          </w:p>
        </w:tc>
      </w:tr>
    </w:tbl>
    <w:p>
      <w:pPr>
        <w:pStyle w:val="BodyText"/>
        <w:spacing w:after="60"/>
        <w:jc w:val="both"/>
      </w:pPr>
      <w:r>
        <w:t xml:space="preserve">Parágrafo único. A expedição de mandado de levantamento poderá ser substituída pela transferência eletrônica do valor depositado em conta vinculada ao juízo para outra indicada pelo exequente.</w:t>
      </w:r>
    </w:p>
    <w:bookmarkEnd w:id="718"/>
    <w:bookmarkStart w:id="719" w:name="art.-907"/>
    <w:p>
      <w:pPr>
        <w:pStyle w:val="Heading6"/>
        <w:pBdr>
          <w:left w:val="single" w:sz="36" w:space="4" w:color="2E75B6"/>
        </w:pBdr>
        <w:shd w:val="clear" w:color="auto" w:fill="E3EEF9"/>
        <w:spacing w:before="120" w:after="60"/>
        <w:ind w:left="85"/>
      </w:pPr>
      <w:r>
        <w:rPr>
          <w:i w:val="0"/>
          <w:color w:val="1F3A5F"/>
          <w:sz w:val="22"/>
        </w:rPr>
        <w:t xml:space="preserve">Art. 907</w:t>
      </w:r>
    </w:p>
    <w:p>
      <w:pPr>
        <w:pStyle w:val="FirstParagraph"/>
        <w:spacing w:after="60"/>
        <w:jc w:val="both"/>
      </w:pPr>
      <w:r>
        <w:rPr>
          <w:b/>
          <w:bCs/>
        </w:rPr>
        <w:t xml:space="preserve">Art. 907.</w:t>
      </w:r>
      <w:r>
        <w:t xml:space="preserve"> </w:t>
      </w:r>
      <w:r>
        <w:t xml:space="preserve">Pago ao exequente o principal, os juros, as custas e os honorários, a importância que sobrar será restituída ao executado.</w:t>
      </w:r>
    </w:p>
    <w:bookmarkEnd w:id="719"/>
    <w:bookmarkStart w:id="720" w:name="art.-908"/>
    <w:p>
      <w:pPr>
        <w:pStyle w:val="Heading6"/>
        <w:pBdr>
          <w:left w:val="single" w:sz="36" w:space="4" w:color="2E75B6"/>
        </w:pBdr>
        <w:shd w:val="clear" w:color="auto" w:fill="E3EEF9"/>
        <w:spacing w:before="120" w:after="60"/>
        <w:ind w:left="85"/>
      </w:pPr>
      <w:r>
        <w:rPr>
          <w:i w:val="0"/>
          <w:color w:val="1F3A5F"/>
          <w:sz w:val="22"/>
        </w:rPr>
        <w:t xml:space="preserve">Art. 908</w:t>
      </w:r>
    </w:p>
    <w:p>
      <w:pPr>
        <w:pStyle w:val="FirstParagraph"/>
        <w:spacing w:after="60"/>
        <w:jc w:val="both"/>
      </w:pPr>
      <w:r>
        <w:rPr>
          <w:b/>
          <w:bCs/>
        </w:rPr>
        <w:t xml:space="preserve">Art. 908.</w:t>
      </w:r>
      <w:r>
        <w:t xml:space="preserve"> </w:t>
      </w:r>
      <w:r>
        <w:t xml:space="preserve">Havendo pluralidade de credores ou exequentes, o dinheiro lhes será distribuído e entregue consoante a ordem das respectivas preferências.</w:t>
      </w:r>
    </w:p>
    <w:p>
      <w:pPr>
        <w:pStyle w:val="BodyText"/>
        <w:spacing w:after="60"/>
        <w:jc w:val="both"/>
      </w:pPr>
      <w:r>
        <w:t xml:space="preserve">§ 1º No caso de adjudicação ou alienação, os créditos que recaem sobre o bem, inclusive os de natureza propter rem , sub-rogam-se sobre o respectivo preço, observada a ordem de preferência.</w:t>
      </w:r>
    </w:p>
    <w:p>
      <w:pPr>
        <w:pStyle w:val="BodyText"/>
        <w:keepNext/>
        <w:spacing w:after="60"/>
        <w:jc w:val="both"/>
      </w:pPr>
      <w:r>
        <w:t xml:space="preserve">§ 2º Não havendo título legal à preferência, o dinheiro será distribuído entre os concorrentes, observando-se a anterioridade de cada penhora.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1905"/>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 2º — anterioridade da penhora</w:t>
            </w:r>
          </w:p>
        </w:tc>
        <w:tc>
          <w:tcPr>
            <w:tcW w:type="dxa" w:w="1655"/>
          </w:tcPr>
          <w:p>
            <w:pPr>
              <w:pStyle w:val="Compact"/>
              <w:spacing w:line="276" w:lineRule="auto" w:before="40" w:after="40"/>
            </w:pPr>
            <w:r>
              <w:rPr>
                <w:rFonts w:ascii="Liberation Sans Narrow" w:hAnsi="Liberation Sans Narrow"/>
                <w:sz w:val="17"/>
              </w:rPr>
              <w:t xml:space="preserve">STJ, AgInt no REsp 2.251.445, Terceira Turma, relator Min. Humberto Martins, julgado em 15/06/2026, DJEN de 18/06/2026</w:t>
            </w:r>
          </w:p>
        </w:tc>
        <w:tc>
          <w:tcPr>
            <w:tcW w:type="dxa" w:w="1905"/>
          </w:tcPr>
          <w:p>
            <w:pPr>
              <w:pStyle w:val="Compact"/>
              <w:spacing w:line="276" w:lineRule="auto" w:before="40" w:after="40"/>
            </w:pPr>
            <w:r>
              <w:rPr>
                <w:rFonts w:ascii="Liberation Sans Narrow" w:hAnsi="Liberation Sans Narrow"/>
                <w:sz w:val="17"/>
              </w:rPr>
              <w:t xml:space="preserve">Havendo pluralidade de penhoras sobre o mesmo bem, impõe-se o concurso de credores com observância da ordem de preferência definida pela anterioridade de cada constrição; a dação em pagamento ajustada entre o devedor e um credor não prevalece em prejuízo do credor concorrente.</w:t>
            </w:r>
          </w:p>
        </w:tc>
      </w:tr>
      <w:tr>
        <w:trPr>
          <w:cantSplit/>
        </w:trPr>
        <w:tc>
          <w:tcPr>
            <w:tcW w:type="dxa" w:w="1905"/>
          </w:tcPr>
          <w:p>
            <w:pPr>
              <w:pStyle w:val="Compact"/>
              <w:spacing w:line="276" w:lineRule="auto" w:before="40" w:after="40"/>
            </w:pPr>
            <w:r>
              <w:rPr>
                <w:rFonts w:ascii="Liberation Sans Narrow" w:hAnsi="Liberation Sans Narrow"/>
                <w:sz w:val="17"/>
              </w:rPr>
              <w:t xml:space="preserve">§ 2º — preferência pela anterioridade da penhora</w:t>
            </w:r>
          </w:p>
        </w:tc>
        <w:tc>
          <w:tcPr>
            <w:tcW w:type="dxa" w:w="1655"/>
          </w:tcPr>
          <w:p>
            <w:pPr>
              <w:pStyle w:val="Compact"/>
              <w:spacing w:line="276" w:lineRule="auto" w:before="40" w:after="40"/>
            </w:pPr>
            <w:r>
              <w:rPr>
                <w:rFonts w:ascii="Liberation Sans Narrow" w:hAnsi="Liberation Sans Narrow"/>
                <w:sz w:val="17"/>
              </w:rPr>
              <w:t xml:space="preserve">STJ, AREsp 3.107.679, Terceira Turma, relator Min. Moura Ribeiro, julgado em 25/05/2026</w:t>
            </w:r>
          </w:p>
        </w:tc>
        <w:tc>
          <w:tcPr>
            <w:tcW w:type="dxa" w:w="1905"/>
          </w:tcPr>
          <w:p>
            <w:pPr>
              <w:pStyle w:val="Compact"/>
              <w:spacing w:line="276" w:lineRule="auto" w:before="40" w:after="40"/>
            </w:pPr>
            <w:r>
              <w:rPr>
                <w:rFonts w:ascii="Liberation Sans Narrow" w:hAnsi="Liberation Sans Narrow"/>
                <w:sz w:val="17"/>
              </w:rPr>
              <w:t xml:space="preserve">A preferência no concurso particular de credores decorre da primeira lavratura do ato constritivo nos autos, e não da averbação no registro imobiliário; a publicidade conferida pelo registro protege terceiros de boa-fé, mas não constitui condição para o direito de preferência entre credores concorrentes.</w:t>
            </w:r>
          </w:p>
        </w:tc>
      </w:tr>
    </w:tbl>
    <w:bookmarkEnd w:id="720"/>
    <w:bookmarkStart w:id="721" w:name="art.-909"/>
    <w:p>
      <w:pPr>
        <w:pStyle w:val="Heading6"/>
        <w:pBdr>
          <w:left w:val="single" w:sz="36" w:space="4" w:color="2E75B6"/>
        </w:pBdr>
        <w:shd w:val="clear" w:color="auto" w:fill="E3EEF9"/>
        <w:spacing w:before="120" w:after="60"/>
        <w:ind w:left="85"/>
      </w:pPr>
      <w:r>
        <w:rPr>
          <w:i w:val="0"/>
          <w:color w:val="1F3A5F"/>
          <w:sz w:val="22"/>
        </w:rPr>
        <w:t xml:space="preserve">Art. 909</w:t>
      </w:r>
    </w:p>
    <w:p>
      <w:pPr>
        <w:pStyle w:val="FirstParagraph"/>
        <w:spacing w:after="60"/>
        <w:jc w:val="both"/>
      </w:pPr>
      <w:r>
        <w:rPr>
          <w:b/>
          <w:bCs/>
        </w:rPr>
        <w:t xml:space="preserve">Art. 909.</w:t>
      </w:r>
      <w:r>
        <w:t xml:space="preserve"> </w:t>
      </w:r>
      <w:r>
        <w:t xml:space="preserve">Os exequentes formularão as suas pretensões, que versarão unicamente sobre o direito de preferência e a anterioridade da penhora, e, apresentadas as razões, o juiz decidirá.</w:t>
      </w:r>
    </w:p>
    <w:bookmarkEnd w:id="721"/>
    <w:bookmarkEnd w:id="722"/>
    <w:bookmarkEnd w:id="723"/>
    <w:bookmarkStart w:id="725" w:name="Xf3918c542126c851d7eb8336ee5013b15d40120"/>
    <w:p>
      <w:pPr>
        <w:pStyle w:val="Heading4"/>
        <w:spacing w:before="80" w:after="40"/>
      </w:pPr>
      <w:r>
        <w:rPr>
          <w:smallCaps/>
          <w:color w:val="2E75B6"/>
        </w:rPr>
        <w:t xml:space="preserve">Capítulo V: da execução contra a fazenda pública (arts. 910)</w:t>
      </w:r>
    </w:p>
    <w:bookmarkStart w:id="724" w:name="art.-910"/>
    <w:p>
      <w:pPr>
        <w:pStyle w:val="Heading6"/>
        <w:pBdr>
          <w:left w:val="single" w:sz="36" w:space="4" w:color="2E75B6"/>
        </w:pBdr>
        <w:shd w:val="clear" w:color="auto" w:fill="E3EEF9"/>
        <w:spacing w:before="120" w:after="60"/>
        <w:ind w:left="85"/>
      </w:pPr>
      <w:r>
        <w:rPr>
          <w:i w:val="0"/>
          <w:color w:val="1F3A5F"/>
          <w:sz w:val="22"/>
        </w:rPr>
        <w:t xml:space="preserve">Art. 910</w:t>
      </w:r>
    </w:p>
    <w:p>
      <w:pPr>
        <w:pStyle w:val="FirstParagraph"/>
        <w:keepNext/>
        <w:spacing w:after="60"/>
        <w:jc w:val="both"/>
      </w:pPr>
      <w:r>
        <w:rPr>
          <w:b/>
          <w:bCs/>
        </w:rPr>
        <w:t xml:space="preserve">Art. 910.</w:t>
      </w:r>
      <w:r>
        <w:t xml:space="preserve"> </w:t>
      </w:r>
      <w:r>
        <w:t xml:space="preserve">Na execução fundada em título extrajudicial, a Fazenda Pública será citada para opor embargos em 30 (trinta) dias.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execução contra a Fazenda Pública</w:t>
            </w:r>
          </w:p>
        </w:tc>
        <w:tc>
          <w:tcPr>
            <w:tcW w:type="dxa" w:w="1655"/>
          </w:tcPr>
          <w:p>
            <w:pPr>
              <w:pStyle w:val="Compact"/>
              <w:spacing w:line="276" w:lineRule="auto" w:before="40" w:after="40"/>
            </w:pPr>
            <w:r>
              <w:rPr>
                <w:rFonts w:ascii="Liberation Sans Narrow" w:hAnsi="Liberation Sans Narrow"/>
                <w:sz w:val="17"/>
              </w:rPr>
              <w:t xml:space="preserve">STJ, AgInt no REsp 1.877.544, Segunda Turma, relator Min. Francisco Falcão, julgado em 21/11/2023, DJe de 24/11/2023</w:t>
            </w:r>
          </w:p>
        </w:tc>
        <w:tc>
          <w:tcPr>
            <w:tcW w:type="dxa" w:w="1905"/>
          </w:tcPr>
          <w:p>
            <w:pPr>
              <w:pStyle w:val="Compact"/>
              <w:spacing w:line="276" w:lineRule="auto" w:before="40" w:after="40"/>
            </w:pPr>
            <w:r>
              <w:rPr>
                <w:rFonts w:ascii="Liberation Sans Narrow" w:hAnsi="Liberation Sans Narrow"/>
                <w:sz w:val="17"/>
              </w:rPr>
              <w:t xml:space="preserve">Na execução de título extrajudicial contra a Fazenda Pública, a verba honorária inicial segue a regra própria do art. 827, e não a do art. 85, § 3º, afastada a disciplina geral dos honorários contra a Fazenda.</w:t>
            </w:r>
          </w:p>
        </w:tc>
      </w:tr>
    </w:tbl>
    <w:p>
      <w:pPr>
        <w:pStyle w:val="BodyText"/>
        <w:spacing w:after="60"/>
        <w:jc w:val="both"/>
      </w:pPr>
      <w:r>
        <w:t xml:space="preserve">§ 1º Não opostos embargos ou transitada em julgado a decisão que os rejeitar, expedir-se-á precatório ou requisição de pequeno valor em favor do exequente, observando-se o disposto no art. 100 da Constituição Federal.</w:t>
      </w:r>
    </w:p>
    <w:p>
      <w:pPr>
        <w:pStyle w:val="BodyText"/>
        <w:spacing w:after="60"/>
        <w:jc w:val="both"/>
      </w:pPr>
      <w:r>
        <w:t xml:space="preserve">§ 2º Nos embargos, a Fazenda Pública poderá alegar qualquer matéria que lhe seria lícito deduzir como defesa no processo de conhecimento.</w:t>
      </w:r>
    </w:p>
    <w:p>
      <w:pPr>
        <w:pStyle w:val="BodyText"/>
        <w:spacing w:after="60"/>
        <w:jc w:val="both"/>
      </w:pPr>
      <w:r>
        <w:t xml:space="preserve">§ 3º Aplica-se a este Capítulo, no que couber, o disposto nos artigos 534 e 535.</w:t>
      </w:r>
    </w:p>
    <w:bookmarkEnd w:id="724"/>
    <w:bookmarkEnd w:id="725"/>
    <w:bookmarkStart w:id="729" w:name="X473d3d4a1944b65a75f70c173b7405f3d54d076"/>
    <w:p>
      <w:pPr>
        <w:pStyle w:val="Heading4"/>
        <w:spacing w:before="80" w:after="40"/>
      </w:pPr>
      <w:r>
        <w:rPr>
          <w:smallCaps/>
          <w:color w:val="2E75B6"/>
        </w:rPr>
        <w:t xml:space="preserve">Capítulo VI: da execução de alimentos (arts. 911 a 913)</w:t>
      </w:r>
    </w:p>
    <w:bookmarkStart w:id="726" w:name="art.-911"/>
    <w:p>
      <w:pPr>
        <w:pStyle w:val="Heading6"/>
        <w:pBdr>
          <w:left w:val="single" w:sz="36" w:space="4" w:color="2E75B6"/>
        </w:pBdr>
        <w:shd w:val="clear" w:color="auto" w:fill="E3EEF9"/>
        <w:spacing w:before="120" w:after="60"/>
        <w:ind w:left="85"/>
      </w:pPr>
      <w:r>
        <w:rPr>
          <w:i w:val="0"/>
          <w:color w:val="1F3A5F"/>
          <w:sz w:val="22"/>
        </w:rPr>
        <w:t xml:space="preserve">Art. 911</w:t>
      </w:r>
    </w:p>
    <w:p>
      <w:pPr>
        <w:pStyle w:val="FirstParagraph"/>
        <w:keepNext/>
        <w:spacing w:after="60"/>
        <w:jc w:val="both"/>
      </w:pPr>
      <w:r>
        <w:rPr>
          <w:b/>
          <w:bCs/>
        </w:rPr>
        <w:t xml:space="preserve">Art. 911.</w:t>
      </w:r>
      <w:r>
        <w:t xml:space="preserve"> </w:t>
      </w:r>
      <w:r>
        <w:t xml:space="preserve">Na execução fundada em título executivo extrajudicial que contenha obrigação alimentar, o juiz mandará citar o executado para, em 3 (três) dias, efetuar o pagamento das parcelas anteriores ao início da execução e das que se vencerem no seu curso, provar que o fez ou justificar a impossibilidade de fazê-lo.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execução de alimentos</w:t>
            </w:r>
          </w:p>
        </w:tc>
        <w:tc>
          <w:tcPr>
            <w:tcW w:type="dxa" w:w="1655"/>
          </w:tcPr>
          <w:p>
            <w:pPr>
              <w:pStyle w:val="Compact"/>
              <w:spacing w:line="276" w:lineRule="auto" w:before="40" w:after="40"/>
            </w:pPr>
            <w:r>
              <w:rPr>
                <w:rFonts w:ascii="Liberation Sans Narrow" w:hAnsi="Liberation Sans Narrow"/>
                <w:sz w:val="17"/>
              </w:rPr>
              <w:t xml:space="preserve">STJ, REsp 1.903.596, Quarta Turma, relator Min. Raul Araújo, julgado em 17/03/2026, DJEN de 02/06/2026</w:t>
            </w:r>
          </w:p>
        </w:tc>
        <w:tc>
          <w:tcPr>
            <w:tcW w:type="dxa" w:w="2030"/>
          </w:tcPr>
          <w:p>
            <w:pPr>
              <w:pStyle w:val="Compact"/>
              <w:spacing w:line="276" w:lineRule="auto" w:before="40" w:after="40"/>
            </w:pPr>
            <w:r>
              <w:rPr>
                <w:rFonts w:ascii="Liberation Sans Narrow" w:hAnsi="Liberation Sans Narrow"/>
                <w:sz w:val="17"/>
              </w:rPr>
              <w:t xml:space="preserve">As regras dos arts. 523 e 827 aplicam-se analogicamente à execução de alimentos por título extrajudicial, para a fixação dos honorários sucumbenciais, dada a omissão legal (art. 4º da Lei de Introdução).</w:t>
            </w:r>
          </w:p>
        </w:tc>
      </w:tr>
    </w:tbl>
    <w:p>
      <w:pPr>
        <w:pStyle w:val="BodyText"/>
        <w:spacing w:after="60"/>
        <w:jc w:val="both"/>
      </w:pPr>
      <w:r>
        <w:t xml:space="preserve">Parágrafo único. Aplicam-se, no que couber, os §§ 2º a 7º do art. 528.</w:t>
      </w:r>
    </w:p>
    <w:bookmarkEnd w:id="726"/>
    <w:bookmarkStart w:id="727" w:name="art.-912"/>
    <w:p>
      <w:pPr>
        <w:pStyle w:val="Heading6"/>
        <w:pBdr>
          <w:left w:val="single" w:sz="36" w:space="4" w:color="2E75B6"/>
        </w:pBdr>
        <w:shd w:val="clear" w:color="auto" w:fill="E3EEF9"/>
        <w:spacing w:before="120" w:after="60"/>
        <w:ind w:left="85"/>
      </w:pPr>
      <w:r>
        <w:rPr>
          <w:i w:val="0"/>
          <w:color w:val="1F3A5F"/>
          <w:sz w:val="22"/>
        </w:rPr>
        <w:t xml:space="preserve">Art. 912</w:t>
      </w:r>
    </w:p>
    <w:p>
      <w:pPr>
        <w:pStyle w:val="FirstParagraph"/>
        <w:spacing w:after="60"/>
        <w:jc w:val="both"/>
      </w:pPr>
      <w:r>
        <w:rPr>
          <w:b/>
          <w:bCs/>
        </w:rPr>
        <w:t xml:space="preserve">Art. 912.</w:t>
      </w:r>
      <w:r>
        <w:t xml:space="preserve"> </w:t>
      </w:r>
      <w:r>
        <w:t xml:space="preserve">Quando o executado for funcionário público, militar, diretor ou gerente de empresa, bem como empregado sujeito à legislação do trabalho, o exequente poderá requerer o desconto em folha de pagamento de pessoal da importância da prestação alimentícia.</w:t>
      </w:r>
    </w:p>
    <w:p>
      <w:pPr>
        <w:pStyle w:val="BodyText"/>
        <w:spacing w:after="60"/>
        <w:jc w:val="both"/>
      </w:pPr>
      <w:r>
        <w:t xml:space="preserve">§ 1º Ao despachar a inicial, o juiz oficiará à autoridade, à empresa ou ao empregador, determinando, sob pena de crime de desobediência, o desconto a partir da primeira remuneração posterior do executado, a contar do protocolo do ofício.</w:t>
      </w:r>
    </w:p>
    <w:p>
      <w:pPr>
        <w:pStyle w:val="BodyText"/>
        <w:spacing w:after="60"/>
        <w:jc w:val="both"/>
      </w:pPr>
      <w:r>
        <w:t xml:space="preserve">§ 2º O ofício conterá os nomes e o número de inscrição no Cadastro de Pessoas Físicas do exequente e do executado, a importância a ser descontada mensalmente, a conta na qual deve ser feito o depósito e, se for o caso, o tempo de sua duração.</w:t>
      </w:r>
    </w:p>
    <w:bookmarkEnd w:id="727"/>
    <w:bookmarkStart w:id="728" w:name="art.-913"/>
    <w:p>
      <w:pPr>
        <w:pStyle w:val="Heading6"/>
        <w:pBdr>
          <w:left w:val="single" w:sz="36" w:space="4" w:color="2E75B6"/>
        </w:pBdr>
        <w:shd w:val="clear" w:color="auto" w:fill="E3EEF9"/>
        <w:spacing w:before="120" w:after="60"/>
        <w:ind w:left="85"/>
      </w:pPr>
      <w:r>
        <w:rPr>
          <w:i w:val="0"/>
          <w:color w:val="1F3A5F"/>
          <w:sz w:val="22"/>
        </w:rPr>
        <w:t xml:space="preserve">Art. 913</w:t>
      </w:r>
    </w:p>
    <w:p>
      <w:pPr>
        <w:pStyle w:val="FirstParagraph"/>
        <w:keepNext/>
        <w:spacing w:after="60"/>
        <w:jc w:val="both"/>
      </w:pPr>
      <w:r>
        <w:rPr>
          <w:b/>
          <w:bCs/>
        </w:rPr>
        <w:t xml:space="preserve">Art. 913.</w:t>
      </w:r>
      <w:r>
        <w:t xml:space="preserve"> </w:t>
      </w:r>
      <w:r>
        <w:t xml:space="preserve">Não requerida a execução nos termos deste Capítulo, observar-se-á o disposto no art. 824 e seguintes, com a ressalva de que, recaindo a penhora em dinheiro, a concessão de efeito suspensivo aos embargos à execução não obsta a que o exequente levante mensalmente a importância da prestação.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780"/>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execução de alimentos pelo rito da quantia certa</w:t>
            </w:r>
          </w:p>
        </w:tc>
        <w:tc>
          <w:tcPr>
            <w:tcW w:type="dxa" w:w="1655"/>
          </w:tcPr>
          <w:p>
            <w:pPr>
              <w:pStyle w:val="Compact"/>
              <w:spacing w:line="276" w:lineRule="auto" w:before="40" w:after="40"/>
            </w:pPr>
            <w:r>
              <w:rPr>
                <w:rFonts w:ascii="Liberation Sans Narrow" w:hAnsi="Liberation Sans Narrow"/>
                <w:sz w:val="17"/>
              </w:rPr>
              <w:t xml:space="preserve">STJ, REsp 1.773.359, Terceira Turma, relator Min. Marco Aurélio Bellizze, julgado em 13/08/2019, DJe de 16/08/2019</w:t>
            </w:r>
          </w:p>
        </w:tc>
        <w:tc>
          <w:tcPr>
            <w:tcW w:type="dxa" w:w="1780"/>
          </w:tcPr>
          <w:p>
            <w:pPr>
              <w:pStyle w:val="Compact"/>
              <w:spacing w:line="276" w:lineRule="auto" w:before="40" w:after="40"/>
            </w:pPr>
            <w:r>
              <w:rPr>
                <w:rFonts w:ascii="Liberation Sans Narrow" w:hAnsi="Liberation Sans Narrow"/>
                <w:sz w:val="17"/>
              </w:rPr>
              <w:t xml:space="preserve">É vedado ao juiz converter de ofício o rito da prisão (art. 528, § 3º) para o da expropriação (§ 8º), pois a escolha é do credor; o pagamento parcial não afasta a prisão, e o transcurso de tempo razoável desde o ajuizamento não retira o caráter de urgência dos alimentos.</w:t>
            </w:r>
          </w:p>
        </w:tc>
      </w:tr>
    </w:tbl>
    <w:bookmarkEnd w:id="728"/>
    <w:bookmarkEnd w:id="729"/>
    <w:bookmarkEnd w:id="730"/>
    <w:bookmarkStart w:id="738" w:name="X4c31dbbeb40a98d478c05639cd91c4740b65068"/>
    <w:p>
      <w:pPr>
        <w:pStyle w:val="Heading3"/>
        <w:pBdr>
          <w:bottom w:val="single" w:sz="8" w:space="2" w:color="2E75B6"/>
        </w:pBdr>
        <w:spacing w:before="120" w:after="60"/>
      </w:pPr>
      <w:r>
        <w:rPr>
          <w:sz w:val="22"/>
        </w:rPr>
        <w:t xml:space="preserve">Título III: dos embargos à execução (arts. 914 a 920)</w:t>
      </w:r>
    </w:p>
    <w:bookmarkStart w:id="731" w:name="art.-914"/>
    <w:p>
      <w:pPr>
        <w:pStyle w:val="Heading6"/>
        <w:pBdr>
          <w:left w:val="single" w:sz="36" w:space="4" w:color="2E75B6"/>
        </w:pBdr>
        <w:shd w:val="clear" w:color="auto" w:fill="E3EEF9"/>
        <w:spacing w:before="120" w:after="60"/>
        <w:ind w:left="85"/>
      </w:pPr>
      <w:r>
        <w:rPr>
          <w:i w:val="0"/>
          <w:color w:val="1F3A5F"/>
          <w:sz w:val="22"/>
        </w:rPr>
        <w:t xml:space="preserve">Art. 914</w:t>
      </w:r>
    </w:p>
    <w:p>
      <w:pPr>
        <w:pStyle w:val="FirstParagraph"/>
        <w:spacing w:after="60"/>
        <w:jc w:val="both"/>
      </w:pPr>
      <w:r>
        <w:rPr>
          <w:b/>
          <w:bCs/>
        </w:rPr>
        <w:t xml:space="preserve">Art. 914.</w:t>
      </w:r>
      <w:r>
        <w:t xml:space="preserve"> </w:t>
      </w:r>
      <w:r>
        <w:t xml:space="preserve">O executado, independentemente de penhora, depósito ou caução, poderá se opor à execução por meio de embargos.</w:t>
      </w:r>
    </w:p>
    <w:p>
      <w:pPr>
        <w:pStyle w:val="BodyText"/>
        <w:spacing w:after="60"/>
        <w:jc w:val="both"/>
      </w:pPr>
      <w:r>
        <w:t xml:space="preserve">§ 1º Os embargos à execução serão distribuídos por dependência, autuados em apartado e instruídos com cópias das peças processuais relevantes, que poderão ser declaradas autênticas pelo próprio advogado, sob sua responsabilidade pessoal.</w:t>
      </w:r>
    </w:p>
    <w:p>
      <w:pPr>
        <w:pStyle w:val="BodyText"/>
        <w:spacing w:after="60"/>
        <w:jc w:val="both"/>
      </w:pPr>
      <w:r>
        <w:t xml:space="preserve">§ 2º Na execução por carta, os embargos serão oferecidos no juízo deprecante ou no juízo deprecado, mas a competência para julgá-los é do juízo deprecante, salvo se versarem unicamente sobre vícios ou defeitos da penhora, da avaliação ou da alienação dos bens efetuadas no juízo deprecado.</w:t>
      </w:r>
    </w:p>
    <w:bookmarkEnd w:id="731"/>
    <w:bookmarkStart w:id="732" w:name="art.-915"/>
    <w:p>
      <w:pPr>
        <w:pStyle w:val="Heading6"/>
        <w:pBdr>
          <w:left w:val="single" w:sz="36" w:space="4" w:color="2E75B6"/>
        </w:pBdr>
        <w:shd w:val="clear" w:color="auto" w:fill="E3EEF9"/>
        <w:spacing w:before="120" w:after="60"/>
        <w:ind w:left="85"/>
      </w:pPr>
      <w:r>
        <w:rPr>
          <w:i w:val="0"/>
          <w:color w:val="1F3A5F"/>
          <w:sz w:val="22"/>
        </w:rPr>
        <w:t xml:space="preserve">Art. 915</w:t>
      </w:r>
    </w:p>
    <w:p>
      <w:pPr>
        <w:pStyle w:val="FirstParagraph"/>
        <w:spacing w:after="60"/>
        <w:jc w:val="both"/>
      </w:pPr>
      <w:r>
        <w:rPr>
          <w:b/>
          <w:bCs/>
        </w:rPr>
        <w:t xml:space="preserve">Art. 915.</w:t>
      </w:r>
      <w:r>
        <w:t xml:space="preserve"> </w:t>
      </w:r>
      <w:r>
        <w:t xml:space="preserve">Os embargos serão oferecidos no prazo de 15 (quinze) dias, contado, conforme o caso, na forma do art. 231.</w:t>
      </w:r>
    </w:p>
    <w:p>
      <w:pPr>
        <w:pStyle w:val="BodyText"/>
        <w:spacing w:after="60"/>
        <w:jc w:val="both"/>
      </w:pPr>
      <w:r>
        <w:t xml:space="preserve">§ 1º Quando houver mais de um executado, o prazo para cada um deles embargar conta-se a partir da juntada do respectivo comprovante da citação, salvo no caso de cônjuges ou de companheiros, quando será contado a partir da juntada do último.</w:t>
      </w:r>
    </w:p>
    <w:p>
      <w:pPr>
        <w:pStyle w:val="BodyText"/>
        <w:spacing w:after="60"/>
        <w:jc w:val="both"/>
      </w:pPr>
      <w:r>
        <w:t xml:space="preserve">§ 2º Nas execuções por carta, o prazo para embargos será contado:</w:t>
      </w:r>
    </w:p>
    <w:p>
      <w:pPr>
        <w:pStyle w:val="BodyText"/>
        <w:spacing w:after="60"/>
        <w:jc w:val="both"/>
      </w:pPr>
      <w:r>
        <w:t xml:space="preserve">I - da juntada, na carta, da certificação da citação, quando versarem unicamente sobre vícios ou defeitos da penhora, da avaliação ou da alienação dos bens;</w:t>
      </w:r>
    </w:p>
    <w:p>
      <w:pPr>
        <w:pStyle w:val="BodyText"/>
        <w:spacing w:after="60"/>
        <w:jc w:val="both"/>
      </w:pPr>
      <w:r>
        <w:t xml:space="preserve">II - da juntada, nos autos de origem, do comunicado de que trata o § 4º deste artigo ou, não havendo este, da juntada da carta devidamente cumprida, quando versarem sobre questões diversas da prevista no inciso I deste parágrafo.</w:t>
      </w:r>
    </w:p>
    <w:p>
      <w:pPr>
        <w:pStyle w:val="BodyText"/>
        <w:spacing w:after="60"/>
        <w:jc w:val="both"/>
      </w:pPr>
      <w:r>
        <w:t xml:space="preserve">§ 3º Em relação ao prazo para oferecimento dos embargos à execução, não se aplica o disposto no art. 229.</w:t>
      </w:r>
    </w:p>
    <w:p>
      <w:pPr>
        <w:pStyle w:val="BodyText"/>
        <w:spacing w:after="60"/>
        <w:jc w:val="both"/>
      </w:pPr>
      <w:r>
        <w:t xml:space="preserve">§ 4º Nos atos de comunicação por carta precatória, rogatória ou de ordem, a realização da citação será imediatamente informada, por meio eletrônico, pelo juiz deprecado ao juiz deprecante.</w:t>
      </w:r>
    </w:p>
    <w:bookmarkEnd w:id="732"/>
    <w:bookmarkStart w:id="733" w:name="art.-916"/>
    <w:p>
      <w:pPr>
        <w:pStyle w:val="Heading6"/>
        <w:pBdr>
          <w:left w:val="single" w:sz="36" w:space="4" w:color="2E75B6"/>
        </w:pBdr>
        <w:shd w:val="clear" w:color="auto" w:fill="E3EEF9"/>
        <w:spacing w:before="120" w:after="60"/>
        <w:ind w:left="85"/>
      </w:pPr>
      <w:r>
        <w:rPr>
          <w:i w:val="0"/>
          <w:color w:val="1F3A5F"/>
          <w:sz w:val="22"/>
        </w:rPr>
        <w:t xml:space="preserve">Art. 916</w:t>
      </w:r>
    </w:p>
    <w:p>
      <w:pPr>
        <w:pStyle w:val="FirstParagraph"/>
        <w:spacing w:after="60"/>
        <w:jc w:val="both"/>
      </w:pPr>
      <w:r>
        <w:rPr>
          <w:b/>
          <w:bCs/>
        </w:rPr>
        <w:t xml:space="preserve">Art. 916.</w:t>
      </w:r>
      <w:r>
        <w:t xml:space="preserve"> </w:t>
      </w:r>
      <w:r>
        <w:t xml:space="preserve">No prazo para embargos, reconhecendo o crédito do exequente e comprovando o depósito de trinta por cento do valor em execução, acrescido de custas e de honorários de advogado, o executado poderá requerer que lhe seja permitido pagar o restante em até 6 (seis) parcelas mensais, acrescidas de correção monetária e de juros de um por cento ao mês.</w:t>
      </w:r>
    </w:p>
    <w:p>
      <w:pPr>
        <w:pStyle w:val="BodyText"/>
        <w:spacing w:after="60"/>
        <w:jc w:val="both"/>
      </w:pPr>
      <w:r>
        <w:t xml:space="preserve">§ 1º O exequente será intimado para manifestar-se sobre o preenchimento dos pressupostos do caput , e o juiz decidirá o requerimento em 5 (cinco) dias.</w:t>
      </w:r>
    </w:p>
    <w:p>
      <w:pPr>
        <w:pStyle w:val="BodyText"/>
        <w:spacing w:after="60"/>
        <w:jc w:val="both"/>
      </w:pPr>
      <w:r>
        <w:t xml:space="preserve">§ 2º Enquanto não apreciado o requerimento, o executado terá de depositar as parcelas vincendas, facultado ao exequente seu levantamento.</w:t>
      </w:r>
    </w:p>
    <w:p>
      <w:pPr>
        <w:pStyle w:val="BodyText"/>
        <w:spacing w:after="60"/>
        <w:jc w:val="both"/>
      </w:pPr>
      <w:r>
        <w:t xml:space="preserve">§ 3º Deferida a proposta, o exequente levantará a quantia depositada, e serão suspensos os atos executivos.</w:t>
      </w:r>
    </w:p>
    <w:p>
      <w:pPr>
        <w:pStyle w:val="BodyText"/>
        <w:spacing w:after="60"/>
        <w:jc w:val="both"/>
      </w:pPr>
      <w:r>
        <w:t xml:space="preserve">§ 4º Indeferida a proposta, seguir-se-ão os atos executivos, mantido o depósito, que será convertido em penhora.</w:t>
      </w:r>
    </w:p>
    <w:p>
      <w:pPr>
        <w:pStyle w:val="BodyText"/>
        <w:spacing w:after="60"/>
        <w:jc w:val="both"/>
      </w:pPr>
      <w:r>
        <w:t xml:space="preserve">§ 5º O não pagamento de qualquer das prestações acarretará cumulativamente:</w:t>
      </w:r>
    </w:p>
    <w:p>
      <w:pPr>
        <w:pStyle w:val="BodyText"/>
        <w:spacing w:after="60"/>
        <w:jc w:val="both"/>
      </w:pPr>
      <w:r>
        <w:t xml:space="preserve">I - o vencimento das prestações subsequentes e o prosseguimento do processo, com o imediato reinício dos atos executivos;</w:t>
      </w:r>
    </w:p>
    <w:p>
      <w:pPr>
        <w:pStyle w:val="BodyText"/>
        <w:spacing w:after="60"/>
        <w:jc w:val="both"/>
      </w:pPr>
      <w:r>
        <w:t xml:space="preserve">II - a imposição ao executado de multa de dez por cento sobre o valor das prestações não pagas.</w:t>
      </w:r>
    </w:p>
    <w:p>
      <w:pPr>
        <w:pStyle w:val="BodyText"/>
        <w:spacing w:after="60"/>
        <w:jc w:val="both"/>
      </w:pPr>
      <w:r>
        <w:t xml:space="preserve">§ 6º A opção pelo parcelamento de que trata este artigo importa renúncia ao direito de opor embargos</w:t>
      </w:r>
    </w:p>
    <w:p>
      <w:pPr>
        <w:pStyle w:val="BodyText"/>
        <w:spacing w:after="60"/>
        <w:jc w:val="both"/>
      </w:pPr>
      <w:r>
        <w:t xml:space="preserve">§ 7º O disposto neste artigo não se aplica ao cumprimento da sentença.</w:t>
      </w:r>
    </w:p>
    <w:bookmarkEnd w:id="733"/>
    <w:bookmarkStart w:id="734" w:name="art.-917"/>
    <w:p>
      <w:pPr>
        <w:pStyle w:val="Heading6"/>
        <w:pBdr>
          <w:left w:val="single" w:sz="36" w:space="4" w:color="2E75B6"/>
        </w:pBdr>
        <w:shd w:val="clear" w:color="auto" w:fill="E3EEF9"/>
        <w:spacing w:before="120" w:after="60"/>
        <w:ind w:left="85"/>
      </w:pPr>
      <w:r>
        <w:rPr>
          <w:i w:val="0"/>
          <w:color w:val="1F3A5F"/>
          <w:sz w:val="22"/>
        </w:rPr>
        <w:t xml:space="preserve">Art. 917</w:t>
      </w:r>
    </w:p>
    <w:p>
      <w:pPr>
        <w:pStyle w:val="FirstParagraph"/>
        <w:spacing w:after="60"/>
        <w:jc w:val="both"/>
      </w:pPr>
      <w:r>
        <w:rPr>
          <w:b/>
          <w:bCs/>
        </w:rPr>
        <w:t xml:space="preserve">Art. 917.</w:t>
      </w:r>
      <w:r>
        <w:t xml:space="preserve"> </w:t>
      </w:r>
      <w:r>
        <w:t xml:space="preserve">Nos embargos à execução, o executado poderá alegar:</w:t>
      </w:r>
    </w:p>
    <w:p>
      <w:pPr>
        <w:pStyle w:val="BodyText"/>
        <w:spacing w:after="60"/>
        <w:jc w:val="both"/>
      </w:pPr>
      <w:r>
        <w:t xml:space="preserve">I - inexequibilidade do título ou inexigibilidade da obrigação;</w:t>
      </w:r>
    </w:p>
    <w:p>
      <w:pPr>
        <w:pStyle w:val="BodyText"/>
        <w:spacing w:after="60"/>
        <w:jc w:val="both"/>
      </w:pPr>
      <w:r>
        <w:t xml:space="preserve">II - penhora incorreta ou avaliação errônea;</w:t>
      </w:r>
    </w:p>
    <w:p>
      <w:pPr>
        <w:pStyle w:val="BodyText"/>
        <w:spacing w:after="60"/>
        <w:jc w:val="both"/>
      </w:pPr>
      <w:r>
        <w:t xml:space="preserve">III - excesso de execução ou cumulação indevida de execuções;</w:t>
      </w:r>
    </w:p>
    <w:p>
      <w:pPr>
        <w:pStyle w:val="BodyText"/>
        <w:spacing w:after="60"/>
        <w:jc w:val="both"/>
      </w:pPr>
      <w:r>
        <w:t xml:space="preserve">IV - retenção por benfeitorias necessárias ou úteis, nos casos de execução para entrega de coisa certa;</w:t>
      </w:r>
    </w:p>
    <w:p>
      <w:pPr>
        <w:pStyle w:val="BodyText"/>
        <w:spacing w:after="60"/>
        <w:jc w:val="both"/>
      </w:pPr>
      <w:r>
        <w:t xml:space="preserve">V - incompetência absoluta ou relativa do juízo da execução;</w:t>
      </w:r>
    </w:p>
    <w:p>
      <w:pPr>
        <w:pStyle w:val="BodyText"/>
        <w:spacing w:after="60"/>
        <w:jc w:val="both"/>
      </w:pPr>
      <w:r>
        <w:t xml:space="preserve">VI - qualquer matéria que lhe seria lícito deduzir como defesa em processo de conhecimento.</w:t>
      </w:r>
    </w:p>
    <w:p>
      <w:pPr>
        <w:pStyle w:val="BodyText"/>
        <w:spacing w:after="60"/>
        <w:jc w:val="both"/>
      </w:pPr>
      <w:r>
        <w:t xml:space="preserve">§ 1º A incorreção da penhora ou da avaliação poderá ser impugnada por simples petição, no prazo de 15 (quinze) dias, contado da ciência do ato.</w:t>
      </w:r>
    </w:p>
    <w:p>
      <w:pPr>
        <w:pStyle w:val="BodyText"/>
        <w:spacing w:after="60"/>
        <w:jc w:val="both"/>
      </w:pPr>
      <w:r>
        <w:t xml:space="preserve">§ 2º Há excesso de execução quando:</w:t>
      </w:r>
    </w:p>
    <w:p>
      <w:pPr>
        <w:pStyle w:val="BodyText"/>
        <w:spacing w:after="60"/>
        <w:jc w:val="both"/>
      </w:pPr>
      <w:r>
        <w:t xml:space="preserve">I - o exequente pleiteia quantia superior à do título;</w:t>
      </w:r>
    </w:p>
    <w:p>
      <w:pPr>
        <w:pStyle w:val="BodyText"/>
        <w:spacing w:after="60"/>
        <w:jc w:val="both"/>
      </w:pPr>
      <w:r>
        <w:t xml:space="preserve">II - ela recai sobre coisa diversa daquela declarada no título;</w:t>
      </w:r>
    </w:p>
    <w:p>
      <w:pPr>
        <w:pStyle w:val="BodyText"/>
        <w:spacing w:after="60"/>
        <w:jc w:val="both"/>
      </w:pPr>
      <w:r>
        <w:t xml:space="preserve">III - ela se processa de modo diferente do que foi determinado no título;</w:t>
      </w:r>
    </w:p>
    <w:p>
      <w:pPr>
        <w:pStyle w:val="BodyText"/>
        <w:spacing w:after="60"/>
        <w:jc w:val="both"/>
      </w:pPr>
      <w:r>
        <w:t xml:space="preserve">IV - o exequente, sem cumprir a prestação que lhe corresponde, exige o adimplemento da prestação do executado;</w:t>
      </w:r>
    </w:p>
    <w:p>
      <w:pPr>
        <w:pStyle w:val="BodyText"/>
        <w:spacing w:after="60"/>
        <w:jc w:val="both"/>
      </w:pPr>
      <w:r>
        <w:t xml:space="preserve">V - o exequente não prova que a condição se realizou.</w:t>
      </w:r>
    </w:p>
    <w:p>
      <w:pPr>
        <w:pStyle w:val="BodyText"/>
        <w:keepNext/>
        <w:spacing w:after="60"/>
        <w:jc w:val="both"/>
      </w:pPr>
      <w:r>
        <w:t xml:space="preserve">§ 3º Quando alegar que o exequente, em excesso de execução, pleiteia quantia superior à do título, o embargante declarará na petição inicial o valor que entende correto, apresentando demonstrativo discriminado e atualizado de seu cálculo.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720"/>
        <w:gridCol w:w="1681"/>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720"/>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682"/>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 3º e 4º — excesso de execução</w:t>
            </w:r>
          </w:p>
        </w:tc>
        <w:tc>
          <w:tcPr>
            <w:tcW w:type="dxa" w:w="1720"/>
          </w:tcPr>
          <w:p>
            <w:pPr>
              <w:pStyle w:val="Compact"/>
              <w:spacing w:line="276" w:lineRule="auto" w:before="40" w:after="40"/>
            </w:pPr>
            <w:r>
              <w:rPr>
                <w:rFonts w:ascii="Liberation Sans Narrow" w:hAnsi="Liberation Sans Narrow"/>
                <w:sz w:val="17"/>
              </w:rPr>
              <w:t xml:space="preserve">STJ, AgInt no AREsp 2.287.007, Quarta Turma, relatora Min. Maria Isabel Gallotti, julgado em 13/11/2023, DJe de 17/11/2023</w:t>
            </w:r>
          </w:p>
        </w:tc>
        <w:tc>
          <w:tcPr>
            <w:tcW w:type="dxa" w:w="1682"/>
          </w:tcPr>
          <w:p>
            <w:pPr>
              <w:pStyle w:val="Compact"/>
              <w:spacing w:line="276" w:lineRule="auto" w:before="40" w:after="40"/>
            </w:pPr>
            <w:r>
              <w:rPr>
                <w:rFonts w:ascii="Liberation Sans Narrow" w:hAnsi="Liberation Sans Narrow"/>
                <w:sz w:val="17"/>
              </w:rPr>
              <w:t xml:space="preserve">Não se cogita de violação do art. 917, §§ 3º e 4º, II, quando os embargos à execução não trataram do excesso de execução.</w:t>
            </w:r>
          </w:p>
        </w:tc>
      </w:tr>
    </w:tbl>
    <w:p>
      <w:pPr>
        <w:pStyle w:val="BodyText"/>
        <w:keepNext/>
        <w:spacing w:after="60"/>
        <w:jc w:val="both"/>
      </w:pPr>
      <w:r>
        <w:t xml:space="preserve">§ 4º Não apontado o valor correto ou não apresentado o demonstrativo, os embargos à execução: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530"/>
        <w:gridCol w:w="1530"/>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 4º/I — rejeição liminar por falta de demonstrativo</w:t>
            </w:r>
          </w:p>
        </w:tc>
        <w:tc>
          <w:tcPr>
            <w:tcW w:type="dxa" w:w="1531"/>
          </w:tcPr>
          <w:p>
            <w:pPr>
              <w:pStyle w:val="Compact"/>
              <w:spacing w:line="276" w:lineRule="auto" w:before="40" w:after="40"/>
            </w:pPr>
            <w:r>
              <w:rPr>
                <w:rFonts w:ascii="Liberation Sans Narrow" w:hAnsi="Liberation Sans Narrow"/>
                <w:sz w:val="17"/>
              </w:rPr>
              <w:t xml:space="preserve">STJ, AREsp 3.119.030, Quarta Turma, relator Min. Raul Araújo, julgado em 01/06/2026</w:t>
            </w:r>
          </w:p>
        </w:tc>
        <w:tc>
          <w:tcPr>
            <w:tcW w:type="dxa" w:w="1531"/>
          </w:tcPr>
          <w:p>
            <w:pPr>
              <w:pStyle w:val="Compact"/>
              <w:spacing w:line="276" w:lineRule="auto" w:before="40" w:after="40"/>
            </w:pPr>
            <w:r>
              <w:rPr>
                <w:rFonts w:ascii="Liberation Sans Narrow" w:hAnsi="Liberation Sans Narrow"/>
                <w:sz w:val="17"/>
              </w:rPr>
              <w:t xml:space="preserve">Ao apresentar embargos à execução com pedido de revisão de encargos, compete ao embargante declarar o valor que entende correto e apresentar a respectiva memória de cálculo, sob pena de rejeição liminar dos embargos.</w:t>
            </w:r>
          </w:p>
        </w:tc>
      </w:tr>
    </w:tbl>
    <w:p>
      <w:pPr>
        <w:pStyle w:val="BodyText"/>
        <w:spacing w:after="60"/>
        <w:jc w:val="both"/>
      </w:pPr>
      <w:r>
        <w:t xml:space="preserve">I - serão liminarmente rejeitados, sem resolução de mérito, se o excesso de execução for o seu único fundamento;</w:t>
      </w:r>
    </w:p>
    <w:p>
      <w:pPr>
        <w:pStyle w:val="BodyText"/>
        <w:spacing w:after="60"/>
        <w:jc w:val="both"/>
      </w:pPr>
      <w:r>
        <w:t xml:space="preserve">II - serão processados, se houver outro fundamento, mas o juiz não examinará a alegação de excesso de execução.</w:t>
      </w:r>
    </w:p>
    <w:p>
      <w:pPr>
        <w:pStyle w:val="BodyText"/>
        <w:spacing w:after="60"/>
        <w:jc w:val="both"/>
      </w:pPr>
      <w:r>
        <w:t xml:space="preserve">§ 5º Nos embargos de retenção por benfeitorias, o exequente poderá requerer a compensação de seu valor com o dos frutos ou dos danos considerados devidos pelo executado, cumprindo ao juiz, para a apuração dos respectivos valores, nomear perito, observando-se, então, o art. 464 .</w:t>
      </w:r>
    </w:p>
    <w:p>
      <w:pPr>
        <w:pStyle w:val="BodyText"/>
        <w:spacing w:after="60"/>
        <w:jc w:val="both"/>
      </w:pPr>
      <w:r>
        <w:t xml:space="preserve">§ 6º O exequente poderá a qualquer tempo ser imitido na posse da coisa, prestando caução ou depositando o valor devido pelas benfeitorias ou resultante da compensação.</w:t>
      </w:r>
    </w:p>
    <w:p>
      <w:pPr>
        <w:pStyle w:val="BodyText"/>
        <w:spacing w:after="60"/>
        <w:jc w:val="both"/>
      </w:pPr>
      <w:r>
        <w:t xml:space="preserve">§ 7º A arguição de impedimento e suspeição observará o disposto nos arts. 146 e 148.</w:t>
      </w:r>
    </w:p>
    <w:bookmarkEnd w:id="734"/>
    <w:bookmarkStart w:id="735" w:name="art.-918"/>
    <w:p>
      <w:pPr>
        <w:pStyle w:val="Heading6"/>
        <w:pBdr>
          <w:left w:val="single" w:sz="36" w:space="4" w:color="2E75B6"/>
        </w:pBdr>
        <w:shd w:val="clear" w:color="auto" w:fill="E3EEF9"/>
        <w:spacing w:before="120" w:after="60"/>
        <w:ind w:left="85"/>
      </w:pPr>
      <w:r>
        <w:rPr>
          <w:i w:val="0"/>
          <w:color w:val="1F3A5F"/>
          <w:sz w:val="22"/>
        </w:rPr>
        <w:t xml:space="preserve">Art. 918</w:t>
      </w:r>
    </w:p>
    <w:p>
      <w:pPr>
        <w:pStyle w:val="FirstParagraph"/>
        <w:keepNext/>
        <w:spacing w:after="60"/>
        <w:jc w:val="both"/>
      </w:pPr>
      <w:r>
        <w:rPr>
          <w:b/>
          <w:bCs/>
        </w:rPr>
        <w:t xml:space="preserve">Art. 918.</w:t>
      </w:r>
      <w:r>
        <w:t xml:space="preserve"> </w:t>
      </w:r>
      <w:r>
        <w:t xml:space="preserve">O juiz rejeitará liminarmente os embargos: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2029"/>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rejeição liminar sem intimação prévia</w:t>
            </w:r>
          </w:p>
        </w:tc>
        <w:tc>
          <w:tcPr>
            <w:tcW w:type="dxa" w:w="2030"/>
          </w:tcPr>
          <w:p>
            <w:pPr>
              <w:pStyle w:val="Compact"/>
              <w:spacing w:line="276" w:lineRule="auto" w:before="40" w:after="40"/>
            </w:pPr>
            <w:r>
              <w:rPr>
                <w:rFonts w:ascii="Liberation Sans Narrow" w:hAnsi="Liberation Sans Narrow"/>
                <w:sz w:val="17"/>
              </w:rPr>
              <w:t xml:space="preserve">STJ, AgInt no AREsp 3.102.802, Quarta Turma, relator Min. Luís Carlos Gambogi (Desembargador Convocado do Tjmg), julgado em 22/04/2026</w:t>
            </w:r>
          </w:p>
        </w:tc>
        <w:tc>
          <w:tcPr>
            <w:tcW w:type="dxa" w:w="1905"/>
          </w:tcPr>
          <w:p>
            <w:pPr>
              <w:pStyle w:val="Compact"/>
              <w:spacing w:line="276" w:lineRule="auto" w:before="40" w:after="40"/>
            </w:pPr>
            <w:r>
              <w:rPr>
                <w:rFonts w:ascii="Liberation Sans Narrow" w:hAnsi="Liberation Sans Narrow"/>
                <w:sz w:val="17"/>
              </w:rPr>
              <w:t xml:space="preserve">A rejeição liminar dos embargos à execução por ausência do demonstrativo de cálculo do valor incontroverso não depende de prévia intimação da parte embargante para emenda da inicial, não havendo decisão surpresa nem ofensa aos arts. 9º, 10 e 370 do CPC.</w:t>
            </w:r>
          </w:p>
        </w:tc>
      </w:tr>
    </w:tbl>
    <w:p>
      <w:pPr>
        <w:pStyle w:val="BodyText"/>
        <w:spacing w:after="60"/>
        <w:jc w:val="both"/>
      </w:pPr>
      <w:r>
        <w:t xml:space="preserve">I - quando intempestivos;</w:t>
      </w:r>
    </w:p>
    <w:p>
      <w:pPr>
        <w:pStyle w:val="BodyText"/>
        <w:spacing w:after="60"/>
        <w:jc w:val="both"/>
      </w:pPr>
      <w:r>
        <w:t xml:space="preserve">II - nos casos de indeferimento da petição inicial e de improcedência liminar do pedido;</w:t>
      </w:r>
    </w:p>
    <w:p>
      <w:pPr>
        <w:pStyle w:val="BodyText"/>
        <w:spacing w:after="60"/>
        <w:jc w:val="both"/>
      </w:pPr>
      <w:r>
        <w:t xml:space="preserve">III - manifestamente protelatórios.</w:t>
      </w:r>
    </w:p>
    <w:p>
      <w:pPr>
        <w:pStyle w:val="BodyText"/>
        <w:spacing w:after="60"/>
        <w:jc w:val="both"/>
      </w:pPr>
      <w:r>
        <w:t xml:space="preserve">Parágrafo único. Considera-se conduta atentatória à dignidade da justiça o oferecimento de embargos manifestamente protelatórios.</w:t>
      </w:r>
    </w:p>
    <w:bookmarkEnd w:id="735"/>
    <w:bookmarkStart w:id="736" w:name="art.-919"/>
    <w:p>
      <w:pPr>
        <w:pStyle w:val="Heading6"/>
        <w:pBdr>
          <w:left w:val="single" w:sz="36" w:space="4" w:color="2E75B6"/>
        </w:pBdr>
        <w:shd w:val="clear" w:color="auto" w:fill="E3EEF9"/>
        <w:spacing w:before="120" w:after="60"/>
        <w:ind w:left="85"/>
      </w:pPr>
      <w:r>
        <w:rPr>
          <w:i w:val="0"/>
          <w:color w:val="1F3A5F"/>
          <w:sz w:val="22"/>
        </w:rPr>
        <w:t xml:space="preserve">Art. 919</w:t>
      </w:r>
    </w:p>
    <w:p>
      <w:pPr>
        <w:pStyle w:val="FirstParagraph"/>
        <w:spacing w:after="60"/>
        <w:jc w:val="both"/>
      </w:pPr>
      <w:r>
        <w:rPr>
          <w:b/>
          <w:bCs/>
        </w:rPr>
        <w:t xml:space="preserve">Art. 919.</w:t>
      </w:r>
      <w:r>
        <w:t xml:space="preserve"> </w:t>
      </w:r>
      <w:r>
        <w:t xml:space="preserve">Os embargos à execução não terão efeito suspensivo.</w:t>
      </w:r>
    </w:p>
    <w:p>
      <w:pPr>
        <w:pStyle w:val="BodyText"/>
        <w:keepNext/>
        <w:spacing w:after="60"/>
        <w:jc w:val="both"/>
      </w:pPr>
      <w:r>
        <w:t xml:space="preserve">§ 1º O juiz poderá, a requerimento do embargante, atribuir efeito suspensivo aos embargos quando verificados os requisitos para a concessão da tutela provisória e desde que a execução já esteja garantida por penhora, depósito ou caução suficientes.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746"/>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46"/>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 1º — efeito suspensivo dos embargos</w:t>
            </w:r>
          </w:p>
        </w:tc>
        <w:tc>
          <w:tcPr>
            <w:tcW w:type="dxa" w:w="1655"/>
          </w:tcPr>
          <w:p>
            <w:pPr>
              <w:pStyle w:val="Compact"/>
              <w:spacing w:line="276" w:lineRule="auto" w:before="40" w:after="40"/>
            </w:pPr>
            <w:r>
              <w:rPr>
                <w:rFonts w:ascii="Liberation Sans Narrow" w:hAnsi="Liberation Sans Narrow"/>
                <w:sz w:val="17"/>
              </w:rPr>
              <w:t xml:space="preserve">STJ, AREsp 3.133.045, Quarta Turma, relator Min. João Otávio de Noronha, julgado em 11/05/2026, DJEN de 14/05/2026</w:t>
            </w:r>
          </w:p>
        </w:tc>
        <w:tc>
          <w:tcPr>
            <w:tcW w:type="dxa" w:w="1746"/>
          </w:tcPr>
          <w:p>
            <w:pPr>
              <w:pStyle w:val="Compact"/>
              <w:spacing w:line="276" w:lineRule="auto" w:before="40" w:after="40"/>
            </w:pPr>
            <w:r>
              <w:rPr>
                <w:rFonts w:ascii="Liberation Sans Narrow" w:hAnsi="Liberation Sans Narrow"/>
                <w:sz w:val="17"/>
              </w:rPr>
              <w:t xml:space="preserve">A gratuidade da justiça não dispensa a garantia do juízo nem supre os requisitos do art. 919, § 1º: o efeito suspensivo aos embargos exige execução já garantida por penhora, depósito ou caução suficientes e a presença dos requisitos da tutela provisória.</w:t>
            </w:r>
          </w:p>
        </w:tc>
      </w:tr>
    </w:tbl>
    <w:p>
      <w:pPr>
        <w:pStyle w:val="BodyText"/>
        <w:spacing w:after="60"/>
        <w:jc w:val="both"/>
      </w:pPr>
      <w:r>
        <w:t xml:space="preserve">§ 2º Cessando as circunstâncias que a motivaram, a decisão relativa aos efeitos dos embargos poderá, a requerimento da parte, ser modificada ou revogada a qualquer tempo, em decisão fundamentada.</w:t>
      </w:r>
    </w:p>
    <w:p>
      <w:pPr>
        <w:pStyle w:val="BodyText"/>
        <w:spacing w:after="60"/>
        <w:jc w:val="both"/>
      </w:pPr>
      <w:r>
        <w:t xml:space="preserve">§ 3º Quando o efeito suspensivo atribuído aos embargos disser respeito apenas a parte do objeto da execução, esta prosseguirá quanto à parte restante.</w:t>
      </w:r>
    </w:p>
    <w:p>
      <w:pPr>
        <w:pStyle w:val="BodyText"/>
        <w:spacing w:after="60"/>
        <w:jc w:val="both"/>
      </w:pPr>
      <w:r>
        <w:t xml:space="preserve">§ 4º A concessão de efeito suspensivo aos embargos oferecidos por um dos executados não suspenderá a execução contra os que não embargaram quando o respectivo fundamento disser respeito exclusivamente ao embargante.</w:t>
      </w:r>
    </w:p>
    <w:p>
      <w:pPr>
        <w:pStyle w:val="BodyText"/>
        <w:keepNext/>
        <w:spacing w:after="60"/>
        <w:jc w:val="both"/>
      </w:pPr>
      <w:r>
        <w:t xml:space="preserve">§ 5º A concessão de efeito suspensivo não impedirá a efetivação dos atos de substituição, de reforço ou de redução da penhora e de avaliação dos bens.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530"/>
        <w:gridCol w:w="1905"/>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905"/>
          </w:tcPr>
          <w:p>
            <w:pPr>
              <w:pStyle w:val="Compact"/>
              <w:spacing w:line="276" w:lineRule="auto" w:before="40" w:after="40"/>
            </w:pPr>
            <w:r>
              <w:rPr>
                <w:rFonts w:ascii="Liberation Sans Narrow" w:hAnsi="Liberation Sans Narrow"/>
                <w:sz w:val="17"/>
              </w:rPr>
              <w:t xml:space="preserve">§ 5º — atos de substituição, reforço ou redução da penhora (aplicação narrada)</w:t>
            </w:r>
          </w:p>
        </w:tc>
        <w:tc>
          <w:tcPr>
            <w:tcW w:type="dxa" w:w="1531"/>
          </w:tcPr>
          <w:p>
            <w:pPr>
              <w:pStyle w:val="Compact"/>
              <w:spacing w:line="276" w:lineRule="auto" w:before="40" w:after="40"/>
            </w:pPr>
            <w:r>
              <w:rPr>
                <w:rFonts w:ascii="Liberation Sans Narrow" w:hAnsi="Liberation Sans Narrow"/>
                <w:sz w:val="17"/>
              </w:rPr>
              <w:t xml:space="preserve">STJ, AgInt nos EDcl no AgInt no AREsp 2.540.075, Quarta Turma, relatora Min. Maria Isabel Gallotti, julgado em 16/03/2026</w:t>
            </w:r>
          </w:p>
        </w:tc>
        <w:tc>
          <w:tcPr>
            <w:tcW w:type="dxa" w:w="1905"/>
          </w:tcPr>
          <w:p>
            <w:pPr>
              <w:pStyle w:val="Compact"/>
              <w:spacing w:line="276" w:lineRule="auto" w:before="40" w:after="40"/>
            </w:pPr>
            <w:r>
              <w:rPr>
                <w:rFonts w:ascii="Liberation Sans Narrow" w:hAnsi="Liberation Sans Narrow"/>
                <w:sz w:val="17"/>
              </w:rPr>
              <w:t xml:space="preserve">O efeito suspensivo dos embargos não impede a efetivação dos atos de substituição, de reforço ou de redução da penhora nem a avaliação dos bens (art. 919, § 5º); a execução garantida por imóveis de valor muito superior ao débito configura excesso de penhora e recomenda a substituição por dinheiro, que ocupa prioridade legal e representa menor onerosidade ao devedor (art. 835). Trecho: “Execução garantida por imóveis de valor muito superior ao débito caracteriza excesso de penhora e recomenda substituição pela penhora de dinheiro, que ocupa prioridade legal e representa menor onerosidade ao devedor (art.”</w:t>
            </w:r>
          </w:p>
        </w:tc>
      </w:tr>
    </w:tbl>
    <w:bookmarkEnd w:id="736"/>
    <w:bookmarkStart w:id="737" w:name="art.-920"/>
    <w:p>
      <w:pPr>
        <w:pStyle w:val="Heading6"/>
        <w:pBdr>
          <w:left w:val="single" w:sz="36" w:space="4" w:color="2E75B6"/>
        </w:pBdr>
        <w:shd w:val="clear" w:color="auto" w:fill="E3EEF9"/>
        <w:spacing w:before="120" w:after="60"/>
        <w:ind w:left="85"/>
      </w:pPr>
      <w:r>
        <w:rPr>
          <w:i w:val="0"/>
          <w:color w:val="1F3A5F"/>
          <w:sz w:val="22"/>
        </w:rPr>
        <w:t xml:space="preserve">Art. 920</w:t>
      </w:r>
    </w:p>
    <w:p>
      <w:pPr>
        <w:pStyle w:val="FirstParagraph"/>
        <w:spacing w:after="60"/>
        <w:jc w:val="both"/>
      </w:pPr>
      <w:r>
        <w:rPr>
          <w:b/>
          <w:bCs/>
        </w:rPr>
        <w:t xml:space="preserve">Art. 920.</w:t>
      </w:r>
      <w:r>
        <w:t xml:space="preserve"> </w:t>
      </w:r>
      <w:r>
        <w:t xml:space="preserve">Recebidos os embargos:</w:t>
      </w:r>
    </w:p>
    <w:p>
      <w:pPr>
        <w:pStyle w:val="BodyText"/>
        <w:spacing w:after="60"/>
        <w:jc w:val="both"/>
      </w:pPr>
      <w:r>
        <w:t xml:space="preserve">I - o exequente será ouvido no prazo de 15 (quinze) dias;</w:t>
      </w:r>
    </w:p>
    <w:p>
      <w:pPr>
        <w:pStyle w:val="BodyText"/>
        <w:spacing w:after="60"/>
        <w:jc w:val="both"/>
      </w:pPr>
      <w:r>
        <w:t xml:space="preserve">II - a seguir, o juiz julgará imediatamente o pedido ou designará audiência;</w:t>
      </w:r>
    </w:p>
    <w:p>
      <w:pPr>
        <w:pStyle w:val="BodyText"/>
        <w:spacing w:after="60"/>
        <w:jc w:val="both"/>
      </w:pPr>
      <w:r>
        <w:t xml:space="preserve">III - encerrada a instrução, o juiz proferirá sentença.</w:t>
      </w:r>
    </w:p>
    <w:bookmarkEnd w:id="737"/>
    <w:bookmarkEnd w:id="738"/>
    <w:bookmarkStart w:id="746" w:name="X97d55665f6e8e22cf347a2277771e6bed315f51"/>
    <w:p>
      <w:pPr>
        <w:pStyle w:val="Heading3"/>
        <w:pBdr>
          <w:bottom w:val="single" w:sz="8" w:space="2" w:color="2E75B6"/>
        </w:pBdr>
        <w:spacing w:before="120" w:after="60"/>
      </w:pPr>
      <w:r>
        <w:rPr>
          <w:sz w:val="22"/>
        </w:rPr>
        <w:t xml:space="preserve">Título IV: da suspensão e da extinção do processo de execução (arts. 921 a 925)</w:t>
      </w:r>
    </w:p>
    <w:bookmarkStart w:id="742" w:name="X53bcd610abc8c4ccf0d120c2a97445d021ba1a3"/>
    <w:p>
      <w:pPr>
        <w:pStyle w:val="Heading4"/>
        <w:spacing w:before="80" w:after="40"/>
      </w:pPr>
      <w:r>
        <w:rPr>
          <w:smallCaps/>
          <w:color w:val="2E75B6"/>
        </w:rPr>
        <w:t xml:space="preserve">Capítulo I: da suspensão do processo de execução (arts. 921 a 923)</w:t>
      </w:r>
    </w:p>
    <w:bookmarkStart w:id="739" w:name="art.-921"/>
    <w:p>
      <w:pPr>
        <w:pStyle w:val="Heading6"/>
        <w:pBdr>
          <w:left w:val="single" w:sz="36" w:space="4" w:color="2E75B6"/>
        </w:pBdr>
        <w:shd w:val="clear" w:color="auto" w:fill="E3EEF9"/>
        <w:spacing w:before="120" w:after="60"/>
        <w:ind w:left="85"/>
      </w:pPr>
      <w:r>
        <w:rPr>
          <w:i w:val="0"/>
          <w:color w:val="1F3A5F"/>
          <w:sz w:val="22"/>
        </w:rPr>
        <w:t xml:space="preserve">Art. 921</w:t>
      </w:r>
    </w:p>
    <w:p>
      <w:pPr>
        <w:pStyle w:val="FirstParagraph"/>
        <w:spacing w:after="60"/>
        <w:jc w:val="both"/>
      </w:pPr>
      <w:r>
        <w:rPr>
          <w:b/>
          <w:bCs/>
        </w:rPr>
        <w:t xml:space="preserve">Art. 921.</w:t>
      </w:r>
      <w:r>
        <w:t xml:space="preserve"> </w:t>
      </w:r>
      <w:r>
        <w:t xml:space="preserve">Suspende-se a execução:</w:t>
      </w:r>
    </w:p>
    <w:p>
      <w:pPr>
        <w:pStyle w:val="BodyText"/>
        <w:spacing w:after="60"/>
        <w:jc w:val="both"/>
      </w:pPr>
      <w:r>
        <w:t xml:space="preserve">I - nas hipóteses dos arts. 313 e 315, no que couber;</w:t>
      </w:r>
    </w:p>
    <w:p>
      <w:pPr>
        <w:pStyle w:val="BodyText"/>
        <w:spacing w:after="60"/>
        <w:jc w:val="both"/>
      </w:pPr>
      <w:r>
        <w:t xml:space="preserve">II - no todo ou em parte, quando recebidos com efeito suspensivo os embargos à execução;</w:t>
      </w:r>
    </w:p>
    <w:p>
      <w:pPr>
        <w:pStyle w:val="BodyText"/>
        <w:spacing w:after="60"/>
        <w:jc w:val="both"/>
      </w:pPr>
      <w:r>
        <w:t xml:space="preserve">III - quando não for localizado o executado ou bens penhoráveis; (Redação dada pela Lei nº 14.195, de 2021)</w:t>
      </w:r>
    </w:p>
    <w:p>
      <w:pPr>
        <w:pStyle w:val="BodyText"/>
        <w:spacing w:after="60"/>
        <w:jc w:val="both"/>
      </w:pPr>
      <w:r>
        <w:t xml:space="preserve">IV - se a alienação dos bens penhorados não se realizar por falta de licitantes e o exequente, em 15 (quinze) dias, não requerer a adjudicação nem indicar outros bens penhoráveis;</w:t>
      </w:r>
    </w:p>
    <w:p>
      <w:pPr>
        <w:pStyle w:val="BodyText"/>
        <w:spacing w:after="60"/>
        <w:jc w:val="both"/>
      </w:pPr>
      <w:r>
        <w:t xml:space="preserve">V - quando concedido o parcelamento de que trata o art. 916.</w:t>
      </w:r>
    </w:p>
    <w:p>
      <w:pPr>
        <w:pStyle w:val="BodyText"/>
        <w:spacing w:after="60"/>
        <w:jc w:val="both"/>
      </w:pPr>
      <w:r>
        <w:t xml:space="preserve">§ 1º Na hipótese do inciso III, o juiz suspenderá a execução pelo prazo de 1 (um) ano, durante o qual se suspenderá a prescrição.</w:t>
      </w:r>
    </w:p>
    <w:p>
      <w:pPr>
        <w:pStyle w:val="BodyText"/>
        <w:spacing w:after="60"/>
        <w:jc w:val="both"/>
      </w:pPr>
      <w:r>
        <w:t xml:space="preserve">§ 2º Decorrido o prazo máximo de 1 (um) ano sem que seja localizado o executado ou que sejam encontrados bens penhoráveis, o juiz ordenará o arquivamento dos autos.</w:t>
      </w:r>
    </w:p>
    <w:p>
      <w:pPr>
        <w:pStyle w:val="BodyText"/>
        <w:spacing w:after="60"/>
        <w:jc w:val="both"/>
      </w:pPr>
      <w:r>
        <w:t xml:space="preserve">§ 3º Os autos serão desarquivados para prosseguimento da execução se a qualquer tempo forem encontrados bens penhoráveis.</w:t>
      </w:r>
    </w:p>
    <w:p>
      <w:pPr>
        <w:pStyle w:val="BodyText"/>
        <w:keepNext/>
        <w:spacing w:after="60"/>
        <w:jc w:val="both"/>
      </w:pPr>
      <w:r>
        <w:t xml:space="preserve">§ 4º O termo inicial da prescrição no curso do processo será a ciência da primeira tentativa infrutífera de localização do devedor ou de bens penhoráveis, e será suspensa, por uma única vez, pelo prazo máximo previsto no § 1º deste artigo. (Redação dada pela Lei nº 14.195, de 2021)</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530"/>
        <w:gridCol w:w="1905"/>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 4º — prescrição intercorrente</w:t>
            </w:r>
          </w:p>
        </w:tc>
        <w:tc>
          <w:tcPr>
            <w:tcW w:type="dxa" w:w="1531"/>
          </w:tcPr>
          <w:p>
            <w:pPr>
              <w:pStyle w:val="Compact"/>
              <w:spacing w:line="276" w:lineRule="auto" w:before="40" w:after="40"/>
            </w:pPr>
            <w:r>
              <w:rPr>
                <w:rFonts w:ascii="Liberation Sans Narrow" w:hAnsi="Liberation Sans Narrow"/>
                <w:sz w:val="17"/>
              </w:rPr>
              <w:t xml:space="preserve">STJ, AREsp 2.983.239, Terceira Turma, relator Min. Ricardo Villas Bôas Cueva, DJe de 27/04/2026</w:t>
            </w:r>
          </w:p>
        </w:tc>
        <w:tc>
          <w:tcPr>
            <w:tcW w:type="dxa" w:w="1905"/>
          </w:tcPr>
          <w:p>
            <w:pPr>
              <w:pStyle w:val="Compact"/>
              <w:spacing w:line="276" w:lineRule="auto" w:before="40" w:after="40"/>
            </w:pPr>
            <w:r>
              <w:rPr>
                <w:rFonts w:ascii="Liberation Sans Narrow" w:hAnsi="Liberation Sans Narrow"/>
                <w:sz w:val="17"/>
              </w:rPr>
              <w:t xml:space="preserve">O regime da prescrição intercorrente introduzido pela Lei 14.195/2021 não retroage: aplica-se aos processos ajuizados após a vigência da lei ou quando a execução infrutífera ocorrer sob sua égide, e às execuções em curso em que ainda não determinada a suspensão, por força do art. 14 do CPC.</w:t>
            </w:r>
          </w:p>
        </w:tc>
      </w:tr>
    </w:tbl>
    <w:p>
      <w:pPr>
        <w:pStyle w:val="BodyText"/>
        <w:spacing w:after="60"/>
        <w:jc w:val="both"/>
      </w:pPr>
      <w:r>
        <w:t xml:space="preserve">§ 4º-A A efetiva citação, intimação do devedor ou constrição de bens penhoráveis interrompe o prazo de prescrição, que não corre pelo tempo necessário à citação e à intimação do devedor, bem como para as formalidades da constrição patrimonial, se necessária, desde que o credor cumpra os prazos previstos na lei processual ou fixados pelo juiz. (Incluído pela Lei nº 14.195, de 2021)</w:t>
      </w:r>
    </w:p>
    <w:p>
      <w:pPr>
        <w:pStyle w:val="BodyText"/>
        <w:keepNext/>
        <w:spacing w:after="60"/>
        <w:jc w:val="both"/>
      </w:pPr>
      <w:r>
        <w:t xml:space="preserve">§ 5º O juiz, depois de ouvidas as partes, no prazo de 15 (quinze) dias, poderá, de ofício, reconhecer a prescrição no curso do processo e extingui-lo, sem ônus para as partes. (Redação dada pela Lei nº 14.195, de 2021)</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531"/>
          </w:tcPr>
          <w:p>
            <w:pPr>
              <w:pStyle w:val="Compact"/>
              <w:spacing w:line="276" w:lineRule="auto" w:before="40" w:after="40"/>
            </w:pPr>
            <w:r>
              <w:rPr>
                <w:rFonts w:ascii="Liberation Sans Narrow" w:hAnsi="Liberation Sans Narrow"/>
                <w:sz w:val="17"/>
              </w:rPr>
              <w:t xml:space="preserve">§ 5º — prescrição da pretensão executória e honorários (aplicação narrada)</w:t>
            </w:r>
          </w:p>
        </w:tc>
        <w:tc>
          <w:tcPr>
            <w:tcW w:type="dxa" w:w="1531"/>
          </w:tcPr>
          <w:p>
            <w:pPr>
              <w:pStyle w:val="Compact"/>
              <w:spacing w:line="276" w:lineRule="auto" w:before="40" w:after="40"/>
            </w:pPr>
            <w:r>
              <w:rPr>
                <w:rFonts w:ascii="Liberation Sans Narrow" w:hAnsi="Liberation Sans Narrow"/>
                <w:sz w:val="17"/>
              </w:rPr>
              <w:t xml:space="preserve">STJ, AgInt no REsp 2.146.304, Quarta Turma, relatora Min. Maria Isabel Gallotti, julgado em 12/08/2026</w:t>
            </w:r>
          </w:p>
        </w:tc>
        <w:tc>
          <w:tcPr>
            <w:tcW w:type="dxa" w:w="2030"/>
          </w:tcPr>
          <w:p>
            <w:pPr>
              <w:pStyle w:val="Compact"/>
              <w:spacing w:line="276" w:lineRule="auto" w:before="40" w:after="40"/>
            </w:pPr>
            <w:r>
              <w:rPr>
                <w:rFonts w:ascii="Liberation Sans Narrow" w:hAnsi="Liberation Sans Narrow"/>
                <w:sz w:val="17"/>
              </w:rPr>
              <w:t xml:space="preserve">A pretensão de promover o cumprimento de sentença nasce com o trânsito em julgado e prescreve no mesmo prazo da ação (Súmula 150 do Supremo Tribunal Federal; art. 206, § 5º, I, do Código Civil); quando o cumprimento é requerido após consumada essa prescrição, configura-se prescrição da pretensão executória, e não prescrição intercorrente, não incidindo o art. 921, § 5º, respondendo o exequente pelos honorários por força do princípio da causalidade. Trecho: “A pretensão de promover o cumprimento de sentença nasce com o trânsito em julgado e prescreve no mesmo prazo da ação, nos termos da Súmula 150/STF e do art.”</w:t>
            </w:r>
          </w:p>
        </w:tc>
      </w:tr>
    </w:tbl>
    <w:p>
      <w:pPr>
        <w:pStyle w:val="BodyText"/>
        <w:spacing w:after="60"/>
        <w:jc w:val="both"/>
      </w:pPr>
      <w:r>
        <w:t xml:space="preserve">§ 6º A alegação de nulidade quanto ao procedimento previsto neste artigo somente será conhecida caso demonstrada a ocorrência de efetivo prejuízo, que será presumido apenas em caso de inexistência da intimação de que trata o § 4º deste artigo. (Incluído pela Lei nº 14.195, de 2021)</w:t>
      </w:r>
    </w:p>
    <w:p>
      <w:pPr>
        <w:pStyle w:val="BodyText"/>
        <w:spacing w:after="60"/>
        <w:jc w:val="both"/>
      </w:pPr>
      <w:r>
        <w:t xml:space="preserve">§ 7º Aplica-se o disposto neste artigo ao cumprimento de sentença de que trata o art. 523 deste Código. (Incluído pela Lei nº 14.195, de 2021)</w:t>
      </w:r>
    </w:p>
    <w:bookmarkEnd w:id="739"/>
    <w:bookmarkStart w:id="740" w:name="art.-922"/>
    <w:p>
      <w:pPr>
        <w:pStyle w:val="Heading6"/>
        <w:pBdr>
          <w:left w:val="single" w:sz="36" w:space="4" w:color="2E75B6"/>
        </w:pBdr>
        <w:shd w:val="clear" w:color="auto" w:fill="E3EEF9"/>
        <w:spacing w:before="120" w:after="60"/>
        <w:ind w:left="85"/>
      </w:pPr>
      <w:r>
        <w:rPr>
          <w:i w:val="0"/>
          <w:color w:val="1F3A5F"/>
          <w:sz w:val="22"/>
        </w:rPr>
        <w:t xml:space="preserve">Art. 922</w:t>
      </w:r>
    </w:p>
    <w:p>
      <w:pPr>
        <w:pStyle w:val="FirstParagraph"/>
        <w:spacing w:after="60"/>
        <w:jc w:val="both"/>
      </w:pPr>
      <w:r>
        <w:rPr>
          <w:b/>
          <w:bCs/>
        </w:rPr>
        <w:t xml:space="preserve">Art. 922.</w:t>
      </w:r>
      <w:r>
        <w:t xml:space="preserve"> </w:t>
      </w:r>
      <w:r>
        <w:t xml:space="preserve">Convindo as partes, o juiz declarará suspensa a execução durante o prazo concedido pelo exequente para que o executado cumpra voluntariamente a obrigação.</w:t>
      </w:r>
    </w:p>
    <w:p>
      <w:pPr>
        <w:pStyle w:val="BodyText"/>
        <w:spacing w:after="60"/>
        <w:jc w:val="both"/>
      </w:pPr>
      <w:r>
        <w:t xml:space="preserve">Parágrafo único. Findo o prazo sem cumprimento da obrigação, o processo retomará o seu curso.</w:t>
      </w:r>
    </w:p>
    <w:bookmarkEnd w:id="740"/>
    <w:bookmarkStart w:id="741" w:name="art.-923"/>
    <w:p>
      <w:pPr>
        <w:pStyle w:val="Heading6"/>
        <w:pBdr>
          <w:left w:val="single" w:sz="36" w:space="4" w:color="2E75B6"/>
        </w:pBdr>
        <w:shd w:val="clear" w:color="auto" w:fill="E3EEF9"/>
        <w:spacing w:before="120" w:after="60"/>
        <w:ind w:left="85"/>
      </w:pPr>
      <w:r>
        <w:rPr>
          <w:i w:val="0"/>
          <w:color w:val="1F3A5F"/>
          <w:sz w:val="22"/>
        </w:rPr>
        <w:t xml:space="preserve">Art. 923</w:t>
      </w:r>
    </w:p>
    <w:p>
      <w:pPr>
        <w:pStyle w:val="FirstParagraph"/>
        <w:spacing w:after="60"/>
        <w:jc w:val="both"/>
      </w:pPr>
      <w:r>
        <w:rPr>
          <w:b/>
          <w:bCs/>
        </w:rPr>
        <w:t xml:space="preserve">Art. 923.</w:t>
      </w:r>
      <w:r>
        <w:t xml:space="preserve"> </w:t>
      </w:r>
      <w:r>
        <w:t xml:space="preserve">Suspensa a execução, não serão praticados atos processuais, podendo o juiz, entretanto, salvo no caso de arguição de impedimento ou de suspeição, ordenar providências urgentes.</w:t>
      </w:r>
    </w:p>
    <w:bookmarkEnd w:id="741"/>
    <w:bookmarkEnd w:id="742"/>
    <w:bookmarkStart w:id="745" w:name="X58405af46b1d9363791bc4f54ac9b0443b5c73c"/>
    <w:p>
      <w:pPr>
        <w:pStyle w:val="Heading4"/>
        <w:spacing w:before="80" w:after="40"/>
      </w:pPr>
      <w:r>
        <w:rPr>
          <w:smallCaps/>
          <w:color w:val="2E75B6"/>
        </w:rPr>
        <w:t xml:space="preserve">Capítulo II: da extinção do processo de execução (arts. 924 a 925)</w:t>
      </w:r>
    </w:p>
    <w:bookmarkStart w:id="743" w:name="art.-924"/>
    <w:p>
      <w:pPr>
        <w:pStyle w:val="Heading6"/>
        <w:pBdr>
          <w:left w:val="single" w:sz="36" w:space="4" w:color="2E75B6"/>
        </w:pBdr>
        <w:shd w:val="clear" w:color="auto" w:fill="E3EEF9"/>
        <w:spacing w:before="120" w:after="60"/>
        <w:ind w:left="85"/>
      </w:pPr>
      <w:r>
        <w:rPr>
          <w:i w:val="0"/>
          <w:color w:val="1F3A5F"/>
          <w:sz w:val="22"/>
        </w:rPr>
        <w:t xml:space="preserve">Art. 924</w:t>
      </w:r>
    </w:p>
    <w:p>
      <w:pPr>
        <w:pStyle w:val="FirstParagraph"/>
        <w:spacing w:after="60"/>
        <w:jc w:val="both"/>
      </w:pPr>
      <w:r>
        <w:rPr>
          <w:b/>
          <w:bCs/>
        </w:rPr>
        <w:t xml:space="preserve">Art. 924.</w:t>
      </w:r>
      <w:r>
        <w:t xml:space="preserve"> </w:t>
      </w:r>
      <w:r>
        <w:t xml:space="preserve">Extingue-se a execução quando:</w:t>
      </w:r>
    </w:p>
    <w:p>
      <w:pPr>
        <w:pStyle w:val="BodyText"/>
        <w:spacing w:after="60"/>
        <w:jc w:val="both"/>
      </w:pPr>
      <w:r>
        <w:t xml:space="preserve">I - a petição inicial for indeferida;</w:t>
      </w:r>
    </w:p>
    <w:p>
      <w:pPr>
        <w:pStyle w:val="BodyText"/>
        <w:keepNext/>
        <w:spacing w:after="60"/>
        <w:jc w:val="both"/>
      </w:pPr>
      <w:r>
        <w:t xml:space="preserve">II - a obrigação for satisfeita;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871"/>
        <w:gridCol w:w="1530"/>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87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e inciso II — extinção da execução</w:t>
            </w:r>
          </w:p>
        </w:tc>
        <w:tc>
          <w:tcPr>
            <w:tcW w:type="dxa" w:w="1871"/>
          </w:tcPr>
          <w:p>
            <w:pPr>
              <w:pStyle w:val="Compact"/>
              <w:spacing w:line="276" w:lineRule="auto" w:before="40" w:after="40"/>
            </w:pPr>
            <w:r>
              <w:rPr>
                <w:rFonts w:ascii="Liberation Sans Narrow" w:hAnsi="Liberation Sans Narrow"/>
                <w:sz w:val="17"/>
              </w:rPr>
              <w:t xml:space="preserve">STJ, AgInt no AREsp 2.890.749, Quarta Turma, relator Min. Raul Araújo, julgado em 08/06/2026, DJEN de 12/06/2026</w:t>
            </w:r>
          </w:p>
        </w:tc>
        <w:tc>
          <w:tcPr>
            <w:tcW w:type="dxa" w:w="1531"/>
          </w:tcPr>
          <w:p>
            <w:pPr>
              <w:pStyle w:val="Compact"/>
              <w:spacing w:line="276" w:lineRule="auto" w:before="40" w:after="40"/>
            </w:pPr>
            <w:r>
              <w:rPr>
                <w:rFonts w:ascii="Liberation Sans Narrow" w:hAnsi="Liberation Sans Narrow"/>
                <w:sz w:val="17"/>
              </w:rPr>
              <w:t xml:space="preserve">A extinção da execução não se declara sem a satisfação integral da obrigação.</w:t>
            </w:r>
          </w:p>
        </w:tc>
      </w:tr>
    </w:tbl>
    <w:p>
      <w:pPr>
        <w:pStyle w:val="BodyText"/>
        <w:spacing w:after="60"/>
        <w:jc w:val="both"/>
      </w:pPr>
      <w:r>
        <w:t xml:space="preserve">III - o executado obtiver, por qualquer outro meio, a extinção total da dívida;</w:t>
      </w:r>
    </w:p>
    <w:p>
      <w:pPr>
        <w:pStyle w:val="BodyText"/>
        <w:spacing w:after="60"/>
        <w:jc w:val="both"/>
      </w:pPr>
      <w:r>
        <w:t xml:space="preserve">IV - o exequente renunciar ao crédito;</w:t>
      </w:r>
    </w:p>
    <w:p>
      <w:pPr>
        <w:pStyle w:val="BodyText"/>
        <w:spacing w:after="60"/>
        <w:jc w:val="both"/>
      </w:pPr>
      <w:r>
        <w:t xml:space="preserve">V - ocorrer a prescrição intercorrente.</w:t>
      </w:r>
    </w:p>
    <w:bookmarkEnd w:id="743"/>
    <w:bookmarkStart w:id="744" w:name="art.-925"/>
    <w:p>
      <w:pPr>
        <w:pStyle w:val="Heading6"/>
        <w:pBdr>
          <w:left w:val="single" w:sz="36" w:space="4" w:color="2E75B6"/>
        </w:pBdr>
        <w:shd w:val="clear" w:color="auto" w:fill="E3EEF9"/>
        <w:spacing w:before="120" w:after="60"/>
        <w:ind w:left="85"/>
      </w:pPr>
      <w:r>
        <w:rPr>
          <w:i w:val="0"/>
          <w:color w:val="1F3A5F"/>
          <w:sz w:val="22"/>
        </w:rPr>
        <w:t xml:space="preserve">Art. 925</w:t>
      </w:r>
    </w:p>
    <w:p>
      <w:pPr>
        <w:pStyle w:val="FirstParagraph"/>
        <w:spacing w:after="60"/>
        <w:jc w:val="both"/>
      </w:pPr>
      <w:r>
        <w:rPr>
          <w:b/>
          <w:bCs/>
        </w:rPr>
        <w:t xml:space="preserve">Art. 925.</w:t>
      </w:r>
      <w:r>
        <w:t xml:space="preserve"> </w:t>
      </w:r>
      <w:r>
        <w:t xml:space="preserve">A extinção só produz efeito quando declarada por sentença.</w:t>
      </w:r>
    </w:p>
    <w:bookmarkEnd w:id="744"/>
    <w:bookmarkEnd w:id="745"/>
    <w:bookmarkEnd w:id="746"/>
    <w:bookmarkEnd w:id="747"/>
    <w:bookmarkStart w:id="887" w:name="X364984d787c07ced8afa5b0b9373103e1f94162"/>
    <w:p>
      <w:pPr>
        <w:spacing w:before="0" w:after="0" w:line="20" w:lineRule="exact"/>
        <w:sectPr>
          <w:headerReference w:type="default" r:id="rId11"/>
          <w:footnotePr>
            <w:numRestart w:val="eachSect"/>
          </w:footnotePr>
          <w:pgSz w:w="11906" w:h="16838"/>
          <w:pgMar w:top="850" w:left="850" w:bottom="964" w:right="850"/>
          <w:cols w:num="2" w:space="340"/>
        </w:sectPr>
      </w:pPr>
    </w:p>
    <w:p>
      <w:pPr>
        <w:pStyle w:val="Heading2"/>
        <w:shd w:val="clear" w:color="auto" w:fill="1F3A5F"/>
        <w:spacing w:before="0" w:after="60"/>
        <w:ind w:left="113"/>
      </w:pPr>
      <w:r>
        <w:rPr>
          <w:color w:val="FFFFFF"/>
          <w:sz w:val="26"/>
        </w:rPr>
        <w:t xml:space="preserve">Livro III: dos processos nos tribunais e dos meios de impugnação das decisões judiciais (arts. 926 a 1.044)</w:t>
      </w:r>
    </w:p>
    <w:bookmarkStart w:id="825" w:name="X919bb712ddb871730978497dd8a2f8dd9171c92"/>
    <w:p>
      <w:pPr>
        <w:pStyle w:val="Heading3"/>
        <w:pBdr>
          <w:bottom w:val="single" w:sz="8" w:space="2" w:color="2E75B6"/>
        </w:pBdr>
        <w:spacing w:before="120" w:after="60"/>
      </w:pPr>
      <w:r>
        <w:rPr>
          <w:sz w:val="22"/>
        </w:rPr>
        <w:t xml:space="preserve">Título I: da ordem dos processos e dos processos de competência originária dos tribunais (arts. 926 a 993)</w:t>
      </w:r>
    </w:p>
    <w:bookmarkStart w:id="751" w:name="X397c4a574ee5cd08a82f3b498e55dd4f94a510c"/>
    <w:p>
      <w:pPr>
        <w:pStyle w:val="Heading4"/>
        <w:spacing w:before="80" w:after="40"/>
      </w:pPr>
      <w:r>
        <w:rPr>
          <w:smallCaps/>
          <w:color w:val="2E75B6"/>
        </w:rPr>
        <w:t xml:space="preserve">Capítulo I: disposições gerais (arts. 926 a 928)</w:t>
      </w:r>
    </w:p>
    <w:bookmarkStart w:id="748" w:name="art.-926"/>
    <w:p>
      <w:pPr>
        <w:pStyle w:val="Heading6"/>
        <w:pBdr>
          <w:left w:val="single" w:sz="36" w:space="4" w:color="2E75B6"/>
        </w:pBdr>
        <w:shd w:val="clear" w:color="auto" w:fill="E3EEF9"/>
        <w:spacing w:before="120" w:after="60"/>
        <w:ind w:left="85"/>
      </w:pPr>
      <w:r>
        <w:rPr>
          <w:i w:val="0"/>
          <w:color w:val="1F3A5F"/>
          <w:sz w:val="22"/>
        </w:rPr>
        <w:t xml:space="preserve">Art. 926</w:t>
      </w:r>
    </w:p>
    <w:p>
      <w:pPr>
        <w:pStyle w:val="FirstParagraph"/>
        <w:keepNext/>
        <w:spacing w:after="60"/>
        <w:jc w:val="both"/>
      </w:pPr>
      <w:r>
        <w:rPr>
          <w:b/>
          <w:bCs/>
        </w:rPr>
        <w:t xml:space="preserve">Art. 926.</w:t>
      </w:r>
      <w:r>
        <w:t xml:space="preserve"> </w:t>
      </w:r>
      <w:r>
        <w:t xml:space="preserve">Os tribunais devem uniformizar sua jurisprudência e mantê-la estável, íntegra e coerente.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530"/>
        <w:gridCol w:w="2029"/>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Caput — dever de uniformidade, integridade, estabilidade e coerência</w:t>
            </w:r>
          </w:p>
        </w:tc>
        <w:tc>
          <w:tcPr>
            <w:tcW w:type="dxa" w:w="1531"/>
          </w:tcPr>
          <w:p>
            <w:pPr>
              <w:pStyle w:val="Compact"/>
              <w:spacing w:line="276" w:lineRule="auto" w:before="40" w:after="40"/>
            </w:pPr>
            <w:r>
              <w:rPr>
                <w:rFonts w:ascii="Liberation Sans Narrow" w:hAnsi="Liberation Sans Narrow"/>
                <w:sz w:val="17"/>
              </w:rPr>
              <w:t xml:space="preserve">STJ, EDcl no AREsp 2.109.686, Quarta Turma, relator Min. Raul Araújo, julgado em 30/03/2026</w:t>
            </w:r>
          </w:p>
        </w:tc>
        <w:tc>
          <w:tcPr>
            <w:tcW w:type="dxa" w:w="2030"/>
          </w:tcPr>
          <w:p>
            <w:pPr>
              <w:pStyle w:val="Compact"/>
              <w:spacing w:line="276" w:lineRule="auto" w:before="40" w:after="40"/>
            </w:pPr>
            <w:r>
              <w:rPr>
                <w:rFonts w:ascii="Liberation Sans Narrow" w:hAnsi="Liberation Sans Narrow"/>
                <w:sz w:val="17"/>
              </w:rPr>
              <w:t xml:space="preserve">A alteração do julgado para adequá-lo a precedente obrigatório impõe-se também em razão do dever de uniformização, integridade, estabilidade e coerência da jurisprudência (art. 926), sobretudo quando casos idênticos relativos ao mesmo empreendimento já foram decididos no mesmo sentido. Cuidando-se de requalificação jurídica do critério de cálculo, não incide a Súmula 7.</w:t>
            </w:r>
          </w:p>
        </w:tc>
      </w:tr>
    </w:tbl>
    <w:p>
      <w:pPr>
        <w:pStyle w:val="BodyText"/>
        <w:spacing w:after="60"/>
        <w:jc w:val="both"/>
      </w:pPr>
      <w:r>
        <w:t xml:space="preserve">§ 1º Na forma estabelecida e segundo os pressupostos fixados no regimento interno, os tribunais editarão enunciados de súmula correspondentes a sua jurisprudência dominante.</w:t>
      </w:r>
    </w:p>
    <w:p>
      <w:pPr>
        <w:pStyle w:val="BodyText"/>
        <w:spacing w:after="60"/>
        <w:jc w:val="both"/>
      </w:pPr>
      <w:r>
        <w:t xml:space="preserve">§ 2º Ao editar enunciados de súmula, os tribunais devem ater-se às circunstâncias fáticas dos precedentes que motivaram sua criação.</w:t>
      </w:r>
    </w:p>
    <w:bookmarkEnd w:id="748"/>
    <w:bookmarkStart w:id="749" w:name="art.-927"/>
    <w:p>
      <w:pPr>
        <w:pStyle w:val="Heading6"/>
        <w:pBdr>
          <w:left w:val="single" w:sz="36" w:space="4" w:color="2E75B6"/>
        </w:pBdr>
        <w:shd w:val="clear" w:color="auto" w:fill="E3EEF9"/>
        <w:spacing w:before="120" w:after="60"/>
        <w:ind w:left="85"/>
      </w:pPr>
      <w:r>
        <w:rPr>
          <w:i w:val="0"/>
          <w:color w:val="1F3A5F"/>
          <w:sz w:val="22"/>
        </w:rPr>
        <w:t xml:space="preserve">Art. 927</w:t>
      </w:r>
    </w:p>
    <w:p>
      <w:pPr>
        <w:pStyle w:val="FirstParagraph"/>
        <w:keepNext/>
        <w:spacing w:after="60"/>
        <w:jc w:val="both"/>
      </w:pPr>
      <w:r>
        <w:rPr>
          <w:b/>
          <w:bCs/>
        </w:rPr>
        <w:t xml:space="preserve">Art. 927.</w:t>
      </w:r>
      <w:r>
        <w:t xml:space="preserve"> </w:t>
      </w:r>
      <w:r>
        <w:t xml:space="preserve">Os juízes e os tribunais observarão: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2029"/>
        <w:gridCol w:w="2279"/>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observância de precedentes</w:t>
            </w:r>
          </w:p>
        </w:tc>
        <w:tc>
          <w:tcPr>
            <w:tcW w:type="dxa" w:w="2030"/>
          </w:tcPr>
          <w:p>
            <w:pPr>
              <w:pStyle w:val="Compact"/>
              <w:spacing w:line="276" w:lineRule="auto" w:before="40" w:after="40"/>
            </w:pPr>
            <w:r>
              <w:rPr>
                <w:rFonts w:ascii="Liberation Sans Narrow" w:hAnsi="Liberation Sans Narrow"/>
                <w:sz w:val="17"/>
              </w:rPr>
              <w:t xml:space="preserve">STJ, AgInt no AREsp 1.834.252, Quarta Turma, relator Min. Luís Carlos Gambogi (Desembargador Convocado do Tjmg), julgado em 08/06/2026, DJEN de 12/06/2026</w:t>
            </w:r>
          </w:p>
        </w:tc>
        <w:tc>
          <w:tcPr>
            <w:tcW w:type="dxa" w:w="2279"/>
          </w:tcPr>
          <w:p>
            <w:pPr>
              <w:pStyle w:val="Compact"/>
              <w:spacing w:line="276" w:lineRule="auto" w:before="40" w:after="40"/>
            </w:pPr>
            <w:r>
              <w:rPr>
                <w:rFonts w:ascii="Liberation Sans Narrow" w:hAnsi="Liberation Sans Narrow"/>
                <w:sz w:val="17"/>
              </w:rPr>
              <w:t xml:space="preserve">Os arts. 926 e 927 consagram os deveres de estabilidade, coerência e integridade da jurisprudência, mas a sua invocação exige a indicação específica do precedente obrigatório desrespeitado e a demonstração da identidade fático-jurídica, não bastando alegação genérica.</w:t>
            </w:r>
          </w:p>
        </w:tc>
      </w:tr>
    </w:tbl>
    <w:p>
      <w:pPr>
        <w:pStyle w:val="BodyText"/>
        <w:spacing w:after="60"/>
        <w:jc w:val="both"/>
      </w:pPr>
      <w:r>
        <w:t xml:space="preserve">I - as decisões do Supremo Tribunal Federal em controle concentrado de constitucionalidade;</w:t>
      </w:r>
    </w:p>
    <w:p>
      <w:pPr>
        <w:pStyle w:val="BodyText"/>
        <w:spacing w:after="60"/>
        <w:jc w:val="both"/>
      </w:pPr>
      <w:r>
        <w:t xml:space="preserve">II - os enunciados de súmula vinculante;</w:t>
      </w:r>
    </w:p>
    <w:p>
      <w:pPr>
        <w:pStyle w:val="BodyText"/>
        <w:spacing w:after="60"/>
        <w:jc w:val="both"/>
      </w:pPr>
      <w:r>
        <w:t xml:space="preserve">III - os acórdãos em incidente de assunção de competência (IAC) ou de resolução de demandas repetitivas e em julgamento de recursos extraordinário e especial repetitivos;</w:t>
      </w:r>
    </w:p>
    <w:p>
      <w:pPr>
        <w:pStyle w:val="BodyText"/>
        <w:spacing w:after="60"/>
        <w:jc w:val="both"/>
      </w:pPr>
      <w:r>
        <w:t xml:space="preserve">III-A – os acórdãos proferidos em julgamento de recurso especial submetido ao regime da relevância da questão de direito federal infraconstitucional; (Incluído pela Lei nº 15.484, de 2026) Vigência</w:t>
      </w:r>
    </w:p>
    <w:p>
      <w:pPr>
        <w:pStyle w:val="BodyText"/>
        <w:spacing w:after="60"/>
        <w:jc w:val="both"/>
      </w:pPr>
      <w:r>
        <w:t xml:space="preserve">IV - os enunciados das súmulas do Supremo Tribunal Federal em matéria constitucional e do Superior Tribunal de Justiça em matéria infraconstitucional;</w:t>
      </w:r>
    </w:p>
    <w:p>
      <w:pPr>
        <w:pStyle w:val="BodyText"/>
        <w:spacing w:after="60"/>
        <w:jc w:val="both"/>
      </w:pPr>
      <w:r>
        <w:t xml:space="preserve">V - a orientação do plenário ou do órgão especial aos quais estiverem vinculados.</w:t>
      </w:r>
    </w:p>
    <w:p>
      <w:pPr>
        <w:pStyle w:val="BodyText"/>
        <w:spacing w:after="60"/>
        <w:jc w:val="both"/>
      </w:pPr>
      <w:r>
        <w:t xml:space="preserve">§ 1º Os juízes e os tribunais observarão o disposto no art. 10 e no art. 489, § 1º, quando decidirem com fundamento neste artigo.</w:t>
      </w:r>
    </w:p>
    <w:p>
      <w:pPr>
        <w:pStyle w:val="BodyText"/>
        <w:spacing w:after="60"/>
        <w:jc w:val="both"/>
      </w:pPr>
      <w:r>
        <w:t xml:space="preserve">§ 2º A alteração de tese jurídica adotada em enunciado de súmula ou em julgamento de casos repetitivos poderá ser precedida de audiências públicas e da participação de pessoas, órgãos ou entidades que possam contribuir para a rediscussão da tese.</w:t>
      </w:r>
    </w:p>
    <w:p>
      <w:pPr>
        <w:pStyle w:val="BodyText"/>
        <w:spacing w:after="60"/>
        <w:jc w:val="both"/>
      </w:pPr>
      <w:r>
        <w:t xml:space="preserve">§ 3º Na hipótese de alteração de jurisprudência dominante do Supremo Tribunal Federal e dos tribunais superiores ou daquela oriunda de julgamento de casos repetitivos, pode haver modulação dos efeitos da alteração no interesse social e no da segurança jurídica.</w:t>
      </w:r>
    </w:p>
    <w:p>
      <w:pPr>
        <w:pStyle w:val="BodyText"/>
        <w:spacing w:after="60"/>
        <w:jc w:val="both"/>
      </w:pPr>
      <w:r>
        <w:t xml:space="preserve">§ 4º A modificação de enunciado de súmula, de jurisprudência pacificada ou de tese adotada em julgamento de casos repetitivos observará a necessidade de fundamentação adequada e específica, considerando os princípios da segurança jurídica, da proteção da confiança e da isonomia.</w:t>
      </w:r>
    </w:p>
    <w:p>
      <w:pPr>
        <w:pStyle w:val="BodyText"/>
        <w:spacing w:after="60"/>
        <w:jc w:val="both"/>
      </w:pPr>
      <w:r>
        <w:t xml:space="preserve">§ 5º Os tribunais darão publicidade a seus precedentes, organizando-os por questão jurídica decidida e divulgando-os, preferencialmente, na rede mundial de computadores.</w:t>
      </w:r>
    </w:p>
    <w:bookmarkEnd w:id="749"/>
    <w:bookmarkStart w:id="750" w:name="art.-928"/>
    <w:p>
      <w:pPr>
        <w:pStyle w:val="Heading6"/>
        <w:pBdr>
          <w:left w:val="single" w:sz="36" w:space="4" w:color="2E75B6"/>
        </w:pBdr>
        <w:shd w:val="clear" w:color="auto" w:fill="E3EEF9"/>
        <w:spacing w:before="120" w:after="60"/>
        <w:ind w:left="85"/>
      </w:pPr>
      <w:r>
        <w:rPr>
          <w:i w:val="0"/>
          <w:color w:val="1F3A5F"/>
          <w:sz w:val="22"/>
        </w:rPr>
        <w:t xml:space="preserve">Art. 928</w:t>
      </w:r>
    </w:p>
    <w:p>
      <w:pPr>
        <w:pStyle w:val="FirstParagraph"/>
        <w:keepNext/>
        <w:spacing w:after="60"/>
        <w:jc w:val="both"/>
      </w:pPr>
      <w:r>
        <w:rPr>
          <w:b/>
          <w:bCs/>
        </w:rPr>
        <w:t xml:space="preserve">Art. 928.</w:t>
      </w:r>
      <w:r>
        <w:t xml:space="preserve"> </w:t>
      </w:r>
      <w:r>
        <w:t xml:space="preserve">Para os fins deste Código, considera-se julgamento de casos repetitivos a decisão proferida em:</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2029"/>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julgamento de casos repetitivos</w:t>
            </w:r>
          </w:p>
        </w:tc>
        <w:tc>
          <w:tcPr>
            <w:tcW w:type="dxa" w:w="1655"/>
          </w:tcPr>
          <w:p>
            <w:pPr>
              <w:pStyle w:val="Compact"/>
              <w:spacing w:line="276" w:lineRule="auto" w:before="40" w:after="40"/>
            </w:pPr>
            <w:r>
              <w:rPr>
                <w:rFonts w:ascii="Liberation Sans Narrow" w:hAnsi="Liberation Sans Narrow"/>
                <w:sz w:val="17"/>
              </w:rPr>
              <w:t xml:space="preserve">STJ, REsp 1.869.867, Segunda Turma, relator Min. Og Fernandes, julgado em 20/04/2021, DJe de 03/05/2021</w:t>
            </w:r>
          </w:p>
        </w:tc>
        <w:tc>
          <w:tcPr>
            <w:tcW w:type="dxa" w:w="2030"/>
          </w:tcPr>
          <w:p>
            <w:pPr>
              <w:pStyle w:val="Compact"/>
              <w:spacing w:line="276" w:lineRule="auto" w:before="40" w:after="40"/>
            </w:pPr>
            <w:r>
              <w:rPr>
                <w:rFonts w:ascii="Liberation Sans Narrow" w:hAnsi="Liberation Sans Narrow"/>
                <w:sz w:val="17"/>
              </w:rPr>
              <w:t xml:space="preserve">Interpostos recurso extraordinário e recurso especial contra o acórdão do incidente de resolução de demandas repetitivas, o efeito suspensivo é automático (arts. 982, § 5º, e 987, §§ 1º e 2º), devendo aguardar-se o julgamento pelos tribunais superiores.</w:t>
            </w:r>
          </w:p>
        </w:tc>
      </w:tr>
    </w:tbl>
    <w:p>
      <w:pPr>
        <w:pStyle w:val="BodyText"/>
        <w:spacing w:after="60"/>
        <w:jc w:val="both"/>
      </w:pPr>
      <w:r>
        <w:t xml:space="preserve">I - incidente de resolução de demandas repetitivas;</w:t>
      </w:r>
    </w:p>
    <w:p>
      <w:pPr>
        <w:pStyle w:val="BodyText"/>
        <w:spacing w:after="60"/>
        <w:jc w:val="both"/>
      </w:pPr>
      <w:r>
        <w:t xml:space="preserve">II - recursos especial e extraordinário repetitivos.</w:t>
      </w:r>
    </w:p>
    <w:p>
      <w:pPr>
        <w:pStyle w:val="BodyText"/>
        <w:spacing w:after="60"/>
        <w:jc w:val="both"/>
      </w:pPr>
      <w:r>
        <w:t xml:space="preserve">Parágrafo único. O julgamento de casos repetitivos tem por objeto questão de direito material ou processual.</w:t>
      </w:r>
    </w:p>
    <w:bookmarkEnd w:id="750"/>
    <w:bookmarkEnd w:id="751"/>
    <w:bookmarkStart w:id="770" w:name="Xaa4c2b6c7234ca9e0b1f1347970d3d1f9e2ba9c"/>
    <w:p>
      <w:pPr>
        <w:pStyle w:val="Heading4"/>
        <w:spacing w:before="80" w:after="40"/>
      </w:pPr>
      <w:r>
        <w:rPr>
          <w:smallCaps/>
          <w:color w:val="2E75B6"/>
        </w:rPr>
        <w:t xml:space="preserve">Capítulo II: da ordem dos processos no tribunal (arts. 929 a 946)</w:t>
      </w:r>
    </w:p>
    <w:bookmarkStart w:id="752" w:name="art.-929"/>
    <w:p>
      <w:pPr>
        <w:pStyle w:val="Heading6"/>
        <w:pBdr>
          <w:left w:val="single" w:sz="36" w:space="4" w:color="2E75B6"/>
        </w:pBdr>
        <w:shd w:val="clear" w:color="auto" w:fill="E3EEF9"/>
        <w:spacing w:before="120" w:after="60"/>
        <w:ind w:left="85"/>
      </w:pPr>
      <w:r>
        <w:rPr>
          <w:i w:val="0"/>
          <w:color w:val="1F3A5F"/>
          <w:sz w:val="22"/>
        </w:rPr>
        <w:t xml:space="preserve">Art. 929</w:t>
      </w:r>
    </w:p>
    <w:p>
      <w:pPr>
        <w:pStyle w:val="FirstParagraph"/>
        <w:spacing w:after="60"/>
        <w:jc w:val="both"/>
      </w:pPr>
      <w:r>
        <w:rPr>
          <w:b/>
          <w:bCs/>
        </w:rPr>
        <w:t xml:space="preserve">Art. 929.</w:t>
      </w:r>
      <w:r>
        <w:t xml:space="preserve"> </w:t>
      </w:r>
      <w:r>
        <w:t xml:space="preserve">Os autos serão registrados no protocolo do tribunal no dia de sua entrada, cabendo à secretaria ordená-los, com imediata distribuição.</w:t>
      </w:r>
    </w:p>
    <w:p>
      <w:pPr>
        <w:pStyle w:val="BodyText"/>
        <w:spacing w:after="60"/>
        <w:jc w:val="both"/>
      </w:pPr>
      <w:r>
        <w:t xml:space="preserve">Parágrafo único. A critério do tribunal, os serviços de protocolo poderão ser descentralizados, mediante delegação a ofícios de justiça de primeiro grau.</w:t>
      </w:r>
    </w:p>
    <w:bookmarkEnd w:id="752"/>
    <w:bookmarkStart w:id="753" w:name="art.-930"/>
    <w:p>
      <w:pPr>
        <w:pStyle w:val="Heading6"/>
        <w:pBdr>
          <w:left w:val="single" w:sz="36" w:space="4" w:color="2E75B6"/>
        </w:pBdr>
        <w:shd w:val="clear" w:color="auto" w:fill="E3EEF9"/>
        <w:spacing w:before="120" w:after="60"/>
        <w:ind w:left="85"/>
      </w:pPr>
      <w:r>
        <w:rPr>
          <w:i w:val="0"/>
          <w:color w:val="1F3A5F"/>
          <w:sz w:val="22"/>
        </w:rPr>
        <w:t xml:space="preserve">Art. 930</w:t>
      </w:r>
    </w:p>
    <w:p>
      <w:pPr>
        <w:pStyle w:val="FirstParagraph"/>
        <w:keepNext/>
        <w:spacing w:after="60"/>
        <w:jc w:val="both"/>
      </w:pPr>
      <w:r>
        <w:rPr>
          <w:b/>
          <w:bCs/>
        </w:rPr>
        <w:t xml:space="preserve">Art. 930.</w:t>
      </w:r>
      <w:r>
        <w:t xml:space="preserve"> </w:t>
      </w:r>
      <w:r>
        <w:t xml:space="preserve">Far-se-á a distribuição de acordo com o regimento interno do tribunal, observando-se a alternatividade, o sorteio eletrônico e a publicidade.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530"/>
        <w:gridCol w:w="2835"/>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83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Caput — distribuição conforme o regimento interno</w:t>
            </w:r>
          </w:p>
        </w:tc>
        <w:tc>
          <w:tcPr>
            <w:tcW w:type="dxa" w:w="1531"/>
          </w:tcPr>
          <w:p>
            <w:pPr>
              <w:pStyle w:val="Compact"/>
              <w:spacing w:line="276" w:lineRule="auto" w:before="40" w:after="40"/>
            </w:pPr>
            <w:r>
              <w:rPr>
                <w:rFonts w:ascii="Liberation Sans Narrow" w:hAnsi="Liberation Sans Narrow"/>
                <w:sz w:val="17"/>
              </w:rPr>
              <w:t xml:space="preserve">STJ, EDcl no AgRg no RMS 77.943, Quinta Turma, relator Min. Joel Ilan Paciornik, julgado em 04/08/2026</w:t>
            </w:r>
          </w:p>
        </w:tc>
        <w:tc>
          <w:tcPr>
            <w:tcW w:type="dxa" w:w="2835"/>
          </w:tcPr>
          <w:p>
            <w:pPr>
              <w:pStyle w:val="Compact"/>
              <w:spacing w:line="276" w:lineRule="auto" w:before="40" w:after="40"/>
            </w:pPr>
            <w:r>
              <w:rPr>
                <w:rFonts w:ascii="Liberation Sans Narrow" w:hAnsi="Liberation Sans Narrow"/>
                <w:sz w:val="17"/>
              </w:rPr>
              <w:t xml:space="preserve">A distribuição do feito entre órgãos de mesma hierarquia é matéria regimental: qualquer Grupo de Câmaras Criminais tem competência para apreciar as revisões criminais das Câmaras, com distribuição por sorteio ou prevenção dentre os Grupos. A prevenção do desembargador-relator na Câmara em que julgada a apelação não se estende a órgão jurisdicional diverso do mesmo tribunal.</w:t>
            </w:r>
          </w:p>
        </w:tc>
      </w:tr>
    </w:tbl>
    <w:p>
      <w:pPr>
        <w:pStyle w:val="BodyText"/>
        <w:spacing w:after="60"/>
        <w:jc w:val="both"/>
      </w:pPr>
      <w:r>
        <w:t xml:space="preserve">Parágrafo único. O primeiro recurso protocolado no tribunal tornará prevento o relator para eventual recurso subsequente interposto no mesmo processo ou em processo conexo.</w:t>
      </w:r>
    </w:p>
    <w:bookmarkEnd w:id="753"/>
    <w:bookmarkStart w:id="754" w:name="art.-931"/>
    <w:p>
      <w:pPr>
        <w:pStyle w:val="Heading6"/>
        <w:pBdr>
          <w:left w:val="single" w:sz="36" w:space="4" w:color="2E75B6"/>
        </w:pBdr>
        <w:shd w:val="clear" w:color="auto" w:fill="E3EEF9"/>
        <w:spacing w:before="120" w:after="60"/>
        <w:ind w:left="85"/>
      </w:pPr>
      <w:r>
        <w:rPr>
          <w:i w:val="0"/>
          <w:color w:val="1F3A5F"/>
          <w:sz w:val="22"/>
        </w:rPr>
        <w:t xml:space="preserve">Art. 931</w:t>
      </w:r>
    </w:p>
    <w:p>
      <w:pPr>
        <w:pStyle w:val="FirstParagraph"/>
        <w:spacing w:after="60"/>
        <w:jc w:val="both"/>
      </w:pPr>
      <w:r>
        <w:rPr>
          <w:b/>
          <w:bCs/>
        </w:rPr>
        <w:t xml:space="preserve">Art. 931.</w:t>
      </w:r>
      <w:r>
        <w:t xml:space="preserve"> </w:t>
      </w:r>
      <w:r>
        <w:t xml:space="preserve">Distribuídos, os autos serão imediatamente conclusos ao relator, que, em 30 (trinta) dias, depois de elaborar o voto, restituí-los-á, com relatório, à secretaria.</w:t>
      </w:r>
    </w:p>
    <w:bookmarkEnd w:id="754"/>
    <w:bookmarkStart w:id="755" w:name="art.-932"/>
    <w:p>
      <w:pPr>
        <w:pStyle w:val="Heading6"/>
        <w:pBdr>
          <w:left w:val="single" w:sz="36" w:space="4" w:color="2E75B6"/>
        </w:pBdr>
        <w:shd w:val="clear" w:color="auto" w:fill="E3EEF9"/>
        <w:spacing w:before="120" w:after="60"/>
        <w:ind w:left="85"/>
      </w:pPr>
      <w:r>
        <w:rPr>
          <w:i w:val="0"/>
          <w:color w:val="1F3A5F"/>
          <w:sz w:val="22"/>
        </w:rPr>
        <w:t xml:space="preserve">Art. 932</w:t>
      </w:r>
    </w:p>
    <w:p>
      <w:pPr>
        <w:pStyle w:val="FirstParagraph"/>
        <w:keepNext/>
        <w:spacing w:after="60"/>
        <w:jc w:val="both"/>
      </w:pPr>
      <w:r>
        <w:rPr>
          <w:b/>
          <w:bCs/>
        </w:rPr>
        <w:t xml:space="preserve">Art. 932.</w:t>
      </w:r>
      <w:r>
        <w:t xml:space="preserve"> </w:t>
      </w:r>
      <w:r>
        <w:t xml:space="preserve">Incumbe ao relator: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1655"/>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decisão monocrática do relator</w:t>
            </w:r>
          </w:p>
        </w:tc>
        <w:tc>
          <w:tcPr>
            <w:tcW w:type="dxa" w:w="1655"/>
          </w:tcPr>
          <w:p>
            <w:pPr>
              <w:pStyle w:val="Compact"/>
              <w:spacing w:line="276" w:lineRule="auto" w:before="40" w:after="40"/>
            </w:pPr>
            <w:r>
              <w:rPr>
                <w:rFonts w:ascii="Liberation Sans Narrow" w:hAnsi="Liberation Sans Narrow"/>
                <w:sz w:val="17"/>
              </w:rPr>
              <w:t xml:space="preserve">STJ, AgInt no AREsp 3.087.923, Terceira Turma, relator Min. Humberto Martins, julgado em 22/06/2026, DJEN de 25/06/2026</w:t>
            </w:r>
          </w:p>
        </w:tc>
        <w:tc>
          <w:tcPr>
            <w:tcW w:type="dxa" w:w="1655"/>
          </w:tcPr>
          <w:p>
            <w:pPr>
              <w:pStyle w:val="Compact"/>
              <w:spacing w:line="276" w:lineRule="auto" w:before="40" w:after="40"/>
            </w:pPr>
            <w:r>
              <w:rPr>
                <w:rFonts w:ascii="Liberation Sans Narrow" w:hAnsi="Liberation Sans Narrow"/>
                <w:sz w:val="17"/>
              </w:rPr>
              <w:t xml:space="preserve">A confirmação da decisão monocrática do relator pelo órgão colegiado afasta a alegada nulidade por violação do art. 932.</w:t>
            </w:r>
          </w:p>
        </w:tc>
      </w:tr>
    </w:tbl>
    <w:p>
      <w:pPr>
        <w:pStyle w:val="BodyText"/>
        <w:spacing w:after="60"/>
        <w:jc w:val="both"/>
      </w:pPr>
      <w:r>
        <w:t xml:space="preserve">I - dirigir e ordenar o processo no tribunal, inclusive em relação à produção de prova, bem como, quando for o caso, homologar autocomposição das partes;</w:t>
      </w:r>
    </w:p>
    <w:p>
      <w:pPr>
        <w:pStyle w:val="BodyText"/>
        <w:spacing w:after="60"/>
        <w:jc w:val="both"/>
      </w:pPr>
      <w:r>
        <w:t xml:space="preserve">II - apreciar o pedido de tutela provisória nos recursos e nos processos de competência originária do tribunal;</w:t>
      </w:r>
    </w:p>
    <w:p>
      <w:pPr>
        <w:pStyle w:val="BodyText"/>
        <w:keepNext/>
        <w:spacing w:after="60"/>
        <w:jc w:val="both"/>
      </w:pPr>
      <w:r>
        <w:t xml:space="preserve">III - não conhecer de recurso inadmissível, prejudicado ou que não tenha impugnado especificamente os fundamentos da decisão recorrida;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404"/>
        <w:gridCol w:w="1530"/>
        <w:gridCol w:w="2404"/>
      </w:tblGrid>
      <w:tr>
        <w:trPr>
          <w:tblHeader w:val="on"/>
          <w:cantSplit/>
          <w:tblHeader/>
        </w:trPr>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404"/>
          </w:tcPr>
          <w:p>
            <w:pPr>
              <w:pStyle w:val="Compact"/>
              <w:spacing w:line="276" w:lineRule="auto" w:before="40" w:after="40"/>
            </w:pPr>
            <w:r>
              <w:rPr>
                <w:rFonts w:ascii="Liberation Sans Narrow" w:hAnsi="Liberation Sans Narrow"/>
                <w:sz w:val="17"/>
              </w:rPr>
              <w:t xml:space="preserve">III e IV — decisão monocrática que aplica jurisprudência consolidada e reconhece a inadmissibilidade manifesta (aplicação narrada)</w:t>
            </w:r>
          </w:p>
        </w:tc>
        <w:tc>
          <w:tcPr>
            <w:tcW w:type="dxa" w:w="1531"/>
          </w:tcPr>
          <w:p>
            <w:pPr>
              <w:pStyle w:val="Compact"/>
              <w:spacing w:line="276" w:lineRule="auto" w:before="40" w:after="40"/>
            </w:pPr>
            <w:r>
              <w:rPr>
                <w:rFonts w:ascii="Liberation Sans Narrow" w:hAnsi="Liberation Sans Narrow"/>
                <w:sz w:val="17"/>
              </w:rPr>
              <w:t xml:space="preserve">STJ, AgInt no AREsp 3.107.379, Quinta Turma, relatora Min. Daniela Teixeira, julgado em 30/06/2026</w:t>
            </w:r>
          </w:p>
        </w:tc>
        <w:tc>
          <w:tcPr>
            <w:tcW w:type="dxa" w:w="2404"/>
          </w:tcPr>
          <w:p>
            <w:pPr>
              <w:pStyle w:val="Compact"/>
              <w:spacing w:line="276" w:lineRule="auto" w:before="40" w:after="40"/>
            </w:pPr>
            <w:r>
              <w:rPr>
                <w:rFonts w:ascii="Liberation Sans Narrow" w:hAnsi="Liberation Sans Narrow"/>
                <w:sz w:val="17"/>
              </w:rPr>
              <w:t xml:space="preserve">É legítima a decisão monocrática do relator que aplica jurisprudência consolidada e reconhece a inadmissibilidade manifesta do recurso, nos termos dos incisos III e IV do art. 932 e da Súmula 568 do Superior Tribunal de Justiça. Trecho: “É legítima a decisão monocrática do relator que aplica jurisprudência consolidada e inadmissibilidade manifesta, nos termos do art.”</w:t>
            </w:r>
          </w:p>
        </w:tc>
      </w:tr>
    </w:tbl>
    <w:p>
      <w:pPr>
        <w:pStyle w:val="BodyText"/>
        <w:spacing w:after="60"/>
        <w:jc w:val="both"/>
      </w:pPr>
      <w:r>
        <w:t xml:space="preserve">IV - negar provimento a recurso que for contrário a:</w:t>
      </w:r>
    </w:p>
    <w:p>
      <w:pPr>
        <w:pStyle w:val="BodyText"/>
        <w:spacing w:after="60"/>
        <w:jc w:val="both"/>
      </w:pPr>
      <w:r>
        <w:t xml:space="preserve">a) súmula do Supremo Tribunal Federal, do Superior Tribunal de Justiça ou do próprio tribunal;</w:t>
      </w:r>
    </w:p>
    <w:p>
      <w:pPr>
        <w:pStyle w:val="BodyText"/>
        <w:spacing w:after="60"/>
        <w:jc w:val="both"/>
      </w:pPr>
      <w:r>
        <w:t xml:space="preserve">b) acórdão proferido pelo Supremo Tribunal Federal ou pelo Superior Tribunal de Justiça em julgamento de recursos repetitivos ou de recursos especiais com a relevância da questão de direito federal infraconstitucional reconhecida; (Redação dada pela Lei nº 15.484, de 2026) Vigência</w:t>
      </w:r>
    </w:p>
    <w:p>
      <w:pPr>
        <w:pStyle w:val="BodyText"/>
        <w:spacing w:after="60"/>
        <w:jc w:val="both"/>
      </w:pPr>
      <w:r>
        <w:t xml:space="preserve">c) entendimento firmado em incidente de resolução de demandas repetitivas ou de assunção de competência;</w:t>
      </w:r>
    </w:p>
    <w:p>
      <w:pPr>
        <w:pStyle w:val="BodyText"/>
        <w:spacing w:after="60"/>
        <w:jc w:val="both"/>
      </w:pPr>
      <w:r>
        <w:t xml:space="preserve">V - depois de facultada a apresentação de contrarrazões, dar provimento ao recurso se a decisão recorrida for contrária a:</w:t>
      </w:r>
    </w:p>
    <w:p>
      <w:pPr>
        <w:pStyle w:val="BodyText"/>
        <w:spacing w:after="60"/>
        <w:jc w:val="both"/>
      </w:pPr>
      <w:r>
        <w:t xml:space="preserve">a) súmula do Supremo Tribunal Federal, do Superior Tribunal de Justiça ou do próprio tribunal;</w:t>
      </w:r>
    </w:p>
    <w:p>
      <w:pPr>
        <w:pStyle w:val="BodyText"/>
        <w:spacing w:after="60"/>
        <w:jc w:val="both"/>
      </w:pPr>
      <w:r>
        <w:t xml:space="preserve">b) acórdão proferido pelo Supremo Tribunal Federal ou pelo Superior Tribunal de Justiça em julgamento de recursos repetitivos ou de recursos especiais com a relevância da questão de direito federal infraconstitucional reconhecida; (Redação dada pela Lei nº 15.484, de 2026) Vigência</w:t>
      </w:r>
    </w:p>
    <w:p>
      <w:pPr>
        <w:pStyle w:val="BodyText"/>
        <w:spacing w:after="60"/>
        <w:jc w:val="both"/>
      </w:pPr>
      <w:r>
        <w:t xml:space="preserve">c) entendimento firmado em incidente de resolução de demandas repetitivas ou de assunção de competência;</w:t>
      </w:r>
    </w:p>
    <w:p>
      <w:pPr>
        <w:pStyle w:val="BodyText"/>
        <w:spacing w:after="60"/>
        <w:jc w:val="both"/>
      </w:pPr>
      <w:r>
        <w:t xml:space="preserve">VI - decidir o incidente de desconsideração da personalidade jurídica, quando este for instaurado originariamente perante o tribunal;</w:t>
      </w:r>
    </w:p>
    <w:p>
      <w:pPr>
        <w:pStyle w:val="BodyText"/>
        <w:spacing w:after="60"/>
        <w:jc w:val="both"/>
      </w:pPr>
      <w:r>
        <w:t xml:space="preserve">VII - determinar a intimação do Ministério Público, quando for o caso;</w:t>
      </w:r>
    </w:p>
    <w:p>
      <w:pPr>
        <w:pStyle w:val="BodyText"/>
        <w:spacing w:after="60"/>
        <w:jc w:val="both"/>
      </w:pPr>
      <w:r>
        <w:t xml:space="preserve">VIII - exercer outras atribuições estabelecidas no regimento interno do tribunal.</w:t>
      </w:r>
    </w:p>
    <w:p>
      <w:pPr>
        <w:pStyle w:val="BodyText"/>
        <w:spacing w:after="60"/>
        <w:jc w:val="both"/>
      </w:pPr>
      <w:r>
        <w:t xml:space="preserve">Parágrafo único. Antes de considerar inadmissível o recurso, o relator concederá o prazo de 5 (cinco) dias ao recorrente para que seja sanado vício ou complementada a documentação exigível.</w:t>
      </w:r>
    </w:p>
    <w:bookmarkEnd w:id="755"/>
    <w:bookmarkStart w:id="756" w:name="art.-933"/>
    <w:p>
      <w:pPr>
        <w:pStyle w:val="Heading6"/>
        <w:pBdr>
          <w:left w:val="single" w:sz="36" w:space="4" w:color="2E75B6"/>
        </w:pBdr>
        <w:shd w:val="clear" w:color="auto" w:fill="E3EEF9"/>
        <w:spacing w:before="120" w:after="60"/>
        <w:ind w:left="85"/>
      </w:pPr>
      <w:r>
        <w:rPr>
          <w:i w:val="0"/>
          <w:color w:val="1F3A5F"/>
          <w:sz w:val="22"/>
        </w:rPr>
        <w:t xml:space="preserve">Art. 933</w:t>
      </w:r>
    </w:p>
    <w:p>
      <w:pPr>
        <w:pStyle w:val="FirstParagraph"/>
        <w:keepNext/>
        <w:spacing w:after="60"/>
        <w:jc w:val="both"/>
      </w:pPr>
      <w:r>
        <w:rPr>
          <w:b/>
          <w:bCs/>
        </w:rPr>
        <w:t xml:space="preserve">Art. 933.</w:t>
      </w:r>
      <w:r>
        <w:t xml:space="preserve"> </w:t>
      </w:r>
      <w:r>
        <w:t xml:space="preserve">Se o relator constatar a ocorrência de fato superveniente à decisão recorrida ou a existência de questão apreciável de ofício ainda não examinada que devam ser considerados no julgamento do recurso, intimará as partes para que se manifestem no prazo de 5 (cinco) dias.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530"/>
        <w:gridCol w:w="1905"/>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Caput — fato superveniente no julgamento do recurso</w:t>
            </w:r>
          </w:p>
        </w:tc>
        <w:tc>
          <w:tcPr>
            <w:tcW w:type="dxa" w:w="1531"/>
          </w:tcPr>
          <w:p>
            <w:pPr>
              <w:pStyle w:val="Compact"/>
              <w:spacing w:line="276" w:lineRule="auto" w:before="40" w:after="40"/>
            </w:pPr>
            <w:r>
              <w:rPr>
                <w:rFonts w:ascii="Liberation Sans Narrow" w:hAnsi="Liberation Sans Narrow"/>
                <w:sz w:val="17"/>
              </w:rPr>
              <w:t xml:space="preserve">STJ, REsp 2.221.166, Terceira Turma, relatora Min. Nancy Andrighi, julgado em 18/08/2026</w:t>
            </w:r>
          </w:p>
        </w:tc>
        <w:tc>
          <w:tcPr>
            <w:tcW w:type="dxa" w:w="1905"/>
          </w:tcPr>
          <w:p>
            <w:pPr>
              <w:pStyle w:val="Compact"/>
              <w:spacing w:line="276" w:lineRule="auto" w:before="40" w:after="40"/>
            </w:pPr>
            <w:r>
              <w:rPr>
                <w:rFonts w:ascii="Liberation Sans Narrow" w:hAnsi="Liberation Sans Narrow"/>
                <w:sz w:val="17"/>
              </w:rPr>
              <w:t xml:space="preserve">O surgimento de fato novo, nos termos do art. 933, não desfaz o ato processual já consumado de ampliação do colegiado na forma do art. 942. O fato superveniente deve ser submetido ao colegiado ampliado, a quem incumbe apreciar todo o conteúdo da apelação.</w:t>
            </w:r>
          </w:p>
        </w:tc>
      </w:tr>
    </w:tbl>
    <w:p>
      <w:pPr>
        <w:pStyle w:val="BodyText"/>
        <w:spacing w:after="60"/>
        <w:jc w:val="both"/>
      </w:pPr>
      <w:r>
        <w:t xml:space="preserve">§ 1º Se a constatação ocorrer durante a sessão de julgamento, esse será imediatamente suspenso a fim de que as partes se manifestem especificamente.</w:t>
      </w:r>
    </w:p>
    <w:p>
      <w:pPr>
        <w:pStyle w:val="BodyText"/>
        <w:spacing w:after="60"/>
        <w:jc w:val="both"/>
      </w:pPr>
      <w:r>
        <w:t xml:space="preserve">§ 2º Se a constatação se der em vista dos autos, deverá o juiz que a solicitou encaminhá-los ao relator, que tomará as providências previstas no caput e, em seguida, solicitará a inclusão do feito em pauta para prosseguimento do julgamento, com submissão integral da nova questão aos julgadores.</w:t>
      </w:r>
    </w:p>
    <w:bookmarkEnd w:id="756"/>
    <w:bookmarkStart w:id="757" w:name="art.-934"/>
    <w:p>
      <w:pPr>
        <w:pStyle w:val="Heading6"/>
        <w:pBdr>
          <w:left w:val="single" w:sz="36" w:space="4" w:color="2E75B6"/>
        </w:pBdr>
        <w:shd w:val="clear" w:color="auto" w:fill="E3EEF9"/>
        <w:spacing w:before="120" w:after="60"/>
        <w:ind w:left="85"/>
      </w:pPr>
      <w:r>
        <w:rPr>
          <w:i w:val="0"/>
          <w:color w:val="1F3A5F"/>
          <w:sz w:val="22"/>
        </w:rPr>
        <w:t xml:space="preserve">Art. 934</w:t>
      </w:r>
    </w:p>
    <w:p>
      <w:pPr>
        <w:pStyle w:val="FirstParagraph"/>
        <w:keepNext/>
        <w:spacing w:after="60"/>
        <w:jc w:val="both"/>
      </w:pPr>
      <w:r>
        <w:rPr>
          <w:b/>
          <w:bCs/>
        </w:rPr>
        <w:t xml:space="preserve">Art. 934.</w:t>
      </w:r>
      <w:r>
        <w:t xml:space="preserve"> </w:t>
      </w:r>
      <w:r>
        <w:t xml:space="preserve">Em seguida, os autos serão apresentados ao presidente, que designará dia para julgamento, ordenando, em todas as hipóteses previstas neste Livro, a publicação da pauta no órgão oficial.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80"/>
        <w:gridCol w:w="1721"/>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80"/>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21"/>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designação de dia para julgamento</w:t>
            </w:r>
          </w:p>
        </w:tc>
        <w:tc>
          <w:tcPr>
            <w:tcW w:type="dxa" w:w="1680"/>
          </w:tcPr>
          <w:p>
            <w:pPr>
              <w:pStyle w:val="Compact"/>
              <w:spacing w:line="276" w:lineRule="auto" w:before="40" w:after="40"/>
            </w:pPr>
            <w:r>
              <w:rPr>
                <w:rFonts w:ascii="Liberation Sans Narrow" w:hAnsi="Liberation Sans Narrow"/>
                <w:sz w:val="17"/>
              </w:rPr>
              <w:t xml:space="preserve">STJ, AREsp 3.184.455, Terceira Turma, relator Min. Moura Ribeiro, julgado em 22/06/2026, DJEN de 01/07/2026</w:t>
            </w:r>
          </w:p>
        </w:tc>
        <w:tc>
          <w:tcPr>
            <w:tcW w:type="dxa" w:w="1721"/>
          </w:tcPr>
          <w:p>
            <w:pPr>
              <w:pStyle w:val="Compact"/>
              <w:spacing w:line="276" w:lineRule="auto" w:before="40" w:after="40"/>
            </w:pPr>
            <w:r>
              <w:rPr>
                <w:rFonts w:ascii="Liberation Sans Narrow" w:hAnsi="Liberation Sans Narrow"/>
                <w:sz w:val="17"/>
              </w:rPr>
              <w:t xml:space="preserve">O julgamento virtual sem publicação prévia da pauta, na forma dos arts. 934 e 935, acarreta nulidade do julgado.</w:t>
            </w:r>
          </w:p>
        </w:tc>
      </w:tr>
    </w:tbl>
    <w:bookmarkEnd w:id="757"/>
    <w:bookmarkStart w:id="758" w:name="art.-935"/>
    <w:p>
      <w:pPr>
        <w:pStyle w:val="Heading6"/>
        <w:pBdr>
          <w:left w:val="single" w:sz="36" w:space="4" w:color="2E75B6"/>
        </w:pBdr>
        <w:shd w:val="clear" w:color="auto" w:fill="E3EEF9"/>
        <w:spacing w:before="120" w:after="60"/>
        <w:ind w:left="85"/>
      </w:pPr>
      <w:r>
        <w:rPr>
          <w:i w:val="0"/>
          <w:color w:val="1F3A5F"/>
          <w:sz w:val="22"/>
        </w:rPr>
        <w:t xml:space="preserve">Art. 935</w:t>
      </w:r>
    </w:p>
    <w:p>
      <w:pPr>
        <w:pStyle w:val="FirstParagraph"/>
        <w:spacing w:after="60"/>
        <w:jc w:val="both"/>
      </w:pPr>
      <w:r>
        <w:rPr>
          <w:b/>
          <w:bCs/>
        </w:rPr>
        <w:t xml:space="preserve">Art. 935.</w:t>
      </w:r>
      <w:r>
        <w:t xml:space="preserve"> </w:t>
      </w:r>
      <w:r>
        <w:t xml:space="preserve">Entre a data de publicação da pauta e a da sessão de julgamento decorrerá, pelo menos, o prazo de 5 (cinco) dias, incluindo-se em nova pauta os processos que não tenham sido julgados, salvo aqueles cujo julgamento tiver sido expressamente adiado para a primeira sessão seguinte.</w:t>
      </w:r>
    </w:p>
    <w:p>
      <w:pPr>
        <w:pStyle w:val="BodyText"/>
        <w:spacing w:after="60"/>
        <w:jc w:val="both"/>
      </w:pPr>
      <w:r>
        <w:t xml:space="preserve">§ 1º Às partes será permitida vista dos autos em cartório após a publicação da pauta de julgamento.</w:t>
      </w:r>
    </w:p>
    <w:p>
      <w:pPr>
        <w:pStyle w:val="BodyText"/>
        <w:spacing w:after="60"/>
        <w:jc w:val="both"/>
      </w:pPr>
      <w:r>
        <w:t xml:space="preserve">§ 2º Afixar-se-á a pauta na entrada da sala em que se realizar a sessão de julgamento.</w:t>
      </w:r>
    </w:p>
    <w:bookmarkEnd w:id="758"/>
    <w:bookmarkStart w:id="759" w:name="art.-936"/>
    <w:p>
      <w:pPr>
        <w:pStyle w:val="Heading6"/>
        <w:pBdr>
          <w:left w:val="single" w:sz="36" w:space="4" w:color="2E75B6"/>
        </w:pBdr>
        <w:shd w:val="clear" w:color="auto" w:fill="E3EEF9"/>
        <w:spacing w:before="120" w:after="60"/>
        <w:ind w:left="85"/>
      </w:pPr>
      <w:r>
        <w:rPr>
          <w:i w:val="0"/>
          <w:color w:val="1F3A5F"/>
          <w:sz w:val="22"/>
        </w:rPr>
        <w:t xml:space="preserve">Art. 936</w:t>
      </w:r>
    </w:p>
    <w:p>
      <w:pPr>
        <w:pStyle w:val="FirstParagraph"/>
        <w:spacing w:after="60"/>
        <w:jc w:val="both"/>
      </w:pPr>
      <w:r>
        <w:rPr>
          <w:b/>
          <w:bCs/>
        </w:rPr>
        <w:t xml:space="preserve">Art. 936.</w:t>
      </w:r>
      <w:r>
        <w:t xml:space="preserve"> </w:t>
      </w:r>
      <w:r>
        <w:t xml:space="preserve">Ressalvadas as preferências legais e regimentais, os recursos, a remessa necessária e os processos de competência originária serão julgados na seguinte ordem:</w:t>
      </w:r>
    </w:p>
    <w:p>
      <w:pPr>
        <w:pStyle w:val="BodyText"/>
        <w:spacing w:after="60"/>
        <w:jc w:val="both"/>
      </w:pPr>
      <w:r>
        <w:t xml:space="preserve">I - aqueles nos quais houver sustentação oral, observada a ordem dos requerimentos;</w:t>
      </w:r>
    </w:p>
    <w:p>
      <w:pPr>
        <w:pStyle w:val="BodyText"/>
        <w:spacing w:after="60"/>
        <w:jc w:val="both"/>
      </w:pPr>
      <w:r>
        <w:t xml:space="preserve">II - os requerimentos de preferência apresentados até o início da sessão de julgamento;</w:t>
      </w:r>
    </w:p>
    <w:p>
      <w:pPr>
        <w:pStyle w:val="BodyText"/>
        <w:spacing w:after="60"/>
        <w:jc w:val="both"/>
      </w:pPr>
      <w:r>
        <w:t xml:space="preserve">III - aqueles cujo julgamento tenha iniciado em sessão anterior; e</w:t>
      </w:r>
    </w:p>
    <w:p>
      <w:pPr>
        <w:pStyle w:val="BodyText"/>
        <w:spacing w:after="60"/>
        <w:jc w:val="both"/>
      </w:pPr>
      <w:r>
        <w:t xml:space="preserve">IV - os demais casos.</w:t>
      </w:r>
    </w:p>
    <w:bookmarkEnd w:id="759"/>
    <w:bookmarkStart w:id="760" w:name="art.-937"/>
    <w:p>
      <w:pPr>
        <w:pStyle w:val="Heading6"/>
        <w:pBdr>
          <w:left w:val="single" w:sz="36" w:space="4" w:color="2E75B6"/>
        </w:pBdr>
        <w:shd w:val="clear" w:color="auto" w:fill="E3EEF9"/>
        <w:spacing w:before="120" w:after="60"/>
        <w:ind w:left="85"/>
      </w:pPr>
      <w:r>
        <w:rPr>
          <w:i w:val="0"/>
          <w:color w:val="1F3A5F"/>
          <w:sz w:val="22"/>
        </w:rPr>
        <w:t xml:space="preserve">Art. 937</w:t>
      </w:r>
    </w:p>
    <w:p>
      <w:pPr>
        <w:pStyle w:val="FirstParagraph"/>
        <w:keepNext/>
        <w:spacing w:after="60"/>
        <w:jc w:val="both"/>
      </w:pPr>
      <w:r>
        <w:rPr>
          <w:b/>
          <w:bCs/>
        </w:rPr>
        <w:t xml:space="preserve">Art. 937.</w:t>
      </w:r>
      <w:r>
        <w:t xml:space="preserve"> </w:t>
      </w:r>
      <w:r>
        <w:t xml:space="preserve">Na sessão de julgamento, depois da exposição da causa pelo relator, o presidente dará a palavra, sucessivamente, ao recorrente, ao recorrido e, nos casos de sua intervenção, ao membro do Ministério Público, pelo prazo improrrogável de 15 (quinze) minutos para cada um, a fim de sustentarem suas razões, nas seguintes hipóteses, nos termos da parte final do caput do art. 1.021:</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1746"/>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46"/>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sustentação oral</w:t>
            </w:r>
          </w:p>
        </w:tc>
        <w:tc>
          <w:tcPr>
            <w:tcW w:type="dxa" w:w="1531"/>
          </w:tcPr>
          <w:p>
            <w:pPr>
              <w:pStyle w:val="Compact"/>
              <w:spacing w:line="276" w:lineRule="auto" w:before="40" w:after="40"/>
            </w:pPr>
            <w:r>
              <w:rPr>
                <w:rFonts w:ascii="Liberation Sans Narrow" w:hAnsi="Liberation Sans Narrow"/>
                <w:sz w:val="17"/>
              </w:rPr>
              <w:t xml:space="preserve">STJ, EDcl no AREsp 2.288.038, Corte Especial, relator Min. Joel Ilan Paciornik, DJe de 27/10/2023</w:t>
            </w:r>
          </w:p>
        </w:tc>
        <w:tc>
          <w:tcPr>
            <w:tcW w:type="dxa" w:w="1746"/>
          </w:tcPr>
          <w:p>
            <w:pPr>
              <w:pStyle w:val="Compact"/>
              <w:spacing w:line="276" w:lineRule="auto" w:before="40" w:after="40"/>
            </w:pPr>
            <w:r>
              <w:rPr>
                <w:rFonts w:ascii="Liberation Sans Narrow" w:hAnsi="Liberation Sans Narrow"/>
                <w:sz w:val="17"/>
              </w:rPr>
              <w:t xml:space="preserve">Não cabe sustentação oral no agravo regimental contra decisão monocrática que julgou o agravo em recurso especial: o art. 937 não prevê a sustentação no julgamento do agravo em recurso especial, e o art. 7º, § 2º-B, da Lei 8.906/1994 não alcança essa hipótese.</w:t>
            </w:r>
          </w:p>
        </w:tc>
      </w:tr>
    </w:tbl>
    <w:p>
      <w:pPr>
        <w:pStyle w:val="BodyText"/>
        <w:spacing w:after="60"/>
        <w:jc w:val="both"/>
      </w:pPr>
      <w:r>
        <w:t xml:space="preserve">I - no recurso de apelação;</w:t>
      </w:r>
    </w:p>
    <w:p>
      <w:pPr>
        <w:pStyle w:val="BodyText"/>
        <w:spacing w:after="60"/>
        <w:jc w:val="both"/>
      </w:pPr>
      <w:r>
        <w:t xml:space="preserve">II - no recurso ordinário;</w:t>
      </w:r>
    </w:p>
    <w:p>
      <w:pPr>
        <w:pStyle w:val="BodyText"/>
        <w:spacing w:after="60"/>
        <w:jc w:val="both"/>
      </w:pPr>
      <w:r>
        <w:t xml:space="preserve">III - no recurso especial;</w:t>
      </w:r>
    </w:p>
    <w:p>
      <w:pPr>
        <w:pStyle w:val="BodyText"/>
        <w:spacing w:after="60"/>
        <w:jc w:val="both"/>
      </w:pPr>
      <w:r>
        <w:t xml:space="preserve">IV - no recurso extraordinário;</w:t>
      </w:r>
    </w:p>
    <w:p>
      <w:pPr>
        <w:pStyle w:val="BodyText"/>
        <w:spacing w:after="60"/>
        <w:jc w:val="both"/>
      </w:pPr>
      <w:r>
        <w:t xml:space="preserve">V - nos embargos de divergência;</w:t>
      </w:r>
    </w:p>
    <w:p>
      <w:pPr>
        <w:pStyle w:val="BodyText"/>
        <w:spacing w:after="60"/>
        <w:jc w:val="both"/>
      </w:pPr>
      <w:r>
        <w:t xml:space="preserve">VI - na ação rescisória, no mandado de segurança e na reclamação;</w:t>
      </w:r>
    </w:p>
    <w:p>
      <w:pPr>
        <w:pStyle w:val="BodyText"/>
        <w:spacing w:after="60"/>
        <w:jc w:val="both"/>
      </w:pPr>
      <w:r>
        <w:t xml:space="preserve">VII - (VETADO);</w:t>
      </w:r>
    </w:p>
    <w:p>
      <w:pPr>
        <w:pStyle w:val="BodyText"/>
        <w:spacing w:after="60"/>
        <w:jc w:val="both"/>
      </w:pPr>
      <w:r>
        <w:t xml:space="preserve">VIII - no agravo de instrumento interposto contra decisões interlocutórias que versem sobre tutelas provisórias de urgência ou da evidência;</w:t>
      </w:r>
    </w:p>
    <w:p>
      <w:pPr>
        <w:pStyle w:val="BodyText"/>
        <w:spacing w:after="60"/>
        <w:jc w:val="both"/>
      </w:pPr>
      <w:r>
        <w:t xml:space="preserve">IX - em outras hipóteses previstas em lei ou no regimento interno do tribunal.</w:t>
      </w:r>
    </w:p>
    <w:p>
      <w:pPr>
        <w:pStyle w:val="BodyText"/>
        <w:spacing w:after="60"/>
        <w:jc w:val="both"/>
      </w:pPr>
      <w:r>
        <w:t xml:space="preserve">§ 1º A sustentação oral no incidente de resolução de demandas repetitivas observará o disposto no art. 984, no que couber.</w:t>
      </w:r>
    </w:p>
    <w:p>
      <w:pPr>
        <w:pStyle w:val="BodyText"/>
        <w:spacing w:after="60"/>
        <w:jc w:val="both"/>
      </w:pPr>
      <w:r>
        <w:t xml:space="preserve">§ 2º O procurador que desejar proferir sustentação oral poderá requerer, até o início da sessão, que o processo seja julgado em primeiro lugar, sem prejuízo das preferências legais.</w:t>
      </w:r>
    </w:p>
    <w:p>
      <w:pPr>
        <w:pStyle w:val="BodyText"/>
        <w:spacing w:after="60"/>
        <w:jc w:val="both"/>
      </w:pPr>
      <w:r>
        <w:t xml:space="preserve">§ 3º Nos processos de competência originária previstos no inciso VI, caberá sustentação oral no agravo interno interposto contra decisão de relator que o extinga.</w:t>
      </w:r>
    </w:p>
    <w:p>
      <w:pPr>
        <w:pStyle w:val="BodyText"/>
        <w:spacing w:after="60"/>
        <w:jc w:val="both"/>
      </w:pPr>
      <w:r>
        <w:t xml:space="preserve">§ 4º É permitido ao advogado com domicílio profissional em cidade diversa daquela onde está sediado o tribunal realizar sustentação oral por meio de videoconferência ou outro recurso tecnológico de transmissão de sons e imagens em tempo real, desde que o requeira até o dia anterior ao da sessão.</w:t>
      </w:r>
    </w:p>
    <w:bookmarkEnd w:id="760"/>
    <w:bookmarkStart w:id="761" w:name="art.-938"/>
    <w:p>
      <w:pPr>
        <w:pStyle w:val="Heading6"/>
        <w:pBdr>
          <w:left w:val="single" w:sz="36" w:space="4" w:color="2E75B6"/>
        </w:pBdr>
        <w:shd w:val="clear" w:color="auto" w:fill="E3EEF9"/>
        <w:spacing w:before="120" w:after="60"/>
        <w:ind w:left="85"/>
      </w:pPr>
      <w:r>
        <w:rPr>
          <w:i w:val="0"/>
          <w:color w:val="1F3A5F"/>
          <w:sz w:val="22"/>
        </w:rPr>
        <w:t xml:space="preserve">Art. 938</w:t>
      </w:r>
    </w:p>
    <w:p>
      <w:pPr>
        <w:pStyle w:val="FirstParagraph"/>
        <w:spacing w:after="60"/>
        <w:jc w:val="both"/>
      </w:pPr>
      <w:r>
        <w:rPr>
          <w:b/>
          <w:bCs/>
        </w:rPr>
        <w:t xml:space="preserve">Art. 938.</w:t>
      </w:r>
      <w:r>
        <w:t xml:space="preserve"> </w:t>
      </w:r>
      <w:r>
        <w:t xml:space="preserve">A questão preliminar suscitada no julgamento será decidida antes do mérito, deste não se conhecendo caso seja incompatível com a decisão.</w:t>
      </w:r>
    </w:p>
    <w:p>
      <w:pPr>
        <w:pStyle w:val="BodyText"/>
        <w:spacing w:after="60"/>
        <w:jc w:val="both"/>
      </w:pPr>
      <w:r>
        <w:t xml:space="preserve">§ 1º Constatada a ocorrência de vício sanável, inclusive aquele que possa ser conhecido de ofício, o relator determinará a realização ou a renovação do ato processual, no próprio tribunal ou em primeiro grau de jurisdição, intimadas as partes.</w:t>
      </w:r>
    </w:p>
    <w:p>
      <w:pPr>
        <w:pStyle w:val="BodyText"/>
        <w:spacing w:after="60"/>
        <w:jc w:val="both"/>
      </w:pPr>
      <w:r>
        <w:t xml:space="preserve">§ 2º Cumprida a diligência de que trata o § 1º, o relator, sempre que possível, prosseguirá no julgamento do recurso.</w:t>
      </w:r>
    </w:p>
    <w:p>
      <w:pPr>
        <w:pStyle w:val="BodyText"/>
        <w:spacing w:after="60"/>
        <w:jc w:val="both"/>
      </w:pPr>
      <w:r>
        <w:t xml:space="preserve">§ 3º Reconhecida a necessidade de produção de prova, o relator converterá o julgamento em diligência, que se realizará no tribunal ou em primeiro grau de jurisdição, decidindo-se o recurso após a conclusão da instrução.</w:t>
      </w:r>
    </w:p>
    <w:p>
      <w:pPr>
        <w:pStyle w:val="BodyText"/>
        <w:spacing w:after="60"/>
        <w:jc w:val="both"/>
      </w:pPr>
      <w:r>
        <w:t xml:space="preserve">§ 4º Quando não determinadas pelo relator, as providências indicadas nos §§ 1º e 3º poderão ser determinadas pelo órgão competente para julgamento do recurso.</w:t>
      </w:r>
    </w:p>
    <w:bookmarkEnd w:id="761"/>
    <w:bookmarkStart w:id="762" w:name="art.-939"/>
    <w:p>
      <w:pPr>
        <w:pStyle w:val="Heading6"/>
        <w:pBdr>
          <w:left w:val="single" w:sz="36" w:space="4" w:color="2E75B6"/>
        </w:pBdr>
        <w:shd w:val="clear" w:color="auto" w:fill="E3EEF9"/>
        <w:spacing w:before="120" w:after="60"/>
        <w:ind w:left="85"/>
      </w:pPr>
      <w:r>
        <w:rPr>
          <w:i w:val="0"/>
          <w:color w:val="1F3A5F"/>
          <w:sz w:val="22"/>
        </w:rPr>
        <w:t xml:space="preserve">Art. 939</w:t>
      </w:r>
    </w:p>
    <w:p>
      <w:pPr>
        <w:pStyle w:val="FirstParagraph"/>
        <w:spacing w:after="60"/>
        <w:jc w:val="both"/>
      </w:pPr>
      <w:r>
        <w:rPr>
          <w:b/>
          <w:bCs/>
        </w:rPr>
        <w:t xml:space="preserve">Art. 939.</w:t>
      </w:r>
      <w:r>
        <w:t xml:space="preserve"> </w:t>
      </w:r>
      <w:r>
        <w:t xml:space="preserve">Se a preliminar for rejeitada ou se a apreciação do mérito for com ela compatível, seguir-se-ão a discussão e o julgamento da matéria principal, sobre a qual deverão se pronunciar os juízes vencidos na preliminar.</w:t>
      </w:r>
    </w:p>
    <w:bookmarkEnd w:id="762"/>
    <w:bookmarkStart w:id="763" w:name="art.-940"/>
    <w:p>
      <w:pPr>
        <w:pStyle w:val="Heading6"/>
        <w:pBdr>
          <w:left w:val="single" w:sz="36" w:space="4" w:color="2E75B6"/>
        </w:pBdr>
        <w:shd w:val="clear" w:color="auto" w:fill="E3EEF9"/>
        <w:spacing w:before="120" w:after="60"/>
        <w:ind w:left="85"/>
      </w:pPr>
      <w:r>
        <w:rPr>
          <w:i w:val="0"/>
          <w:color w:val="1F3A5F"/>
          <w:sz w:val="22"/>
        </w:rPr>
        <w:t xml:space="preserve">Art. 940</w:t>
      </w:r>
    </w:p>
    <w:p>
      <w:pPr>
        <w:pStyle w:val="FirstParagraph"/>
        <w:spacing w:after="60"/>
        <w:jc w:val="both"/>
      </w:pPr>
      <w:r>
        <w:rPr>
          <w:b/>
          <w:bCs/>
        </w:rPr>
        <w:t xml:space="preserve">Art. 940.</w:t>
      </w:r>
      <w:r>
        <w:t xml:space="preserve"> </w:t>
      </w:r>
      <w:r>
        <w:t xml:space="preserve">O relator ou outro juiz que não se considerar habilitado a proferir imediatamente seu voto poderá solicitar vista pelo prazo máximo de 10 (dez) dias, após o qual o recurso será reincluído em pauta para julgamento na sessão seguinte à data da devolução.</w:t>
      </w:r>
    </w:p>
    <w:p>
      <w:pPr>
        <w:pStyle w:val="BodyText"/>
        <w:spacing w:after="60"/>
        <w:jc w:val="both"/>
      </w:pPr>
      <w:r>
        <w:t xml:space="preserve">§ 1º Se os autos não forem devolvidos tempestivamente ou se não for solicitada pelo juiz prorrogação de prazo de no máximo mais 10 (dez) dias, o presidente do órgão fracionário os requisitará para julgamento do recurso na sessão ordinária subsequente, com publicação da pauta em que for incluído.</w:t>
      </w:r>
    </w:p>
    <w:p>
      <w:pPr>
        <w:pStyle w:val="BodyText"/>
        <w:spacing w:after="60"/>
        <w:jc w:val="both"/>
      </w:pPr>
      <w:r>
        <w:t xml:space="preserve">§ 2º Quando requisitar os autos na forma do § 1º, se aquele que fez o pedido de vista ainda não se sentir habilitado a votar, o presidente convocará substituto para proferir voto, na forma estabelecida no regimento interno do tribunal.</w:t>
      </w:r>
    </w:p>
    <w:bookmarkEnd w:id="763"/>
    <w:bookmarkStart w:id="764" w:name="art.-941"/>
    <w:p>
      <w:pPr>
        <w:pStyle w:val="Heading6"/>
        <w:pBdr>
          <w:left w:val="single" w:sz="36" w:space="4" w:color="2E75B6"/>
        </w:pBdr>
        <w:shd w:val="clear" w:color="auto" w:fill="E3EEF9"/>
        <w:spacing w:before="120" w:after="60"/>
        <w:ind w:left="85"/>
      </w:pPr>
      <w:r>
        <w:rPr>
          <w:i w:val="0"/>
          <w:color w:val="1F3A5F"/>
          <w:sz w:val="22"/>
        </w:rPr>
        <w:t xml:space="preserve">Art. 941</w:t>
      </w:r>
    </w:p>
    <w:p>
      <w:pPr>
        <w:pStyle w:val="FirstParagraph"/>
        <w:spacing w:after="60"/>
        <w:jc w:val="both"/>
      </w:pPr>
      <w:r>
        <w:rPr>
          <w:b/>
          <w:bCs/>
        </w:rPr>
        <w:t xml:space="preserve">Art. 941.</w:t>
      </w:r>
      <w:r>
        <w:t xml:space="preserve"> </w:t>
      </w:r>
      <w:r>
        <w:t xml:space="preserve">Proferidos os votos, o presidente anunciará o resultado do julgamento, designando para redigir o acórdão o relator ou, se vencido este, o autor do primeiro voto vencedor.</w:t>
      </w:r>
    </w:p>
    <w:p>
      <w:pPr>
        <w:pStyle w:val="BodyText"/>
        <w:spacing w:after="60"/>
        <w:jc w:val="both"/>
      </w:pPr>
      <w:r>
        <w:t xml:space="preserve">§ 1º O voto poderá ser alterado até o momento da proclamação do resultado pelo presidente, salvo aquele já proferido por juiz afastado ou substituído.</w:t>
      </w:r>
    </w:p>
    <w:p>
      <w:pPr>
        <w:pStyle w:val="BodyText"/>
        <w:spacing w:after="60"/>
        <w:jc w:val="both"/>
      </w:pPr>
      <w:r>
        <w:t xml:space="preserve">§ 2º No julgamento de apelação ou de agravo de instrumento, a decisão será tomada, no órgão colegiado, pelo voto de 3 (três) juízes.</w:t>
      </w:r>
    </w:p>
    <w:p>
      <w:pPr>
        <w:pStyle w:val="BodyText"/>
        <w:spacing w:after="60"/>
        <w:jc w:val="both"/>
      </w:pPr>
      <w:r>
        <w:t xml:space="preserve">§ 3º O voto vencido será necessariamente declarado e considerado parte integrante do acórdão para todos os fins legais, inclusive de pré-questionamento.</w:t>
      </w:r>
    </w:p>
    <w:bookmarkEnd w:id="764"/>
    <w:bookmarkStart w:id="765" w:name="art.-942"/>
    <w:p>
      <w:pPr>
        <w:pStyle w:val="Heading6"/>
        <w:pBdr>
          <w:left w:val="single" w:sz="36" w:space="4" w:color="2E75B6"/>
        </w:pBdr>
        <w:shd w:val="clear" w:color="auto" w:fill="E3EEF9"/>
        <w:spacing w:before="120" w:after="60"/>
        <w:ind w:left="85"/>
      </w:pPr>
      <w:r>
        <w:rPr>
          <w:i w:val="0"/>
          <w:color w:val="1F3A5F"/>
          <w:sz w:val="22"/>
        </w:rPr>
        <w:t xml:space="preserve">Art. 942</w:t>
      </w:r>
    </w:p>
    <w:p>
      <w:pPr>
        <w:pStyle w:val="FirstParagraph"/>
        <w:keepNext/>
        <w:spacing w:after="60"/>
        <w:jc w:val="both"/>
      </w:pPr>
      <w:r>
        <w:rPr>
          <w:b/>
          <w:bCs/>
        </w:rPr>
        <w:t xml:space="preserve">Art. 942.</w:t>
      </w:r>
      <w:r>
        <w:t xml:space="preserve"> </w:t>
      </w:r>
      <w:r>
        <w:t xml:space="preserve">Quando o resultado da apelação for não unânime, o julgamento terá prosseguimento em sessão a ser designada com a presença de outros julgadores, que serão convocados nos termos previamente definidos no regimento interno, em número suficiente para garantir a possibilidade de inversão do resultado inicial, assegurado às partes e a eventuais terceiros o direito de sustentar oralmente suas razões perante os novos julgadores.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extensão da técnica ao julgamento não unânime do agravo interno e dos embargos de declaração</w:t>
            </w:r>
          </w:p>
        </w:tc>
        <w:tc>
          <w:tcPr>
            <w:tcW w:type="dxa" w:w="1531"/>
          </w:tcPr>
          <w:p>
            <w:pPr>
              <w:pStyle w:val="Compact"/>
              <w:spacing w:line="276" w:lineRule="auto" w:before="40" w:after="40"/>
            </w:pPr>
            <w:r>
              <w:rPr>
                <w:rFonts w:ascii="Liberation Sans Narrow" w:hAnsi="Liberation Sans Narrow"/>
                <w:sz w:val="17"/>
              </w:rPr>
              <w:t xml:space="preserve">STJ, REsp 2.213.902, Segunda Turma, relator Min. Francisco Falcão, julgado em 03/03/2026</w:t>
            </w:r>
          </w:p>
        </w:tc>
        <w:tc>
          <w:tcPr>
            <w:tcW w:type="dxa" w:w="1905"/>
          </w:tcPr>
          <w:p>
            <w:pPr>
              <w:pStyle w:val="Compact"/>
              <w:spacing w:line="276" w:lineRule="auto" w:before="40" w:after="40"/>
            </w:pPr>
            <w:r>
              <w:rPr>
                <w:rFonts w:ascii="Liberation Sans Narrow" w:hAnsi="Liberation Sans Narrow"/>
                <w:sz w:val="17"/>
              </w:rPr>
              <w:t xml:space="preserve">A técnica de julgamento ampliado do art. 942 é de observância automática e obrigatória sempre que o resultado da apelação for não unânime, e aplica-se também ao julgamento não unânime dos embargos de declaração opostos contra o acórdão de apelação e, com maior razão, ao do agravo interno que conduziu ao julgamento final da apelação e à reforma da sentença; a ausência de ampliação do colegiado nesse julgamento acarreta nulidade.</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julgamento não unânime</w:t>
            </w:r>
          </w:p>
        </w:tc>
        <w:tc>
          <w:tcPr>
            <w:tcW w:type="dxa" w:w="1531"/>
          </w:tcPr>
          <w:p>
            <w:pPr>
              <w:pStyle w:val="Compact"/>
              <w:spacing w:line="276" w:lineRule="auto" w:before="40" w:after="40"/>
            </w:pPr>
            <w:r>
              <w:rPr>
                <w:rFonts w:ascii="Liberation Sans Narrow" w:hAnsi="Liberation Sans Narrow"/>
                <w:sz w:val="17"/>
              </w:rPr>
              <w:t xml:space="preserve">STJ, REsp 1.922.044, Segunda Turma, relator Min. Herman Benjamin, DJe de 13/04/2021</w:t>
            </w:r>
          </w:p>
        </w:tc>
        <w:tc>
          <w:tcPr>
            <w:tcW w:type="dxa" w:w="1905"/>
          </w:tcPr>
          <w:p>
            <w:pPr>
              <w:pStyle w:val="Compact"/>
              <w:spacing w:line="276" w:lineRule="auto" w:before="40" w:after="40"/>
            </w:pPr>
            <w:r>
              <w:rPr>
                <w:rFonts w:ascii="Liberation Sans Narrow" w:hAnsi="Liberation Sans Narrow"/>
                <w:sz w:val="17"/>
              </w:rPr>
              <w:t xml:space="preserve">A inobservância da técnica de ampliação do colegiado no julgamento não unânime de apelação, após a vigência do CPC/2015, gera nulidade.</w:t>
            </w:r>
          </w:p>
        </w:tc>
      </w:tr>
    </w:tbl>
    <w:p>
      <w:pPr>
        <w:pStyle w:val="BodyText"/>
        <w:spacing w:after="60"/>
        <w:jc w:val="both"/>
      </w:pPr>
      <w:r>
        <w:t xml:space="preserve">§ 1º Sendo possível, o prosseguimento do julgamento dar-se-á na mesma sessão, colhendo-se os votos de outros julgadores que porventura componham o órgão colegiado.</w:t>
      </w:r>
    </w:p>
    <w:p>
      <w:pPr>
        <w:pStyle w:val="BodyText"/>
        <w:spacing w:after="60"/>
        <w:jc w:val="both"/>
      </w:pPr>
      <w:r>
        <w:t xml:space="preserve">§ 2º Os julgadores que já tiverem votado poderão rever seus votos por ocasião do prosseguimento do julgamento.</w:t>
      </w:r>
    </w:p>
    <w:p>
      <w:pPr>
        <w:pStyle w:val="BodyText"/>
        <w:spacing w:after="60"/>
        <w:jc w:val="both"/>
      </w:pPr>
      <w:r>
        <w:t xml:space="preserve">§ 3º A técnica de julgamento prevista neste artigo aplica-se, igualmente, ao julgamento não unânime proferido em:</w:t>
      </w:r>
    </w:p>
    <w:p>
      <w:pPr>
        <w:pStyle w:val="BodyText"/>
        <w:spacing w:after="60"/>
        <w:jc w:val="both"/>
      </w:pPr>
      <w:r>
        <w:t xml:space="preserve">I - ação rescisória, quando o resultado for a rescisão da sentença, devendo, nesse caso, seu prosseguimento ocorrer em órgão de maior composição previsto no regimento interno;</w:t>
      </w:r>
    </w:p>
    <w:p>
      <w:pPr>
        <w:pStyle w:val="BodyText"/>
        <w:spacing w:after="60"/>
        <w:jc w:val="both"/>
      </w:pPr>
      <w:r>
        <w:t xml:space="preserve">II - agravo de instrumento, quando houver reforma da decisão que julgar parcialmente o mérito.</w:t>
      </w:r>
    </w:p>
    <w:p>
      <w:pPr>
        <w:pStyle w:val="BodyText"/>
        <w:spacing w:after="60"/>
        <w:jc w:val="both"/>
      </w:pPr>
      <w:r>
        <w:t xml:space="preserve">§ 4º Não se aplica o disposto neste artigo ao julgamento:</w:t>
      </w:r>
    </w:p>
    <w:p>
      <w:pPr>
        <w:pStyle w:val="BodyText"/>
        <w:spacing w:after="60"/>
        <w:jc w:val="both"/>
      </w:pPr>
      <w:r>
        <w:t xml:space="preserve">I - do incidente de assunção de competência e ao de resolução de demandas repetitivas;</w:t>
      </w:r>
    </w:p>
    <w:p>
      <w:pPr>
        <w:pStyle w:val="BodyText"/>
        <w:spacing w:after="60"/>
        <w:jc w:val="both"/>
      </w:pPr>
      <w:r>
        <w:t xml:space="preserve">II - da remessa necessária;</w:t>
      </w:r>
    </w:p>
    <w:p>
      <w:pPr>
        <w:pStyle w:val="BodyText"/>
        <w:spacing w:after="60"/>
        <w:jc w:val="both"/>
      </w:pPr>
      <w:r>
        <w:t xml:space="preserve">III - não unânime proferido, nos tribunais, pelo plenário ou pela corte especial.</w:t>
      </w:r>
    </w:p>
    <w:bookmarkEnd w:id="765"/>
    <w:bookmarkStart w:id="766" w:name="art.-943"/>
    <w:p>
      <w:pPr>
        <w:pStyle w:val="Heading6"/>
        <w:pBdr>
          <w:left w:val="single" w:sz="36" w:space="4" w:color="2E75B6"/>
        </w:pBdr>
        <w:shd w:val="clear" w:color="auto" w:fill="E3EEF9"/>
        <w:spacing w:before="120" w:after="60"/>
        <w:ind w:left="85"/>
      </w:pPr>
      <w:r>
        <w:rPr>
          <w:i w:val="0"/>
          <w:color w:val="1F3A5F"/>
          <w:sz w:val="22"/>
        </w:rPr>
        <w:t xml:space="preserve">Art. 943</w:t>
      </w:r>
    </w:p>
    <w:p>
      <w:pPr>
        <w:pStyle w:val="FirstParagraph"/>
        <w:spacing w:after="60"/>
        <w:jc w:val="both"/>
      </w:pPr>
      <w:r>
        <w:rPr>
          <w:b/>
          <w:bCs/>
        </w:rPr>
        <w:t xml:space="preserve">Art. 943.</w:t>
      </w:r>
      <w:r>
        <w:t xml:space="preserve"> </w:t>
      </w:r>
      <w:r>
        <w:t xml:space="preserve">Os votos, os acórdãos e os demais atos processuais podem ser registrados em documento eletrônico inviolável e assinados eletronicamente, na forma da lei, devendo ser impressos para juntada aos autos do processo quando este não for eletrônico.</w:t>
      </w:r>
    </w:p>
    <w:p>
      <w:pPr>
        <w:pStyle w:val="BodyText"/>
        <w:spacing w:after="60"/>
        <w:jc w:val="both"/>
      </w:pPr>
      <w:r>
        <w:t xml:space="preserve">§ 1º Todo acórdão conterá ementa.</w:t>
      </w:r>
    </w:p>
    <w:p>
      <w:pPr>
        <w:pStyle w:val="BodyText"/>
        <w:spacing w:after="60"/>
        <w:jc w:val="both"/>
      </w:pPr>
      <w:r>
        <w:t xml:space="preserve">§ 2º Lavrado o acórdão, sua ementa será publicada no órgão oficial no prazo de 10 (dez) dias.</w:t>
      </w:r>
    </w:p>
    <w:bookmarkEnd w:id="766"/>
    <w:bookmarkStart w:id="767" w:name="art.-944"/>
    <w:p>
      <w:pPr>
        <w:pStyle w:val="Heading6"/>
        <w:pBdr>
          <w:left w:val="single" w:sz="36" w:space="4" w:color="2E75B6"/>
        </w:pBdr>
        <w:shd w:val="clear" w:color="auto" w:fill="E3EEF9"/>
        <w:spacing w:before="120" w:after="60"/>
        <w:ind w:left="85"/>
      </w:pPr>
      <w:r>
        <w:rPr>
          <w:i w:val="0"/>
          <w:color w:val="1F3A5F"/>
          <w:sz w:val="22"/>
        </w:rPr>
        <w:t xml:space="preserve">Art. 944</w:t>
      </w:r>
    </w:p>
    <w:p>
      <w:pPr>
        <w:pStyle w:val="FirstParagraph"/>
        <w:spacing w:after="60"/>
        <w:jc w:val="both"/>
      </w:pPr>
      <w:r>
        <w:rPr>
          <w:b/>
          <w:bCs/>
        </w:rPr>
        <w:t xml:space="preserve">Art. 944.</w:t>
      </w:r>
      <w:r>
        <w:t xml:space="preserve"> </w:t>
      </w:r>
      <w:r>
        <w:t xml:space="preserve">Não publicado o acórdão no prazo de 30 (trinta) dias, contado da data da sessão de julgamento, as notas taquigráficas o substituirão, para todos os fins legais, independentemente de revisão.</w:t>
      </w:r>
    </w:p>
    <w:p>
      <w:pPr>
        <w:pStyle w:val="BodyText"/>
        <w:spacing w:after="60"/>
        <w:jc w:val="both"/>
      </w:pPr>
      <w:r>
        <w:t xml:space="preserve">Parágrafo único. No caso do caput , o presidente do tribunal lavrará, de imediato, as conclusões e a ementa e mandará publicar o acórdão.</w:t>
      </w:r>
    </w:p>
    <w:bookmarkEnd w:id="767"/>
    <w:bookmarkStart w:id="768" w:name="art.-945"/>
    <w:p>
      <w:pPr>
        <w:pStyle w:val="Heading6"/>
        <w:pBdr>
          <w:left w:val="single" w:sz="36" w:space="4" w:color="2E75B6"/>
        </w:pBdr>
        <w:shd w:val="clear" w:color="auto" w:fill="E3EEF9"/>
        <w:spacing w:before="120" w:after="60"/>
        <w:ind w:left="85"/>
      </w:pPr>
      <w:r>
        <w:rPr>
          <w:i w:val="0"/>
          <w:color w:val="1F3A5F"/>
          <w:sz w:val="22"/>
        </w:rPr>
        <w:t xml:space="preserve">Art. 945</w:t>
      </w:r>
    </w:p>
    <w:p>
      <w:pPr>
        <w:pStyle w:val="FirstParagraph"/>
        <w:spacing w:after="60"/>
        <w:jc w:val="both"/>
      </w:pPr>
      <w:r>
        <w:rPr>
          <w:b/>
          <w:bCs/>
        </w:rPr>
        <w:t xml:space="preserve">Art. 945.</w:t>
      </w:r>
      <w:r>
        <w:t xml:space="preserve"> </w:t>
      </w:r>
      <w:r>
        <w:t xml:space="preserve">(Revogado pela Lei nº 13.256, de 2016)</w:t>
      </w:r>
    </w:p>
    <w:bookmarkEnd w:id="768"/>
    <w:bookmarkStart w:id="769" w:name="art.-946"/>
    <w:p>
      <w:pPr>
        <w:pStyle w:val="Heading6"/>
        <w:pBdr>
          <w:left w:val="single" w:sz="36" w:space="4" w:color="2E75B6"/>
        </w:pBdr>
        <w:shd w:val="clear" w:color="auto" w:fill="E3EEF9"/>
        <w:spacing w:before="120" w:after="60"/>
        <w:ind w:left="85"/>
      </w:pPr>
      <w:r>
        <w:rPr>
          <w:i w:val="0"/>
          <w:color w:val="1F3A5F"/>
          <w:sz w:val="22"/>
        </w:rPr>
        <w:t xml:space="preserve">Art. 946</w:t>
      </w:r>
    </w:p>
    <w:p>
      <w:pPr>
        <w:pStyle w:val="FirstParagraph"/>
        <w:keepNext/>
        <w:spacing w:after="60"/>
        <w:jc w:val="both"/>
      </w:pPr>
      <w:r>
        <w:rPr>
          <w:b/>
          <w:bCs/>
        </w:rPr>
        <w:t xml:space="preserve">Art. 946.</w:t>
      </w:r>
      <w:r>
        <w:t xml:space="preserve"> </w:t>
      </w:r>
      <w:r>
        <w:t xml:space="preserve">O agravo de instrumento será julgado antes da apelação interposta no mesmo processo.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1746"/>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46"/>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precedência do julgamento do agravo de instrumento</w:t>
            </w:r>
          </w:p>
        </w:tc>
        <w:tc>
          <w:tcPr>
            <w:tcW w:type="dxa" w:w="1531"/>
          </w:tcPr>
          <w:p>
            <w:pPr>
              <w:pStyle w:val="Compact"/>
              <w:spacing w:line="276" w:lineRule="auto" w:before="40" w:after="40"/>
            </w:pPr>
            <w:r>
              <w:rPr>
                <w:rFonts w:ascii="Liberation Sans Narrow" w:hAnsi="Liberation Sans Narrow"/>
                <w:sz w:val="17"/>
              </w:rPr>
              <w:t xml:space="preserve">STJ, REsp 2.082.230, Quarta Turma, relator Min. João Otávio de Noronha, julgado em 22/06/2026</w:t>
            </w:r>
          </w:p>
        </w:tc>
        <w:tc>
          <w:tcPr>
            <w:tcW w:type="dxa" w:w="1746"/>
          </w:tcPr>
          <w:p>
            <w:pPr>
              <w:pStyle w:val="Compact"/>
              <w:spacing w:line="276" w:lineRule="auto" w:before="40" w:after="40"/>
            </w:pPr>
            <w:r>
              <w:rPr>
                <w:rFonts w:ascii="Liberation Sans Narrow" w:hAnsi="Liberation Sans Narrow"/>
                <w:sz w:val="17"/>
              </w:rPr>
              <w:t xml:space="preserve">O agravo de instrumento deve ser julgado antes da apelação interposta no mesmo processo, nos termos do art. 946, sendo nulo o acórdão que inverte a ordem com prejuízo à parte recorrente.</w:t>
            </w:r>
          </w:p>
        </w:tc>
      </w:tr>
    </w:tbl>
    <w:p>
      <w:pPr>
        <w:pStyle w:val="BodyText"/>
        <w:spacing w:after="60"/>
        <w:jc w:val="both"/>
      </w:pPr>
      <w:r>
        <w:t xml:space="preserve">Parágrafo único. Se ambos os recursos de que trata o caput houverem de ser julgados na mesma sessão, terá precedência o agravo de instrumento.</w:t>
      </w:r>
    </w:p>
    <w:bookmarkEnd w:id="769"/>
    <w:bookmarkEnd w:id="770"/>
    <w:bookmarkStart w:id="772" w:name="X820d561a7e103da845f0ea67072a01cbff7c379"/>
    <w:p>
      <w:pPr>
        <w:pStyle w:val="Heading4"/>
        <w:spacing w:before="80" w:after="40"/>
      </w:pPr>
      <w:r>
        <w:rPr>
          <w:smallCaps/>
          <w:color w:val="2E75B6"/>
        </w:rPr>
        <w:t xml:space="preserve">Capítulo III: do incidente de assunção de competência (arts. 947)</w:t>
      </w:r>
    </w:p>
    <w:bookmarkStart w:id="771" w:name="art.-947"/>
    <w:p>
      <w:pPr>
        <w:pStyle w:val="Heading6"/>
        <w:pBdr>
          <w:left w:val="single" w:sz="36" w:space="4" w:color="2E75B6"/>
        </w:pBdr>
        <w:shd w:val="clear" w:color="auto" w:fill="E3EEF9"/>
        <w:spacing w:before="120" w:after="60"/>
        <w:ind w:left="85"/>
      </w:pPr>
      <w:r>
        <w:rPr>
          <w:i w:val="0"/>
          <w:color w:val="1F3A5F"/>
          <w:sz w:val="22"/>
        </w:rPr>
        <w:t xml:space="preserve">Art. 947</w:t>
      </w:r>
    </w:p>
    <w:p>
      <w:pPr>
        <w:pStyle w:val="FirstParagraph"/>
        <w:keepNext/>
        <w:spacing w:after="60"/>
        <w:jc w:val="both"/>
      </w:pPr>
      <w:r>
        <w:rPr>
          <w:b/>
          <w:bCs/>
        </w:rPr>
        <w:t xml:space="preserve">Art. 947.</w:t>
      </w:r>
      <w:r>
        <w:t xml:space="preserve"> </w:t>
      </w:r>
      <w:r>
        <w:t xml:space="preserve">É admissível a assunção de competência quando o julgamento de recurso, de remessa necessária ou de processo de competência originária envolver relevante questão de direito, com grande repercussão social, sem repetição em múltiplos processos.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2029"/>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requisitos da assunção de competência</w:t>
            </w:r>
          </w:p>
        </w:tc>
        <w:tc>
          <w:tcPr>
            <w:tcW w:type="dxa" w:w="1531"/>
          </w:tcPr>
          <w:p>
            <w:pPr>
              <w:pStyle w:val="Compact"/>
              <w:spacing w:line="276" w:lineRule="auto" w:before="40" w:after="40"/>
            </w:pPr>
            <w:r>
              <w:rPr>
                <w:rFonts w:ascii="Liberation Sans Narrow" w:hAnsi="Liberation Sans Narrow"/>
                <w:sz w:val="17"/>
              </w:rPr>
              <w:t xml:space="preserve">STJ, IAC no RMS 73.231, Primeira Seção, relator Min. Afrânio Vilela, julgado em 02/06/2026</w:t>
            </w:r>
          </w:p>
        </w:tc>
        <w:tc>
          <w:tcPr>
            <w:tcW w:type="dxa" w:w="2030"/>
          </w:tcPr>
          <w:p>
            <w:pPr>
              <w:pStyle w:val="Compact"/>
              <w:spacing w:line="276" w:lineRule="auto" w:before="40" w:after="40"/>
            </w:pPr>
            <w:r>
              <w:rPr>
                <w:rFonts w:ascii="Liberation Sans Narrow" w:hAnsi="Liberation Sans Narrow"/>
                <w:sz w:val="17"/>
              </w:rPr>
              <w:t xml:space="preserve">Configura-se a hipótese de assunção de competência quando a causa envolve relevante questão de direito, com grande repercussão social e sem repetição em múltiplos processos, ainda que a matéria tenha limitada capacidade repetitiva e exista, na origem, incidente de resolução de demandas repetitivas em possível dissonância com a jurisprudência do Superior Tribunal de Justiça e do Supremo Tribunal Federal.</w:t>
            </w:r>
          </w:p>
        </w:tc>
      </w:tr>
    </w:tbl>
    <w:p>
      <w:pPr>
        <w:pStyle w:val="BodyText"/>
        <w:spacing w:after="60"/>
        <w:jc w:val="both"/>
      </w:pPr>
      <w:r>
        <w:t xml:space="preserve">§ 1º Ocorrendo a hipótese de assunção de competência, o relator proporá, de ofício ou a requerimento da parte, do Ministério Público ou da Defensoria Pública, que seja o recurso, a remessa necessária ou o processo de competência originária julgado pelo órgão colegiado que o regimento indicar.</w:t>
      </w:r>
    </w:p>
    <w:p>
      <w:pPr>
        <w:pStyle w:val="BodyText"/>
        <w:spacing w:after="60"/>
        <w:jc w:val="both"/>
      </w:pPr>
      <w:r>
        <w:t xml:space="preserve">§ 2º O órgão colegiado julgará o recurso, a remessa necessária ou o processo de competência originária se reconhecer interesse público na assunção de competência.</w:t>
      </w:r>
    </w:p>
    <w:p>
      <w:pPr>
        <w:pStyle w:val="BodyText"/>
        <w:spacing w:after="60"/>
        <w:jc w:val="both"/>
      </w:pPr>
      <w:r>
        <w:t xml:space="preserve">§ 3º O acórdão proferido em assunção de competência vinculará todos os juízes e órgãos fracionários, exceto se houver revisão de tese.</w:t>
      </w:r>
    </w:p>
    <w:p>
      <w:pPr>
        <w:pStyle w:val="BodyText"/>
        <w:keepNext/>
        <w:spacing w:after="60"/>
        <w:jc w:val="both"/>
      </w:pPr>
      <w:r>
        <w:t xml:space="preserve">§ 4º Aplica-se o disposto neste artigo quando ocorrer relevante questão de direito a respeito da qual seja conveniente a prevenção ou a composição de divergência entre câmaras ou turmas do tribunal.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780"/>
        <w:gridCol w:w="2154"/>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 4º — prevenção e composição de divergência entre câmaras ou turmas</w:t>
            </w:r>
          </w:p>
        </w:tc>
        <w:tc>
          <w:tcPr>
            <w:tcW w:type="dxa" w:w="1780"/>
          </w:tcPr>
          <w:p>
            <w:pPr>
              <w:pStyle w:val="Compact"/>
              <w:spacing w:line="276" w:lineRule="auto" w:before="40" w:after="40"/>
            </w:pPr>
            <w:r>
              <w:rPr>
                <w:rFonts w:ascii="Liberation Sans Narrow" w:hAnsi="Liberation Sans Narrow"/>
                <w:sz w:val="17"/>
              </w:rPr>
              <w:t xml:space="preserve">STJ, Original repetitivo., IAC no REsp 1.860.219, Primeira Seção, relator Min. Paulo Sérgio Domingues, julgado em 28/05/2024, DJe de 17/06/2024</w:t>
            </w:r>
          </w:p>
        </w:tc>
        <w:tc>
          <w:tcPr>
            <w:tcW w:type="dxa" w:w="2154"/>
          </w:tcPr>
          <w:p>
            <w:pPr>
              <w:pStyle w:val="Compact"/>
              <w:spacing w:line="276" w:lineRule="auto" w:before="40" w:after="40"/>
            </w:pPr>
            <w:r>
              <w:rPr>
                <w:rFonts w:ascii="Liberation Sans Narrow" w:hAnsi="Liberation Sans Narrow"/>
                <w:sz w:val="17"/>
              </w:rPr>
              <w:t xml:space="preserve">A dispersão jurisprudencial incipiente no âmbito do próprio tribunal amolda-se à previsão do art. 947, § 4º, autorizando a admissão do incidente para prevenir ou compor divergência entre câmaras ou turmas. A instauração do incidente neutraliza o risco à credibilidade e à eficiência do sistema de justiça.</w:t>
            </w:r>
          </w:p>
        </w:tc>
      </w:tr>
    </w:tbl>
    <w:bookmarkEnd w:id="771"/>
    <w:bookmarkEnd w:id="772"/>
    <w:bookmarkStart w:id="776" w:name="X243266c2bac98763034c483b3429662629c4e63"/>
    <w:p>
      <w:pPr>
        <w:pStyle w:val="Heading4"/>
        <w:spacing w:before="80" w:after="40"/>
      </w:pPr>
      <w:r>
        <w:rPr>
          <w:smallCaps/>
          <w:color w:val="2E75B6"/>
        </w:rPr>
        <w:t xml:space="preserve">Capítulo IV: do incidente de arguição de inconstitucionalidade (arts. 948 a 950)</w:t>
      </w:r>
    </w:p>
    <w:bookmarkStart w:id="773" w:name="art.-948"/>
    <w:p>
      <w:pPr>
        <w:pStyle w:val="Heading6"/>
        <w:pBdr>
          <w:left w:val="single" w:sz="36" w:space="4" w:color="2E75B6"/>
        </w:pBdr>
        <w:shd w:val="clear" w:color="auto" w:fill="E3EEF9"/>
        <w:spacing w:before="120" w:after="60"/>
        <w:ind w:left="85"/>
      </w:pPr>
      <w:r>
        <w:rPr>
          <w:i w:val="0"/>
          <w:color w:val="1F3A5F"/>
          <w:sz w:val="22"/>
        </w:rPr>
        <w:t xml:space="preserve">Art. 948</w:t>
      </w:r>
    </w:p>
    <w:p>
      <w:pPr>
        <w:pStyle w:val="FirstParagraph"/>
        <w:keepNext/>
        <w:spacing w:after="60"/>
        <w:jc w:val="both"/>
      </w:pPr>
      <w:r>
        <w:rPr>
          <w:b/>
          <w:bCs/>
        </w:rPr>
        <w:t xml:space="preserve">Art. 948.</w:t>
      </w:r>
      <w:r>
        <w:t xml:space="preserve"> </w:t>
      </w:r>
      <w:r>
        <w:t xml:space="preserve">Arguida, em controle difuso, a inconstitucionalidade de lei ou de ato normativo do poder público, o relator, após ouvir o Ministério Público e as partes, submeterá a questão à turma ou à câmara à qual competir o conhecimento do processo.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835"/>
        <w:gridCol w:w="1530"/>
        <w:gridCol w:w="2835"/>
      </w:tblGrid>
      <w:tr>
        <w:trPr>
          <w:tblHeader w:val="on"/>
          <w:cantSplit/>
          <w:tblHeader/>
        </w:trPr>
        <w:tc>
          <w:tcPr>
            <w:tcW w:type="dxa" w:w="283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83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835"/>
          </w:tcPr>
          <w:p>
            <w:pPr>
              <w:pStyle w:val="Compact"/>
              <w:spacing w:line="276" w:lineRule="auto" w:before="40" w:after="40"/>
            </w:pPr>
            <w:r>
              <w:rPr>
                <w:rFonts w:ascii="Liberation Sans Narrow" w:hAnsi="Liberation Sans Narrow"/>
                <w:sz w:val="17"/>
              </w:rPr>
              <w:t xml:space="preserve">Caput — dispensa da arguição quando o órgão apenas interpreta o ordenamento, sem declarar a inconstitucionalidade</w:t>
            </w:r>
          </w:p>
        </w:tc>
        <w:tc>
          <w:tcPr>
            <w:tcW w:type="dxa" w:w="1531"/>
          </w:tcPr>
          <w:p>
            <w:pPr>
              <w:pStyle w:val="Compact"/>
              <w:spacing w:line="276" w:lineRule="auto" w:before="40" w:after="40"/>
            </w:pPr>
            <w:r>
              <w:rPr>
                <w:rFonts w:ascii="Liberation Sans Narrow" w:hAnsi="Liberation Sans Narrow"/>
                <w:sz w:val="17"/>
              </w:rPr>
              <w:t xml:space="preserve">STJ, AgInt no AREsp 3.116.274, Primeira Turma, relator Min. Benedito Gonçalves, julgado em 12/08/2026</w:t>
            </w:r>
          </w:p>
        </w:tc>
        <w:tc>
          <w:tcPr>
            <w:tcW w:type="dxa" w:w="2835"/>
          </w:tcPr>
          <w:p>
            <w:pPr>
              <w:pStyle w:val="Compact"/>
              <w:spacing w:line="276" w:lineRule="auto" w:before="40" w:after="40"/>
            </w:pPr>
            <w:r>
              <w:rPr>
                <w:rFonts w:ascii="Liberation Sans Narrow" w:hAnsi="Liberation Sans Narrow"/>
                <w:sz w:val="17"/>
              </w:rPr>
              <w:t xml:space="preserve">Não há violação da cláusula de reserva de plenário, nem da Súmula Vinculante 10, quando a decisão recorrida procede à mera interpretação sistemática do ordenamento jurídico, sem declarar a inconstitucionalidade da norma questionada, hipótese em que não se instaura a arguição de inconstitucionalidade.</w:t>
            </w:r>
          </w:p>
        </w:tc>
      </w:tr>
      <w:tr>
        <w:trPr>
          <w:cantSplit/>
        </w:trPr>
        <w:tc>
          <w:tcPr>
            <w:tcW w:type="dxa" w:w="2835"/>
          </w:tcPr>
          <w:p>
            <w:pPr>
              <w:pStyle w:val="Compact"/>
              <w:spacing w:line="276" w:lineRule="auto" w:before="40" w:after="40"/>
            </w:pPr>
            <w:r>
              <w:rPr>
                <w:rFonts w:ascii="Liberation Sans Narrow" w:hAnsi="Liberation Sans Narrow"/>
                <w:sz w:val="17"/>
              </w:rPr>
              <w:t xml:space="preserve">Caput — dispensa da arguição de inconstitucionalidade</w:t>
            </w:r>
          </w:p>
        </w:tc>
        <w:tc>
          <w:tcPr>
            <w:tcW w:type="dxa" w:w="1531"/>
          </w:tcPr>
          <w:p>
            <w:pPr>
              <w:pStyle w:val="Compact"/>
              <w:spacing w:line="276" w:lineRule="auto" w:before="40" w:after="40"/>
            </w:pPr>
            <w:r>
              <w:rPr>
                <w:rFonts w:ascii="Liberation Sans Narrow" w:hAnsi="Liberation Sans Narrow"/>
                <w:sz w:val="17"/>
              </w:rPr>
              <w:t xml:space="preserve">STJ, REsp 2.037.422, Terceira Turma, relator Min. Moura Ribeiro, julgado em 09/03/2026</w:t>
            </w:r>
          </w:p>
        </w:tc>
        <w:tc>
          <w:tcPr>
            <w:tcW w:type="dxa" w:w="2835"/>
          </w:tcPr>
          <w:p>
            <w:pPr>
              <w:pStyle w:val="Compact"/>
              <w:spacing w:line="276" w:lineRule="auto" w:before="40" w:after="40"/>
            </w:pPr>
            <w:r>
              <w:rPr>
                <w:rFonts w:ascii="Liberation Sans Narrow" w:hAnsi="Liberation Sans Narrow"/>
                <w:sz w:val="17"/>
              </w:rPr>
              <w:t xml:space="preserve">O órgão fracionário não está obrigado a suscitar o incidente de arguição de inconstitucionalidade quando o Supremo Tribunal Federal já reconheceu o caráter infraconstitucional da matéria e a ausência de repercussão geral.</w:t>
            </w:r>
          </w:p>
        </w:tc>
      </w:tr>
    </w:tbl>
    <w:bookmarkEnd w:id="773"/>
    <w:bookmarkStart w:id="774" w:name="art.-949"/>
    <w:p>
      <w:pPr>
        <w:pStyle w:val="Heading6"/>
        <w:pBdr>
          <w:left w:val="single" w:sz="36" w:space="4" w:color="2E75B6"/>
        </w:pBdr>
        <w:shd w:val="clear" w:color="auto" w:fill="E3EEF9"/>
        <w:spacing w:before="120" w:after="60"/>
        <w:ind w:left="85"/>
      </w:pPr>
      <w:r>
        <w:rPr>
          <w:i w:val="0"/>
          <w:color w:val="1F3A5F"/>
          <w:sz w:val="22"/>
        </w:rPr>
        <w:t xml:space="preserve">Art. 949</w:t>
      </w:r>
    </w:p>
    <w:p>
      <w:pPr>
        <w:pStyle w:val="FirstParagraph"/>
        <w:spacing w:after="60"/>
        <w:jc w:val="both"/>
      </w:pPr>
      <w:r>
        <w:rPr>
          <w:b/>
          <w:bCs/>
        </w:rPr>
        <w:t xml:space="preserve">Art. 949.</w:t>
      </w:r>
      <w:r>
        <w:t xml:space="preserve"> </w:t>
      </w:r>
      <w:r>
        <w:t xml:space="preserve">Se a arguição for:</w:t>
      </w:r>
    </w:p>
    <w:p>
      <w:pPr>
        <w:pStyle w:val="BodyText"/>
        <w:spacing w:after="60"/>
        <w:jc w:val="both"/>
      </w:pPr>
      <w:r>
        <w:t xml:space="preserve">I - rejeitada, prosseguirá o julgamento;</w:t>
      </w:r>
    </w:p>
    <w:p>
      <w:pPr>
        <w:pStyle w:val="BodyText"/>
        <w:keepNext/>
        <w:spacing w:after="60"/>
        <w:jc w:val="both"/>
      </w:pPr>
      <w:r>
        <w:t xml:space="preserve">II - acolhida, a questão será submetida ao plenário do tribunal ou ao seu órgão especial, onde houver.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83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83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531"/>
          </w:tcPr>
          <w:p>
            <w:pPr>
              <w:pStyle w:val="Compact"/>
              <w:spacing w:line="276" w:lineRule="auto" w:before="40" w:after="40"/>
            </w:pPr>
            <w:r>
              <w:rPr>
                <w:rFonts w:ascii="Liberation Sans Narrow" w:hAnsi="Liberation Sans Narrow"/>
                <w:sz w:val="17"/>
              </w:rPr>
              <w:t xml:space="preserve">II — submissão da arguição acolhida ao plenário (aplicação narrada)</w:t>
            </w:r>
          </w:p>
        </w:tc>
        <w:tc>
          <w:tcPr>
            <w:tcW w:type="dxa" w:w="1655"/>
          </w:tcPr>
          <w:p>
            <w:pPr>
              <w:pStyle w:val="Compact"/>
              <w:spacing w:line="276" w:lineRule="auto" w:before="40" w:after="40"/>
            </w:pPr>
            <w:r>
              <w:rPr>
                <w:rFonts w:ascii="Liberation Sans Narrow" w:hAnsi="Liberation Sans Narrow"/>
                <w:sz w:val="17"/>
              </w:rPr>
              <w:t xml:space="preserve">STJ, AREsp 2.475.196, Segunda Turma, relator Min. Mauro Campbell Marques, julgado em 05/03/2024, DJe de 07/03/2024</w:t>
            </w:r>
          </w:p>
        </w:tc>
        <w:tc>
          <w:tcPr>
            <w:tcW w:type="dxa" w:w="2835"/>
          </w:tcPr>
          <w:p>
            <w:pPr>
              <w:pStyle w:val="Compact"/>
              <w:spacing w:line="276" w:lineRule="auto" w:before="40" w:after="40"/>
            </w:pPr>
            <w:r>
              <w:rPr>
                <w:rFonts w:ascii="Liberation Sans Narrow" w:hAnsi="Liberation Sans Narrow"/>
                <w:sz w:val="17"/>
              </w:rPr>
              <w:t xml:space="preserve">A decisão que autoriza a interposição de recurso especial não é a do plenário que resolve o incidente de inconstitucionalidade, mas a do órgão (câmara, grupo ou turma) que completa o julgamento do feito, na inteligência da Súmula 513 do Supremo Tribunal Federal. Trecho: “A decisão que enseja a interposição de recurso especial não é a do plenário, que resolve o incidente de inconstitucionalidade, mas a do órgão (câmaras, grupos ou turmas) que completa o julgamento do feito.”</w:t>
            </w:r>
          </w:p>
        </w:tc>
      </w:tr>
    </w:tbl>
    <w:p>
      <w:pPr>
        <w:pStyle w:val="BodyText"/>
        <w:spacing w:after="60"/>
        <w:jc w:val="both"/>
      </w:pPr>
      <w:r>
        <w:t xml:space="preserve">Parágrafo único. Os órgãos fracionários dos tribunais não submeterão ao plenário ou ao órgão especial a arguição de inconstitucionalidade quando já houver pronunciamento destes ou do plenário do Supremo Tribunal Federal sobre a questão.</w:t>
      </w:r>
    </w:p>
    <w:bookmarkEnd w:id="774"/>
    <w:bookmarkStart w:id="775" w:name="art.-950"/>
    <w:p>
      <w:pPr>
        <w:pStyle w:val="Heading6"/>
        <w:pBdr>
          <w:left w:val="single" w:sz="36" w:space="4" w:color="2E75B6"/>
        </w:pBdr>
        <w:shd w:val="clear" w:color="auto" w:fill="E3EEF9"/>
        <w:spacing w:before="120" w:after="60"/>
        <w:ind w:left="85"/>
      </w:pPr>
      <w:r>
        <w:rPr>
          <w:i w:val="0"/>
          <w:color w:val="1F3A5F"/>
          <w:sz w:val="22"/>
        </w:rPr>
        <w:t xml:space="preserve">Art. 950</w:t>
      </w:r>
    </w:p>
    <w:p>
      <w:pPr>
        <w:pStyle w:val="FirstParagraph"/>
        <w:spacing w:after="60"/>
        <w:jc w:val="both"/>
      </w:pPr>
      <w:r>
        <w:rPr>
          <w:b/>
          <w:bCs/>
        </w:rPr>
        <w:t xml:space="preserve">Art. 950.</w:t>
      </w:r>
      <w:r>
        <w:t xml:space="preserve"> </w:t>
      </w:r>
      <w:r>
        <w:t xml:space="preserve">Remetida cópia do acórdão a todos os juízes, o presidente do tribunal designará a sessão de julgamento.</w:t>
      </w:r>
    </w:p>
    <w:p>
      <w:pPr>
        <w:pStyle w:val="BodyText"/>
        <w:spacing w:after="60"/>
        <w:jc w:val="both"/>
      </w:pPr>
      <w:r>
        <w:t xml:space="preserve">§ 1º As pessoas jurídicas de direito público responsáveis pela edição do ato questionado poderão manifestar-se no incidente de inconstitucionalidade se assim o requererem, observados os prazos e as condições previstos no regimento interno do tribunal.</w:t>
      </w:r>
    </w:p>
    <w:p>
      <w:pPr>
        <w:pStyle w:val="BodyText"/>
        <w:spacing w:after="60"/>
        <w:jc w:val="both"/>
      </w:pPr>
      <w:r>
        <w:t xml:space="preserve">§ 2º A parte legitimada à propositura das ações previstas no art. 103 da Constituição Federal poderá manifestar-se, por escrito, sobre a questão constitucional objeto de apreciação, no prazo previsto pelo regimento interno, sendo-lhe assegurado o direito de apresentar memoriais ou de requerer a juntada de documentos.</w:t>
      </w:r>
    </w:p>
    <w:p>
      <w:pPr>
        <w:pStyle w:val="BodyText"/>
        <w:spacing w:after="60"/>
        <w:jc w:val="both"/>
      </w:pPr>
      <w:r>
        <w:t xml:space="preserve">§ 3º Considerando a relevância da matéria e a representatividade dos postulantes, o relator poderá admitir, por despacho irrecorrível, a manifestação de outros órgãos ou entidades.</w:t>
      </w:r>
    </w:p>
    <w:bookmarkEnd w:id="775"/>
    <w:bookmarkEnd w:id="776"/>
    <w:bookmarkStart w:id="786" w:name="Xb94c5f2fca0638255307b32edcd5d096565617a"/>
    <w:p>
      <w:pPr>
        <w:pStyle w:val="Heading4"/>
        <w:spacing w:before="80" w:after="40"/>
      </w:pPr>
      <w:r>
        <w:rPr>
          <w:smallCaps/>
          <w:color w:val="2E75B6"/>
        </w:rPr>
        <w:t xml:space="preserve">Capítulo V: do conflito de competência (arts. 951 a 959)</w:t>
      </w:r>
    </w:p>
    <w:bookmarkStart w:id="777" w:name="art.-951"/>
    <w:p>
      <w:pPr>
        <w:pStyle w:val="Heading6"/>
        <w:pBdr>
          <w:left w:val="single" w:sz="36" w:space="4" w:color="2E75B6"/>
        </w:pBdr>
        <w:shd w:val="clear" w:color="auto" w:fill="E3EEF9"/>
        <w:spacing w:before="120" w:after="60"/>
        <w:ind w:left="85"/>
      </w:pPr>
      <w:r>
        <w:rPr>
          <w:i w:val="0"/>
          <w:color w:val="1F3A5F"/>
          <w:sz w:val="22"/>
        </w:rPr>
        <w:t xml:space="preserve">Art. 951</w:t>
      </w:r>
    </w:p>
    <w:p>
      <w:pPr>
        <w:pStyle w:val="FirstParagraph"/>
        <w:keepNext/>
        <w:spacing w:after="60"/>
        <w:jc w:val="both"/>
      </w:pPr>
      <w:r>
        <w:rPr>
          <w:b/>
          <w:bCs/>
        </w:rPr>
        <w:t xml:space="preserve">Art. 951.</w:t>
      </w:r>
      <w:r>
        <w:t xml:space="preserve"> </w:t>
      </w:r>
      <w:r>
        <w:t xml:space="preserve">O conflito de competência pode ser suscitado por qualquer das partes, pelo Ministério Público ou pelo juiz.</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871"/>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871"/>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suscitação do conflito e vedação de sucedâneo recursal</w:t>
            </w:r>
          </w:p>
        </w:tc>
        <w:tc>
          <w:tcPr>
            <w:tcW w:type="dxa" w:w="1531"/>
          </w:tcPr>
          <w:p>
            <w:pPr>
              <w:pStyle w:val="Compact"/>
              <w:spacing w:line="276" w:lineRule="auto" w:before="40" w:after="40"/>
            </w:pPr>
            <w:r>
              <w:rPr>
                <w:rFonts w:ascii="Liberation Sans Narrow" w:hAnsi="Liberation Sans Narrow"/>
                <w:sz w:val="17"/>
              </w:rPr>
              <w:t xml:space="preserve">STJ, AgInt no CC 219.988, Primeira Seção, relatora Min. Maria Thereza de Assis Moura, julgado em 16/06/2026</w:t>
            </w:r>
          </w:p>
        </w:tc>
        <w:tc>
          <w:tcPr>
            <w:tcW w:type="dxa" w:w="1871"/>
          </w:tcPr>
          <w:p>
            <w:pPr>
              <w:pStyle w:val="Compact"/>
              <w:spacing w:line="276" w:lineRule="auto" w:before="40" w:after="40"/>
            </w:pPr>
            <w:r>
              <w:rPr>
                <w:rFonts w:ascii="Liberation Sans Narrow" w:hAnsi="Liberation Sans Narrow"/>
                <w:sz w:val="17"/>
              </w:rPr>
              <w:t xml:space="preserve">Não é cabível conflito de competência como sucedâneo recursal para definir a legitimidade passiva da União. Excluído o ente federal, o juízo federal deve restituir os autos ao juízo estadual, nos termos do art. 45, § 3º, e das Súmulas 150, 224 e 254 do Superior Tribunal de Justiça.</w:t>
            </w:r>
          </w:p>
        </w:tc>
      </w:tr>
    </w:tbl>
    <w:p>
      <w:pPr>
        <w:pStyle w:val="BodyText"/>
        <w:spacing w:after="60"/>
        <w:jc w:val="both"/>
      </w:pPr>
      <w:r>
        <w:t xml:space="preserve">Parágrafo único. O Ministério Público somente será ouvido nos conflitos de competência relativos aos processos previstos no art. 178, mas terá qualidade de parte nos conflitos que suscitar.</w:t>
      </w:r>
    </w:p>
    <w:bookmarkEnd w:id="777"/>
    <w:bookmarkStart w:id="778" w:name="art.-952"/>
    <w:p>
      <w:pPr>
        <w:pStyle w:val="Heading6"/>
        <w:pBdr>
          <w:left w:val="single" w:sz="36" w:space="4" w:color="2E75B6"/>
        </w:pBdr>
        <w:shd w:val="clear" w:color="auto" w:fill="E3EEF9"/>
        <w:spacing w:before="120" w:after="60"/>
        <w:ind w:left="85"/>
      </w:pPr>
      <w:r>
        <w:rPr>
          <w:i w:val="0"/>
          <w:color w:val="1F3A5F"/>
          <w:sz w:val="22"/>
        </w:rPr>
        <w:t xml:space="preserve">Art. 952</w:t>
      </w:r>
    </w:p>
    <w:p>
      <w:pPr>
        <w:pStyle w:val="FirstParagraph"/>
        <w:spacing w:after="60"/>
        <w:jc w:val="both"/>
      </w:pPr>
      <w:r>
        <w:rPr>
          <w:b/>
          <w:bCs/>
        </w:rPr>
        <w:t xml:space="preserve">Art. 952.</w:t>
      </w:r>
      <w:r>
        <w:t xml:space="preserve"> </w:t>
      </w:r>
      <w:r>
        <w:t xml:space="preserve">Não pode suscitar conflito a parte que, no processo, arguiu incompetência relativa.</w:t>
      </w:r>
    </w:p>
    <w:p>
      <w:pPr>
        <w:pStyle w:val="BodyText"/>
        <w:spacing w:after="60"/>
        <w:jc w:val="both"/>
      </w:pPr>
      <w:r>
        <w:t xml:space="preserve">Parágrafo único. O conflito de competência não obsta, porém, a que a parte que não o arguiu suscite a incompetência.</w:t>
      </w:r>
    </w:p>
    <w:bookmarkEnd w:id="778"/>
    <w:bookmarkStart w:id="779" w:name="art.-953"/>
    <w:p>
      <w:pPr>
        <w:pStyle w:val="Heading6"/>
        <w:pBdr>
          <w:left w:val="single" w:sz="36" w:space="4" w:color="2E75B6"/>
        </w:pBdr>
        <w:shd w:val="clear" w:color="auto" w:fill="E3EEF9"/>
        <w:spacing w:before="120" w:after="60"/>
        <w:ind w:left="85"/>
      </w:pPr>
      <w:r>
        <w:rPr>
          <w:i w:val="0"/>
          <w:color w:val="1F3A5F"/>
          <w:sz w:val="22"/>
        </w:rPr>
        <w:t xml:space="preserve">Art. 953</w:t>
      </w:r>
    </w:p>
    <w:p>
      <w:pPr>
        <w:pStyle w:val="FirstParagraph"/>
        <w:spacing w:after="60"/>
        <w:jc w:val="both"/>
      </w:pPr>
      <w:r>
        <w:rPr>
          <w:b/>
          <w:bCs/>
        </w:rPr>
        <w:t xml:space="preserve">Art. 953.</w:t>
      </w:r>
      <w:r>
        <w:t xml:space="preserve"> </w:t>
      </w:r>
      <w:r>
        <w:t xml:space="preserve">O conflito será suscitado ao tribunal:</w:t>
      </w:r>
    </w:p>
    <w:p>
      <w:pPr>
        <w:pStyle w:val="BodyText"/>
        <w:spacing w:after="60"/>
        <w:jc w:val="both"/>
      </w:pPr>
      <w:r>
        <w:t xml:space="preserve">I - pelo juiz, por ofício;</w:t>
      </w:r>
    </w:p>
    <w:p>
      <w:pPr>
        <w:pStyle w:val="BodyText"/>
        <w:spacing w:after="60"/>
        <w:jc w:val="both"/>
      </w:pPr>
      <w:r>
        <w:t xml:space="preserve">II - pela parte e pelo Ministério Público, por petição.</w:t>
      </w:r>
    </w:p>
    <w:p>
      <w:pPr>
        <w:pStyle w:val="BodyText"/>
        <w:spacing w:after="60"/>
        <w:jc w:val="both"/>
      </w:pPr>
      <w:r>
        <w:t xml:space="preserve">Parágrafo único. O ofício e a petição serão instruídos com os documentos necessários à prova do conflito.</w:t>
      </w:r>
    </w:p>
    <w:bookmarkEnd w:id="779"/>
    <w:bookmarkStart w:id="780" w:name="art.-954"/>
    <w:p>
      <w:pPr>
        <w:pStyle w:val="Heading6"/>
        <w:pBdr>
          <w:left w:val="single" w:sz="36" w:space="4" w:color="2E75B6"/>
        </w:pBdr>
        <w:shd w:val="clear" w:color="auto" w:fill="E3EEF9"/>
        <w:spacing w:before="120" w:after="60"/>
        <w:ind w:left="85"/>
      </w:pPr>
      <w:r>
        <w:rPr>
          <w:i w:val="0"/>
          <w:color w:val="1F3A5F"/>
          <w:sz w:val="22"/>
        </w:rPr>
        <w:t xml:space="preserve">Art. 954</w:t>
      </w:r>
    </w:p>
    <w:p>
      <w:pPr>
        <w:pStyle w:val="FirstParagraph"/>
        <w:spacing w:after="60"/>
        <w:jc w:val="both"/>
      </w:pPr>
      <w:r>
        <w:rPr>
          <w:b/>
          <w:bCs/>
        </w:rPr>
        <w:t xml:space="preserve">Art. 954.</w:t>
      </w:r>
      <w:r>
        <w:t xml:space="preserve"> </w:t>
      </w:r>
      <w:r>
        <w:t xml:space="preserve">Após a distribuição, o relator determinará a oitiva dos juízes em conflito ou, se um deles for suscitante, apenas do suscitado.</w:t>
      </w:r>
    </w:p>
    <w:p>
      <w:pPr>
        <w:pStyle w:val="BodyText"/>
        <w:spacing w:after="60"/>
        <w:jc w:val="both"/>
      </w:pPr>
      <w:r>
        <w:t xml:space="preserve">Parágrafo único. No prazo designado pelo relator, incumbirá ao juiz ou aos juízes prestar as informações.</w:t>
      </w:r>
    </w:p>
    <w:bookmarkEnd w:id="780"/>
    <w:bookmarkStart w:id="781" w:name="art.-955"/>
    <w:p>
      <w:pPr>
        <w:pStyle w:val="Heading6"/>
        <w:pBdr>
          <w:left w:val="single" w:sz="36" w:space="4" w:color="2E75B6"/>
        </w:pBdr>
        <w:shd w:val="clear" w:color="auto" w:fill="E3EEF9"/>
        <w:spacing w:before="120" w:after="60"/>
        <w:ind w:left="85"/>
      </w:pPr>
      <w:r>
        <w:rPr>
          <w:i w:val="0"/>
          <w:color w:val="1F3A5F"/>
          <w:sz w:val="22"/>
        </w:rPr>
        <w:t xml:space="preserve">Art. 955</w:t>
      </w:r>
    </w:p>
    <w:p>
      <w:pPr>
        <w:pStyle w:val="FirstParagraph"/>
        <w:spacing w:after="60"/>
        <w:jc w:val="both"/>
      </w:pPr>
      <w:r>
        <w:rPr>
          <w:b/>
          <w:bCs/>
        </w:rPr>
        <w:t xml:space="preserve">Art. 955.</w:t>
      </w:r>
      <w:r>
        <w:t xml:space="preserve"> </w:t>
      </w:r>
      <w:r>
        <w:t xml:space="preserve">O relator poderá, de ofício ou a requerimento de qualquer das partes, determinar, quando o conflito for positivo, o sobrestamento do processo e, nesse caso, bem como no de conflito negativo, designará um dos juízes para resolver, em caráter provisório, as medidas urgentes.</w:t>
      </w:r>
    </w:p>
    <w:p>
      <w:pPr>
        <w:pStyle w:val="BodyText"/>
        <w:spacing w:after="60"/>
        <w:jc w:val="both"/>
      </w:pPr>
      <w:r>
        <w:t xml:space="preserve">Parágrafo único. O relator poderá julgar de plano o conflito de competência quando sua decisão se fundar em:</w:t>
      </w:r>
    </w:p>
    <w:p>
      <w:pPr>
        <w:pStyle w:val="BodyText"/>
        <w:spacing w:after="60"/>
        <w:jc w:val="both"/>
      </w:pPr>
      <w:r>
        <w:t xml:space="preserve">I - súmula do Supremo Tribunal Federal, do Superior Tribunal de Justiça ou do próprio tribunal;</w:t>
      </w:r>
    </w:p>
    <w:p>
      <w:pPr>
        <w:pStyle w:val="BodyText"/>
        <w:spacing w:after="60"/>
        <w:jc w:val="both"/>
      </w:pPr>
      <w:r>
        <w:t xml:space="preserve">II - tese firmada em julgamento de casos repetitivos ou em incidente de assunção de competência.</w:t>
      </w:r>
    </w:p>
    <w:bookmarkEnd w:id="781"/>
    <w:bookmarkStart w:id="782" w:name="art.-956"/>
    <w:p>
      <w:pPr>
        <w:pStyle w:val="Heading6"/>
        <w:pBdr>
          <w:left w:val="single" w:sz="36" w:space="4" w:color="2E75B6"/>
        </w:pBdr>
        <w:shd w:val="clear" w:color="auto" w:fill="E3EEF9"/>
        <w:spacing w:before="120" w:after="60"/>
        <w:ind w:left="85"/>
      </w:pPr>
      <w:r>
        <w:rPr>
          <w:i w:val="0"/>
          <w:color w:val="1F3A5F"/>
          <w:sz w:val="22"/>
        </w:rPr>
        <w:t xml:space="preserve">Art. 956</w:t>
      </w:r>
    </w:p>
    <w:p>
      <w:pPr>
        <w:pStyle w:val="FirstParagraph"/>
        <w:spacing w:after="60"/>
        <w:jc w:val="both"/>
      </w:pPr>
      <w:r>
        <w:rPr>
          <w:b/>
          <w:bCs/>
        </w:rPr>
        <w:t xml:space="preserve">Art. 956.</w:t>
      </w:r>
      <w:r>
        <w:t xml:space="preserve"> </w:t>
      </w:r>
      <w:r>
        <w:t xml:space="preserve">Decorrido o prazo designado pelo relator, será ouvido o Ministério Público, no prazo de 5 (cinco) dias, ainda que as informações não tenham sido prestadas, e, em seguida, o conflito irá a julgamento.</w:t>
      </w:r>
    </w:p>
    <w:bookmarkEnd w:id="782"/>
    <w:bookmarkStart w:id="783" w:name="art.-957"/>
    <w:p>
      <w:pPr>
        <w:pStyle w:val="Heading6"/>
        <w:pBdr>
          <w:left w:val="single" w:sz="36" w:space="4" w:color="2E75B6"/>
        </w:pBdr>
        <w:shd w:val="clear" w:color="auto" w:fill="E3EEF9"/>
        <w:spacing w:before="120" w:after="60"/>
        <w:ind w:left="85"/>
      </w:pPr>
      <w:r>
        <w:rPr>
          <w:i w:val="0"/>
          <w:color w:val="1F3A5F"/>
          <w:sz w:val="22"/>
        </w:rPr>
        <w:t xml:space="preserve">Art. 957</w:t>
      </w:r>
    </w:p>
    <w:p>
      <w:pPr>
        <w:pStyle w:val="FirstParagraph"/>
        <w:spacing w:after="60"/>
        <w:jc w:val="both"/>
      </w:pPr>
      <w:r>
        <w:rPr>
          <w:b/>
          <w:bCs/>
        </w:rPr>
        <w:t xml:space="preserve">Art. 957.</w:t>
      </w:r>
      <w:r>
        <w:t xml:space="preserve"> </w:t>
      </w:r>
      <w:r>
        <w:t xml:space="preserve">Ao decidir o conflito, o tribunal declarará qual o juízo competente, pronunciando-se também sobre a validade dos atos do juízo incompetente.</w:t>
      </w:r>
    </w:p>
    <w:p>
      <w:pPr>
        <w:pStyle w:val="BodyText"/>
        <w:spacing w:after="60"/>
        <w:jc w:val="both"/>
      </w:pPr>
      <w:r>
        <w:t xml:space="preserve">Parágrafo único. Os autos do processo em que se manifestou o conflito serão remetidos ao juiz declarado competente.</w:t>
      </w:r>
    </w:p>
    <w:bookmarkEnd w:id="783"/>
    <w:bookmarkStart w:id="784" w:name="art.-958"/>
    <w:p>
      <w:pPr>
        <w:pStyle w:val="Heading6"/>
        <w:pBdr>
          <w:left w:val="single" w:sz="36" w:space="4" w:color="2E75B6"/>
        </w:pBdr>
        <w:shd w:val="clear" w:color="auto" w:fill="E3EEF9"/>
        <w:spacing w:before="120" w:after="60"/>
        <w:ind w:left="85"/>
      </w:pPr>
      <w:r>
        <w:rPr>
          <w:i w:val="0"/>
          <w:color w:val="1F3A5F"/>
          <w:sz w:val="22"/>
        </w:rPr>
        <w:t xml:space="preserve">Art. 958</w:t>
      </w:r>
    </w:p>
    <w:p>
      <w:pPr>
        <w:pStyle w:val="FirstParagraph"/>
        <w:keepNext/>
        <w:spacing w:after="60"/>
        <w:jc w:val="both"/>
      </w:pPr>
      <w:r>
        <w:rPr>
          <w:b/>
          <w:bCs/>
        </w:rPr>
        <w:t xml:space="preserve">Art. 958.</w:t>
      </w:r>
      <w:r>
        <w:t xml:space="preserve"> </w:t>
      </w:r>
      <w:r>
        <w:t xml:space="preserve">No conflito que envolva órgãos fracionários dos tribunais, desembargadores e juízes em exercício no tribunal, observar-se-á o que dispuser o regimento interno do tribunal.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2154"/>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Caput — conflito entre órgãos fracionários do tribunal (aplicação)</w:t>
            </w:r>
          </w:p>
        </w:tc>
        <w:tc>
          <w:tcPr>
            <w:tcW w:type="dxa" w:w="1655"/>
          </w:tcPr>
          <w:p>
            <w:pPr>
              <w:pStyle w:val="Compact"/>
              <w:spacing w:line="276" w:lineRule="auto" w:before="40" w:after="40"/>
            </w:pPr>
            <w:r>
              <w:rPr>
                <w:rFonts w:ascii="Liberation Sans Narrow" w:hAnsi="Liberation Sans Narrow"/>
                <w:sz w:val="17"/>
              </w:rPr>
              <w:t xml:space="preserve">STJ, CC 218.125, Corte Especial, relatora Min. Maria Thereza de Assis Moura, julgado em 24/03/2026, DJEN de 30/03/2026</w:t>
            </w:r>
          </w:p>
        </w:tc>
        <w:tc>
          <w:tcPr>
            <w:tcW w:type="dxa" w:w="2154"/>
          </w:tcPr>
          <w:p>
            <w:pPr>
              <w:pStyle w:val="Compact"/>
              <w:spacing w:line="276" w:lineRule="auto" w:before="40" w:after="40"/>
            </w:pPr>
            <w:r>
              <w:rPr>
                <w:rFonts w:ascii="Liberation Sans Narrow" w:hAnsi="Liberation Sans Narrow"/>
                <w:sz w:val="17"/>
              </w:rPr>
              <w:t xml:space="preserve">No conflito entre órgãos fracionários do mesmo tribunal, a competência é definida pelo regimento interno: a ação de direito de resposta, de natureza cível e administrativa, compete à Primeira Turma, e não à Quinta Turma.</w:t>
            </w:r>
          </w:p>
        </w:tc>
      </w:tr>
    </w:tbl>
    <w:bookmarkEnd w:id="784"/>
    <w:bookmarkStart w:id="785" w:name="art.-959"/>
    <w:p>
      <w:pPr>
        <w:pStyle w:val="Heading6"/>
        <w:pBdr>
          <w:left w:val="single" w:sz="36" w:space="4" w:color="2E75B6"/>
        </w:pBdr>
        <w:shd w:val="clear" w:color="auto" w:fill="E3EEF9"/>
        <w:spacing w:before="120" w:after="60"/>
        <w:ind w:left="85"/>
      </w:pPr>
      <w:r>
        <w:rPr>
          <w:i w:val="0"/>
          <w:color w:val="1F3A5F"/>
          <w:sz w:val="22"/>
        </w:rPr>
        <w:t xml:space="preserve">Art. 959</w:t>
      </w:r>
    </w:p>
    <w:p>
      <w:pPr>
        <w:pStyle w:val="FirstParagraph"/>
        <w:keepNext/>
        <w:spacing w:after="60"/>
        <w:jc w:val="both"/>
      </w:pPr>
      <w:r>
        <w:rPr>
          <w:b/>
          <w:bCs/>
        </w:rPr>
        <w:t xml:space="preserve">Art. 959.</w:t>
      </w:r>
      <w:r>
        <w:t xml:space="preserve"> </w:t>
      </w:r>
      <w:r>
        <w:t xml:space="preserve">O regimento interno do tribunal regulará o processo e o julgamento do conflito de atribuições entre autoridade judiciária e autoridade administrativa.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655"/>
        <w:gridCol w:w="2279"/>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2030"/>
          </w:tcPr>
          <w:p>
            <w:pPr>
              <w:pStyle w:val="Compact"/>
              <w:spacing w:line="276" w:lineRule="auto" w:before="40" w:after="40"/>
            </w:pPr>
            <w:r>
              <w:rPr>
                <w:rFonts w:ascii="Liberation Sans Narrow" w:hAnsi="Liberation Sans Narrow"/>
                <w:sz w:val="17"/>
              </w:rPr>
              <w:t xml:space="preserve">Caput — conflito de atribuições entre autoridade judiciária e administrativa (aplicação narrada)</w:t>
            </w:r>
          </w:p>
        </w:tc>
        <w:tc>
          <w:tcPr>
            <w:tcW w:type="dxa" w:w="1655"/>
          </w:tcPr>
          <w:p>
            <w:pPr>
              <w:pStyle w:val="Compact"/>
              <w:spacing w:line="276" w:lineRule="auto" w:before="40" w:after="40"/>
            </w:pPr>
            <w:r>
              <w:rPr>
                <w:rFonts w:ascii="Liberation Sans Narrow" w:hAnsi="Liberation Sans Narrow"/>
                <w:sz w:val="17"/>
              </w:rPr>
              <w:t xml:space="preserve">STJ, CAt 297, Primeira Seção, relator Min. Herman Benjamin, julgado em 12/06/2019, DJe de 01/07/2019</w:t>
            </w:r>
          </w:p>
        </w:tc>
        <w:tc>
          <w:tcPr>
            <w:tcW w:type="dxa" w:w="2279"/>
          </w:tcPr>
          <w:p>
            <w:pPr>
              <w:pStyle w:val="Compact"/>
              <w:spacing w:line="276" w:lineRule="auto" w:before="40" w:after="40"/>
            </w:pPr>
            <w:r>
              <w:rPr>
                <w:rFonts w:ascii="Liberation Sans Narrow" w:hAnsi="Liberation Sans Narrow"/>
                <w:sz w:val="17"/>
              </w:rPr>
              <w:t xml:space="preserve">O conflito de atribuições entre autoridade administrativa e judiciária somente surge quando ambas se atribuem competência para o conhecimento e a solução de matéria estritamente administrativa; não há conflito quando a autoridade judiciária, no exercício genuíno da função jurisdicional, aprecia e decide pedido liminar em ação civil pública. Trecho: “Se a autoridade judiciária, no exercício genuíno de sua função jurisdicional, aprecia e decide pedido liminar formulado em Ação Civil Pública por ato de Improbidade Administrativa, não há falar em Conflito de Atribuições com a autoridade administrativa.”</w:t>
            </w:r>
          </w:p>
        </w:tc>
      </w:tr>
    </w:tbl>
    <w:bookmarkEnd w:id="785"/>
    <w:bookmarkEnd w:id="786"/>
    <w:bookmarkStart w:id="793" w:name="X29e19cf6091edae256680c9abb1a7ff805b81a0"/>
    <w:p>
      <w:pPr>
        <w:pStyle w:val="Heading4"/>
        <w:spacing w:before="80" w:after="40"/>
      </w:pPr>
      <w:r>
        <w:rPr>
          <w:smallCaps/>
          <w:color w:val="2E75B6"/>
        </w:rPr>
        <w:t xml:space="preserve">Capítulo VI: da homologação de decisão estrangeira e da concessão do exequatur à carta rogatória (arts. 960 a 965)</w:t>
      </w:r>
    </w:p>
    <w:bookmarkStart w:id="787" w:name="art.-960"/>
    <w:p>
      <w:pPr>
        <w:pStyle w:val="Heading6"/>
        <w:pBdr>
          <w:left w:val="single" w:sz="36" w:space="4" w:color="2E75B6"/>
        </w:pBdr>
        <w:shd w:val="clear" w:color="auto" w:fill="E3EEF9"/>
        <w:spacing w:before="120" w:after="60"/>
        <w:ind w:left="85"/>
      </w:pPr>
      <w:r>
        <w:rPr>
          <w:i w:val="0"/>
          <w:color w:val="1F3A5F"/>
          <w:sz w:val="22"/>
        </w:rPr>
        <w:t xml:space="preserve">Art. 960</w:t>
      </w:r>
    </w:p>
    <w:p>
      <w:pPr>
        <w:pStyle w:val="FirstParagraph"/>
        <w:keepNext/>
        <w:spacing w:after="60"/>
        <w:jc w:val="both"/>
      </w:pPr>
      <w:r>
        <w:rPr>
          <w:b/>
          <w:bCs/>
        </w:rPr>
        <w:t xml:space="preserve">Art. 960.</w:t>
      </w:r>
      <w:r>
        <w:t xml:space="preserve"> </w:t>
      </w:r>
      <w:r>
        <w:t xml:space="preserve">A homologação de decisão estrangeira será requerida por ação de homologação de decisão estrangeira, salvo disposição especial em sentido contrário prevista em tratado.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2154"/>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natureza da ação de homologação de decisão estrangeira</w:t>
            </w:r>
          </w:p>
        </w:tc>
        <w:tc>
          <w:tcPr>
            <w:tcW w:type="dxa" w:w="1655"/>
          </w:tcPr>
          <w:p>
            <w:pPr>
              <w:pStyle w:val="Compact"/>
              <w:spacing w:line="276" w:lineRule="auto" w:before="40" w:after="40"/>
            </w:pPr>
            <w:r>
              <w:rPr>
                <w:rFonts w:ascii="Liberation Sans Narrow" w:hAnsi="Liberation Sans Narrow"/>
                <w:sz w:val="17"/>
              </w:rPr>
              <w:t xml:space="preserve">STJ, AgInt na HDE 3.552, Corte Especial, relator Min. Humberto Martins, julgado em 10/03/2026, DJEN de 16/03/2026</w:t>
            </w:r>
          </w:p>
        </w:tc>
        <w:tc>
          <w:tcPr>
            <w:tcW w:type="dxa" w:w="2154"/>
          </w:tcPr>
          <w:p>
            <w:pPr>
              <w:pStyle w:val="Compact"/>
              <w:spacing w:line="276" w:lineRule="auto" w:before="40" w:after="40"/>
            </w:pPr>
            <w:r>
              <w:rPr>
                <w:rFonts w:ascii="Liberation Sans Narrow" w:hAnsi="Liberation Sans Narrow"/>
                <w:sz w:val="17"/>
              </w:rPr>
              <w:t xml:space="preserve">A homologação de sentença estrangeira tem natureza constitutiva e de contenciosidade limitada, razão pela qual a análise deve cingir-se aos requisitos do Regimento Interno do Superior Tribunal de Justiça, do Código de Processo Civil e da Lei de Introdução às Normas do Direito Brasileiro.</w:t>
            </w:r>
          </w:p>
        </w:tc>
      </w:tr>
    </w:tbl>
    <w:p>
      <w:pPr>
        <w:pStyle w:val="BodyText"/>
        <w:spacing w:after="60"/>
        <w:jc w:val="both"/>
      </w:pPr>
      <w:r>
        <w:t xml:space="preserve">§ 1º A decisão interlocutória estrangeira poderá ser executada no Brasil por meio de carta rogatória.</w:t>
      </w:r>
    </w:p>
    <w:p>
      <w:pPr>
        <w:pStyle w:val="BodyText"/>
        <w:spacing w:after="60"/>
        <w:jc w:val="both"/>
      </w:pPr>
      <w:r>
        <w:t xml:space="preserve">§ 2º A homologação obedecerá ao que dispuserem os tratados em vigor no Brasil e o Regimento Interno do Superior Tribunal de Justiça.</w:t>
      </w:r>
    </w:p>
    <w:p>
      <w:pPr>
        <w:pStyle w:val="BodyText"/>
        <w:spacing w:after="60"/>
        <w:jc w:val="both"/>
      </w:pPr>
      <w:r>
        <w:t xml:space="preserve">§ 3º A homologação de decisão arbitral estrangeira obedecerá ao disposto em tratado e em lei, aplicando-se, subsidiariamente, as disposições deste Capítulo.</w:t>
      </w:r>
    </w:p>
    <w:bookmarkEnd w:id="787"/>
    <w:bookmarkStart w:id="788" w:name="art.-961"/>
    <w:p>
      <w:pPr>
        <w:pStyle w:val="Heading6"/>
        <w:pBdr>
          <w:left w:val="single" w:sz="36" w:space="4" w:color="2E75B6"/>
        </w:pBdr>
        <w:shd w:val="clear" w:color="auto" w:fill="E3EEF9"/>
        <w:spacing w:before="120" w:after="60"/>
        <w:ind w:left="85"/>
      </w:pPr>
      <w:r>
        <w:rPr>
          <w:i w:val="0"/>
          <w:color w:val="1F3A5F"/>
          <w:sz w:val="22"/>
        </w:rPr>
        <w:t xml:space="preserve">Art. 961</w:t>
      </w:r>
    </w:p>
    <w:p>
      <w:pPr>
        <w:pStyle w:val="FirstParagraph"/>
        <w:spacing w:after="60"/>
        <w:jc w:val="both"/>
      </w:pPr>
      <w:r>
        <w:rPr>
          <w:b/>
          <w:bCs/>
        </w:rPr>
        <w:t xml:space="preserve">Art. 961.</w:t>
      </w:r>
      <w:r>
        <w:t xml:space="preserve"> </w:t>
      </w:r>
      <w:r>
        <w:t xml:space="preserve">A decisão estrangeira somente terá eficácia no Brasil após a homologação de sentença estrangeira ou a concessão do exequatur às cartas rogatórias, salvo disposição em sentido contrário de lei ou tratado.</w:t>
      </w:r>
    </w:p>
    <w:p>
      <w:pPr>
        <w:pStyle w:val="BodyText"/>
        <w:spacing w:after="60"/>
        <w:jc w:val="both"/>
      </w:pPr>
      <w:r>
        <w:t xml:space="preserve">§ 1º É passível de homologação a decisão judicial definitiva, bem como a decisão não judicial que, pela lei brasileira, teria natureza jurisdicional.</w:t>
      </w:r>
    </w:p>
    <w:p>
      <w:pPr>
        <w:pStyle w:val="BodyText"/>
        <w:spacing w:after="60"/>
        <w:jc w:val="both"/>
      </w:pPr>
      <w:r>
        <w:t xml:space="preserve">§ 2º A decisão estrangeira poderá ser homologada parcialmente.</w:t>
      </w:r>
    </w:p>
    <w:p>
      <w:pPr>
        <w:pStyle w:val="BodyText"/>
        <w:spacing w:after="60"/>
        <w:jc w:val="both"/>
      </w:pPr>
      <w:r>
        <w:t xml:space="preserve">§ 3º A autoridade judiciária brasileira poderá deferir pedidos de urgência e realizar atos de execução provisória no processo de homologação de decisão estrangeira.</w:t>
      </w:r>
    </w:p>
    <w:p>
      <w:pPr>
        <w:pStyle w:val="BodyText"/>
        <w:spacing w:after="60"/>
        <w:jc w:val="both"/>
      </w:pPr>
      <w:r>
        <w:t xml:space="preserve">§ 4º Haverá homologação de decisão estrangeira para fins de execução fiscal quando prevista em tratado ou em promessa de reciprocidade apresentada à autoridade brasileira.</w:t>
      </w:r>
    </w:p>
    <w:p>
      <w:pPr>
        <w:pStyle w:val="BodyText"/>
        <w:spacing w:after="60"/>
        <w:jc w:val="both"/>
      </w:pPr>
      <w:r>
        <w:t xml:space="preserve">§ 5º A sentença estrangeira de divórcio consensual produz efeitos no Brasil, independentemente de homologação pelo Superior Tribunal de Justiça.</w:t>
      </w:r>
    </w:p>
    <w:p>
      <w:pPr>
        <w:pStyle w:val="BodyText"/>
        <w:spacing w:after="60"/>
        <w:jc w:val="both"/>
      </w:pPr>
      <w:r>
        <w:t xml:space="preserve">§ 6º Na hipótese do § 5º, competirá a qualquer juiz examinar a validade da decisão, em caráter principal ou incidental, quando essa questão for suscitada em processo de sua competência.</w:t>
      </w:r>
    </w:p>
    <w:bookmarkEnd w:id="788"/>
    <w:bookmarkStart w:id="789" w:name="art.-962"/>
    <w:p>
      <w:pPr>
        <w:pStyle w:val="Heading6"/>
        <w:pBdr>
          <w:left w:val="single" w:sz="36" w:space="4" w:color="2E75B6"/>
        </w:pBdr>
        <w:shd w:val="clear" w:color="auto" w:fill="E3EEF9"/>
        <w:spacing w:before="120" w:after="60"/>
        <w:ind w:left="85"/>
      </w:pPr>
      <w:r>
        <w:rPr>
          <w:i w:val="0"/>
          <w:color w:val="1F3A5F"/>
          <w:sz w:val="22"/>
        </w:rPr>
        <w:t xml:space="preserve">Art. 962</w:t>
      </w:r>
    </w:p>
    <w:p>
      <w:pPr>
        <w:pStyle w:val="FirstParagraph"/>
        <w:spacing w:after="60"/>
        <w:jc w:val="both"/>
      </w:pPr>
      <w:r>
        <w:rPr>
          <w:b/>
          <w:bCs/>
        </w:rPr>
        <w:t xml:space="preserve">Art. 962.</w:t>
      </w:r>
      <w:r>
        <w:t xml:space="preserve"> </w:t>
      </w:r>
      <w:r>
        <w:t xml:space="preserve">É passível de execução a decisão estrangeira concessiva de medida de urgência.</w:t>
      </w:r>
    </w:p>
    <w:p>
      <w:pPr>
        <w:pStyle w:val="BodyText"/>
        <w:spacing w:after="60"/>
        <w:jc w:val="both"/>
      </w:pPr>
      <w:r>
        <w:t xml:space="preserve">§ 1º A execução no Brasil de decisão interlocutória estrangeira concessiva de medida de urgência dar-se-á por carta rogatória.</w:t>
      </w:r>
    </w:p>
    <w:p>
      <w:pPr>
        <w:pStyle w:val="BodyText"/>
        <w:spacing w:after="60"/>
        <w:jc w:val="both"/>
      </w:pPr>
      <w:r>
        <w:t xml:space="preserve">§ 2º A medida de urgência concedida sem audiência do réu poderá ser executada, desde que garantido o contraditório em momento posterior.</w:t>
      </w:r>
    </w:p>
    <w:p>
      <w:pPr>
        <w:pStyle w:val="BodyText"/>
        <w:spacing w:after="60"/>
        <w:jc w:val="both"/>
      </w:pPr>
      <w:r>
        <w:t xml:space="preserve">§ 3º O juízo sobre a urgência da medida compete exclusivamente à autoridade jurisdicional prolatora da decisão estrangeira.</w:t>
      </w:r>
    </w:p>
    <w:p>
      <w:pPr>
        <w:pStyle w:val="BodyText"/>
        <w:spacing w:after="60"/>
        <w:jc w:val="both"/>
      </w:pPr>
      <w:r>
        <w:t xml:space="preserve">§ 4º Quando dispensada a homologação para que a sentença estrangeira produza efeitos no Brasil, a decisão concessiva de medida de urgência dependerá, para produzir efeitos, de ter sua validade expressamente reconhecida pelo juiz competente para dar-lhe cumprimento, dispensada a homologação pelo Superior Tribunal de Justiça.</w:t>
      </w:r>
    </w:p>
    <w:bookmarkEnd w:id="789"/>
    <w:bookmarkStart w:id="790" w:name="art.-963"/>
    <w:p>
      <w:pPr>
        <w:pStyle w:val="Heading6"/>
        <w:pBdr>
          <w:left w:val="single" w:sz="36" w:space="4" w:color="2E75B6"/>
        </w:pBdr>
        <w:shd w:val="clear" w:color="auto" w:fill="E3EEF9"/>
        <w:spacing w:before="120" w:after="60"/>
        <w:ind w:left="85"/>
      </w:pPr>
      <w:r>
        <w:rPr>
          <w:i w:val="0"/>
          <w:color w:val="1F3A5F"/>
          <w:sz w:val="22"/>
        </w:rPr>
        <w:t xml:space="preserve">Art. 963</w:t>
      </w:r>
    </w:p>
    <w:p>
      <w:pPr>
        <w:pStyle w:val="FirstParagraph"/>
        <w:spacing w:after="60"/>
        <w:jc w:val="both"/>
      </w:pPr>
      <w:r>
        <w:rPr>
          <w:b/>
          <w:bCs/>
        </w:rPr>
        <w:t xml:space="preserve">Art. 963.</w:t>
      </w:r>
      <w:r>
        <w:t xml:space="preserve"> </w:t>
      </w:r>
      <w:r>
        <w:t xml:space="preserve">Constituem requisitos indispensáveis à homologação da decisão:</w:t>
      </w:r>
    </w:p>
    <w:p>
      <w:pPr>
        <w:pStyle w:val="BodyText"/>
        <w:spacing w:after="60"/>
        <w:jc w:val="both"/>
      </w:pPr>
      <w:r>
        <w:t xml:space="preserve">I - ser proferida por autoridade competente;</w:t>
      </w:r>
    </w:p>
    <w:p>
      <w:pPr>
        <w:pStyle w:val="BodyText"/>
        <w:spacing w:after="60"/>
        <w:jc w:val="both"/>
      </w:pPr>
      <w:r>
        <w:t xml:space="preserve">II - ser precedida de citação regular, ainda que verificada a revelia;</w:t>
      </w:r>
    </w:p>
    <w:p>
      <w:pPr>
        <w:pStyle w:val="BodyText"/>
        <w:keepNext/>
        <w:spacing w:after="60"/>
        <w:jc w:val="both"/>
      </w:pPr>
      <w:r>
        <w:t xml:space="preserve">III - ser eficaz no país em que foi proferida;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780"/>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III — eficácia da decisão no país de origem</w:t>
            </w:r>
          </w:p>
        </w:tc>
        <w:tc>
          <w:tcPr>
            <w:tcW w:type="dxa" w:w="1655"/>
          </w:tcPr>
          <w:p>
            <w:pPr>
              <w:pStyle w:val="Compact"/>
              <w:spacing w:line="276" w:lineRule="auto" w:before="40" w:after="40"/>
            </w:pPr>
            <w:r>
              <w:rPr>
                <w:rFonts w:ascii="Liberation Sans Narrow" w:hAnsi="Liberation Sans Narrow"/>
                <w:sz w:val="17"/>
              </w:rPr>
              <w:t xml:space="preserve">STJ, HDE 8.908, Corte Especial, relatora Min. Maria Thereza de Assis Moura, julgado em 25/11/2025, DJEN de 28/11/2025</w:t>
            </w:r>
          </w:p>
        </w:tc>
        <w:tc>
          <w:tcPr>
            <w:tcW w:type="dxa" w:w="1780"/>
          </w:tcPr>
          <w:p>
            <w:pPr>
              <w:pStyle w:val="Compact"/>
              <w:spacing w:line="276" w:lineRule="auto" w:before="40" w:after="40"/>
            </w:pPr>
            <w:r>
              <w:rPr>
                <w:rFonts w:ascii="Liberation Sans Narrow" w:hAnsi="Liberation Sans Narrow"/>
                <w:sz w:val="17"/>
              </w:rPr>
              <w:t xml:space="preserve">O art. 963, inciso III, do Código de Processo Civil não exige a comprovação do trânsito em julgado da sentença estrangeira, bastando, para a homologação, a demonstração de que a decisão é eficaz no país de origem.</w:t>
            </w:r>
          </w:p>
        </w:tc>
      </w:tr>
      <w:tr>
        <w:trPr>
          <w:cantSplit/>
        </w:trPr>
        <w:tc>
          <w:tcPr>
            <w:tcW w:type="dxa" w:w="1531"/>
          </w:tcPr>
          <w:p>
            <w:pPr>
              <w:pStyle w:val="Compact"/>
              <w:spacing w:line="276" w:lineRule="auto" w:before="40" w:after="40"/>
            </w:pPr>
            <w:r>
              <w:rPr>
                <w:rFonts w:ascii="Liberation Sans Narrow" w:hAnsi="Liberation Sans Narrow"/>
                <w:sz w:val="17"/>
              </w:rPr>
              <w:t xml:space="preserve">III — eficácia da decisão no país de origem</w:t>
            </w:r>
          </w:p>
        </w:tc>
        <w:tc>
          <w:tcPr>
            <w:tcW w:type="dxa" w:w="1655"/>
          </w:tcPr>
          <w:p>
            <w:pPr>
              <w:pStyle w:val="Compact"/>
              <w:spacing w:line="276" w:lineRule="auto" w:before="40" w:after="40"/>
            </w:pPr>
            <w:r>
              <w:rPr>
                <w:rFonts w:ascii="Liberation Sans Narrow" w:hAnsi="Liberation Sans Narrow"/>
                <w:sz w:val="17"/>
              </w:rPr>
              <w:t xml:space="preserve">STJ, HDE 7.547, Corte Especial, relator Min. Francisco Falcão, julgado em 17/04/2024, DJe de 22/04/2024</w:t>
            </w:r>
          </w:p>
        </w:tc>
        <w:tc>
          <w:tcPr>
            <w:tcW w:type="dxa" w:w="1780"/>
          </w:tcPr>
          <w:p>
            <w:pPr>
              <w:pStyle w:val="Compact"/>
              <w:spacing w:line="276" w:lineRule="auto" w:before="40" w:after="40"/>
            </w:pPr>
            <w:r>
              <w:rPr>
                <w:rFonts w:ascii="Liberation Sans Narrow" w:hAnsi="Liberation Sans Narrow"/>
                <w:sz w:val="17"/>
              </w:rPr>
              <w:t xml:space="preserve">Resta demonstrada a eficácia, nos termos do art. 963, inciso III, quando a parte requerida dá parcial cumprimento ao título estrangeiro que se pretende homologar.</w:t>
            </w:r>
          </w:p>
        </w:tc>
      </w:tr>
    </w:tbl>
    <w:p>
      <w:pPr>
        <w:pStyle w:val="BodyText"/>
        <w:spacing w:after="60"/>
        <w:jc w:val="both"/>
      </w:pPr>
      <w:r>
        <w:t xml:space="preserve">IV - não ofender a coisa julgada brasileira;</w:t>
      </w:r>
    </w:p>
    <w:p>
      <w:pPr>
        <w:pStyle w:val="BodyText"/>
        <w:spacing w:after="60"/>
        <w:jc w:val="both"/>
      </w:pPr>
      <w:r>
        <w:t xml:space="preserve">V - estar acompanhada de tradução oficial, salvo disposição que a dispense prevista em tratado;</w:t>
      </w:r>
    </w:p>
    <w:p>
      <w:pPr>
        <w:pStyle w:val="BodyText"/>
        <w:spacing w:after="60"/>
        <w:jc w:val="both"/>
      </w:pPr>
      <w:r>
        <w:t xml:space="preserve">VI - não conter manifesta ofensa à ordem pública.</w:t>
      </w:r>
    </w:p>
    <w:p>
      <w:pPr>
        <w:pStyle w:val="BodyText"/>
        <w:spacing w:after="60"/>
        <w:jc w:val="both"/>
      </w:pPr>
      <w:r>
        <w:t xml:space="preserve">Parágrafo único. Para a concessão do exequatur às cartas rogatórias, observar-se-ão os pressupostos previstos no caput deste artigo e no art. 962, § 2º.</w:t>
      </w:r>
    </w:p>
    <w:bookmarkEnd w:id="790"/>
    <w:bookmarkStart w:id="791" w:name="art.-964"/>
    <w:p>
      <w:pPr>
        <w:pStyle w:val="Heading6"/>
        <w:pBdr>
          <w:left w:val="single" w:sz="36" w:space="4" w:color="2E75B6"/>
        </w:pBdr>
        <w:shd w:val="clear" w:color="auto" w:fill="E3EEF9"/>
        <w:spacing w:before="120" w:after="60"/>
        <w:ind w:left="85"/>
      </w:pPr>
      <w:r>
        <w:rPr>
          <w:i w:val="0"/>
          <w:color w:val="1F3A5F"/>
          <w:sz w:val="22"/>
        </w:rPr>
        <w:t xml:space="preserve">Art. 964</w:t>
      </w:r>
    </w:p>
    <w:p>
      <w:pPr>
        <w:pStyle w:val="FirstParagraph"/>
        <w:keepNext/>
        <w:spacing w:after="60"/>
        <w:jc w:val="both"/>
      </w:pPr>
      <w:r>
        <w:rPr>
          <w:b/>
          <w:bCs/>
        </w:rPr>
        <w:t xml:space="preserve">Art. 964.</w:t>
      </w:r>
      <w:r>
        <w:t xml:space="preserve"> </w:t>
      </w:r>
      <w:r>
        <w:t xml:space="preserve">Não será homologada a decisão estrangeira na hipótese de competência exclusiva da autoridade judiciária brasileira.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1905"/>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655"/>
          </w:tcPr>
          <w:p>
            <w:pPr>
              <w:pStyle w:val="Compact"/>
              <w:spacing w:line="276" w:lineRule="auto" w:before="40" w:after="40"/>
            </w:pPr>
            <w:r>
              <w:rPr>
                <w:rFonts w:ascii="Liberation Sans Narrow" w:hAnsi="Liberation Sans Narrow"/>
                <w:sz w:val="17"/>
              </w:rPr>
              <w:t xml:space="preserve">Caput — extensão da competência exclusiva apenas ao capítulo atingido</w:t>
            </w:r>
          </w:p>
        </w:tc>
        <w:tc>
          <w:tcPr>
            <w:tcW w:type="dxa" w:w="1655"/>
          </w:tcPr>
          <w:p>
            <w:pPr>
              <w:pStyle w:val="Compact"/>
              <w:spacing w:line="276" w:lineRule="auto" w:before="40" w:after="40"/>
            </w:pPr>
            <w:r>
              <w:rPr>
                <w:rFonts w:ascii="Liberation Sans Narrow" w:hAnsi="Liberation Sans Narrow"/>
                <w:sz w:val="17"/>
              </w:rPr>
              <w:t xml:space="preserve">STJ, AgInt nos EDcl na HDE 11.911, Corte Especial, relator Min. Og Fernandes, julgado em 03/03/2026, DJEN de 10/03/2026</w:t>
            </w:r>
          </w:p>
        </w:tc>
        <w:tc>
          <w:tcPr>
            <w:tcW w:type="dxa" w:w="1905"/>
          </w:tcPr>
          <w:p>
            <w:pPr>
              <w:pStyle w:val="Compact"/>
              <w:spacing w:line="276" w:lineRule="auto" w:before="40" w:after="40"/>
            </w:pPr>
            <w:r>
              <w:rPr>
                <w:rFonts w:ascii="Liberation Sans Narrow" w:hAnsi="Liberation Sans Narrow"/>
                <w:sz w:val="17"/>
              </w:rPr>
              <w:t xml:space="preserve">A exclusão do capítulo relativo à propriedade de imóvel situado no Brasil decorre da incidência do art. 23, III, do CPC e não afeta a homologação das demais disposições do título estrangeiro. É admissível a homologação de sentença estrangeira de divórcio que reconhece dívida comum do casal, matéria de natureza obrigacional não submetida à jurisdição exclusiva da Justiça brasileira, e a explicitação desse alcance em embargos de declaração não configura julgamento extra petita nem afronta à congruência.</w:t>
            </w:r>
          </w:p>
        </w:tc>
      </w:tr>
      <w:tr>
        <w:trPr/>
        <w:tc>
          <w:tcPr>
            <w:tcW w:type="dxa" w:w="1655"/>
          </w:tcPr>
          <w:p>
            <w:pPr>
              <w:pStyle w:val="Compact"/>
              <w:spacing w:line="276" w:lineRule="auto" w:before="40" w:after="40"/>
            </w:pPr>
            <w:r>
              <w:rPr>
                <w:rFonts w:ascii="Liberation Sans Narrow" w:hAnsi="Liberation Sans Narrow"/>
                <w:sz w:val="17"/>
              </w:rPr>
              <w:t xml:space="preserve">Caput — competência exclusiva da autoridade judiciária brasileira (aplicação narrada)</w:t>
            </w:r>
          </w:p>
        </w:tc>
        <w:tc>
          <w:tcPr>
            <w:tcW w:type="dxa" w:w="1655"/>
          </w:tcPr>
          <w:p>
            <w:pPr>
              <w:pStyle w:val="Compact"/>
              <w:spacing w:line="276" w:lineRule="auto" w:before="40" w:after="40"/>
            </w:pPr>
            <w:r>
              <w:rPr>
                <w:rFonts w:ascii="Liberation Sans Narrow" w:hAnsi="Liberation Sans Narrow"/>
                <w:sz w:val="17"/>
              </w:rPr>
              <w:t xml:space="preserve">STJ, HDE 8.908, Corte Especial, relatora Min. Maria Thereza de Assis Moura, julgado em 25/11/2025, DJEN de 28/11/2025</w:t>
            </w:r>
          </w:p>
        </w:tc>
        <w:tc>
          <w:tcPr>
            <w:tcW w:type="dxa" w:w="1905"/>
          </w:tcPr>
          <w:p>
            <w:pPr>
              <w:pStyle w:val="Compact"/>
              <w:spacing w:line="276" w:lineRule="auto" w:before="40" w:after="40"/>
            </w:pPr>
            <w:r>
              <w:rPr>
                <w:rFonts w:ascii="Liberation Sans Narrow" w:hAnsi="Liberation Sans Narrow"/>
                <w:sz w:val="17"/>
              </w:rPr>
              <w:t xml:space="preserve">Não incide a competência exclusiva da autoridade judiciária brasileira quando a imunidade de jurisdição do Estado estrangeiro é relativa e o litígio é de natureza trabalhista, de modo que a decisão estrangeira pode ser homologada. Trecho: “Não há falar em jurisdição exclusiva da Justiça Federal brasileira, pois, atualmente, a questão sobre imunidade de jurisdição é relativa, especialmente quando o litígio se refira a relações de natureza trabalhista, como a presente.”</w:t>
            </w:r>
          </w:p>
        </w:tc>
      </w:tr>
    </w:tbl>
    <w:p>
      <w:pPr>
        <w:pStyle w:val="BodyText"/>
        <w:spacing w:after="60"/>
        <w:jc w:val="both"/>
      </w:pPr>
      <w:r>
        <w:t xml:space="preserve">Parágrafo único. O dispositivo também se aplica à concessão do exequatur à carta rogatória.</w:t>
      </w:r>
    </w:p>
    <w:bookmarkEnd w:id="791"/>
    <w:bookmarkStart w:id="792" w:name="art.-965"/>
    <w:p>
      <w:pPr>
        <w:pStyle w:val="Heading6"/>
        <w:pBdr>
          <w:left w:val="single" w:sz="36" w:space="4" w:color="2E75B6"/>
        </w:pBdr>
        <w:shd w:val="clear" w:color="auto" w:fill="E3EEF9"/>
        <w:spacing w:before="120" w:after="60"/>
        <w:ind w:left="85"/>
      </w:pPr>
      <w:r>
        <w:rPr>
          <w:i w:val="0"/>
          <w:color w:val="1F3A5F"/>
          <w:sz w:val="22"/>
        </w:rPr>
        <w:t xml:space="preserve">Art. 965</w:t>
      </w:r>
    </w:p>
    <w:p>
      <w:pPr>
        <w:pStyle w:val="FirstParagraph"/>
        <w:spacing w:after="60"/>
        <w:jc w:val="both"/>
      </w:pPr>
      <w:r>
        <w:rPr>
          <w:b/>
          <w:bCs/>
        </w:rPr>
        <w:t xml:space="preserve">Art. 965.</w:t>
      </w:r>
      <w:r>
        <w:t xml:space="preserve"> </w:t>
      </w:r>
      <w:r>
        <w:t xml:space="preserve">O cumprimento de decisão estrangeira far-se-á perante o juízo federal competente, a requerimento da parte, conforme as normas estabelecidas para o cumprimento de decisão nacional.</w:t>
      </w:r>
    </w:p>
    <w:p>
      <w:pPr>
        <w:pStyle w:val="BodyText"/>
        <w:spacing w:after="60"/>
        <w:jc w:val="both"/>
      </w:pPr>
      <w:r>
        <w:t xml:space="preserve">Parágrafo único. O pedido de execução deverá ser instruído com cópia autenticada da decisão homologatória ou do exequatur , conforme o caso.</w:t>
      </w:r>
    </w:p>
    <w:bookmarkEnd w:id="792"/>
    <w:bookmarkEnd w:id="793"/>
    <w:bookmarkStart w:id="804" w:name="X8e8ff2910ccb87313e73df940a13685ac9a2796"/>
    <w:p>
      <w:pPr>
        <w:pStyle w:val="Heading4"/>
        <w:spacing w:before="80" w:after="40"/>
      </w:pPr>
      <w:r>
        <w:rPr>
          <w:smallCaps/>
          <w:color w:val="2E75B6"/>
        </w:rPr>
        <w:t xml:space="preserve">Capítulo VII: da ação rescisória (arts. 966 a 975)</w:t>
      </w:r>
    </w:p>
    <w:bookmarkStart w:id="794" w:name="art.-966"/>
    <w:p>
      <w:pPr>
        <w:pStyle w:val="Heading6"/>
        <w:pBdr>
          <w:left w:val="single" w:sz="36" w:space="4" w:color="2E75B6"/>
        </w:pBdr>
        <w:shd w:val="clear" w:color="auto" w:fill="E3EEF9"/>
        <w:spacing w:before="120" w:after="60"/>
        <w:ind w:left="85"/>
      </w:pPr>
      <w:r>
        <w:rPr>
          <w:i w:val="0"/>
          <w:color w:val="1F3A5F"/>
          <w:sz w:val="22"/>
        </w:rPr>
        <w:t xml:space="preserve">Art. 966</w:t>
      </w:r>
    </w:p>
    <w:p>
      <w:pPr>
        <w:pStyle w:val="FirstParagraph"/>
        <w:keepNext/>
        <w:spacing w:after="60"/>
        <w:jc w:val="both"/>
      </w:pPr>
      <w:r>
        <w:rPr>
          <w:b/>
          <w:bCs/>
        </w:rPr>
        <w:t xml:space="preserve">Art. 966.</w:t>
      </w:r>
      <w:r>
        <w:t xml:space="preserve"> </w:t>
      </w:r>
      <w:r>
        <w:t xml:space="preserve">A decisão de mérito, transitada em julgado, pode ser rescindida quando: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hipóteses de rescisão</w:t>
            </w:r>
          </w:p>
        </w:tc>
        <w:tc>
          <w:tcPr>
            <w:tcW w:type="dxa" w:w="1531"/>
          </w:tcPr>
          <w:p>
            <w:pPr>
              <w:pStyle w:val="Compact"/>
              <w:spacing w:line="276" w:lineRule="auto" w:before="40" w:after="40"/>
            </w:pPr>
            <w:r>
              <w:rPr>
                <w:rFonts w:ascii="Liberation Sans Narrow" w:hAnsi="Liberation Sans Narrow"/>
                <w:sz w:val="17"/>
              </w:rPr>
              <w:t xml:space="preserve">STJ, EDcl no AR 7.646, Segunda Seção, relator Min. Marco Buzzi, DJe de 23/10/2024</w:t>
            </w:r>
          </w:p>
        </w:tc>
        <w:tc>
          <w:tcPr>
            <w:tcW w:type="dxa" w:w="2030"/>
          </w:tcPr>
          <w:p>
            <w:pPr>
              <w:pStyle w:val="Compact"/>
              <w:spacing w:line="276" w:lineRule="auto" w:before="40" w:after="40"/>
            </w:pPr>
            <w:r>
              <w:rPr>
                <w:rFonts w:ascii="Liberation Sans Narrow" w:hAnsi="Liberation Sans Narrow"/>
                <w:sz w:val="17"/>
              </w:rPr>
              <w:t xml:space="preserve">A ação rescisória é medida de acolhimento excepcional, cabível apenas nas hipóteses taxativas do art. 966, em razão da proteção constitucional da coisa julgada e do princípio da segurança jurídica.</w:t>
            </w:r>
          </w:p>
        </w:tc>
      </w:tr>
    </w:tbl>
    <w:p>
      <w:pPr>
        <w:pStyle w:val="BodyText"/>
        <w:spacing w:after="60"/>
        <w:jc w:val="both"/>
      </w:pPr>
      <w:r>
        <w:t xml:space="preserve">I - se verificar que foi proferida por força de prevaricação, concussão ou corrupção do juiz;</w:t>
      </w:r>
    </w:p>
    <w:p>
      <w:pPr>
        <w:pStyle w:val="BodyText"/>
        <w:spacing w:after="60"/>
        <w:jc w:val="both"/>
      </w:pPr>
      <w:r>
        <w:t xml:space="preserve">II - for proferida por juiz impedido ou por juízo absolutamente incompetente;</w:t>
      </w:r>
    </w:p>
    <w:p>
      <w:pPr>
        <w:pStyle w:val="BodyText"/>
        <w:spacing w:after="60"/>
        <w:jc w:val="both"/>
      </w:pPr>
      <w:r>
        <w:t xml:space="preserve">III - resultar de dolo ou coação da parte vencedora em detrimento da parte vencida ou, ainda, de simulação ou colusão entre as partes, a fim de fraudar a lei;</w:t>
      </w:r>
    </w:p>
    <w:p>
      <w:pPr>
        <w:pStyle w:val="BodyText"/>
        <w:spacing w:after="60"/>
        <w:jc w:val="both"/>
      </w:pPr>
      <w:r>
        <w:t xml:space="preserve">IV - ofender a coisa julgada;</w:t>
      </w:r>
    </w:p>
    <w:p>
      <w:pPr>
        <w:pStyle w:val="BodyText"/>
        <w:spacing w:after="60"/>
        <w:jc w:val="both"/>
      </w:pPr>
      <w:r>
        <w:t xml:space="preserve">V - violar manifestamente norma jurídica;</w:t>
      </w:r>
    </w:p>
    <w:p>
      <w:pPr>
        <w:pStyle w:val="BodyText"/>
        <w:spacing w:after="60"/>
        <w:jc w:val="both"/>
      </w:pPr>
      <w:r>
        <w:t xml:space="preserve">VI - for fundada em prova cuja falsidade tenha sido apurada em processo criminal ou venha a ser demonstrada na própria ação rescisória;</w:t>
      </w:r>
    </w:p>
    <w:p>
      <w:pPr>
        <w:pStyle w:val="BodyText"/>
        <w:spacing w:after="60"/>
        <w:jc w:val="both"/>
      </w:pPr>
      <w:r>
        <w:t xml:space="preserve">VII - obtiver o autor, posteriormente ao trânsito em julgado, prova nova cuja existência ignorava ou de que não pôde fazer uso, capaz, por si só, de lhe assegurar pronunciamento favorável;</w:t>
      </w:r>
    </w:p>
    <w:p>
      <w:pPr>
        <w:pStyle w:val="BodyText"/>
        <w:spacing w:after="60"/>
        <w:jc w:val="both"/>
      </w:pPr>
      <w:r>
        <w:t xml:space="preserve">VIII - for fundada em erro de fato verificável do exame dos autos.</w:t>
      </w:r>
    </w:p>
    <w:p>
      <w:pPr>
        <w:pStyle w:val="BodyText"/>
        <w:keepNext/>
        <w:spacing w:after="60"/>
        <w:jc w:val="both"/>
      </w:pPr>
      <w:r>
        <w:t xml:space="preserve">§ 1º Há erro de fato quando a decisão rescindenda admitir fato inexistente ou quando considerar inexistente fato efetivamente ocorrido, sendo indispensável, em ambos os casos, que o fato não represente ponto controvertido sobre o qual o juiz deveria ter se pronunciado.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530"/>
        <w:gridCol w:w="2029"/>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VIII e § 1º — inexistência de erro de fato quando o ponto foi enfrentado na decisão rescindenda</w:t>
            </w:r>
          </w:p>
        </w:tc>
        <w:tc>
          <w:tcPr>
            <w:tcW w:type="dxa" w:w="1531"/>
          </w:tcPr>
          <w:p>
            <w:pPr>
              <w:pStyle w:val="Compact"/>
              <w:spacing w:line="276" w:lineRule="auto" w:before="40" w:after="40"/>
            </w:pPr>
            <w:r>
              <w:rPr>
                <w:rFonts w:ascii="Liberation Sans Narrow" w:hAnsi="Liberation Sans Narrow"/>
                <w:sz w:val="17"/>
              </w:rPr>
              <w:t xml:space="preserve">STJ, AREsp 2.744.284, Quarta Turma, relator Min. João Otávio de Noronha, julgado em 09/03/2026</w:t>
            </w:r>
          </w:p>
        </w:tc>
        <w:tc>
          <w:tcPr>
            <w:tcW w:type="dxa" w:w="2030"/>
          </w:tcPr>
          <w:p>
            <w:pPr>
              <w:pStyle w:val="Compact"/>
              <w:spacing w:line="276" w:lineRule="auto" w:before="40" w:after="40"/>
            </w:pPr>
            <w:r>
              <w:rPr>
                <w:rFonts w:ascii="Liberation Sans Narrow" w:hAnsi="Liberation Sans Narrow"/>
                <w:sz w:val="17"/>
              </w:rPr>
              <w:t xml:space="preserve">Não há erro de fato quando a decisão rescindenda enfrentou o ponto controvertido e houve pronunciamento judicial sobre a questão, pois o § 1º do art. 966 exige, para a rescisão, que o fato não represente ponto controvertido sobre o qual o juiz deveria ter se pronunciado.</w:t>
            </w:r>
          </w:p>
        </w:tc>
      </w:tr>
    </w:tbl>
    <w:p>
      <w:pPr>
        <w:pStyle w:val="BodyText"/>
        <w:spacing w:after="60"/>
        <w:jc w:val="both"/>
      </w:pPr>
      <w:r>
        <w:t xml:space="preserve">§ 2º Nas hipóteses previstas nos incisos do caput , será rescindível a decisão transitada em julgado que, embora não seja de mérito, impeça:</w:t>
      </w:r>
    </w:p>
    <w:p>
      <w:pPr>
        <w:pStyle w:val="BodyText"/>
        <w:spacing w:after="60"/>
        <w:jc w:val="both"/>
      </w:pPr>
      <w:r>
        <w:t xml:space="preserve">I - nova propositura da demanda; ou</w:t>
      </w:r>
    </w:p>
    <w:p>
      <w:pPr>
        <w:pStyle w:val="BodyText"/>
        <w:spacing w:after="60"/>
        <w:jc w:val="both"/>
      </w:pPr>
      <w:r>
        <w:t xml:space="preserve">II - admissibilidade do recurso correspondente.</w:t>
      </w:r>
    </w:p>
    <w:p>
      <w:pPr>
        <w:pStyle w:val="BodyText"/>
        <w:spacing w:after="60"/>
        <w:jc w:val="both"/>
      </w:pPr>
      <w:r>
        <w:t xml:space="preserve">§ 3º A ação rescisória pode ter por objeto apenas 1 (um) capítulo da decisão.</w:t>
      </w:r>
    </w:p>
    <w:p>
      <w:pPr>
        <w:pStyle w:val="BodyText"/>
        <w:spacing w:after="60"/>
        <w:jc w:val="both"/>
      </w:pPr>
      <w:r>
        <w:t xml:space="preserve">§ 4º Os atos de disposição de direitos, praticados pelas partes ou por outros participantes do processo e homologados pelo juízo, bem como os atos homologatórios praticados no curso da execução, estão sujeitos à anulação, nos termos da lei.</w:t>
      </w:r>
    </w:p>
    <w:p>
      <w:pPr>
        <w:pStyle w:val="BodyText"/>
        <w:spacing w:after="60"/>
        <w:jc w:val="both"/>
      </w:pPr>
      <w:r>
        <w:t xml:space="preserve">§ 5º Cabe ação rescisória, com fundamento no inciso V do caput deste artigo, contra decisão baseada em enunciado de súmula ou acórdão proferido em julgamento de casos repetitivos que não tenha considerado a existência de distinção entre a questão discutida no processo e o padrão decisório que lhe deu fundamento. (Incluído pela Lei nº 13.256, de 2016) (Vigência)</w:t>
      </w:r>
    </w:p>
    <w:p>
      <w:pPr>
        <w:pStyle w:val="BodyText"/>
        <w:spacing w:after="60"/>
        <w:jc w:val="both"/>
      </w:pPr>
      <w:r>
        <w:t xml:space="preserve">§ 6º Quando a ação rescisória fundar-se na hipótese do § 5º deste artigo, caberá ao autor, sob pena de inépcia, demonstrar, fundamentadamente, tratar-se de situação particularizada por hipótese fática distinta ou de questão jurídica não examinada, a impor outra solução jurídica. (Incluído pela Lei nº 13.256, de 2016) (Vigência)</w:t>
      </w:r>
    </w:p>
    <w:bookmarkEnd w:id="794"/>
    <w:bookmarkStart w:id="795" w:name="art.-967"/>
    <w:p>
      <w:pPr>
        <w:pStyle w:val="Heading6"/>
        <w:pBdr>
          <w:left w:val="single" w:sz="36" w:space="4" w:color="2E75B6"/>
        </w:pBdr>
        <w:shd w:val="clear" w:color="auto" w:fill="E3EEF9"/>
        <w:spacing w:before="120" w:after="60"/>
        <w:ind w:left="85"/>
      </w:pPr>
      <w:r>
        <w:rPr>
          <w:i w:val="0"/>
          <w:color w:val="1F3A5F"/>
          <w:sz w:val="22"/>
        </w:rPr>
        <w:t xml:space="preserve">Art. 967</w:t>
      </w:r>
    </w:p>
    <w:p>
      <w:pPr>
        <w:pStyle w:val="FirstParagraph"/>
        <w:spacing w:after="60"/>
        <w:jc w:val="both"/>
      </w:pPr>
      <w:r>
        <w:rPr>
          <w:b/>
          <w:bCs/>
        </w:rPr>
        <w:t xml:space="preserve">Art. 967.</w:t>
      </w:r>
      <w:r>
        <w:t xml:space="preserve"> </w:t>
      </w:r>
      <w:r>
        <w:t xml:space="preserve">Têm legitimidade para propor a ação rescisória:</w:t>
      </w:r>
    </w:p>
    <w:p>
      <w:pPr>
        <w:pStyle w:val="BodyText"/>
        <w:keepNext/>
        <w:spacing w:after="60"/>
        <w:jc w:val="both"/>
      </w:pPr>
      <w:r>
        <w:t xml:space="preserve">I - quem foi parte no processo ou o seu sucessor a título universal ou singular;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1905"/>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I — legitimidade do terceiro juridicamente interessado</w:t>
            </w:r>
          </w:p>
        </w:tc>
        <w:tc>
          <w:tcPr>
            <w:tcW w:type="dxa" w:w="1655"/>
          </w:tcPr>
          <w:p>
            <w:pPr>
              <w:pStyle w:val="Compact"/>
              <w:spacing w:line="276" w:lineRule="auto" w:before="40" w:after="40"/>
            </w:pPr>
            <w:r>
              <w:rPr>
                <w:rFonts w:ascii="Liberation Sans Narrow" w:hAnsi="Liberation Sans Narrow"/>
                <w:sz w:val="17"/>
              </w:rPr>
              <w:t xml:space="preserve">STJ, AgInt na AR 7.967, Primeira Seção, relator Min. Francisco Falcão, julgado em 23/06/2026</w:t>
            </w:r>
          </w:p>
        </w:tc>
        <w:tc>
          <w:tcPr>
            <w:tcW w:type="dxa" w:w="1905"/>
          </w:tcPr>
          <w:p>
            <w:pPr>
              <w:pStyle w:val="Compact"/>
              <w:spacing w:line="276" w:lineRule="auto" w:before="40" w:after="40"/>
            </w:pPr>
            <w:r>
              <w:rPr>
                <w:rFonts w:ascii="Liberation Sans Narrow" w:hAnsi="Liberation Sans Narrow"/>
                <w:sz w:val="17"/>
              </w:rPr>
              <w:t xml:space="preserve">A legitimidade para propor ação rescisória, nos termos do art. 967, é de quem é ou foi parte no processo, de seu sucessor e do terceiro juridicamente interessado, exigindo-se deste último interesse jurídico, e não meramente econômico. A assistência simples no processo de origem não confere legitimidade ativa.</w:t>
            </w:r>
          </w:p>
        </w:tc>
      </w:tr>
      <w:tr>
        <w:trPr>
          <w:cantSplit/>
        </w:trPr>
        <w:tc>
          <w:tcPr>
            <w:tcW w:type="dxa" w:w="1905"/>
          </w:tcPr>
          <w:p>
            <w:pPr>
              <w:pStyle w:val="Compact"/>
              <w:spacing w:line="276" w:lineRule="auto" w:before="40" w:after="40"/>
            </w:pPr>
            <w:r>
              <w:rPr>
                <w:rFonts w:ascii="Liberation Sans Narrow" w:hAnsi="Liberation Sans Narrow"/>
                <w:sz w:val="17"/>
              </w:rPr>
              <w:t xml:space="preserve">I — legitimidade passiva: todos os que figuraram como parte no processo originário</w:t>
            </w:r>
          </w:p>
        </w:tc>
        <w:tc>
          <w:tcPr>
            <w:tcW w:type="dxa" w:w="1655"/>
          </w:tcPr>
          <w:p>
            <w:pPr>
              <w:pStyle w:val="Compact"/>
              <w:spacing w:line="276" w:lineRule="auto" w:before="40" w:after="40"/>
            </w:pPr>
            <w:r>
              <w:rPr>
                <w:rFonts w:ascii="Liberation Sans Narrow" w:hAnsi="Liberation Sans Narrow"/>
                <w:sz w:val="17"/>
              </w:rPr>
              <w:t xml:space="preserve">STJ, AR 5.980, Segunda Seção, relator Min. Marco Aurélio Bellizze, julgado em 24/11/2021, DJe de 03/12/2021</w:t>
            </w:r>
          </w:p>
        </w:tc>
        <w:tc>
          <w:tcPr>
            <w:tcW w:type="dxa" w:w="1905"/>
          </w:tcPr>
          <w:p>
            <w:pPr>
              <w:pStyle w:val="Compact"/>
              <w:spacing w:line="276" w:lineRule="auto" w:before="40" w:after="40"/>
            </w:pPr>
            <w:r>
              <w:rPr>
                <w:rFonts w:ascii="Liberation Sans Narrow" w:hAnsi="Liberation Sans Narrow"/>
                <w:sz w:val="17"/>
              </w:rPr>
              <w:t xml:space="preserve">A legitimidade para figurar no polo passivo da ação rescisória é de todos os sujeitos que figuravam como parte no processo originário.</w:t>
            </w:r>
          </w:p>
        </w:tc>
      </w:tr>
    </w:tbl>
    <w:p>
      <w:pPr>
        <w:pStyle w:val="BodyText"/>
        <w:spacing w:after="60"/>
        <w:jc w:val="both"/>
      </w:pPr>
      <w:r>
        <w:t xml:space="preserve">II - o terceiro juridicamente interessado;</w:t>
      </w:r>
    </w:p>
    <w:p>
      <w:pPr>
        <w:pStyle w:val="BodyText"/>
        <w:spacing w:after="60"/>
        <w:jc w:val="both"/>
      </w:pPr>
      <w:r>
        <w:t xml:space="preserve">III - o Ministério Público:</w:t>
      </w:r>
    </w:p>
    <w:p>
      <w:pPr>
        <w:pStyle w:val="BodyText"/>
        <w:spacing w:after="60"/>
        <w:jc w:val="both"/>
      </w:pPr>
      <w:r>
        <w:t xml:space="preserve">a) se não foi ouvido no processo em que lhe era obrigatória a intervenção;</w:t>
      </w:r>
    </w:p>
    <w:p>
      <w:pPr>
        <w:pStyle w:val="BodyText"/>
        <w:spacing w:after="60"/>
        <w:jc w:val="both"/>
      </w:pPr>
      <w:r>
        <w:t xml:space="preserve">b) quando a decisão rescindenda é o efeito de simulação ou de colusão das partes, a fim de fraudar a lei;</w:t>
      </w:r>
    </w:p>
    <w:p>
      <w:pPr>
        <w:pStyle w:val="BodyText"/>
        <w:spacing w:after="60"/>
        <w:jc w:val="both"/>
      </w:pPr>
      <w:r>
        <w:t xml:space="preserve">c) em outros casos em que se imponha sua atuação;</w:t>
      </w:r>
    </w:p>
    <w:p>
      <w:pPr>
        <w:pStyle w:val="BodyText"/>
        <w:spacing w:after="60"/>
        <w:jc w:val="both"/>
      </w:pPr>
      <w:r>
        <w:t xml:space="preserve">IV - aquele que não foi ouvido no processo em que lhe era obrigatória a intervenção.</w:t>
      </w:r>
    </w:p>
    <w:p>
      <w:pPr>
        <w:pStyle w:val="BodyText"/>
        <w:spacing w:after="60"/>
        <w:jc w:val="both"/>
      </w:pPr>
      <w:r>
        <w:t xml:space="preserve">Parágrafo único. Nas hipóteses do art. 178, o Ministério Público será intimado para intervir como fiscal da ordem jurídica quando não for parte.</w:t>
      </w:r>
    </w:p>
    <w:bookmarkEnd w:id="795"/>
    <w:bookmarkStart w:id="796" w:name="art.-968"/>
    <w:p>
      <w:pPr>
        <w:pStyle w:val="Heading6"/>
        <w:pBdr>
          <w:left w:val="single" w:sz="36" w:space="4" w:color="2E75B6"/>
        </w:pBdr>
        <w:shd w:val="clear" w:color="auto" w:fill="E3EEF9"/>
        <w:spacing w:before="120" w:after="60"/>
        <w:ind w:left="85"/>
      </w:pPr>
      <w:r>
        <w:rPr>
          <w:i w:val="0"/>
          <w:color w:val="1F3A5F"/>
          <w:sz w:val="22"/>
        </w:rPr>
        <w:t xml:space="preserve">Art. 968</w:t>
      </w:r>
    </w:p>
    <w:p>
      <w:pPr>
        <w:pStyle w:val="FirstParagraph"/>
        <w:spacing w:after="60"/>
        <w:jc w:val="both"/>
      </w:pPr>
      <w:r>
        <w:rPr>
          <w:b/>
          <w:bCs/>
        </w:rPr>
        <w:t xml:space="preserve">Art. 968.</w:t>
      </w:r>
      <w:r>
        <w:t xml:space="preserve"> </w:t>
      </w:r>
      <w:r>
        <w:t xml:space="preserve">A petição inicial será elaborada com observância dos requisitos essenciais do art. 319, devendo o autor:</w:t>
      </w:r>
    </w:p>
    <w:p>
      <w:pPr>
        <w:pStyle w:val="BodyText"/>
        <w:spacing w:after="60"/>
        <w:jc w:val="both"/>
      </w:pPr>
      <w:r>
        <w:t xml:space="preserve">I - cumular ao pedido de rescisão, se for o caso, o de novo julgamento do processo;</w:t>
      </w:r>
    </w:p>
    <w:p>
      <w:pPr>
        <w:pStyle w:val="BodyText"/>
        <w:spacing w:after="60"/>
        <w:jc w:val="both"/>
      </w:pPr>
      <w:r>
        <w:t xml:space="preserve">II - depositar a importância de cinco por cento sobre o valor da causa, que se converterá em multa caso a ação seja, por unanimidade de votos, declarada inadmissível ou improcedente.</w:t>
      </w:r>
    </w:p>
    <w:p>
      <w:pPr>
        <w:pStyle w:val="BodyText"/>
        <w:spacing w:after="60"/>
        <w:jc w:val="both"/>
      </w:pPr>
      <w:r>
        <w:t xml:space="preserve">§ 1º Não se aplica o disposto no inciso II à União, aos Estados, ao Distrito Federal, aos Municípios, às suas respectivas autarquias e fundações de direito público, ao Ministério Público, à Defensoria Pública e aos que tenham obtido o benefício de gratuidade da justiça.</w:t>
      </w:r>
    </w:p>
    <w:p>
      <w:pPr>
        <w:pStyle w:val="BodyText"/>
        <w:spacing w:after="60"/>
        <w:jc w:val="both"/>
      </w:pPr>
      <w:r>
        <w:t xml:space="preserve">§ 2º O depósito previsto no inciso II do caput deste artigo não será superior a 1.000 (mil) salários-mínimos.</w:t>
      </w:r>
    </w:p>
    <w:p>
      <w:pPr>
        <w:pStyle w:val="BodyText"/>
        <w:spacing w:after="60"/>
        <w:jc w:val="both"/>
      </w:pPr>
      <w:r>
        <w:t xml:space="preserve">§ 3º Além dos casos previstos no art. 330, a petição inicial será indeferida quando não efetuado o depósito exigido pelo inciso II do caput deste artigo.</w:t>
      </w:r>
    </w:p>
    <w:p>
      <w:pPr>
        <w:pStyle w:val="BodyText"/>
        <w:keepNext/>
        <w:spacing w:after="60"/>
        <w:jc w:val="both"/>
      </w:pPr>
      <w:r>
        <w:t xml:space="preserve">§ 4º Aplica-se à ação rescisória o disposto no art. 332.</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530"/>
        <w:gridCol w:w="1905"/>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 4º — indeferimento liminar da petição inicial</w:t>
            </w:r>
          </w:p>
        </w:tc>
        <w:tc>
          <w:tcPr>
            <w:tcW w:type="dxa" w:w="1531"/>
          </w:tcPr>
          <w:p>
            <w:pPr>
              <w:pStyle w:val="Compact"/>
              <w:spacing w:line="276" w:lineRule="auto" w:before="40" w:after="40"/>
            </w:pPr>
            <w:r>
              <w:rPr>
                <w:rFonts w:ascii="Liberation Sans Narrow" w:hAnsi="Liberation Sans Narrow"/>
                <w:sz w:val="17"/>
              </w:rPr>
              <w:t xml:space="preserve">STJ, REsp 1.781.587, Quarta Turma, relator Min. João Otávio de Noronha, julgado em 14/04/2026</w:t>
            </w:r>
          </w:p>
        </w:tc>
        <w:tc>
          <w:tcPr>
            <w:tcW w:type="dxa" w:w="1905"/>
          </w:tcPr>
          <w:p>
            <w:pPr>
              <w:pStyle w:val="Compact"/>
              <w:spacing w:line="276" w:lineRule="auto" w:before="40" w:after="40"/>
            </w:pPr>
            <w:r>
              <w:rPr>
                <w:rFonts w:ascii="Liberation Sans Narrow" w:hAnsi="Liberation Sans Narrow"/>
                <w:sz w:val="17"/>
              </w:rPr>
              <w:t xml:space="preserve">Admite-se o indeferimento liminar da petição inicial da ação rescisória quando constatado, de plano, o descabimento da demanda, inclusive na hipótese de evidente ausência de violação manifesta de dispositivo legal cuja matéria não foi tratada na demanda rescindenda.</w:t>
            </w:r>
          </w:p>
        </w:tc>
      </w:tr>
    </w:tbl>
    <w:p>
      <w:pPr>
        <w:pStyle w:val="BodyText"/>
        <w:spacing w:after="60"/>
        <w:jc w:val="both"/>
      </w:pPr>
      <w:r>
        <w:t xml:space="preserve">§ 5º Reconhecida a incompetência do tribunal para julgar a ação rescisória, o autor será intimado para emendar a petição inicial, a fim de adequar o objeto da ação rescisória, quando a decisão apontada como rescindenda:</w:t>
      </w:r>
    </w:p>
    <w:p>
      <w:pPr>
        <w:pStyle w:val="BodyText"/>
        <w:spacing w:after="60"/>
        <w:jc w:val="both"/>
      </w:pPr>
      <w:r>
        <w:t xml:space="preserve">I - não tiver apreciado o mérito e não se enquadrar na situação prevista no § 2º do art. 966;</w:t>
      </w:r>
    </w:p>
    <w:p>
      <w:pPr>
        <w:pStyle w:val="BodyText"/>
        <w:spacing w:after="60"/>
        <w:jc w:val="both"/>
      </w:pPr>
      <w:r>
        <w:t xml:space="preserve">II - tiver sido substituída por decisão posterior.</w:t>
      </w:r>
    </w:p>
    <w:p>
      <w:pPr>
        <w:pStyle w:val="BodyText"/>
        <w:spacing w:after="60"/>
        <w:jc w:val="both"/>
      </w:pPr>
      <w:r>
        <w:t xml:space="preserve">§ 6º Na hipótese do § 5º, após a emenda da petição inicial, será permitido ao réu complementar os fundamentos de defesa, e, em seguida, os autos serão remetidos ao tribunal competente.</w:t>
      </w:r>
    </w:p>
    <w:bookmarkEnd w:id="796"/>
    <w:bookmarkStart w:id="797" w:name="art.-969"/>
    <w:p>
      <w:pPr>
        <w:pStyle w:val="Heading6"/>
        <w:pBdr>
          <w:left w:val="single" w:sz="36" w:space="4" w:color="2E75B6"/>
        </w:pBdr>
        <w:shd w:val="clear" w:color="auto" w:fill="E3EEF9"/>
        <w:spacing w:before="120" w:after="60"/>
        <w:ind w:left="85"/>
      </w:pPr>
      <w:r>
        <w:rPr>
          <w:i w:val="0"/>
          <w:color w:val="1F3A5F"/>
          <w:sz w:val="22"/>
        </w:rPr>
        <w:t xml:space="preserve">Art. 969</w:t>
      </w:r>
    </w:p>
    <w:p>
      <w:pPr>
        <w:pStyle w:val="FirstParagraph"/>
        <w:keepNext/>
        <w:spacing w:after="60"/>
        <w:jc w:val="both"/>
      </w:pPr>
      <w:r>
        <w:rPr>
          <w:b/>
          <w:bCs/>
        </w:rPr>
        <w:t xml:space="preserve">Art. 969.</w:t>
      </w:r>
      <w:r>
        <w:t xml:space="preserve"> </w:t>
      </w:r>
      <w:r>
        <w:t xml:space="preserve">A propositura da ação rescisória não impede o cumprimento da decisão rescindenda, ressalvada a concessão de tutela provisória.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1905"/>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cumprimento da decisão rescindenda e tutela provisória</w:t>
            </w:r>
          </w:p>
        </w:tc>
        <w:tc>
          <w:tcPr>
            <w:tcW w:type="dxa" w:w="1531"/>
          </w:tcPr>
          <w:p>
            <w:pPr>
              <w:pStyle w:val="Compact"/>
              <w:spacing w:line="276" w:lineRule="auto" w:before="40" w:after="40"/>
            </w:pPr>
            <w:r>
              <w:rPr>
                <w:rFonts w:ascii="Liberation Sans Narrow" w:hAnsi="Liberation Sans Narrow"/>
                <w:sz w:val="17"/>
              </w:rPr>
              <w:t xml:space="preserve">STJ, AgInt nos EDcl no AREsp 2.873.650, Quarta Turma, relator Min. Raul Araújo, julgado em 15/06/2026</w:t>
            </w:r>
          </w:p>
        </w:tc>
        <w:tc>
          <w:tcPr>
            <w:tcW w:type="dxa" w:w="1905"/>
          </w:tcPr>
          <w:p>
            <w:pPr>
              <w:pStyle w:val="Compact"/>
              <w:spacing w:line="276" w:lineRule="auto" w:before="40" w:after="40"/>
            </w:pPr>
            <w:r>
              <w:rPr>
                <w:rFonts w:ascii="Liberation Sans Narrow" w:hAnsi="Liberation Sans Narrow"/>
                <w:sz w:val="17"/>
              </w:rPr>
              <w:t xml:space="preserve">A ação rescisória não impede o cumprimento da decisão rescindenda, ressalvada a concessão de tutela provisória. A improcedência em cognição exauriente substitui a tutela provisória anteriormente deferida e faz cessar seus fundamentos, permitindo a continuidade do cumprimento de sentença, ainda que silente a decisão a respeito.</w:t>
            </w:r>
          </w:p>
        </w:tc>
      </w:tr>
    </w:tbl>
    <w:bookmarkEnd w:id="797"/>
    <w:bookmarkStart w:id="798" w:name="art.-970"/>
    <w:p>
      <w:pPr>
        <w:pStyle w:val="Heading6"/>
        <w:pBdr>
          <w:left w:val="single" w:sz="36" w:space="4" w:color="2E75B6"/>
        </w:pBdr>
        <w:shd w:val="clear" w:color="auto" w:fill="E3EEF9"/>
        <w:spacing w:before="120" w:after="60"/>
        <w:ind w:left="85"/>
      </w:pPr>
      <w:r>
        <w:rPr>
          <w:i w:val="0"/>
          <w:color w:val="1F3A5F"/>
          <w:sz w:val="22"/>
        </w:rPr>
        <w:t xml:space="preserve">Art. 970</w:t>
      </w:r>
    </w:p>
    <w:p>
      <w:pPr>
        <w:pStyle w:val="FirstParagraph"/>
        <w:spacing w:after="60"/>
        <w:jc w:val="both"/>
      </w:pPr>
      <w:r>
        <w:rPr>
          <w:b/>
          <w:bCs/>
        </w:rPr>
        <w:t xml:space="preserve">Art. 970.</w:t>
      </w:r>
      <w:r>
        <w:t xml:space="preserve"> </w:t>
      </w:r>
      <w:r>
        <w:t xml:space="preserve">O relator ordenará a citação do réu, designando-lhe prazo nunca inferior a 15 (quinze) dias nem superior a 30 (trinta) dias para, querendo, apresentar resposta, ao fim do qual, com ou sem contestação, observar-se-á, no que couber, o procedimento comum.</w:t>
      </w:r>
    </w:p>
    <w:bookmarkEnd w:id="798"/>
    <w:bookmarkStart w:id="799" w:name="art.-971"/>
    <w:p>
      <w:pPr>
        <w:pStyle w:val="Heading6"/>
        <w:pBdr>
          <w:left w:val="single" w:sz="36" w:space="4" w:color="2E75B6"/>
        </w:pBdr>
        <w:shd w:val="clear" w:color="auto" w:fill="E3EEF9"/>
        <w:spacing w:before="120" w:after="60"/>
        <w:ind w:left="85"/>
      </w:pPr>
      <w:r>
        <w:rPr>
          <w:i w:val="0"/>
          <w:color w:val="1F3A5F"/>
          <w:sz w:val="22"/>
        </w:rPr>
        <w:t xml:space="preserve">Art. 971</w:t>
      </w:r>
    </w:p>
    <w:p>
      <w:pPr>
        <w:pStyle w:val="FirstParagraph"/>
        <w:spacing w:after="60"/>
        <w:jc w:val="both"/>
      </w:pPr>
      <w:r>
        <w:rPr>
          <w:b/>
          <w:bCs/>
        </w:rPr>
        <w:t xml:space="preserve">Art. 971.</w:t>
      </w:r>
      <w:r>
        <w:t xml:space="preserve"> </w:t>
      </w:r>
      <w:r>
        <w:t xml:space="preserve">Na ação rescisória, devolvidos os autos pelo relator, a secretaria do tribunal expedirá cópias do relatório e as distribuirá entre os juízes que compuserem o órgão competente para o julgamento.</w:t>
      </w:r>
    </w:p>
    <w:p>
      <w:pPr>
        <w:pStyle w:val="BodyText"/>
        <w:spacing w:after="60"/>
        <w:jc w:val="both"/>
      </w:pPr>
      <w:r>
        <w:t xml:space="preserve">Parágrafo único. A escolha de relator recairá, sempre que possível, em juiz que não haja participado do julgamento rescindendo.</w:t>
      </w:r>
    </w:p>
    <w:bookmarkEnd w:id="799"/>
    <w:bookmarkStart w:id="800" w:name="art.-972"/>
    <w:p>
      <w:pPr>
        <w:pStyle w:val="Heading6"/>
        <w:pBdr>
          <w:left w:val="single" w:sz="36" w:space="4" w:color="2E75B6"/>
        </w:pBdr>
        <w:shd w:val="clear" w:color="auto" w:fill="E3EEF9"/>
        <w:spacing w:before="120" w:after="60"/>
        <w:ind w:left="85"/>
      </w:pPr>
      <w:r>
        <w:rPr>
          <w:i w:val="0"/>
          <w:color w:val="1F3A5F"/>
          <w:sz w:val="22"/>
        </w:rPr>
        <w:t xml:space="preserve">Art. 972</w:t>
      </w:r>
    </w:p>
    <w:p>
      <w:pPr>
        <w:pStyle w:val="FirstParagraph"/>
        <w:spacing w:after="60"/>
        <w:jc w:val="both"/>
      </w:pPr>
      <w:r>
        <w:rPr>
          <w:b/>
          <w:bCs/>
        </w:rPr>
        <w:t xml:space="preserve">Art. 972.</w:t>
      </w:r>
      <w:r>
        <w:t xml:space="preserve"> </w:t>
      </w:r>
      <w:r>
        <w:t xml:space="preserve">Se os fatos alegados pelas partes dependerem de prova, o relator poderá delegar a competência ao órgão que proferiu a decisão rescindenda, fixando prazo de 1 (um) a 3 (três) meses para a devolução dos autos.</w:t>
      </w:r>
    </w:p>
    <w:bookmarkEnd w:id="800"/>
    <w:bookmarkStart w:id="801" w:name="art.-973"/>
    <w:p>
      <w:pPr>
        <w:pStyle w:val="Heading6"/>
        <w:pBdr>
          <w:left w:val="single" w:sz="36" w:space="4" w:color="2E75B6"/>
        </w:pBdr>
        <w:shd w:val="clear" w:color="auto" w:fill="E3EEF9"/>
        <w:spacing w:before="120" w:after="60"/>
        <w:ind w:left="85"/>
      </w:pPr>
      <w:r>
        <w:rPr>
          <w:i w:val="0"/>
          <w:color w:val="1F3A5F"/>
          <w:sz w:val="22"/>
        </w:rPr>
        <w:t xml:space="preserve">Art. 973</w:t>
      </w:r>
    </w:p>
    <w:p>
      <w:pPr>
        <w:pStyle w:val="FirstParagraph"/>
        <w:spacing w:after="60"/>
        <w:jc w:val="both"/>
      </w:pPr>
      <w:r>
        <w:rPr>
          <w:b/>
          <w:bCs/>
        </w:rPr>
        <w:t xml:space="preserve">Art. 973.</w:t>
      </w:r>
      <w:r>
        <w:t xml:space="preserve"> </w:t>
      </w:r>
      <w:r>
        <w:t xml:space="preserve">Concluída a instrução, será aberta vista ao autor e ao réu para razões finais, sucessivamente, pelo prazo de 10 (dez) dias.</w:t>
      </w:r>
    </w:p>
    <w:p>
      <w:pPr>
        <w:pStyle w:val="BodyText"/>
        <w:spacing w:after="60"/>
        <w:jc w:val="both"/>
      </w:pPr>
      <w:r>
        <w:t xml:space="preserve">Parágrafo único. Em seguida, os autos serão conclusos ao relator, procedendo-se ao julgamento pelo órgão competente.</w:t>
      </w:r>
    </w:p>
    <w:bookmarkEnd w:id="801"/>
    <w:bookmarkStart w:id="802" w:name="art.-974"/>
    <w:p>
      <w:pPr>
        <w:pStyle w:val="Heading6"/>
        <w:pBdr>
          <w:left w:val="single" w:sz="36" w:space="4" w:color="2E75B6"/>
        </w:pBdr>
        <w:shd w:val="clear" w:color="auto" w:fill="E3EEF9"/>
        <w:spacing w:before="120" w:after="60"/>
        <w:ind w:left="85"/>
      </w:pPr>
      <w:r>
        <w:rPr>
          <w:i w:val="0"/>
          <w:color w:val="1F3A5F"/>
          <w:sz w:val="22"/>
        </w:rPr>
        <w:t xml:space="preserve">Art. 974</w:t>
      </w:r>
    </w:p>
    <w:p>
      <w:pPr>
        <w:pStyle w:val="FirstParagraph"/>
        <w:spacing w:after="60"/>
        <w:jc w:val="both"/>
      </w:pPr>
      <w:r>
        <w:rPr>
          <w:b/>
          <w:bCs/>
        </w:rPr>
        <w:t xml:space="preserve">Art. 974.</w:t>
      </w:r>
      <w:r>
        <w:t xml:space="preserve"> </w:t>
      </w:r>
      <w:r>
        <w:t xml:space="preserve">Julgando procedente o pedido, o tribunal rescindirá a decisão, proferirá, se for o caso, novo julgamento e determinará a restituição do depósito a que se refere o inciso II do art. 968.</w:t>
      </w:r>
    </w:p>
    <w:p>
      <w:pPr>
        <w:pStyle w:val="BodyText"/>
        <w:spacing w:after="60"/>
        <w:jc w:val="both"/>
      </w:pPr>
      <w:r>
        <w:t xml:space="preserve">Parágrafo único. Considerando, por unanimidade, inadmissível ou improcedente o pedido, o tribunal determinará a reversão, em favor do réu, da importância do depósito, sem prejuízo do disposto no § 2º do art. 82.</w:t>
      </w:r>
    </w:p>
    <w:bookmarkEnd w:id="802"/>
    <w:bookmarkStart w:id="803" w:name="art.-975"/>
    <w:p>
      <w:pPr>
        <w:pStyle w:val="Heading6"/>
        <w:pBdr>
          <w:left w:val="single" w:sz="36" w:space="4" w:color="2E75B6"/>
        </w:pBdr>
        <w:shd w:val="clear" w:color="auto" w:fill="E3EEF9"/>
        <w:spacing w:before="120" w:after="60"/>
        <w:ind w:left="85"/>
      </w:pPr>
      <w:r>
        <w:rPr>
          <w:i w:val="0"/>
          <w:color w:val="1F3A5F"/>
          <w:sz w:val="22"/>
        </w:rPr>
        <w:t xml:space="preserve">Art. 975</w:t>
      </w:r>
    </w:p>
    <w:p>
      <w:pPr>
        <w:pStyle w:val="FirstParagraph"/>
        <w:keepNext/>
        <w:spacing w:after="60"/>
        <w:jc w:val="both"/>
      </w:pPr>
      <w:r>
        <w:rPr>
          <w:b/>
          <w:bCs/>
        </w:rPr>
        <w:t xml:space="preserve">Art. 975.</w:t>
      </w:r>
      <w:r>
        <w:t xml:space="preserve"> </w:t>
      </w:r>
      <w:r>
        <w:t xml:space="preserve">O direito à rescisão se extingue em 2 (dois) anos contados do trânsito em julgado da última decisão proferida no processo.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530"/>
        <w:gridCol w:w="1905"/>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Caput — biênio da rescisória e deslocamento de competência</w:t>
            </w:r>
          </w:p>
        </w:tc>
        <w:tc>
          <w:tcPr>
            <w:tcW w:type="dxa" w:w="1531"/>
          </w:tcPr>
          <w:p>
            <w:pPr>
              <w:pStyle w:val="Compact"/>
              <w:spacing w:line="276" w:lineRule="auto" w:before="40" w:after="40"/>
            </w:pPr>
            <w:r>
              <w:rPr>
                <w:rFonts w:ascii="Liberation Sans Narrow" w:hAnsi="Liberation Sans Narrow"/>
                <w:sz w:val="17"/>
              </w:rPr>
              <w:t xml:space="preserve">STF, AR 2.973, Tribunal Pleno, relator Min. Luiz Fux, julgado em 26/02/2024</w:t>
            </w:r>
          </w:p>
        </w:tc>
        <w:tc>
          <w:tcPr>
            <w:tcW w:type="dxa" w:w="1905"/>
          </w:tcPr>
          <w:p>
            <w:pPr>
              <w:pStyle w:val="Compact"/>
              <w:spacing w:line="276" w:lineRule="auto" w:before="40" w:after="40"/>
            </w:pPr>
            <w:r>
              <w:rPr>
                <w:rFonts w:ascii="Liberation Sans Narrow" w:hAnsi="Liberation Sans Narrow"/>
                <w:sz w:val="17"/>
              </w:rPr>
              <w:t xml:space="preserve">No caso, o prazo decadencial de dois anos conta-se do ajuizamento da ação rescisória, ainda que proposta em tribunal diverso e depois redistribuída por deslocamento de competência; a emenda à inicial não desloca o termo inicial.</w:t>
            </w:r>
          </w:p>
        </w:tc>
      </w:tr>
    </w:tbl>
    <w:p>
      <w:pPr>
        <w:pStyle w:val="BodyText"/>
        <w:spacing w:after="60"/>
        <w:jc w:val="both"/>
      </w:pPr>
      <w:r>
        <w:t xml:space="preserve">§ 1º Prorroga-se até o primeiro dia útil imediatamente subsequente o prazo a que se refere o caput , quando expirar durante férias forenses, recesso, feriados ou em dia em que não houver expediente forense.</w:t>
      </w:r>
    </w:p>
    <w:p>
      <w:pPr>
        <w:pStyle w:val="BodyText"/>
        <w:spacing w:after="60"/>
        <w:jc w:val="both"/>
      </w:pPr>
      <w:r>
        <w:t xml:space="preserve">§ 2º Se fundada a ação no inciso VII do art. 966, o termo inicial do prazo será a data de descoberta da prova nova, observado o prazo máximo de 5 (cinco) anos, contado do trânsito em julgado da última decisão proferida no processo.</w:t>
      </w:r>
    </w:p>
    <w:p>
      <w:pPr>
        <w:pStyle w:val="BodyText"/>
        <w:spacing w:after="60"/>
        <w:jc w:val="both"/>
      </w:pPr>
      <w:r>
        <w:t xml:space="preserve">§ 3º Nas hipóteses de simulação ou de colusão das partes, o prazo começa a contar, para o terceiro prejudicado e para o Ministério Público, que não interveio no processo, a partir do momento em que têm ciência da simulação ou da colusão.</w:t>
      </w:r>
    </w:p>
    <w:bookmarkEnd w:id="803"/>
    <w:bookmarkEnd w:id="804"/>
    <w:bookmarkStart w:id="817" w:name="X01783811124bceae1285883d65b49ce7c1526aa"/>
    <w:p>
      <w:pPr>
        <w:pStyle w:val="Heading4"/>
        <w:spacing w:before="80" w:after="40"/>
      </w:pPr>
      <w:r>
        <w:rPr>
          <w:smallCaps/>
          <w:color w:val="2E75B6"/>
        </w:rPr>
        <w:t xml:space="preserve">Capítulo VIII: do incidente de resolução de demandas repetitivas (arts. 976 a 987)</w:t>
      </w:r>
    </w:p>
    <w:bookmarkStart w:id="805" w:name="art.-976"/>
    <w:p>
      <w:pPr>
        <w:pStyle w:val="Heading6"/>
        <w:pBdr>
          <w:left w:val="single" w:sz="36" w:space="4" w:color="2E75B6"/>
        </w:pBdr>
        <w:shd w:val="clear" w:color="auto" w:fill="E3EEF9"/>
        <w:spacing w:before="120" w:after="60"/>
        <w:ind w:left="85"/>
      </w:pPr>
      <w:r>
        <w:rPr>
          <w:i w:val="0"/>
          <w:color w:val="1F3A5F"/>
          <w:sz w:val="22"/>
        </w:rPr>
        <w:t xml:space="preserve">Art. 976</w:t>
      </w:r>
    </w:p>
    <w:p>
      <w:pPr>
        <w:pStyle w:val="FirstParagraph"/>
        <w:spacing w:after="60"/>
        <w:jc w:val="both"/>
      </w:pPr>
      <w:r>
        <w:rPr>
          <w:b/>
          <w:bCs/>
        </w:rPr>
        <w:t xml:space="preserve">Art. 976.</w:t>
      </w:r>
      <w:r>
        <w:t xml:space="preserve"> </w:t>
      </w:r>
      <w:r>
        <w:t xml:space="preserve">É cabível a instauração do incidente de resolução de demandas repetitivas quando houver, simultaneamente:</w:t>
      </w:r>
    </w:p>
    <w:p>
      <w:pPr>
        <w:pStyle w:val="BodyText"/>
        <w:keepNext/>
        <w:spacing w:after="60"/>
        <w:jc w:val="both"/>
      </w:pPr>
      <w:r>
        <w:t xml:space="preserve">I - efetiva repetição de processos que contenham controvérsia sobre a mesma questão unicamente de direito;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528"/>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52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I — questão unicamente de direito</w:t>
            </w:r>
          </w:p>
        </w:tc>
        <w:tc>
          <w:tcPr>
            <w:tcW w:type="dxa" w:w="1531"/>
          </w:tcPr>
          <w:p>
            <w:pPr>
              <w:pStyle w:val="Compact"/>
              <w:spacing w:line="276" w:lineRule="auto" w:before="40" w:after="40"/>
            </w:pPr>
            <w:r>
              <w:rPr>
                <w:rFonts w:ascii="Liberation Sans Narrow" w:hAnsi="Liberation Sans Narrow"/>
                <w:sz w:val="17"/>
              </w:rPr>
              <w:t xml:space="preserve">STJ, AREsp 3.027.409, Terceira Turma, relator Min. Moura Ribeiro, julgado em 22/06/2026</w:t>
            </w:r>
          </w:p>
        </w:tc>
        <w:tc>
          <w:tcPr>
            <w:tcW w:type="dxa" w:w="2529"/>
          </w:tcPr>
          <w:p>
            <w:pPr>
              <w:pStyle w:val="Compact"/>
              <w:spacing w:line="276" w:lineRule="auto" w:before="40" w:after="40"/>
            </w:pPr>
            <w:r>
              <w:rPr>
                <w:rFonts w:ascii="Liberation Sans Narrow" w:hAnsi="Liberation Sans Narrow"/>
                <w:sz w:val="17"/>
              </w:rPr>
              <w:t xml:space="preserve">A calibragem, a revisão ou o afastamento de astreintes por justa causa ou por excessividade depende de elementos fático-probatórios de cada execução. Por isso, é inapta a fixar tese abstrata em incidente de resolução de demandas repetitivas, por ausência de questão unicamente de direito.</w:t>
            </w:r>
          </w:p>
        </w:tc>
      </w:tr>
    </w:tbl>
    <w:p>
      <w:pPr>
        <w:pStyle w:val="BodyText"/>
        <w:spacing w:after="60"/>
        <w:jc w:val="both"/>
      </w:pPr>
      <w:r>
        <w:t xml:space="preserve">II - risco de ofensa à isonomia e à segurança jurídica.</w:t>
      </w:r>
    </w:p>
    <w:p>
      <w:pPr>
        <w:pStyle w:val="BodyText"/>
        <w:spacing w:after="60"/>
        <w:jc w:val="both"/>
      </w:pPr>
      <w:r>
        <w:t xml:space="preserve">§ 1º A desistência ou o abandono do processo não impede o exame de mérito do incidente.</w:t>
      </w:r>
    </w:p>
    <w:p>
      <w:pPr>
        <w:pStyle w:val="BodyText"/>
        <w:spacing w:after="60"/>
        <w:jc w:val="both"/>
      </w:pPr>
      <w:r>
        <w:t xml:space="preserve">§ 2º Se não for o requerente, o Ministério Público intervirá obrigatoriamente no incidente e deverá assumir sua titularidade em caso de desistência ou de abandono.</w:t>
      </w:r>
    </w:p>
    <w:p>
      <w:pPr>
        <w:pStyle w:val="BodyText"/>
        <w:spacing w:after="60"/>
        <w:jc w:val="both"/>
      </w:pPr>
      <w:r>
        <w:t xml:space="preserve">§ 3º A inadmissão do incidente de resolução de demandas repetitivas por ausência de qualquer de seus pressupostos de admissibilidade não impede que, uma vez satisfeito o requisito, seja o incidente novamente suscitado.</w:t>
      </w:r>
    </w:p>
    <w:p>
      <w:pPr>
        <w:pStyle w:val="BodyText"/>
        <w:spacing w:after="60"/>
        <w:jc w:val="both"/>
      </w:pPr>
      <w:r>
        <w:t xml:space="preserve">§ 4º É incabível o incidente de resolução de demandas repetitivas quando um dos tribunais superiores, no âmbito de sua respectiva competência, já tiver afetado recurso para definição de tese sobre questão de direito material ou processual repetitiva.</w:t>
      </w:r>
    </w:p>
    <w:p>
      <w:pPr>
        <w:pStyle w:val="BodyText"/>
        <w:spacing w:after="60"/>
        <w:jc w:val="both"/>
      </w:pPr>
      <w:r>
        <w:t xml:space="preserve">§ 5º Não serão exigidas custas processuais no incidente de resolução de demandas repetitivas.</w:t>
      </w:r>
    </w:p>
    <w:bookmarkEnd w:id="805"/>
    <w:bookmarkStart w:id="806" w:name="art.-977"/>
    <w:p>
      <w:pPr>
        <w:pStyle w:val="Heading6"/>
        <w:pBdr>
          <w:left w:val="single" w:sz="36" w:space="4" w:color="2E75B6"/>
        </w:pBdr>
        <w:shd w:val="clear" w:color="auto" w:fill="E3EEF9"/>
        <w:spacing w:before="120" w:after="60"/>
        <w:ind w:left="85"/>
      </w:pPr>
      <w:r>
        <w:rPr>
          <w:i w:val="0"/>
          <w:color w:val="1F3A5F"/>
          <w:sz w:val="22"/>
        </w:rPr>
        <w:t xml:space="preserve">Art. 977</w:t>
      </w:r>
    </w:p>
    <w:p>
      <w:pPr>
        <w:pStyle w:val="FirstParagraph"/>
        <w:spacing w:after="60"/>
        <w:jc w:val="both"/>
      </w:pPr>
      <w:r>
        <w:rPr>
          <w:b/>
          <w:bCs/>
        </w:rPr>
        <w:t xml:space="preserve">Art. 977.</w:t>
      </w:r>
      <w:r>
        <w:t xml:space="preserve"> </w:t>
      </w:r>
      <w:r>
        <w:t xml:space="preserve">O pedido de instauração do incidente será dirigido ao presidente de tribunal:</w:t>
      </w:r>
    </w:p>
    <w:p>
      <w:pPr>
        <w:pStyle w:val="BodyText"/>
        <w:spacing w:after="60"/>
        <w:jc w:val="both"/>
      </w:pPr>
      <w:r>
        <w:t xml:space="preserve">I - pelo juiz ou relator, por ofício;</w:t>
      </w:r>
    </w:p>
    <w:p>
      <w:pPr>
        <w:pStyle w:val="BodyText"/>
        <w:spacing w:after="60"/>
        <w:jc w:val="both"/>
      </w:pPr>
      <w:r>
        <w:t xml:space="preserve">II - pelas partes, por petição;</w:t>
      </w:r>
    </w:p>
    <w:p>
      <w:pPr>
        <w:pStyle w:val="BodyText"/>
        <w:spacing w:after="60"/>
        <w:jc w:val="both"/>
      </w:pPr>
      <w:r>
        <w:t xml:space="preserve">III - pelo Ministério Público ou pela Defensoria Pública, por petição.</w:t>
      </w:r>
    </w:p>
    <w:p>
      <w:pPr>
        <w:pStyle w:val="BodyText"/>
        <w:spacing w:after="60"/>
        <w:jc w:val="both"/>
      </w:pPr>
      <w:r>
        <w:t xml:space="preserve">Parágrafo único. O ofício ou a petição será instruído com os documentos necessários à demonstração do preenchimento dos pressupostos para a instauração do incidente.</w:t>
      </w:r>
    </w:p>
    <w:bookmarkEnd w:id="806"/>
    <w:bookmarkStart w:id="807" w:name="art.-978"/>
    <w:p>
      <w:pPr>
        <w:pStyle w:val="Heading6"/>
        <w:pBdr>
          <w:left w:val="single" w:sz="36" w:space="4" w:color="2E75B6"/>
        </w:pBdr>
        <w:shd w:val="clear" w:color="auto" w:fill="E3EEF9"/>
        <w:spacing w:before="120" w:after="60"/>
        <w:ind w:left="85"/>
      </w:pPr>
      <w:r>
        <w:rPr>
          <w:i w:val="0"/>
          <w:color w:val="1F3A5F"/>
          <w:sz w:val="22"/>
        </w:rPr>
        <w:t xml:space="preserve">Art. 978</w:t>
      </w:r>
    </w:p>
    <w:p>
      <w:pPr>
        <w:pStyle w:val="FirstParagraph"/>
        <w:spacing w:after="60"/>
        <w:jc w:val="both"/>
      </w:pPr>
      <w:r>
        <w:rPr>
          <w:b/>
          <w:bCs/>
        </w:rPr>
        <w:t xml:space="preserve">Art. 978.</w:t>
      </w:r>
      <w:r>
        <w:t xml:space="preserve"> </w:t>
      </w:r>
      <w:r>
        <w:t xml:space="preserve">O julgamento do incidente caberá ao órgão indicado pelo regimento interno dentre aqueles responsáveis pela uniformização de jurisprudência do tribunal.</w:t>
      </w:r>
    </w:p>
    <w:p>
      <w:pPr>
        <w:pStyle w:val="BodyText"/>
        <w:spacing w:after="60"/>
        <w:jc w:val="both"/>
      </w:pPr>
      <w:r>
        <w:t xml:space="preserve">Parágrafo único. O órgão colegiado incumbido de julgar o incidente e de fixar a tese jurídica julgará igualmente o recurso, a remessa necessária ou o processo de competência originária de onde se originou o incidente.</w:t>
      </w:r>
    </w:p>
    <w:bookmarkEnd w:id="807"/>
    <w:bookmarkStart w:id="808" w:name="art.-979"/>
    <w:p>
      <w:pPr>
        <w:pStyle w:val="Heading6"/>
        <w:pBdr>
          <w:left w:val="single" w:sz="36" w:space="4" w:color="2E75B6"/>
        </w:pBdr>
        <w:shd w:val="clear" w:color="auto" w:fill="E3EEF9"/>
        <w:spacing w:before="120" w:after="60"/>
        <w:ind w:left="85"/>
      </w:pPr>
      <w:r>
        <w:rPr>
          <w:i w:val="0"/>
          <w:color w:val="1F3A5F"/>
          <w:sz w:val="22"/>
        </w:rPr>
        <w:t xml:space="preserve">Art. 979</w:t>
      </w:r>
    </w:p>
    <w:p>
      <w:pPr>
        <w:pStyle w:val="FirstParagraph"/>
        <w:spacing w:after="60"/>
        <w:jc w:val="both"/>
      </w:pPr>
      <w:r>
        <w:rPr>
          <w:b/>
          <w:bCs/>
        </w:rPr>
        <w:t xml:space="preserve">Art. 979.</w:t>
      </w:r>
      <w:r>
        <w:t xml:space="preserve"> </w:t>
      </w:r>
      <w:r>
        <w:t xml:space="preserve">A instauração e o julgamento do incidente serão sucedidos da mais ampla e específica divulgação e publicidade, por meio de registro eletrônico no Conselho Nacional de Justiça.</w:t>
      </w:r>
    </w:p>
    <w:p>
      <w:pPr>
        <w:pStyle w:val="BodyText"/>
        <w:spacing w:after="60"/>
        <w:jc w:val="both"/>
      </w:pPr>
      <w:r>
        <w:t xml:space="preserve">§ 1º Os tribunais manterão banco eletrônico de dados atualizados com informações específicas sobre questões de direito submetidas ao incidente, comunicando-o imediatamente ao Conselho Nacional de Justiça para inclusão no cadastro.</w:t>
      </w:r>
    </w:p>
    <w:p>
      <w:pPr>
        <w:pStyle w:val="BodyText"/>
        <w:spacing w:after="60"/>
        <w:jc w:val="both"/>
      </w:pPr>
      <w:r>
        <w:t xml:space="preserve">§ 2º Para possibilitar a identificação dos processos abrangidos pela decisão do incidente, o registro eletrônico das teses jurídicas constantes do cadastro conterá, no mínimo, os fundamentos determinantes da decisão e os dispositivos normativos a ela relacionados.</w:t>
      </w:r>
    </w:p>
    <w:p>
      <w:pPr>
        <w:pStyle w:val="BodyText"/>
        <w:spacing w:after="60"/>
        <w:jc w:val="both"/>
      </w:pPr>
      <w:r>
        <w:t xml:space="preserve">§ 3º Aplica-se o disposto neste artigo ao julgamento de recurso extraordinário com repercussão geral, de recurso especial com relevância da questão de direito federal infraconstitucional reconhecida, de incidente de assunção de competência e de casos repetitivos. (Redação dada pela Lei nº 15.484, de 2026) Vigência</w:t>
      </w:r>
    </w:p>
    <w:bookmarkEnd w:id="808"/>
    <w:bookmarkStart w:id="809" w:name="art.-980"/>
    <w:p>
      <w:pPr>
        <w:pStyle w:val="Heading6"/>
        <w:pBdr>
          <w:left w:val="single" w:sz="36" w:space="4" w:color="2E75B6"/>
        </w:pBdr>
        <w:shd w:val="clear" w:color="auto" w:fill="E3EEF9"/>
        <w:spacing w:before="120" w:after="60"/>
        <w:ind w:left="85"/>
      </w:pPr>
      <w:r>
        <w:rPr>
          <w:i w:val="0"/>
          <w:color w:val="1F3A5F"/>
          <w:sz w:val="22"/>
        </w:rPr>
        <w:t xml:space="preserve">Art. 980</w:t>
      </w:r>
    </w:p>
    <w:p>
      <w:pPr>
        <w:pStyle w:val="FirstParagraph"/>
        <w:spacing w:after="60"/>
        <w:jc w:val="both"/>
      </w:pPr>
      <w:r>
        <w:rPr>
          <w:b/>
          <w:bCs/>
        </w:rPr>
        <w:t xml:space="preserve">Art. 980.</w:t>
      </w:r>
      <w:r>
        <w:t xml:space="preserve"> </w:t>
      </w:r>
      <w:r>
        <w:t xml:space="preserve">O incidente será julgado no prazo de 1 (um) ano e terá preferência sobre os demais feitos, ressalvados os que envolvam réu preso e os pedidos de habeas corpus .</w:t>
      </w:r>
    </w:p>
    <w:p>
      <w:pPr>
        <w:pStyle w:val="BodyText"/>
        <w:spacing w:after="60"/>
        <w:jc w:val="both"/>
      </w:pPr>
      <w:r>
        <w:t xml:space="preserve">Parágrafo único. Superado o prazo previsto no caput , cessa a suspensão dos processos prevista no art. 982, salvo decisão fundamentada do relator em sentido contrário.</w:t>
      </w:r>
    </w:p>
    <w:bookmarkEnd w:id="809"/>
    <w:bookmarkStart w:id="810" w:name="art.-981"/>
    <w:p>
      <w:pPr>
        <w:pStyle w:val="Heading6"/>
        <w:pBdr>
          <w:left w:val="single" w:sz="36" w:space="4" w:color="2E75B6"/>
        </w:pBdr>
        <w:shd w:val="clear" w:color="auto" w:fill="E3EEF9"/>
        <w:spacing w:before="120" w:after="60"/>
        <w:ind w:left="85"/>
      </w:pPr>
      <w:r>
        <w:rPr>
          <w:i w:val="0"/>
          <w:color w:val="1F3A5F"/>
          <w:sz w:val="22"/>
        </w:rPr>
        <w:t xml:space="preserve">Art. 981</w:t>
      </w:r>
    </w:p>
    <w:p>
      <w:pPr>
        <w:pStyle w:val="FirstParagraph"/>
        <w:spacing w:after="60"/>
        <w:jc w:val="both"/>
      </w:pPr>
      <w:r>
        <w:rPr>
          <w:b/>
          <w:bCs/>
        </w:rPr>
        <w:t xml:space="preserve">Art. 981.</w:t>
      </w:r>
      <w:r>
        <w:t xml:space="preserve"> </w:t>
      </w:r>
      <w:r>
        <w:t xml:space="preserve">Após a distribuição, o órgão colegiado competente para julgar o incidente procederá ao seu juízo de admissibilidade, considerando a presença dos pressupostos do art. 976.</w:t>
      </w:r>
    </w:p>
    <w:bookmarkEnd w:id="810"/>
    <w:bookmarkStart w:id="811" w:name="art.-982"/>
    <w:p>
      <w:pPr>
        <w:pStyle w:val="Heading6"/>
        <w:pBdr>
          <w:left w:val="single" w:sz="36" w:space="4" w:color="2E75B6"/>
        </w:pBdr>
        <w:shd w:val="clear" w:color="auto" w:fill="E3EEF9"/>
        <w:spacing w:before="120" w:after="60"/>
        <w:ind w:left="85"/>
      </w:pPr>
      <w:r>
        <w:rPr>
          <w:i w:val="0"/>
          <w:color w:val="1F3A5F"/>
          <w:sz w:val="22"/>
        </w:rPr>
        <w:t xml:space="preserve">Art. 982</w:t>
      </w:r>
    </w:p>
    <w:p>
      <w:pPr>
        <w:pStyle w:val="FirstParagraph"/>
        <w:spacing w:after="60"/>
        <w:jc w:val="both"/>
      </w:pPr>
      <w:r>
        <w:rPr>
          <w:b/>
          <w:bCs/>
        </w:rPr>
        <w:t xml:space="preserve">Art. 982.</w:t>
      </w:r>
      <w:r>
        <w:t xml:space="preserve"> </w:t>
      </w:r>
      <w:r>
        <w:t xml:space="preserve">Admitido o incidente, o relator:</w:t>
      </w:r>
    </w:p>
    <w:p>
      <w:pPr>
        <w:pStyle w:val="BodyText"/>
        <w:keepNext/>
        <w:spacing w:after="60"/>
        <w:jc w:val="both"/>
      </w:pPr>
      <w:r>
        <w:t xml:space="preserve">I - suspenderá os processos pendentes, individuais ou coletivos, que tramitam no Estado ou na região, conforme o caso;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I — limite da suspensão aos processos vinculados ao tribunal do incidente</w:t>
            </w:r>
          </w:p>
        </w:tc>
        <w:tc>
          <w:tcPr>
            <w:tcW w:type="dxa" w:w="1531"/>
          </w:tcPr>
          <w:p>
            <w:pPr>
              <w:pStyle w:val="Compact"/>
              <w:spacing w:line="276" w:lineRule="auto" w:before="40" w:after="40"/>
            </w:pPr>
            <w:r>
              <w:rPr>
                <w:rFonts w:ascii="Liberation Sans Narrow" w:hAnsi="Liberation Sans Narrow"/>
                <w:sz w:val="17"/>
              </w:rPr>
              <w:t xml:space="preserve">STJ, AgInt no RMS 78.807, Segunda Turma, relator Min. Marco Aurélio Bellizze, julgado em 26/08/2026</w:t>
            </w:r>
          </w:p>
        </w:tc>
        <w:tc>
          <w:tcPr>
            <w:tcW w:type="dxa" w:w="2030"/>
          </w:tcPr>
          <w:p>
            <w:pPr>
              <w:pStyle w:val="Compact"/>
              <w:spacing w:line="276" w:lineRule="auto" w:before="40" w:after="40"/>
            </w:pPr>
            <w:r>
              <w:rPr>
                <w:rFonts w:ascii="Liberation Sans Narrow" w:hAnsi="Liberation Sans Narrow"/>
                <w:sz w:val="17"/>
              </w:rPr>
              <w:t xml:space="preserve">A suspensão prevista no art. 982, I, do CPC restringe-se aos processos em curso perante os órgãos jurisdicionais vinculados ao tribunal em que instaurado o incidente, não justificando a paralisação de feito que tramita no Superior Tribunal de Justiça.</w:t>
            </w:r>
          </w:p>
        </w:tc>
      </w:tr>
      <w:tr>
        <w:trPr>
          <w:cantSplit/>
        </w:trPr>
        <w:tc>
          <w:tcPr>
            <w:tcW w:type="dxa" w:w="1531"/>
          </w:tcPr>
          <w:p>
            <w:pPr>
              <w:pStyle w:val="Compact"/>
              <w:spacing w:line="276" w:lineRule="auto" w:before="40" w:after="40"/>
            </w:pPr>
            <w:r>
              <w:rPr>
                <w:rFonts w:ascii="Liberation Sans Narrow" w:hAnsi="Liberation Sans Narrow"/>
                <w:sz w:val="17"/>
              </w:rPr>
              <w:t xml:space="preserve">I — suspensão dos processos afetados e sua cessação</w:t>
            </w:r>
          </w:p>
        </w:tc>
        <w:tc>
          <w:tcPr>
            <w:tcW w:type="dxa" w:w="1531"/>
          </w:tcPr>
          <w:p>
            <w:pPr>
              <w:pStyle w:val="Compact"/>
              <w:spacing w:line="276" w:lineRule="auto" w:before="40" w:after="40"/>
            </w:pPr>
            <w:r>
              <w:rPr>
                <w:rFonts w:ascii="Liberation Sans Narrow" w:hAnsi="Liberation Sans Narrow"/>
                <w:sz w:val="17"/>
              </w:rPr>
              <w:t xml:space="preserve">STJ, AgInt no AREsp 2.966.132, Segunda Turma, relator Min. Marco Aurélio Bellizze, julgado em 24/06/2026</w:t>
            </w:r>
          </w:p>
        </w:tc>
        <w:tc>
          <w:tcPr>
            <w:tcW w:type="dxa" w:w="2030"/>
          </w:tcPr>
          <w:p>
            <w:pPr>
              <w:pStyle w:val="Compact"/>
              <w:spacing w:line="276" w:lineRule="auto" w:before="40" w:after="40"/>
            </w:pPr>
            <w:r>
              <w:rPr>
                <w:rFonts w:ascii="Liberation Sans Narrow" w:hAnsi="Liberation Sans Narrow"/>
                <w:sz w:val="17"/>
              </w:rPr>
              <w:t xml:space="preserve">Interposto recurso especial ou recurso extraordinário contra o acórdão do incidente, a suspensão dos processos afetados cessa com o julgamento dos recursos, dispensado o aguardo do trânsito em julgado. Julgados os recursos especiais pelo Superior Tribunal de Justiça, fica prejudicado o pedido de sobrestamento do feito.</w:t>
            </w:r>
          </w:p>
        </w:tc>
      </w:tr>
    </w:tbl>
    <w:p>
      <w:pPr>
        <w:pStyle w:val="BodyText"/>
        <w:spacing w:after="60"/>
        <w:jc w:val="both"/>
      </w:pPr>
      <w:r>
        <w:t xml:space="preserve">II - poderá requisitar informações a órgãos em cujo juízo tramita processo no qual se discute o objeto do incidente, que as prestarão no prazo de 15 (quinze) dias;</w:t>
      </w:r>
    </w:p>
    <w:p>
      <w:pPr>
        <w:pStyle w:val="BodyText"/>
        <w:spacing w:after="60"/>
        <w:jc w:val="both"/>
      </w:pPr>
      <w:r>
        <w:t xml:space="preserve">III - intimará o Ministério Público para, querendo, manifestar-se no prazo de 15 (quinze) dias.</w:t>
      </w:r>
    </w:p>
    <w:p>
      <w:pPr>
        <w:pStyle w:val="BodyText"/>
        <w:spacing w:after="60"/>
        <w:jc w:val="both"/>
      </w:pPr>
      <w:r>
        <w:t xml:space="preserve">§ 1º A suspensão será comunicada aos órgãos jurisdicionais competentes.</w:t>
      </w:r>
    </w:p>
    <w:p>
      <w:pPr>
        <w:pStyle w:val="BodyText"/>
        <w:spacing w:after="60"/>
        <w:jc w:val="both"/>
      </w:pPr>
      <w:r>
        <w:t xml:space="preserve">§ 2º Durante a suspensão, o pedido de tutela de urgência deverá ser dirigido ao juízo onde tramita o processo suspenso.</w:t>
      </w:r>
    </w:p>
    <w:p>
      <w:pPr>
        <w:pStyle w:val="BodyText"/>
        <w:spacing w:after="60"/>
        <w:jc w:val="both"/>
      </w:pPr>
      <w:r>
        <w:t xml:space="preserve">§ 3º Visando à garantia da segurança jurídica, qualquer legitimado mencionado no art. 977, incisos II e III, poderá requerer, ao tribunal competente para conhecer do recurso extraordinário ou especial, a suspensão de todos os processos individuais ou coletivos em curso no território nacional que versem sobre a questão objeto do incidente já instaurado.</w:t>
      </w:r>
    </w:p>
    <w:p>
      <w:pPr>
        <w:pStyle w:val="BodyText"/>
        <w:spacing w:after="60"/>
        <w:jc w:val="both"/>
      </w:pPr>
      <w:r>
        <w:t xml:space="preserve">§ 4º Independentemente dos limites da competência territorial, a parte no processo em curso no qual se discuta a mesma questão objeto do incidente é legitimada para requerer a providência prevista no § 3º deste artigo.</w:t>
      </w:r>
    </w:p>
    <w:p>
      <w:pPr>
        <w:pStyle w:val="BodyText"/>
        <w:spacing w:after="60"/>
        <w:jc w:val="both"/>
      </w:pPr>
      <w:r>
        <w:t xml:space="preserve">§ 5º Cessa a suspensão a que se refere o inciso I do caput deste artigo se não for interposto recurso especial ou recurso extraordinário contra a decisão proferida no incidente.</w:t>
      </w:r>
    </w:p>
    <w:bookmarkEnd w:id="811"/>
    <w:bookmarkStart w:id="812" w:name="art.-983"/>
    <w:p>
      <w:pPr>
        <w:pStyle w:val="Heading6"/>
        <w:pBdr>
          <w:left w:val="single" w:sz="36" w:space="4" w:color="2E75B6"/>
        </w:pBdr>
        <w:shd w:val="clear" w:color="auto" w:fill="E3EEF9"/>
        <w:spacing w:before="120" w:after="60"/>
        <w:ind w:left="85"/>
      </w:pPr>
      <w:r>
        <w:rPr>
          <w:i w:val="0"/>
          <w:color w:val="1F3A5F"/>
          <w:sz w:val="22"/>
        </w:rPr>
        <w:t xml:space="preserve">Art. 983</w:t>
      </w:r>
    </w:p>
    <w:p>
      <w:pPr>
        <w:pStyle w:val="FirstParagraph"/>
        <w:keepNext/>
        <w:spacing w:after="60"/>
        <w:jc w:val="both"/>
      </w:pPr>
      <w:r>
        <w:rPr>
          <w:b/>
          <w:bCs/>
        </w:rPr>
        <w:t xml:space="preserve">Art. 983.</w:t>
      </w:r>
      <w:r>
        <w:t xml:space="preserve"> </w:t>
      </w:r>
      <w:r>
        <w:t xml:space="preserve">O relator ouvirá as partes e os demais interessados, inclusive pessoas, órgãos e entidades com interesse na controvérsia, que, no prazo comum de 15 (quinze) dias, poderão requerer a juntada de documentos, bem como as diligências necessárias para a elucidação da questão de direito controvertida, e, em seguida, manifestar-se-á o Ministério Público, no mesmo prazo.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2154"/>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780"/>
          </w:tcPr>
          <w:p>
            <w:pPr>
              <w:pStyle w:val="Compact"/>
              <w:spacing w:line="276" w:lineRule="auto" w:before="40" w:after="40"/>
            </w:pPr>
            <w:r>
              <w:rPr>
                <w:rFonts w:ascii="Liberation Sans Narrow" w:hAnsi="Liberation Sans Narrow"/>
                <w:sz w:val="17"/>
              </w:rPr>
              <w:t xml:space="preserve">Caput — participação das partes e dos demais interessados</w:t>
            </w:r>
          </w:p>
        </w:tc>
        <w:tc>
          <w:tcPr>
            <w:tcW w:type="dxa" w:w="1655"/>
          </w:tcPr>
          <w:p>
            <w:pPr>
              <w:pStyle w:val="Compact"/>
              <w:spacing w:line="276" w:lineRule="auto" w:before="40" w:after="40"/>
            </w:pPr>
            <w:r>
              <w:rPr>
                <w:rFonts w:ascii="Liberation Sans Narrow" w:hAnsi="Liberation Sans Narrow"/>
                <w:sz w:val="17"/>
              </w:rPr>
              <w:t xml:space="preserve">STJ, REsp 1.916.976, Segunda Turma, relator Min. Herman Benjamin, julgado em 21/05/2024, DJe de 23/08/2024</w:t>
            </w:r>
          </w:p>
        </w:tc>
        <w:tc>
          <w:tcPr>
            <w:tcW w:type="dxa" w:w="2154"/>
          </w:tcPr>
          <w:p>
            <w:pPr>
              <w:pStyle w:val="Compact"/>
              <w:spacing w:line="276" w:lineRule="auto" w:before="40" w:after="40"/>
            </w:pPr>
            <w:r>
              <w:rPr>
                <w:rFonts w:ascii="Liberation Sans Narrow" w:hAnsi="Liberation Sans Narrow"/>
                <w:sz w:val="17"/>
              </w:rPr>
              <w:t xml:space="preserve">A participação das partes dos processos selecionados como representativos da controvérsia constitui o núcleo do contraditório no incidente, cabendo ao tribunal garantir que a representação seja exercida de forma adequada. O tribunal não pode avocar o julgamento de questões de direito de causas que não lhe compete julgar nem afastar a manifestação de um dos lados sob o argumento de adotar a sistemática da causa-modelo, sob pena de nulidade que atinge todo o procedimento do incidente.</w:t>
            </w:r>
          </w:p>
        </w:tc>
      </w:tr>
    </w:tbl>
    <w:p>
      <w:pPr>
        <w:pStyle w:val="BodyText"/>
        <w:spacing w:after="60"/>
        <w:jc w:val="both"/>
      </w:pPr>
      <w:r>
        <w:t xml:space="preserve">§ 1º Para instruir o incidente, o relator poderá designar data para, em audiência pública, ouvir depoimentos de pessoas com experiência e conhecimento na matéria.</w:t>
      </w:r>
    </w:p>
    <w:p>
      <w:pPr>
        <w:pStyle w:val="BodyText"/>
        <w:spacing w:after="60"/>
        <w:jc w:val="both"/>
      </w:pPr>
      <w:r>
        <w:t xml:space="preserve">§ 2º Concluídas as diligências, o relator solicitará dia para o julgamento do incidente.</w:t>
      </w:r>
    </w:p>
    <w:bookmarkEnd w:id="812"/>
    <w:bookmarkStart w:id="813" w:name="art.-984"/>
    <w:p>
      <w:pPr>
        <w:pStyle w:val="Heading6"/>
        <w:pBdr>
          <w:left w:val="single" w:sz="36" w:space="4" w:color="2E75B6"/>
        </w:pBdr>
        <w:shd w:val="clear" w:color="auto" w:fill="E3EEF9"/>
        <w:spacing w:before="120" w:after="60"/>
        <w:ind w:left="85"/>
      </w:pPr>
      <w:r>
        <w:rPr>
          <w:i w:val="0"/>
          <w:color w:val="1F3A5F"/>
          <w:sz w:val="22"/>
        </w:rPr>
        <w:t xml:space="preserve">Art. 984</w:t>
      </w:r>
    </w:p>
    <w:p>
      <w:pPr>
        <w:pStyle w:val="FirstParagraph"/>
        <w:spacing w:after="60"/>
        <w:jc w:val="both"/>
      </w:pPr>
      <w:r>
        <w:rPr>
          <w:b/>
          <w:bCs/>
        </w:rPr>
        <w:t xml:space="preserve">Art. 984.</w:t>
      </w:r>
      <w:r>
        <w:t xml:space="preserve"> </w:t>
      </w:r>
      <w:r>
        <w:t xml:space="preserve">No julgamento do incidente, observar-se-á a seguinte ordem:</w:t>
      </w:r>
    </w:p>
    <w:p>
      <w:pPr>
        <w:pStyle w:val="BodyText"/>
        <w:spacing w:after="60"/>
        <w:jc w:val="both"/>
      </w:pPr>
      <w:r>
        <w:t xml:space="preserve">I - o relator fará a exposição do objeto do incidente;</w:t>
      </w:r>
    </w:p>
    <w:p>
      <w:pPr>
        <w:pStyle w:val="BodyText"/>
        <w:spacing w:after="60"/>
        <w:jc w:val="both"/>
      </w:pPr>
      <w:r>
        <w:t xml:space="preserve">II - poderão sustentar suas razões, sucessivamente:</w:t>
      </w:r>
    </w:p>
    <w:p>
      <w:pPr>
        <w:pStyle w:val="BodyText"/>
        <w:spacing w:after="60"/>
        <w:jc w:val="both"/>
      </w:pPr>
      <w:r>
        <w:t xml:space="preserve">a) o autor e o réu do processo originário e o Ministério Público, pelo prazo de 30 (trinta) minutos;</w:t>
      </w:r>
    </w:p>
    <w:p>
      <w:pPr>
        <w:pStyle w:val="BodyText"/>
        <w:spacing w:after="60"/>
        <w:jc w:val="both"/>
      </w:pPr>
      <w:r>
        <w:t xml:space="preserve">b) os demais interessados, no prazo de 30 (trinta) minutos, divididos entre todos, sendo exigida inscrição com 2 (dois) dias de antecedência.</w:t>
      </w:r>
    </w:p>
    <w:p>
      <w:pPr>
        <w:pStyle w:val="BodyText"/>
        <w:spacing w:after="60"/>
        <w:jc w:val="both"/>
      </w:pPr>
      <w:r>
        <w:t xml:space="preserve">§ 1º Considerando o número de inscritos, o prazo poderá ser ampliado.</w:t>
      </w:r>
    </w:p>
    <w:p>
      <w:pPr>
        <w:pStyle w:val="BodyText"/>
        <w:spacing w:after="60"/>
        <w:jc w:val="both"/>
      </w:pPr>
      <w:r>
        <w:t xml:space="preserve">§ 2º O conteúdo do acórdão abrangerá a análise de todos os fundamentos suscitados concernentes à tese jurídica discutida, sejam favoráveis ou contrários.</w:t>
      </w:r>
    </w:p>
    <w:bookmarkEnd w:id="813"/>
    <w:bookmarkStart w:id="814" w:name="art.-985"/>
    <w:p>
      <w:pPr>
        <w:pStyle w:val="Heading6"/>
        <w:pBdr>
          <w:left w:val="single" w:sz="36" w:space="4" w:color="2E75B6"/>
        </w:pBdr>
        <w:shd w:val="clear" w:color="auto" w:fill="E3EEF9"/>
        <w:spacing w:before="120" w:after="60"/>
        <w:ind w:left="85"/>
      </w:pPr>
      <w:r>
        <w:rPr>
          <w:i w:val="0"/>
          <w:color w:val="1F3A5F"/>
          <w:sz w:val="22"/>
        </w:rPr>
        <w:t xml:space="preserve">Art. 985</w:t>
      </w:r>
    </w:p>
    <w:p>
      <w:pPr>
        <w:pStyle w:val="FirstParagraph"/>
        <w:spacing w:after="60"/>
        <w:jc w:val="both"/>
      </w:pPr>
      <w:r>
        <w:rPr>
          <w:b/>
          <w:bCs/>
        </w:rPr>
        <w:t xml:space="preserve">Art. 985.</w:t>
      </w:r>
      <w:r>
        <w:t xml:space="preserve"> </w:t>
      </w:r>
      <w:r>
        <w:t xml:space="preserve">Julgado o incidente, a tese jurídica será aplicada:</w:t>
      </w:r>
    </w:p>
    <w:p>
      <w:pPr>
        <w:pStyle w:val="BodyText"/>
        <w:spacing w:after="60"/>
        <w:jc w:val="both"/>
      </w:pPr>
      <w:r>
        <w:t xml:space="preserve">I - a todos os processos individuais ou coletivos que versem sobre idêntica questão de direito e que tramitem na área de jurisdição do respectivo tribunal, inclusive àqueles que tramitem nos juizados especiais do respectivo Estado ou região;</w:t>
      </w:r>
    </w:p>
    <w:p>
      <w:pPr>
        <w:pStyle w:val="BodyText"/>
        <w:spacing w:after="60"/>
        <w:jc w:val="both"/>
      </w:pPr>
      <w:r>
        <w:t xml:space="preserve">II - aos casos futuros que versem idêntica questão de direito e que venham a tramitar no território de competência do tribunal, salvo revisão na forma do art. 986.</w:t>
      </w:r>
    </w:p>
    <w:p>
      <w:pPr>
        <w:pStyle w:val="BodyText"/>
        <w:spacing w:after="60"/>
        <w:jc w:val="both"/>
      </w:pPr>
      <w:r>
        <w:t xml:space="preserve">§ 1º Não observada a tese adotada no incidente, caberá reclamação.</w:t>
      </w:r>
    </w:p>
    <w:p>
      <w:pPr>
        <w:pStyle w:val="BodyText"/>
        <w:spacing w:after="60"/>
        <w:jc w:val="both"/>
      </w:pPr>
      <w:r>
        <w:t xml:space="preserve">§ 2º Se o incidente tiver por objeto questão relativa a prestação de serviço concedido, permitido ou autorizado, o resultado do julgamento será comunicado ao órgão, ao ente ou à agência reguladora competente para fiscalização da efetiva aplicação, por parte dos entes sujeitos a regulação, da tese adotada.</w:t>
      </w:r>
    </w:p>
    <w:bookmarkEnd w:id="814"/>
    <w:bookmarkStart w:id="815" w:name="art.-986"/>
    <w:p>
      <w:pPr>
        <w:pStyle w:val="Heading6"/>
        <w:pBdr>
          <w:left w:val="single" w:sz="36" w:space="4" w:color="2E75B6"/>
        </w:pBdr>
        <w:shd w:val="clear" w:color="auto" w:fill="E3EEF9"/>
        <w:spacing w:before="120" w:after="60"/>
        <w:ind w:left="85"/>
      </w:pPr>
      <w:r>
        <w:rPr>
          <w:i w:val="0"/>
          <w:color w:val="1F3A5F"/>
          <w:sz w:val="22"/>
        </w:rPr>
        <w:t xml:space="preserve">Art. 986</w:t>
      </w:r>
    </w:p>
    <w:p>
      <w:pPr>
        <w:pStyle w:val="FirstParagraph"/>
        <w:spacing w:after="60"/>
        <w:jc w:val="both"/>
      </w:pPr>
      <w:r>
        <w:rPr>
          <w:b/>
          <w:bCs/>
        </w:rPr>
        <w:t xml:space="preserve">Art. 986.</w:t>
      </w:r>
      <w:r>
        <w:t xml:space="preserve"> </w:t>
      </w:r>
      <w:r>
        <w:t xml:space="preserve">A revisão da tese jurídica firmada no incidente far-se-á pelo mesmo tribunal, de ofício ou mediante requerimento dos legitimados mencionados no art. 977, inciso III.</w:t>
      </w:r>
    </w:p>
    <w:bookmarkEnd w:id="815"/>
    <w:bookmarkStart w:id="816" w:name="art.-987"/>
    <w:p>
      <w:pPr>
        <w:pStyle w:val="Heading6"/>
        <w:pBdr>
          <w:left w:val="single" w:sz="36" w:space="4" w:color="2E75B6"/>
        </w:pBdr>
        <w:shd w:val="clear" w:color="auto" w:fill="E3EEF9"/>
        <w:spacing w:before="120" w:after="60"/>
        <w:ind w:left="85"/>
      </w:pPr>
      <w:r>
        <w:rPr>
          <w:i w:val="0"/>
          <w:color w:val="1F3A5F"/>
          <w:sz w:val="22"/>
        </w:rPr>
        <w:t xml:space="preserve">Art. 987</w:t>
      </w:r>
    </w:p>
    <w:p>
      <w:pPr>
        <w:pStyle w:val="FirstParagraph"/>
        <w:spacing w:after="60"/>
        <w:jc w:val="both"/>
      </w:pPr>
      <w:r>
        <w:rPr>
          <w:b/>
          <w:bCs/>
        </w:rPr>
        <w:t xml:space="preserve">Art. 987.</w:t>
      </w:r>
      <w:r>
        <w:t xml:space="preserve"> </w:t>
      </w:r>
      <w:r>
        <w:t xml:space="preserve">Do julgamento do mérito do incidente caberá recurso extraordinário ou especial, conforme o caso.</w:t>
      </w:r>
    </w:p>
    <w:p>
      <w:pPr>
        <w:pStyle w:val="BodyText"/>
        <w:spacing w:after="60"/>
        <w:jc w:val="both"/>
      </w:pPr>
      <w:r>
        <w:t xml:space="preserve">§ 1º O recurso tem efeito suspensivo, presumindo-se a repercussão geral de questão constitucional eventualmente discutida.</w:t>
      </w:r>
    </w:p>
    <w:p>
      <w:pPr>
        <w:pStyle w:val="BodyText"/>
        <w:spacing w:after="60"/>
        <w:jc w:val="both"/>
      </w:pPr>
      <w:r>
        <w:t xml:space="preserve">§ 2º Apreciado o mérito do recurso, a tese jurídica adotada pelo Supremo Tribunal Federal ou pelo Superior Tribunal de Justiça será aplicada no território nacional a todos os processos individuais ou coletivos que versem sobre idêntica questão de direito.</w:t>
      </w:r>
    </w:p>
    <w:bookmarkEnd w:id="816"/>
    <w:bookmarkEnd w:id="817"/>
    <w:bookmarkStart w:id="824" w:name="Xf6f7a700e0e5855b184cf3fe4612c09790b5a4f"/>
    <w:p>
      <w:pPr>
        <w:pStyle w:val="Heading4"/>
        <w:spacing w:before="80" w:after="40"/>
      </w:pPr>
      <w:r>
        <w:rPr>
          <w:smallCaps/>
          <w:color w:val="2E75B6"/>
        </w:rPr>
        <w:t xml:space="preserve">Capítulo IX: da reclamação (arts. 988 a 993)</w:t>
      </w:r>
    </w:p>
    <w:bookmarkStart w:id="818" w:name="art.-988"/>
    <w:p>
      <w:pPr>
        <w:pStyle w:val="Heading6"/>
        <w:pBdr>
          <w:left w:val="single" w:sz="36" w:space="4" w:color="2E75B6"/>
        </w:pBdr>
        <w:shd w:val="clear" w:color="auto" w:fill="E3EEF9"/>
        <w:spacing w:before="120" w:after="60"/>
        <w:ind w:left="85"/>
      </w:pPr>
      <w:r>
        <w:rPr>
          <w:i w:val="0"/>
          <w:color w:val="1F3A5F"/>
          <w:sz w:val="22"/>
        </w:rPr>
        <w:t xml:space="preserve">Art. 988</w:t>
      </w:r>
    </w:p>
    <w:p>
      <w:pPr>
        <w:pStyle w:val="FirstParagraph"/>
        <w:spacing w:after="60"/>
        <w:jc w:val="both"/>
      </w:pPr>
      <w:r>
        <w:rPr>
          <w:b/>
          <w:bCs/>
        </w:rPr>
        <w:t xml:space="preserve">Art. 988.</w:t>
      </w:r>
      <w:r>
        <w:t xml:space="preserve"> </w:t>
      </w:r>
      <w:r>
        <w:t xml:space="preserve">Caberá reclamação da parte interessada ou do Ministério Público para:</w:t>
      </w:r>
    </w:p>
    <w:p>
      <w:pPr>
        <w:pStyle w:val="BodyText"/>
        <w:keepNext/>
        <w:spacing w:after="60"/>
        <w:jc w:val="both"/>
      </w:pPr>
      <w:r>
        <w:t xml:space="preserve">I - preservar a competência do tribunal;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Incisos I e II — cabimento da reclamação</w:t>
            </w:r>
          </w:p>
        </w:tc>
        <w:tc>
          <w:tcPr>
            <w:tcW w:type="dxa" w:w="1531"/>
          </w:tcPr>
          <w:p>
            <w:pPr>
              <w:pStyle w:val="Compact"/>
              <w:spacing w:line="276" w:lineRule="auto" w:before="40" w:after="40"/>
            </w:pPr>
            <w:r>
              <w:rPr>
                <w:rFonts w:ascii="Liberation Sans Narrow" w:hAnsi="Liberation Sans Narrow"/>
                <w:sz w:val="17"/>
              </w:rPr>
              <w:t xml:space="preserve">STJ, AgInt no Rcl 40.663, Primeira Seção, relator Min. Mauro Campbell Marques, DJe de 04/03/2021</w:t>
            </w:r>
          </w:p>
        </w:tc>
        <w:tc>
          <w:tcPr>
            <w:tcW w:type="dxa" w:w="1905"/>
          </w:tcPr>
          <w:p>
            <w:pPr>
              <w:pStyle w:val="Compact"/>
              <w:spacing w:line="276" w:lineRule="auto" w:before="40" w:after="40"/>
            </w:pPr>
            <w:r>
              <w:rPr>
                <w:rFonts w:ascii="Liberation Sans Narrow" w:hAnsi="Liberation Sans Narrow"/>
                <w:sz w:val="17"/>
              </w:rPr>
              <w:t xml:space="preserve">A reclamação não serve para preservar ordem de sobrestamento contida em decisão de afetação de recurso repetitivo, por ausência de previsão legal expressa; seu cabimento é restrito à preservação da competência e à garantia da autoridade das decisões do tribunal.</w:t>
            </w:r>
          </w:p>
        </w:tc>
      </w:tr>
    </w:tbl>
    <w:p>
      <w:pPr>
        <w:pStyle w:val="BodyText"/>
        <w:spacing w:after="60"/>
        <w:jc w:val="both"/>
      </w:pPr>
      <w:r>
        <w:t xml:space="preserve">II - garantir a autoridade das decisões do tribunal;</w:t>
      </w:r>
    </w:p>
    <w:p>
      <w:pPr>
        <w:pStyle w:val="BodyText"/>
        <w:spacing w:after="60"/>
        <w:jc w:val="both"/>
      </w:pPr>
      <w:r>
        <w:t xml:space="preserve">III – garantir a observância de enunciado de súmula vinculante e de decisão do Supremo Tribunal Federal em controle concentrado de constitucionalidade; (Redação dada pela Lei nº 13.256, de 2016) (Vigência)</w:t>
      </w:r>
    </w:p>
    <w:p>
      <w:pPr>
        <w:pStyle w:val="BodyText"/>
        <w:keepNext/>
        <w:spacing w:after="60"/>
        <w:jc w:val="both"/>
      </w:pPr>
      <w:r>
        <w:t xml:space="preserve">IV – garantir a observância de acórdão proferido em julgamento de incidente de resolução de demandas repetitivas ou de incidente de assunção de competência; (Redação dada pela Lei nº 13.256, de 2016) (Vigência)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1780"/>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IV — cabimento restrito ao incidente de resolução de demandas repetitivas após a Lei 13.256/2016</w:t>
            </w:r>
          </w:p>
        </w:tc>
        <w:tc>
          <w:tcPr>
            <w:tcW w:type="dxa" w:w="1531"/>
          </w:tcPr>
          <w:p>
            <w:pPr>
              <w:pStyle w:val="Compact"/>
              <w:spacing w:line="276" w:lineRule="auto" w:before="40" w:after="40"/>
            </w:pPr>
            <w:r>
              <w:rPr>
                <w:rFonts w:ascii="Liberation Sans Narrow" w:hAnsi="Liberation Sans Narrow"/>
                <w:sz w:val="17"/>
              </w:rPr>
              <w:t xml:space="preserve">STJ, AgRg na Rcl 51.018, Terceira Seção, relator Min. Maria Marluce Caldas, julgado em 18/06/2026</w:t>
            </w:r>
          </w:p>
        </w:tc>
        <w:tc>
          <w:tcPr>
            <w:tcW w:type="dxa" w:w="1780"/>
          </w:tcPr>
          <w:p>
            <w:pPr>
              <w:pStyle w:val="Compact"/>
              <w:spacing w:line="276" w:lineRule="auto" w:before="40" w:after="40"/>
            </w:pPr>
            <w:r>
              <w:rPr>
                <w:rFonts w:ascii="Liberation Sans Narrow" w:hAnsi="Liberation Sans Narrow"/>
                <w:sz w:val="17"/>
              </w:rPr>
              <w:t xml:space="preserve">A alteração promovida pela Lei 13.256/2016 no art. 988, IV, excluiu do rol de hipóteses de cabimento da reclamação a garantia de observância de precedentes oriundos de casos repetitivos, mantendo apenas os precedentes do incidente de resolução de demandas repetitivas; a revisão da aplicação de tese firmada em recurso especial repetitivo se dá pelo agravo interno do art. 1.030, § 2º.</w:t>
            </w:r>
          </w:p>
        </w:tc>
      </w:tr>
    </w:tbl>
    <w:p>
      <w:pPr>
        <w:pStyle w:val="BodyText"/>
        <w:spacing w:after="60"/>
        <w:jc w:val="both"/>
      </w:pPr>
      <w:r>
        <w:t xml:space="preserve">V – em casos excepcionais, garantir a observância de acórdão proferido em julgamento de recurso especial sob o regime de relevância. (Incluído pela Lei nº 15.484, de 2026) Vigência</w:t>
      </w:r>
    </w:p>
    <w:p>
      <w:pPr>
        <w:pStyle w:val="BodyText"/>
        <w:spacing w:after="60"/>
        <w:jc w:val="both"/>
      </w:pPr>
      <w:r>
        <w:t xml:space="preserve">§ 1º A reclamação pode ser proposta perante qualquer tribunal, e seu julgamento compete ao órgão jurisdicional cuja competência se busca preservar ou cuja autoridade se pretenda garantir.</w:t>
      </w:r>
    </w:p>
    <w:p>
      <w:pPr>
        <w:pStyle w:val="BodyText"/>
        <w:spacing w:after="60"/>
        <w:jc w:val="both"/>
      </w:pPr>
      <w:r>
        <w:t xml:space="preserve">§ 2º A reclamação deverá ser instruída com prova documental e dirigida ao presidente do tribunal.</w:t>
      </w:r>
    </w:p>
    <w:p>
      <w:pPr>
        <w:pStyle w:val="BodyText"/>
        <w:spacing w:after="60"/>
        <w:jc w:val="both"/>
      </w:pPr>
      <w:r>
        <w:t xml:space="preserve">§ 3º Assim que recebida, a reclamação será autuada e distribuída ao relator do processo principal, sempre que possível.</w:t>
      </w:r>
    </w:p>
    <w:p>
      <w:pPr>
        <w:pStyle w:val="BodyText"/>
        <w:spacing w:after="60"/>
        <w:jc w:val="both"/>
      </w:pPr>
      <w:r>
        <w:t xml:space="preserve">§ 4º As hipóteses dos incisos III, IV e V compreendem a aplicação indevida da tese jurídica e sua não aplicação aos casos que a ela correspondam. (Redação dada pela Lei nº 15.484, de 2026) Vigência</w:t>
      </w:r>
    </w:p>
    <w:p>
      <w:pPr>
        <w:pStyle w:val="BodyText"/>
        <w:spacing w:after="60"/>
        <w:jc w:val="both"/>
      </w:pPr>
      <w:r>
        <w:t xml:space="preserve">§ 5º Será liminarmente indeferida a reclamação: (Redação dada pela Lei nº 15.484, de 2026) Vigência</w:t>
      </w:r>
    </w:p>
    <w:p>
      <w:pPr>
        <w:pStyle w:val="BodyText"/>
        <w:spacing w:after="60"/>
        <w:jc w:val="both"/>
      </w:pPr>
      <w:r>
        <w:t xml:space="preserve">I – proposta após o trânsito em julgado da decisão reclamada; (Incluído pela Lei nº 13.256, de 2016) (Vigência)</w:t>
      </w:r>
    </w:p>
    <w:p>
      <w:pPr>
        <w:pStyle w:val="BodyText"/>
        <w:spacing w:after="60"/>
        <w:jc w:val="both"/>
      </w:pPr>
      <w:r>
        <w:t xml:space="preserve">II – proposta para garantir a observância de acórdão de recurso extraordinário com repercussão geral reconhecida, de acórdão de recurso especial com relevância da questão de direito federal infraconstitucional reconhecida ou de acórdãos proferidos em julgamento de recursos extraordinários ou especiais repetitivos, quando não esgotadas as instâncias ordinárias ou o ato atacado não se mostrar manifestamente em desacordo com o precedente qualificado. (Redação dada pela Lei nº 15.484, de 2026) Vigência</w:t>
      </w:r>
    </w:p>
    <w:p>
      <w:pPr>
        <w:pStyle w:val="BodyText"/>
        <w:spacing w:after="60"/>
        <w:jc w:val="both"/>
      </w:pPr>
      <w:r>
        <w:t xml:space="preserve">§ 6º A inadmissibilidade ou o julgamento do recurso interposto contra a decisão proferida pelo órgão reclamado não prejudica a reclamação.</w:t>
      </w:r>
    </w:p>
    <w:bookmarkEnd w:id="818"/>
    <w:bookmarkStart w:id="819" w:name="art.-989"/>
    <w:p>
      <w:pPr>
        <w:pStyle w:val="Heading6"/>
        <w:pBdr>
          <w:left w:val="single" w:sz="36" w:space="4" w:color="2E75B6"/>
        </w:pBdr>
        <w:shd w:val="clear" w:color="auto" w:fill="E3EEF9"/>
        <w:spacing w:before="120" w:after="60"/>
        <w:ind w:left="85"/>
      </w:pPr>
      <w:r>
        <w:rPr>
          <w:i w:val="0"/>
          <w:color w:val="1F3A5F"/>
          <w:sz w:val="22"/>
        </w:rPr>
        <w:t xml:space="preserve">Art. 989</w:t>
      </w:r>
    </w:p>
    <w:p>
      <w:pPr>
        <w:pStyle w:val="FirstParagraph"/>
        <w:spacing w:after="60"/>
        <w:jc w:val="both"/>
      </w:pPr>
      <w:r>
        <w:rPr>
          <w:b/>
          <w:bCs/>
        </w:rPr>
        <w:t xml:space="preserve">Art. 989.</w:t>
      </w:r>
      <w:r>
        <w:t xml:space="preserve"> </w:t>
      </w:r>
      <w:r>
        <w:t xml:space="preserve">Ao despachar a reclamação, o relator:</w:t>
      </w:r>
    </w:p>
    <w:p>
      <w:pPr>
        <w:pStyle w:val="BodyText"/>
        <w:spacing w:after="60"/>
        <w:jc w:val="both"/>
      </w:pPr>
      <w:r>
        <w:t xml:space="preserve">I - requisitará informações da autoridade a quem for imputada a prática do ato impugnado, que as prestará no prazo de 10 (dez) dias;</w:t>
      </w:r>
    </w:p>
    <w:p>
      <w:pPr>
        <w:pStyle w:val="BodyText"/>
        <w:spacing w:after="60"/>
        <w:jc w:val="both"/>
      </w:pPr>
      <w:r>
        <w:t xml:space="preserve">II - se necessário, ordenará a suspensão do processo ou do ato impugnado para evitar dano irreparável;</w:t>
      </w:r>
    </w:p>
    <w:p>
      <w:pPr>
        <w:pStyle w:val="BodyText"/>
        <w:spacing w:after="60"/>
        <w:jc w:val="both"/>
      </w:pPr>
      <w:r>
        <w:t xml:space="preserve">III - determinará a citação do beneficiário da decisão impugnada, que terá prazo de 15 (quinze) dias para apresentar a sua contestação.</w:t>
      </w:r>
    </w:p>
    <w:bookmarkEnd w:id="819"/>
    <w:bookmarkStart w:id="820" w:name="art.-990"/>
    <w:p>
      <w:pPr>
        <w:pStyle w:val="Heading6"/>
        <w:pBdr>
          <w:left w:val="single" w:sz="36" w:space="4" w:color="2E75B6"/>
        </w:pBdr>
        <w:shd w:val="clear" w:color="auto" w:fill="E3EEF9"/>
        <w:spacing w:before="120" w:after="60"/>
        <w:ind w:left="85"/>
      </w:pPr>
      <w:r>
        <w:rPr>
          <w:i w:val="0"/>
          <w:color w:val="1F3A5F"/>
          <w:sz w:val="22"/>
        </w:rPr>
        <w:t xml:space="preserve">Art. 990</w:t>
      </w:r>
    </w:p>
    <w:p>
      <w:pPr>
        <w:pStyle w:val="FirstParagraph"/>
        <w:spacing w:after="60"/>
        <w:jc w:val="both"/>
      </w:pPr>
      <w:r>
        <w:rPr>
          <w:b/>
          <w:bCs/>
        </w:rPr>
        <w:t xml:space="preserve">Art. 990.</w:t>
      </w:r>
      <w:r>
        <w:t xml:space="preserve"> </w:t>
      </w:r>
      <w:r>
        <w:t xml:space="preserve">Qualquer interessado poderá impugnar o pedido do reclamante.</w:t>
      </w:r>
    </w:p>
    <w:bookmarkEnd w:id="820"/>
    <w:bookmarkStart w:id="821" w:name="art.-991"/>
    <w:p>
      <w:pPr>
        <w:pStyle w:val="Heading6"/>
        <w:pBdr>
          <w:left w:val="single" w:sz="36" w:space="4" w:color="2E75B6"/>
        </w:pBdr>
        <w:shd w:val="clear" w:color="auto" w:fill="E3EEF9"/>
        <w:spacing w:before="120" w:after="60"/>
        <w:ind w:left="85"/>
      </w:pPr>
      <w:r>
        <w:rPr>
          <w:i w:val="0"/>
          <w:color w:val="1F3A5F"/>
          <w:sz w:val="22"/>
        </w:rPr>
        <w:t xml:space="preserve">Art. 991</w:t>
      </w:r>
    </w:p>
    <w:p>
      <w:pPr>
        <w:pStyle w:val="FirstParagraph"/>
        <w:spacing w:after="60"/>
        <w:jc w:val="both"/>
      </w:pPr>
      <w:r>
        <w:rPr>
          <w:b/>
          <w:bCs/>
        </w:rPr>
        <w:t xml:space="preserve">Art. 991.</w:t>
      </w:r>
      <w:r>
        <w:t xml:space="preserve"> </w:t>
      </w:r>
      <w:r>
        <w:t xml:space="preserve">Na reclamação que não houver formulado, o Ministério Público terá vista do processo por 5 (cinco) dias, após o decurso do prazo para informações e para o oferecimento da contestação pelo beneficiário do ato impugnado.</w:t>
      </w:r>
    </w:p>
    <w:bookmarkEnd w:id="821"/>
    <w:bookmarkStart w:id="822" w:name="art.-992"/>
    <w:p>
      <w:pPr>
        <w:pStyle w:val="Heading6"/>
        <w:pBdr>
          <w:left w:val="single" w:sz="36" w:space="4" w:color="2E75B6"/>
        </w:pBdr>
        <w:shd w:val="clear" w:color="auto" w:fill="E3EEF9"/>
        <w:spacing w:before="120" w:after="60"/>
        <w:ind w:left="85"/>
      </w:pPr>
      <w:r>
        <w:rPr>
          <w:i w:val="0"/>
          <w:color w:val="1F3A5F"/>
          <w:sz w:val="22"/>
        </w:rPr>
        <w:t xml:space="preserve">Art. 992</w:t>
      </w:r>
    </w:p>
    <w:p>
      <w:pPr>
        <w:pStyle w:val="FirstParagraph"/>
        <w:keepNext/>
        <w:spacing w:after="60"/>
        <w:jc w:val="both"/>
      </w:pPr>
      <w:r>
        <w:rPr>
          <w:b/>
          <w:bCs/>
        </w:rPr>
        <w:t xml:space="preserve">Art. 992.</w:t>
      </w:r>
      <w:r>
        <w:t xml:space="preserve"> </w:t>
      </w:r>
      <w:r>
        <w:t xml:space="preserve">Julgando procedente a reclamação, o tribunal cassará a decisão exorbitante de seu julgado ou determinará medida adequada à solução da controvérsia.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1746"/>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46"/>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procedência da reclamação e cassação da decisão</w:t>
            </w:r>
          </w:p>
        </w:tc>
        <w:tc>
          <w:tcPr>
            <w:tcW w:type="dxa" w:w="1531"/>
          </w:tcPr>
          <w:p>
            <w:pPr>
              <w:pStyle w:val="Compact"/>
              <w:spacing w:line="276" w:lineRule="auto" w:before="40" w:after="40"/>
            </w:pPr>
            <w:r>
              <w:rPr>
                <w:rFonts w:ascii="Liberation Sans Narrow" w:hAnsi="Liberation Sans Narrow"/>
                <w:sz w:val="17"/>
              </w:rPr>
              <w:t xml:space="preserve">STF, Rcl 60.872, Segunda Turma, relator Min. Nunes Marques, julgado em 24/06/2024</w:t>
            </w:r>
          </w:p>
        </w:tc>
        <w:tc>
          <w:tcPr>
            <w:tcW w:type="dxa" w:w="1746"/>
          </w:tcPr>
          <w:p>
            <w:pPr>
              <w:pStyle w:val="Compact"/>
              <w:spacing w:line="276" w:lineRule="auto" w:before="40" w:after="40"/>
            </w:pPr>
            <w:r>
              <w:rPr>
                <w:rFonts w:ascii="Liberation Sans Narrow" w:hAnsi="Liberation Sans Narrow"/>
                <w:sz w:val="17"/>
              </w:rPr>
              <w:t xml:space="preserve">No caso, julgada procedente a reclamação, o tribunal cassa a decisão exorbitante ou determina a medida adequada; é inadequado, nessa via, julgar o processo originário.</w:t>
            </w:r>
          </w:p>
        </w:tc>
      </w:tr>
    </w:tbl>
    <w:bookmarkEnd w:id="822"/>
    <w:bookmarkStart w:id="823" w:name="art.-993"/>
    <w:p>
      <w:pPr>
        <w:pStyle w:val="Heading6"/>
        <w:pBdr>
          <w:left w:val="single" w:sz="36" w:space="4" w:color="2E75B6"/>
        </w:pBdr>
        <w:shd w:val="clear" w:color="auto" w:fill="E3EEF9"/>
        <w:spacing w:before="120" w:after="60"/>
        <w:ind w:left="85"/>
      </w:pPr>
      <w:r>
        <w:rPr>
          <w:i w:val="0"/>
          <w:color w:val="1F3A5F"/>
          <w:sz w:val="22"/>
        </w:rPr>
        <w:t xml:space="preserve">Art. 993</w:t>
      </w:r>
    </w:p>
    <w:p>
      <w:pPr>
        <w:pStyle w:val="FirstParagraph"/>
        <w:spacing w:after="60"/>
        <w:jc w:val="both"/>
      </w:pPr>
      <w:r>
        <w:rPr>
          <w:b/>
          <w:bCs/>
        </w:rPr>
        <w:t xml:space="preserve">Art. 993.</w:t>
      </w:r>
      <w:r>
        <w:t xml:space="preserve"> </w:t>
      </w:r>
      <w:r>
        <w:t xml:space="preserve">O presidente do tribunal determinará o imediato cumprimento da decisão, lavrando-se o acórdão posteriormente.</w:t>
      </w:r>
    </w:p>
    <w:bookmarkEnd w:id="823"/>
    <w:bookmarkEnd w:id="824"/>
    <w:bookmarkEnd w:id="825"/>
    <w:bookmarkStart w:id="886" w:name="título-ii-dos-recursos-arts.-994-a-1044"/>
    <w:p>
      <w:pPr>
        <w:pStyle w:val="Heading3"/>
        <w:pBdr>
          <w:bottom w:val="single" w:sz="8" w:space="2" w:color="2E75B6"/>
        </w:pBdr>
        <w:spacing w:before="120" w:after="60"/>
      </w:pPr>
      <w:r>
        <w:rPr>
          <w:sz w:val="22"/>
        </w:rPr>
        <w:t xml:space="preserve">Título II: dos recursos (arts. 994 a 1044)</w:t>
      </w:r>
    </w:p>
    <w:bookmarkStart w:id="841" w:name="Xcbdae266aa5ce94ef0b64c2f6e88541295351e9"/>
    <w:p>
      <w:pPr>
        <w:pStyle w:val="Heading4"/>
        <w:spacing w:before="80" w:after="40"/>
      </w:pPr>
      <w:r>
        <w:rPr>
          <w:smallCaps/>
          <w:color w:val="2E75B6"/>
        </w:rPr>
        <w:t xml:space="preserve">Capítulo I: disposições gerais (arts. 994 a 1008)</w:t>
      </w:r>
    </w:p>
    <w:bookmarkStart w:id="826" w:name="art.-994"/>
    <w:p>
      <w:pPr>
        <w:pStyle w:val="Heading6"/>
        <w:pBdr>
          <w:left w:val="single" w:sz="36" w:space="4" w:color="2E75B6"/>
        </w:pBdr>
        <w:shd w:val="clear" w:color="auto" w:fill="E3EEF9"/>
        <w:spacing w:before="120" w:after="60"/>
        <w:ind w:left="85"/>
      </w:pPr>
      <w:r>
        <w:rPr>
          <w:i w:val="0"/>
          <w:color w:val="1F3A5F"/>
          <w:sz w:val="22"/>
        </w:rPr>
        <w:t xml:space="preserve">Art. 994</w:t>
      </w:r>
    </w:p>
    <w:p>
      <w:pPr>
        <w:pStyle w:val="FirstParagraph"/>
        <w:spacing w:after="60"/>
        <w:jc w:val="both"/>
      </w:pPr>
      <w:r>
        <w:rPr>
          <w:b/>
          <w:bCs/>
        </w:rPr>
        <w:t xml:space="preserve">Art. 994.</w:t>
      </w:r>
      <w:r>
        <w:t xml:space="preserve"> </w:t>
      </w:r>
      <w:r>
        <w:t xml:space="preserve">São cabíveis os seguintes recursos:</w:t>
      </w:r>
    </w:p>
    <w:p>
      <w:pPr>
        <w:pStyle w:val="BodyText"/>
        <w:spacing w:after="60"/>
        <w:jc w:val="both"/>
      </w:pPr>
      <w:r>
        <w:t xml:space="preserve">I - apelação;</w:t>
      </w:r>
    </w:p>
    <w:p>
      <w:pPr>
        <w:pStyle w:val="BodyText"/>
        <w:spacing w:after="60"/>
        <w:jc w:val="both"/>
      </w:pPr>
      <w:r>
        <w:t xml:space="preserve">II - agravo de instrumento;</w:t>
      </w:r>
    </w:p>
    <w:p>
      <w:pPr>
        <w:pStyle w:val="BodyText"/>
        <w:spacing w:after="60"/>
        <w:jc w:val="both"/>
      </w:pPr>
      <w:r>
        <w:t xml:space="preserve">III - agravo interno;</w:t>
      </w:r>
    </w:p>
    <w:p>
      <w:pPr>
        <w:pStyle w:val="BodyText"/>
        <w:spacing w:after="60"/>
        <w:jc w:val="both"/>
      </w:pPr>
      <w:r>
        <w:t xml:space="preserve">IV - embargos de declaração;</w:t>
      </w:r>
    </w:p>
    <w:p>
      <w:pPr>
        <w:pStyle w:val="BodyText"/>
        <w:spacing w:after="60"/>
        <w:jc w:val="both"/>
      </w:pPr>
      <w:r>
        <w:t xml:space="preserve">V - recurso ordinário;</w:t>
      </w:r>
    </w:p>
    <w:p>
      <w:pPr>
        <w:pStyle w:val="BodyText"/>
        <w:spacing w:after="60"/>
        <w:jc w:val="both"/>
      </w:pPr>
      <w:r>
        <w:t xml:space="preserve">VI - recurso especial;</w:t>
      </w:r>
    </w:p>
    <w:p>
      <w:pPr>
        <w:pStyle w:val="BodyText"/>
        <w:spacing w:after="60"/>
        <w:jc w:val="both"/>
      </w:pPr>
      <w:r>
        <w:t xml:space="preserve">VII - recurso extraordinário;</w:t>
      </w:r>
    </w:p>
    <w:p>
      <w:pPr>
        <w:pStyle w:val="BodyText"/>
        <w:spacing w:after="60"/>
        <w:jc w:val="both"/>
      </w:pPr>
      <w:r>
        <w:t xml:space="preserve">VIII - agravo em recurso especial ou extraordinário;</w:t>
      </w:r>
    </w:p>
    <w:p>
      <w:pPr>
        <w:pStyle w:val="BodyText"/>
        <w:spacing w:after="60"/>
        <w:jc w:val="both"/>
      </w:pPr>
      <w:r>
        <w:t xml:space="preserve">IX - embargos de divergência.</w:t>
      </w:r>
    </w:p>
    <w:bookmarkEnd w:id="826"/>
    <w:bookmarkStart w:id="827" w:name="art.-995"/>
    <w:p>
      <w:pPr>
        <w:pStyle w:val="Heading6"/>
        <w:pBdr>
          <w:left w:val="single" w:sz="36" w:space="4" w:color="2E75B6"/>
        </w:pBdr>
        <w:shd w:val="clear" w:color="auto" w:fill="E3EEF9"/>
        <w:spacing w:before="120" w:after="60"/>
        <w:ind w:left="85"/>
      </w:pPr>
      <w:r>
        <w:rPr>
          <w:i w:val="0"/>
          <w:color w:val="1F3A5F"/>
          <w:sz w:val="22"/>
        </w:rPr>
        <w:t xml:space="preserve">Art. 995</w:t>
      </w:r>
    </w:p>
    <w:p>
      <w:pPr>
        <w:pStyle w:val="FirstParagraph"/>
        <w:spacing w:after="60"/>
        <w:jc w:val="both"/>
      </w:pPr>
      <w:r>
        <w:rPr>
          <w:b/>
          <w:bCs/>
        </w:rPr>
        <w:t xml:space="preserve">Art. 995.</w:t>
      </w:r>
      <w:r>
        <w:t xml:space="preserve"> </w:t>
      </w:r>
      <w:r>
        <w:t xml:space="preserve">Os recursos não impedem a eficácia da decisão, salvo disposição legal ou decisão judicial em sentido diverso.</w:t>
      </w:r>
    </w:p>
    <w:p>
      <w:pPr>
        <w:pStyle w:val="BodyText"/>
        <w:spacing w:after="60"/>
        <w:jc w:val="both"/>
      </w:pPr>
      <w:r>
        <w:t xml:space="preserve">Parágrafo único. A eficácia da decisão recorrida poderá ser suspensa por decisão do relator, se da imediata produção de seus efeitos houver risco de dano grave, de difícil ou impossível reparação, e ficar demonstrada a probabilidade de provimento do recurso.</w:t>
      </w:r>
    </w:p>
    <w:bookmarkEnd w:id="827"/>
    <w:bookmarkStart w:id="828" w:name="art.-996"/>
    <w:p>
      <w:pPr>
        <w:pStyle w:val="Heading6"/>
        <w:pBdr>
          <w:left w:val="single" w:sz="36" w:space="4" w:color="2E75B6"/>
        </w:pBdr>
        <w:shd w:val="clear" w:color="auto" w:fill="E3EEF9"/>
        <w:spacing w:before="120" w:after="60"/>
        <w:ind w:left="85"/>
      </w:pPr>
      <w:r>
        <w:rPr>
          <w:i w:val="0"/>
          <w:color w:val="1F3A5F"/>
          <w:sz w:val="22"/>
        </w:rPr>
        <w:t xml:space="preserve">Art. 996</w:t>
      </w:r>
    </w:p>
    <w:p>
      <w:pPr>
        <w:pStyle w:val="FirstParagraph"/>
        <w:keepNext/>
        <w:spacing w:after="60"/>
        <w:jc w:val="both"/>
      </w:pPr>
      <w:r>
        <w:rPr>
          <w:b/>
          <w:bCs/>
        </w:rPr>
        <w:t xml:space="preserve">Art. 996.</w:t>
      </w:r>
      <w:r>
        <w:t xml:space="preserve"> </w:t>
      </w:r>
      <w:r>
        <w:t xml:space="preserve">O recurso pode ser interposto pela parte vencida, pelo terceiro prejudicado e pelo Ministério Público, como parte ou como fiscal da ordem jurídica.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2154"/>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Inciso I — legitimidade para recorrer</w:t>
            </w:r>
          </w:p>
        </w:tc>
        <w:tc>
          <w:tcPr>
            <w:tcW w:type="dxa" w:w="1655"/>
          </w:tcPr>
          <w:p>
            <w:pPr>
              <w:pStyle w:val="Compact"/>
              <w:spacing w:line="276" w:lineRule="auto" w:before="40" w:after="40"/>
            </w:pPr>
            <w:r>
              <w:rPr>
                <w:rFonts w:ascii="Liberation Sans Narrow" w:hAnsi="Liberation Sans Narrow"/>
                <w:sz w:val="17"/>
              </w:rPr>
              <w:t xml:space="preserve">STJ, EDcl no REsp 1.571.109, Terceira Turma, relator Min. Marco Aurélio Bellizze, julgado em 06/12/2022, DJe de 14/12/2022</w:t>
            </w:r>
          </w:p>
        </w:tc>
        <w:tc>
          <w:tcPr>
            <w:tcW w:type="dxa" w:w="2154"/>
          </w:tcPr>
          <w:p>
            <w:pPr>
              <w:pStyle w:val="Compact"/>
              <w:spacing w:line="276" w:lineRule="auto" w:before="40" w:after="40"/>
            </w:pPr>
            <w:r>
              <w:rPr>
                <w:rFonts w:ascii="Liberation Sans Narrow" w:hAnsi="Liberation Sans Narrow"/>
                <w:sz w:val="17"/>
              </w:rPr>
              <w:t xml:space="preserve">A legitimidade para recorrer, assim como o interesse, constitui requisito de admissibilidade do recurso.</w:t>
            </w:r>
          </w:p>
        </w:tc>
      </w:tr>
      <w:tr>
        <w:trPr>
          <w:cantSplit/>
        </w:trPr>
        <w:tc>
          <w:tcPr>
            <w:tcW w:type="dxa" w:w="1780"/>
          </w:tcPr>
          <w:p>
            <w:pPr>
              <w:pStyle w:val="Compact"/>
              <w:spacing w:line="276" w:lineRule="auto" w:before="40" w:after="40"/>
            </w:pPr>
            <w:r>
              <w:rPr>
                <w:rFonts w:ascii="Liberation Sans Narrow" w:hAnsi="Liberation Sans Narrow"/>
                <w:sz w:val="17"/>
              </w:rPr>
              <w:t xml:space="preserve">Caput — terceiro prejudicado</w:t>
            </w:r>
          </w:p>
        </w:tc>
        <w:tc>
          <w:tcPr>
            <w:tcW w:type="dxa" w:w="1655"/>
          </w:tcPr>
          <w:p>
            <w:pPr>
              <w:pStyle w:val="Compact"/>
              <w:spacing w:line="276" w:lineRule="auto" w:before="40" w:after="40"/>
            </w:pPr>
            <w:r>
              <w:rPr>
                <w:rFonts w:ascii="Liberation Sans Narrow" w:hAnsi="Liberation Sans Narrow"/>
                <w:sz w:val="17"/>
              </w:rPr>
              <w:t xml:space="preserve">STJ, AgInt no AREsp 1.192.559, Primeira Turma, relator Min. Sérgio Kukina, julgado em 28/11/2022, DJe de 01/12/2022</w:t>
            </w:r>
          </w:p>
        </w:tc>
        <w:tc>
          <w:tcPr>
            <w:tcW w:type="dxa" w:w="2154"/>
          </w:tcPr>
          <w:p>
            <w:pPr>
              <w:pStyle w:val="Compact"/>
              <w:spacing w:line="276" w:lineRule="auto" w:before="40" w:after="40"/>
            </w:pPr>
            <w:r>
              <w:rPr>
                <w:rFonts w:ascii="Liberation Sans Narrow" w:hAnsi="Liberation Sans Narrow"/>
                <w:sz w:val="17"/>
              </w:rPr>
              <w:t xml:space="preserve">Não se conhece do recurso de quem não é parte na lide e não demonstra a condição de terceiro prejudicado, por falta de legitimidade.</w:t>
            </w:r>
          </w:p>
        </w:tc>
      </w:tr>
    </w:tbl>
    <w:p>
      <w:pPr>
        <w:pStyle w:val="BodyText"/>
        <w:spacing w:after="60"/>
        <w:jc w:val="both"/>
      </w:pPr>
      <w:r>
        <w:t xml:space="preserve">Parágrafo único. Cumpre ao terceiro demonstrar a possibilidade de a decisão sobre a relação jurídica submetida à apreciação judicial atingir direito de que se afirme titular ou que possa discutir em juízo como substituto processual.</w:t>
      </w:r>
    </w:p>
    <w:bookmarkEnd w:id="828"/>
    <w:bookmarkStart w:id="829" w:name="art.-997"/>
    <w:p>
      <w:pPr>
        <w:pStyle w:val="Heading6"/>
        <w:pBdr>
          <w:left w:val="single" w:sz="36" w:space="4" w:color="2E75B6"/>
        </w:pBdr>
        <w:shd w:val="clear" w:color="auto" w:fill="E3EEF9"/>
        <w:spacing w:before="120" w:after="60"/>
        <w:ind w:left="85"/>
      </w:pPr>
      <w:r>
        <w:rPr>
          <w:i w:val="0"/>
          <w:color w:val="1F3A5F"/>
          <w:sz w:val="22"/>
        </w:rPr>
        <w:t xml:space="preserve">Art. 997</w:t>
      </w:r>
    </w:p>
    <w:p>
      <w:pPr>
        <w:pStyle w:val="FirstParagraph"/>
        <w:spacing w:after="60"/>
        <w:jc w:val="both"/>
      </w:pPr>
      <w:r>
        <w:rPr>
          <w:b/>
          <w:bCs/>
        </w:rPr>
        <w:t xml:space="preserve">Art. 997.</w:t>
      </w:r>
      <w:r>
        <w:t xml:space="preserve"> </w:t>
      </w:r>
      <w:r>
        <w:t xml:space="preserve">Cada parte interporá o recurso independentemente, no prazo e com observância das exigências legais.</w:t>
      </w:r>
    </w:p>
    <w:p>
      <w:pPr>
        <w:pStyle w:val="BodyText"/>
        <w:spacing w:after="60"/>
        <w:jc w:val="both"/>
      </w:pPr>
      <w:r>
        <w:t xml:space="preserve">§ 1º Sendo vencidos autor e réu, ao recurso interposto por qualquer deles poderá aderir o outro.</w:t>
      </w:r>
    </w:p>
    <w:p>
      <w:pPr>
        <w:pStyle w:val="BodyText"/>
        <w:spacing w:after="60"/>
        <w:jc w:val="both"/>
      </w:pPr>
      <w:r>
        <w:t xml:space="preserve">§ 2º O recurso adesivo fica subordinado ao recurso independente, sendo-lhe aplicáveis as mesmas regras deste quanto aos requisitos de admissibilidade e julgamento no tribunal, salvo disposição legal diversa, observado, ainda, o seguinte:</w:t>
      </w:r>
    </w:p>
    <w:p>
      <w:pPr>
        <w:pStyle w:val="BodyText"/>
        <w:spacing w:after="60"/>
        <w:jc w:val="both"/>
      </w:pPr>
      <w:r>
        <w:t xml:space="preserve">I - será dirigido ao órgão perante o qual o recurso independente fora interposto, no prazo de que a parte dispõe para responder;</w:t>
      </w:r>
    </w:p>
    <w:p>
      <w:pPr>
        <w:pStyle w:val="BodyText"/>
        <w:spacing w:after="60"/>
        <w:jc w:val="both"/>
      </w:pPr>
      <w:r>
        <w:t xml:space="preserve">II - será admissível na apelação, no recurso extraordinário e no recurso especial;</w:t>
      </w:r>
    </w:p>
    <w:p>
      <w:pPr>
        <w:pStyle w:val="BodyText"/>
        <w:spacing w:after="60"/>
        <w:jc w:val="both"/>
      </w:pPr>
      <w:r>
        <w:t xml:space="preserve">III - não será conhecido, se houver desistência do recurso principal ou se for ele considerado inadmissível.</w:t>
      </w:r>
    </w:p>
    <w:bookmarkEnd w:id="829"/>
    <w:bookmarkStart w:id="830" w:name="art.-998"/>
    <w:p>
      <w:pPr>
        <w:pStyle w:val="Heading6"/>
        <w:pBdr>
          <w:left w:val="single" w:sz="36" w:space="4" w:color="2E75B6"/>
        </w:pBdr>
        <w:shd w:val="clear" w:color="auto" w:fill="E3EEF9"/>
        <w:spacing w:before="120" w:after="60"/>
        <w:ind w:left="85"/>
      </w:pPr>
      <w:r>
        <w:rPr>
          <w:i w:val="0"/>
          <w:color w:val="1F3A5F"/>
          <w:sz w:val="22"/>
        </w:rPr>
        <w:t xml:space="preserve">Art. 998</w:t>
      </w:r>
    </w:p>
    <w:p>
      <w:pPr>
        <w:pStyle w:val="FirstParagraph"/>
        <w:keepNext/>
        <w:spacing w:after="60"/>
        <w:jc w:val="both"/>
      </w:pPr>
      <w:r>
        <w:rPr>
          <w:b/>
          <w:bCs/>
        </w:rPr>
        <w:t xml:space="preserve">Art. 998.</w:t>
      </w:r>
      <w:r>
        <w:t xml:space="preserve"> </w:t>
      </w:r>
      <w:r>
        <w:t xml:space="preserve">O recorrente poderá, a qualquer tempo, sem a anuência do recorrido ou dos litisconsortes, desistir do recurso.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2154"/>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desistência do recurso</w:t>
            </w:r>
          </w:p>
        </w:tc>
        <w:tc>
          <w:tcPr>
            <w:tcW w:type="dxa" w:w="1655"/>
          </w:tcPr>
          <w:p>
            <w:pPr>
              <w:pStyle w:val="Compact"/>
              <w:spacing w:line="276" w:lineRule="auto" w:before="40" w:after="40"/>
            </w:pPr>
            <w:r>
              <w:rPr>
                <w:rFonts w:ascii="Liberation Sans Narrow" w:hAnsi="Liberation Sans Narrow"/>
                <w:sz w:val="17"/>
              </w:rPr>
              <w:t xml:space="preserve">STJ, EDcl no MS 25.453, Primeira Seção, relator Min. Francisco Falcão, DJe de 05/05/2022</w:t>
            </w:r>
          </w:p>
        </w:tc>
        <w:tc>
          <w:tcPr>
            <w:tcW w:type="dxa" w:w="2154"/>
          </w:tcPr>
          <w:p>
            <w:pPr>
              <w:pStyle w:val="Compact"/>
              <w:spacing w:line="276" w:lineRule="auto" w:before="40" w:after="40"/>
            </w:pPr>
            <w:r>
              <w:rPr>
                <w:rFonts w:ascii="Liberation Sans Narrow" w:hAnsi="Liberation Sans Narrow"/>
                <w:sz w:val="17"/>
              </w:rPr>
              <w:t xml:space="preserve">A desistência do recurso é viável a qualquer tempo, sem anuência do recorrido ou dos litisconsortes, na forma do art. 998.</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limite temporal: desistência somente antes do julgamento</w:t>
            </w:r>
          </w:p>
        </w:tc>
        <w:tc>
          <w:tcPr>
            <w:tcW w:type="dxa" w:w="1655"/>
          </w:tcPr>
          <w:p>
            <w:pPr>
              <w:pStyle w:val="Compact"/>
              <w:spacing w:line="276" w:lineRule="auto" w:before="40" w:after="40"/>
            </w:pPr>
            <w:r>
              <w:rPr>
                <w:rFonts w:ascii="Liberation Sans Narrow" w:hAnsi="Liberation Sans Narrow"/>
                <w:sz w:val="17"/>
              </w:rPr>
              <w:t xml:space="preserve">STJ, DESIS no REsp 1.795.534, Segunda Turma, relator Min. Herman Benjamin, julgado em 20/08/2019, DJe de 13/09/2019</w:t>
            </w:r>
          </w:p>
        </w:tc>
        <w:tc>
          <w:tcPr>
            <w:tcW w:type="dxa" w:w="2154"/>
          </w:tcPr>
          <w:p>
            <w:pPr>
              <w:pStyle w:val="Compact"/>
              <w:spacing w:line="276" w:lineRule="auto" w:before="40" w:after="40"/>
            </w:pPr>
            <w:r>
              <w:rPr>
                <w:rFonts w:ascii="Liberation Sans Narrow" w:hAnsi="Liberation Sans Narrow"/>
                <w:sz w:val="17"/>
              </w:rPr>
              <w:t xml:space="preserve">O pedido de desistência do recurso é possível somente antes de seu julgamento, sendo inviável depois de julgado pelo colegiado.</w:t>
            </w:r>
          </w:p>
        </w:tc>
      </w:tr>
    </w:tbl>
    <w:p>
      <w:pPr>
        <w:pStyle w:val="BodyText"/>
        <w:spacing w:after="60"/>
        <w:jc w:val="both"/>
      </w:pPr>
      <w:r>
        <w:t xml:space="preserve">Parágrafo único. A desistência do recurso não impede a análise de questão cuja repercussão geral ou cuja relevância da questão de direito federal infraconstitucional já tenha sido reconhecida e daquela objeto de julgamento de recursos extraordinários ou especiais repetitivos. (Redação dada pela Lei nº 15.484, de 2026) Vigência</w:t>
      </w:r>
    </w:p>
    <w:bookmarkEnd w:id="830"/>
    <w:bookmarkStart w:id="831" w:name="art.-999"/>
    <w:p>
      <w:pPr>
        <w:pStyle w:val="Heading6"/>
        <w:pBdr>
          <w:left w:val="single" w:sz="36" w:space="4" w:color="2E75B6"/>
        </w:pBdr>
        <w:shd w:val="clear" w:color="auto" w:fill="E3EEF9"/>
        <w:spacing w:before="120" w:after="60"/>
        <w:ind w:left="85"/>
      </w:pPr>
      <w:r>
        <w:rPr>
          <w:i w:val="0"/>
          <w:color w:val="1F3A5F"/>
          <w:sz w:val="22"/>
        </w:rPr>
        <w:t xml:space="preserve">Art. 999</w:t>
      </w:r>
    </w:p>
    <w:p>
      <w:pPr>
        <w:pStyle w:val="FirstParagraph"/>
        <w:keepNext/>
        <w:spacing w:after="60"/>
        <w:jc w:val="both"/>
      </w:pPr>
      <w:r>
        <w:rPr>
          <w:b/>
          <w:bCs/>
        </w:rPr>
        <w:t xml:space="preserve">Art. 999.</w:t>
      </w:r>
      <w:r>
        <w:t xml:space="preserve"> </w:t>
      </w:r>
      <w:r>
        <w:t xml:space="preserve">A renúncia ao direito de recorrer independe da aceitação da outra parte.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871"/>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871"/>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ato que não configura renúncia nem aceitação tácita</w:t>
            </w:r>
          </w:p>
        </w:tc>
        <w:tc>
          <w:tcPr>
            <w:tcW w:type="dxa" w:w="1531"/>
          </w:tcPr>
          <w:p>
            <w:pPr>
              <w:pStyle w:val="Compact"/>
              <w:spacing w:line="276" w:lineRule="auto" w:before="40" w:after="40"/>
            </w:pPr>
            <w:r>
              <w:rPr>
                <w:rFonts w:ascii="Liberation Sans Narrow" w:hAnsi="Liberation Sans Narrow"/>
                <w:sz w:val="17"/>
              </w:rPr>
              <w:t xml:space="preserve">STJ, AgInt no AREsp 1.889.947, Quarta Turma, relator Min. Raul Araújo, julgado em 12/08/2026</w:t>
            </w:r>
          </w:p>
        </w:tc>
        <w:tc>
          <w:tcPr>
            <w:tcW w:type="dxa" w:w="1871"/>
          </w:tcPr>
          <w:p>
            <w:pPr>
              <w:pStyle w:val="Compact"/>
              <w:spacing w:line="276" w:lineRule="auto" w:before="40" w:after="40"/>
            </w:pPr>
            <w:r>
              <w:rPr>
                <w:rFonts w:ascii="Liberation Sans Narrow" w:hAnsi="Liberation Sans Narrow"/>
                <w:sz w:val="17"/>
              </w:rPr>
              <w:t xml:space="preserve">O pedido de dilação de prazo para cumprimento de sentença sujeita a apelação com efeito suspensivo automático não configura, por si só, aceitação tácita da decisão nem implica renúncia ao direito de recorrer.</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renúncia ao direito de recorrer</w:t>
            </w:r>
          </w:p>
        </w:tc>
        <w:tc>
          <w:tcPr>
            <w:tcW w:type="dxa" w:w="1531"/>
          </w:tcPr>
          <w:p>
            <w:pPr>
              <w:pStyle w:val="Compact"/>
              <w:spacing w:line="276" w:lineRule="auto" w:before="40" w:after="40"/>
            </w:pPr>
            <w:r>
              <w:rPr>
                <w:rFonts w:ascii="Liberation Sans Narrow" w:hAnsi="Liberation Sans Narrow"/>
                <w:sz w:val="17"/>
              </w:rPr>
              <w:t xml:space="preserve">STJ, AgInt no AREsp 2.146.524, Segunda Turma, relatora Min. Assusete Magalhães, DJe de 29/08/2023</w:t>
            </w:r>
          </w:p>
        </w:tc>
        <w:tc>
          <w:tcPr>
            <w:tcW w:type="dxa" w:w="1871"/>
          </w:tcPr>
          <w:p>
            <w:pPr>
              <w:pStyle w:val="Compact"/>
              <w:spacing w:line="276" w:lineRule="auto" w:before="40" w:after="40"/>
            </w:pPr>
            <w:r>
              <w:rPr>
                <w:rFonts w:ascii="Liberation Sans Narrow" w:hAnsi="Liberation Sans Narrow"/>
                <w:sz w:val="17"/>
              </w:rPr>
              <w:t xml:space="preserve">A renúncia ao direito de recorrer independe da aceitação da outra parte e produz preclusão lógica, impedindo o exame de recurso posterior (arts. 999 e 1.000).</w:t>
            </w:r>
          </w:p>
        </w:tc>
      </w:tr>
    </w:tbl>
    <w:bookmarkEnd w:id="831"/>
    <w:bookmarkStart w:id="832" w:name="art.-1000"/>
    <w:p>
      <w:pPr>
        <w:pStyle w:val="Heading6"/>
        <w:pBdr>
          <w:left w:val="single" w:sz="36" w:space="4" w:color="2E75B6"/>
        </w:pBdr>
        <w:shd w:val="clear" w:color="auto" w:fill="E3EEF9"/>
        <w:spacing w:before="120" w:after="60"/>
        <w:ind w:left="85"/>
      </w:pPr>
      <w:r>
        <w:rPr>
          <w:i w:val="0"/>
          <w:color w:val="1F3A5F"/>
          <w:sz w:val="22"/>
        </w:rPr>
        <w:t xml:space="preserve">Art. 1000</w:t>
      </w:r>
    </w:p>
    <w:p>
      <w:pPr>
        <w:pStyle w:val="FirstParagraph"/>
        <w:spacing w:after="60"/>
        <w:jc w:val="both"/>
      </w:pPr>
      <w:r>
        <w:rPr>
          <w:b/>
          <w:bCs/>
        </w:rPr>
        <w:t xml:space="preserve">Art. 1000.</w:t>
      </w:r>
      <w:r>
        <w:t xml:space="preserve"> </w:t>
      </w:r>
      <w:r>
        <w:t xml:space="preserve">A parte que aceitar expressa ou tacitamente a decisão não poderá recorrer.</w:t>
      </w:r>
    </w:p>
    <w:p>
      <w:pPr>
        <w:pStyle w:val="BodyText"/>
        <w:spacing w:after="60"/>
        <w:jc w:val="both"/>
      </w:pPr>
      <w:r>
        <w:t xml:space="preserve">Parágrafo único. Considera-se aceitação tácita a prática, sem nenhuma reserva, de ato incompatível com a vontade de recorrer.</w:t>
      </w:r>
    </w:p>
    <w:bookmarkEnd w:id="832"/>
    <w:bookmarkStart w:id="833" w:name="art.-1001"/>
    <w:p>
      <w:pPr>
        <w:pStyle w:val="Heading6"/>
        <w:pBdr>
          <w:left w:val="single" w:sz="36" w:space="4" w:color="2E75B6"/>
        </w:pBdr>
        <w:shd w:val="clear" w:color="auto" w:fill="E3EEF9"/>
        <w:spacing w:before="120" w:after="60"/>
        <w:ind w:left="85"/>
      </w:pPr>
      <w:r>
        <w:rPr>
          <w:i w:val="0"/>
          <w:color w:val="1F3A5F"/>
          <w:sz w:val="22"/>
        </w:rPr>
        <w:t xml:space="preserve">Art. 1001</w:t>
      </w:r>
    </w:p>
    <w:p>
      <w:pPr>
        <w:pStyle w:val="FirstParagraph"/>
        <w:keepNext/>
        <w:spacing w:after="60"/>
        <w:jc w:val="both"/>
      </w:pPr>
      <w:r>
        <w:rPr>
          <w:b/>
          <w:bCs/>
        </w:rPr>
        <w:t xml:space="preserve">Art. 1001.</w:t>
      </w:r>
      <w:r>
        <w:t xml:space="preserve"> </w:t>
      </w:r>
      <w:r>
        <w:t xml:space="preserve">Dos despachos não cabe recurso.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404"/>
        <w:gridCol w:w="1530"/>
        <w:gridCol w:w="1905"/>
      </w:tblGrid>
      <w:tr>
        <w:trPr>
          <w:tblHeader w:val="on"/>
          <w:cantSplit/>
          <w:tblHeader/>
        </w:trPr>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404"/>
          </w:tcPr>
          <w:p>
            <w:pPr>
              <w:pStyle w:val="Compact"/>
              <w:spacing w:line="276" w:lineRule="auto" w:before="40" w:after="40"/>
            </w:pPr>
            <w:r>
              <w:rPr>
                <w:rFonts w:ascii="Liberation Sans Narrow" w:hAnsi="Liberation Sans Narrow"/>
                <w:sz w:val="17"/>
              </w:rPr>
              <w:t xml:space="preserve">Caput — irrecorribilidade dos despachos</w:t>
            </w:r>
          </w:p>
        </w:tc>
        <w:tc>
          <w:tcPr>
            <w:tcW w:type="dxa" w:w="1531"/>
          </w:tcPr>
          <w:p>
            <w:pPr>
              <w:pStyle w:val="Compact"/>
              <w:spacing w:line="276" w:lineRule="auto" w:before="40" w:after="40"/>
            </w:pPr>
            <w:r>
              <w:rPr>
                <w:rFonts w:ascii="Liberation Sans Narrow" w:hAnsi="Liberation Sans Narrow"/>
                <w:sz w:val="17"/>
              </w:rPr>
              <w:t xml:space="preserve">STJ, AgInt no AREsp 1.854.995, Terceira Turma, relatora Min. Nancy Andrighi, DJe de 22/09/2021</w:t>
            </w:r>
          </w:p>
        </w:tc>
        <w:tc>
          <w:tcPr>
            <w:tcW w:type="dxa" w:w="1905"/>
          </w:tcPr>
          <w:p>
            <w:pPr>
              <w:pStyle w:val="Compact"/>
              <w:spacing w:line="276" w:lineRule="auto" w:before="40" w:after="40"/>
            </w:pPr>
            <w:r>
              <w:rPr>
                <w:rFonts w:ascii="Liberation Sans Narrow" w:hAnsi="Liberation Sans Narrow"/>
                <w:sz w:val="17"/>
              </w:rPr>
              <w:t xml:space="preserve">O provimento jurisdicional sem conteúdo decisório capaz de gerar prejuízo às partes é despacho, irrecorrível na forma do art. 1.001.</w:t>
            </w:r>
          </w:p>
        </w:tc>
      </w:tr>
    </w:tbl>
    <w:bookmarkEnd w:id="833"/>
    <w:bookmarkStart w:id="834" w:name="art.-1002"/>
    <w:p>
      <w:pPr>
        <w:pStyle w:val="Heading6"/>
        <w:pBdr>
          <w:left w:val="single" w:sz="36" w:space="4" w:color="2E75B6"/>
        </w:pBdr>
        <w:shd w:val="clear" w:color="auto" w:fill="E3EEF9"/>
        <w:spacing w:before="120" w:after="60"/>
        <w:ind w:left="85"/>
      </w:pPr>
      <w:r>
        <w:rPr>
          <w:i w:val="0"/>
          <w:color w:val="1F3A5F"/>
          <w:sz w:val="22"/>
        </w:rPr>
        <w:t xml:space="preserve">Art. 1002</w:t>
      </w:r>
    </w:p>
    <w:p>
      <w:pPr>
        <w:pStyle w:val="FirstParagraph"/>
        <w:keepNext/>
        <w:spacing w:after="60"/>
        <w:jc w:val="both"/>
      </w:pPr>
      <w:r>
        <w:rPr>
          <w:b/>
          <w:bCs/>
        </w:rPr>
        <w:t xml:space="preserve">Art. 1002.</w:t>
      </w:r>
      <w:r>
        <w:t xml:space="preserve"> </w:t>
      </w:r>
      <w:r>
        <w:t xml:space="preserve">A decisão pode ser impugnada no todo ou em parte.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871"/>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871"/>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impugnação parcial e preclusão do capítulo não impugnado</w:t>
            </w:r>
          </w:p>
        </w:tc>
        <w:tc>
          <w:tcPr>
            <w:tcW w:type="dxa" w:w="1531"/>
          </w:tcPr>
          <w:p>
            <w:pPr>
              <w:pStyle w:val="Compact"/>
              <w:spacing w:line="276" w:lineRule="auto" w:before="40" w:after="40"/>
            </w:pPr>
            <w:r>
              <w:rPr>
                <w:rFonts w:ascii="Liberation Sans Narrow" w:hAnsi="Liberation Sans Narrow"/>
                <w:sz w:val="17"/>
              </w:rPr>
              <w:t xml:space="preserve">STJ, AgInt no AREsp 2.991.121, Primeira Turma, relator Min. Paulo Sérgio Domingues, julgado em 12/08/2026</w:t>
            </w:r>
          </w:p>
        </w:tc>
        <w:tc>
          <w:tcPr>
            <w:tcW w:type="dxa" w:w="1871"/>
          </w:tcPr>
          <w:p>
            <w:pPr>
              <w:pStyle w:val="Compact"/>
              <w:spacing w:line="276" w:lineRule="auto" w:before="40" w:after="40"/>
            </w:pPr>
            <w:r>
              <w:rPr>
                <w:rFonts w:ascii="Liberation Sans Narrow" w:hAnsi="Liberation Sans Narrow"/>
                <w:sz w:val="17"/>
              </w:rPr>
              <w:t xml:space="preserve">A ausência de impugnação de capítulo autônomo da decisão agravada acarreta a preclusão da matéria não impugnada, não incidindo, nessa hipótese, a Súmula 182 do STJ.</w:t>
            </w:r>
          </w:p>
        </w:tc>
      </w:tr>
    </w:tbl>
    <w:bookmarkEnd w:id="834"/>
    <w:bookmarkStart w:id="835" w:name="art.-1003"/>
    <w:p>
      <w:pPr>
        <w:pStyle w:val="Heading6"/>
        <w:pBdr>
          <w:left w:val="single" w:sz="36" w:space="4" w:color="2E75B6"/>
        </w:pBdr>
        <w:shd w:val="clear" w:color="auto" w:fill="E3EEF9"/>
        <w:spacing w:before="120" w:after="60"/>
        <w:ind w:left="85"/>
      </w:pPr>
      <w:r>
        <w:rPr>
          <w:i w:val="0"/>
          <w:color w:val="1F3A5F"/>
          <w:sz w:val="22"/>
        </w:rPr>
        <w:t xml:space="preserve">Art. 1003</w:t>
      </w:r>
    </w:p>
    <w:p>
      <w:pPr>
        <w:pStyle w:val="FirstParagraph"/>
        <w:keepNext/>
        <w:spacing w:after="60"/>
        <w:jc w:val="both"/>
      </w:pPr>
      <w:r>
        <w:rPr>
          <w:b/>
          <w:bCs/>
        </w:rPr>
        <w:t xml:space="preserve">Art. 1003.</w:t>
      </w:r>
      <w:r>
        <w:t xml:space="preserve"> </w:t>
      </w:r>
      <w:r>
        <w:t xml:space="preserve">O prazo para interposição de recurso conta-se da data em que os advogados, a sociedade de advogados, a Advocacia Pública, a Defensoria Pública ou o Ministério Público são intimados da decisão.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404"/>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531"/>
          </w:tcPr>
          <w:p>
            <w:pPr>
              <w:pStyle w:val="Compact"/>
              <w:spacing w:line="276" w:lineRule="auto" w:before="40" w:after="40"/>
            </w:pPr>
            <w:r>
              <w:rPr>
                <w:rFonts w:ascii="Liberation Sans Narrow" w:hAnsi="Liberation Sans Narrow"/>
                <w:sz w:val="17"/>
              </w:rPr>
              <w:t xml:space="preserve">Caput — termo inicial do prazo recursal: intimação (aplicação narrada)</w:t>
            </w:r>
          </w:p>
        </w:tc>
        <w:tc>
          <w:tcPr>
            <w:tcW w:type="dxa" w:w="1531"/>
          </w:tcPr>
          <w:p>
            <w:pPr>
              <w:pStyle w:val="Compact"/>
              <w:spacing w:line="276" w:lineRule="auto" w:before="40" w:after="40"/>
            </w:pPr>
            <w:r>
              <w:rPr>
                <w:rFonts w:ascii="Liberation Sans Narrow" w:hAnsi="Liberation Sans Narrow"/>
                <w:sz w:val="17"/>
              </w:rPr>
              <w:t xml:space="preserve">STJ, REsp 2.166.486, Terceira Turma, relator Min. Ricardo Villas Bôas Cueva, julgado em 12/08/2026</w:t>
            </w:r>
          </w:p>
        </w:tc>
        <w:tc>
          <w:tcPr>
            <w:tcW w:type="dxa" w:w="2404"/>
          </w:tcPr>
          <w:p>
            <w:pPr>
              <w:pStyle w:val="Compact"/>
              <w:spacing w:line="276" w:lineRule="auto" w:before="40" w:after="40"/>
            </w:pPr>
            <w:r>
              <w:rPr>
                <w:rFonts w:ascii="Liberation Sans Narrow" w:hAnsi="Liberation Sans Narrow"/>
                <w:sz w:val="17"/>
              </w:rPr>
              <w:t xml:space="preserve">No processo eletrônico, o prazo recursal conta-se da intimação formal, presumindo-se a ciência de todo o conteúdo do processo; a juntada de substabelecimento não equivale à ciência da decisão nem deflagra o prazo. Trecho: “No processo eletrônico, a ciência pessoal de todo o conteúdo do processo é presumida com a intimação formal, somente sendo excepcionada na hipótese de juntada de petição cujo conteúdo revele a indispensável ciência de todo o conteúdo decisório.”</w:t>
            </w:r>
          </w:p>
        </w:tc>
      </w:tr>
    </w:tbl>
    <w:p>
      <w:pPr>
        <w:pStyle w:val="BodyText"/>
        <w:spacing w:after="60"/>
        <w:jc w:val="both"/>
      </w:pPr>
      <w:r>
        <w:t xml:space="preserve">§ 1º Os sujeitos previstos no caput considerar-se-ão intimados em audiência quando nesta for proferida a decisão.</w:t>
      </w:r>
    </w:p>
    <w:p>
      <w:pPr>
        <w:pStyle w:val="BodyText"/>
        <w:spacing w:after="60"/>
        <w:jc w:val="both"/>
      </w:pPr>
      <w:r>
        <w:t xml:space="preserve">§ 2º Aplica-se o disposto no art. 231, incisos I a VI, ao prazo de interposição de recurso pelo réu contra decisão proferida anteriormente à citação.</w:t>
      </w:r>
    </w:p>
    <w:p>
      <w:pPr>
        <w:pStyle w:val="BodyText"/>
        <w:spacing w:after="60"/>
        <w:jc w:val="both"/>
      </w:pPr>
      <w:r>
        <w:t xml:space="preserve">§ 3º No prazo para interposição de recurso, a petição será protocolada em cartório ou conforme as normas de organização judiciária, ressalvado o disposto em regra especial.</w:t>
      </w:r>
    </w:p>
    <w:p>
      <w:pPr>
        <w:pStyle w:val="BodyText"/>
        <w:spacing w:after="60"/>
        <w:jc w:val="both"/>
      </w:pPr>
      <w:r>
        <w:t xml:space="preserve">§ 4º Para aferição da tempestividade do recurso remetido pelo correio, será considerada como data de interposição a data de postagem.</w:t>
      </w:r>
    </w:p>
    <w:p>
      <w:pPr>
        <w:pStyle w:val="BodyText"/>
        <w:spacing w:after="60"/>
        <w:jc w:val="both"/>
      </w:pPr>
      <w:r>
        <w:t xml:space="preserve">§ 5º Excetuados os embargos de declaração, o prazo para interpor os recursos e para responder-lhes é de 15 (quinze) dias.</w:t>
      </w:r>
    </w:p>
    <w:p>
      <w:pPr>
        <w:pStyle w:val="BodyText"/>
        <w:spacing w:after="60"/>
        <w:jc w:val="both"/>
      </w:pPr>
      <w:r>
        <w:t xml:space="preserve">§ 6º O recorrente comprovará a ocorrência de feriado local no ato de interposição do recurso, e, se não o fizer, o tribunal determinará a correção do vício formal, ou poderá desconsiderá-lo caso a informação já conste do processo eletrônico. (Redação dada pela Lei nº 14.939, de 2024)</w:t>
      </w:r>
    </w:p>
    <w:bookmarkEnd w:id="835"/>
    <w:bookmarkStart w:id="836" w:name="art.-1004"/>
    <w:p>
      <w:pPr>
        <w:pStyle w:val="Heading6"/>
        <w:pBdr>
          <w:left w:val="single" w:sz="36" w:space="4" w:color="2E75B6"/>
        </w:pBdr>
        <w:shd w:val="clear" w:color="auto" w:fill="E3EEF9"/>
        <w:spacing w:before="120" w:after="60"/>
        <w:ind w:left="85"/>
      </w:pPr>
      <w:r>
        <w:rPr>
          <w:i w:val="0"/>
          <w:color w:val="1F3A5F"/>
          <w:sz w:val="22"/>
        </w:rPr>
        <w:t xml:space="preserve">Art. 1004</w:t>
      </w:r>
    </w:p>
    <w:p>
      <w:pPr>
        <w:pStyle w:val="FirstParagraph"/>
        <w:spacing w:after="60"/>
        <w:jc w:val="both"/>
      </w:pPr>
      <w:r>
        <w:rPr>
          <w:b/>
          <w:bCs/>
        </w:rPr>
        <w:t xml:space="preserve">Art. 1004.</w:t>
      </w:r>
      <w:r>
        <w:t xml:space="preserve"> </w:t>
      </w:r>
      <w:r>
        <w:t xml:space="preserve">Se, durante o prazo para a interposição do recurso, sobrevier o falecimento da parte ou de seu advogado ou ocorrer motivo de força maior que suspenda o curso do processo, será tal prazo restituído em proveito da parte, do herdeiro ou do sucessor, contra quem começará a correr novamente depois da intimação.</w:t>
      </w:r>
    </w:p>
    <w:bookmarkEnd w:id="836"/>
    <w:bookmarkStart w:id="837" w:name="art.-1005"/>
    <w:p>
      <w:pPr>
        <w:pStyle w:val="Heading6"/>
        <w:pBdr>
          <w:left w:val="single" w:sz="36" w:space="4" w:color="2E75B6"/>
        </w:pBdr>
        <w:shd w:val="clear" w:color="auto" w:fill="E3EEF9"/>
        <w:spacing w:before="120" w:after="60"/>
        <w:ind w:left="85"/>
      </w:pPr>
      <w:r>
        <w:rPr>
          <w:i w:val="0"/>
          <w:color w:val="1F3A5F"/>
          <w:sz w:val="22"/>
        </w:rPr>
        <w:t xml:space="preserve">Art. 1005</w:t>
      </w:r>
    </w:p>
    <w:p>
      <w:pPr>
        <w:pStyle w:val="FirstParagraph"/>
        <w:spacing w:after="60"/>
        <w:jc w:val="both"/>
      </w:pPr>
      <w:r>
        <w:rPr>
          <w:b/>
          <w:bCs/>
        </w:rPr>
        <w:t xml:space="preserve">Art. 1005.</w:t>
      </w:r>
      <w:r>
        <w:t xml:space="preserve"> </w:t>
      </w:r>
      <w:r>
        <w:t xml:space="preserve">O recurso interposto por um dos litisconsortes a todos aproveita, salvo se distintos ou opostos os seus interesses.</w:t>
      </w:r>
    </w:p>
    <w:p>
      <w:pPr>
        <w:pStyle w:val="BodyText"/>
        <w:spacing w:after="60"/>
        <w:jc w:val="both"/>
      </w:pPr>
      <w:r>
        <w:t xml:space="preserve">Parágrafo único. Havendo solidariedade passiva, o recurso interposto por um devedor aproveitará aos outros quando as defesas opostas ao credor lhes forem comuns.</w:t>
      </w:r>
    </w:p>
    <w:bookmarkEnd w:id="837"/>
    <w:bookmarkStart w:id="838" w:name="art.-1006"/>
    <w:p>
      <w:pPr>
        <w:pStyle w:val="Heading6"/>
        <w:pBdr>
          <w:left w:val="single" w:sz="36" w:space="4" w:color="2E75B6"/>
        </w:pBdr>
        <w:shd w:val="clear" w:color="auto" w:fill="E3EEF9"/>
        <w:spacing w:before="120" w:after="60"/>
        <w:ind w:left="85"/>
      </w:pPr>
      <w:r>
        <w:rPr>
          <w:i w:val="0"/>
          <w:color w:val="1F3A5F"/>
          <w:sz w:val="22"/>
        </w:rPr>
        <w:t xml:space="preserve">Art. 1006</w:t>
      </w:r>
    </w:p>
    <w:p>
      <w:pPr>
        <w:pStyle w:val="FirstParagraph"/>
        <w:keepNext/>
        <w:spacing w:after="60"/>
        <w:jc w:val="both"/>
      </w:pPr>
      <w:r>
        <w:rPr>
          <w:b/>
          <w:bCs/>
        </w:rPr>
        <w:t xml:space="preserve">Art. 1006.</w:t>
      </w:r>
      <w:r>
        <w:t xml:space="preserve"> </w:t>
      </w:r>
      <w:r>
        <w:t xml:space="preserve">Certificado o trânsito em julgado, com menção expressa da data de sua ocorrência, o escrivão ou o chefe de secretaria, independentemente de despacho, providenciará a baixa dos autos ao juízo de origem, no prazo de 5 (cinco) dias.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531"/>
          </w:tcPr>
          <w:p>
            <w:pPr>
              <w:pStyle w:val="Compact"/>
              <w:spacing w:line="276" w:lineRule="auto" w:before="40" w:after="40"/>
            </w:pPr>
            <w:r>
              <w:rPr>
                <w:rFonts w:ascii="Liberation Sans Narrow" w:hAnsi="Liberation Sans Narrow"/>
                <w:sz w:val="17"/>
              </w:rPr>
              <w:t xml:space="preserve">Caput — certidão de trânsito em julgado e baixa dos autos (aplicação narrada)</w:t>
            </w:r>
          </w:p>
        </w:tc>
        <w:tc>
          <w:tcPr>
            <w:tcW w:type="dxa" w:w="1531"/>
          </w:tcPr>
          <w:p>
            <w:pPr>
              <w:pStyle w:val="Compact"/>
              <w:spacing w:line="276" w:lineRule="auto" w:before="40" w:after="40"/>
            </w:pPr>
            <w:r>
              <w:rPr>
                <w:rFonts w:ascii="Liberation Sans Narrow" w:hAnsi="Liberation Sans Narrow"/>
                <w:sz w:val="17"/>
              </w:rPr>
              <w:t xml:space="preserve">STJ, AREsp 3.165.006, Terceira Turma, relator Min. Moura Ribeiro, julgado em 22/06/2026</w:t>
            </w:r>
          </w:p>
        </w:tc>
        <w:tc>
          <w:tcPr>
            <w:tcW w:type="dxa" w:w="1905"/>
          </w:tcPr>
          <w:p>
            <w:pPr>
              <w:pStyle w:val="Compact"/>
              <w:spacing w:line="276" w:lineRule="auto" w:before="40" w:after="40"/>
            </w:pPr>
            <w:r>
              <w:rPr>
                <w:rFonts w:ascii="Liberation Sans Narrow" w:hAnsi="Liberation Sans Narrow"/>
                <w:sz w:val="17"/>
              </w:rPr>
              <w:t xml:space="preserve">A certidão de trânsito em julgado expedida com data equivocada pelo cartório judicial induz a parte a erro e não pode prejudicá-la: o erro da máquina judiciária não faz correr contra o exequente de boa-fé o prazo prescricional contado da data real. Trecho: “O tribunal de origem afastou a prescrição da pretensão executória ao reconhecer que a certidão expedida pelo cartório judicial atestou data de trânsito em julgado posterior à real, induzindo o exequente a erro quanto ao termo inicial do prazo quinquenal.”</w:t>
            </w:r>
          </w:p>
        </w:tc>
      </w:tr>
    </w:tbl>
    <w:bookmarkEnd w:id="838"/>
    <w:bookmarkStart w:id="839" w:name="art.-1007"/>
    <w:p>
      <w:pPr>
        <w:pStyle w:val="Heading6"/>
        <w:pBdr>
          <w:left w:val="single" w:sz="36" w:space="4" w:color="2E75B6"/>
        </w:pBdr>
        <w:shd w:val="clear" w:color="auto" w:fill="E3EEF9"/>
        <w:spacing w:before="120" w:after="60"/>
        <w:ind w:left="85"/>
      </w:pPr>
      <w:r>
        <w:rPr>
          <w:i w:val="0"/>
          <w:color w:val="1F3A5F"/>
          <w:sz w:val="22"/>
        </w:rPr>
        <w:t xml:space="preserve">Art. 1007</w:t>
      </w:r>
    </w:p>
    <w:p>
      <w:pPr>
        <w:pStyle w:val="FirstParagraph"/>
        <w:keepNext/>
        <w:spacing w:after="60"/>
        <w:jc w:val="both"/>
      </w:pPr>
      <w:r>
        <w:rPr>
          <w:b/>
          <w:bCs/>
        </w:rPr>
        <w:t xml:space="preserve">Art. 1007.</w:t>
      </w:r>
      <w:r>
        <w:t xml:space="preserve"> </w:t>
      </w:r>
      <w:r>
        <w:t xml:space="preserve">No ato de interposição do recurso, o recorrente comprovará, quando exigido pela legislação pertinente, o respectivo preparo, inclusive porte de remessa e de retorno, sob pena de deserção.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preparo em recurso que discute a própria gratuidade</w:t>
            </w:r>
          </w:p>
        </w:tc>
        <w:tc>
          <w:tcPr>
            <w:tcW w:type="dxa" w:w="1531"/>
          </w:tcPr>
          <w:p>
            <w:pPr>
              <w:pStyle w:val="Compact"/>
              <w:spacing w:line="276" w:lineRule="auto" w:before="40" w:after="40"/>
            </w:pPr>
            <w:r>
              <w:rPr>
                <w:rFonts w:ascii="Liberation Sans Narrow" w:hAnsi="Liberation Sans Narrow"/>
                <w:sz w:val="17"/>
              </w:rPr>
              <w:t xml:space="preserve">STJ, AREsp 3.126.952, Terceira Turma, relator Min. Moura Ribeiro, julgado em 18/05/2026</w:t>
            </w:r>
          </w:p>
        </w:tc>
        <w:tc>
          <w:tcPr>
            <w:tcW w:type="dxa" w:w="1905"/>
          </w:tcPr>
          <w:p>
            <w:pPr>
              <w:pStyle w:val="Compact"/>
              <w:spacing w:line="276" w:lineRule="auto" w:before="40" w:after="40"/>
            </w:pPr>
            <w:r>
              <w:rPr>
                <w:rFonts w:ascii="Liberation Sans Narrow" w:hAnsi="Liberation Sans Narrow"/>
                <w:sz w:val="17"/>
              </w:rPr>
              <w:t xml:space="preserve">É desnecessário o recolhimento do preparo para a interposição de recurso que tenha como objeto a própria concessão da gratuidade de justiça, pois exigir o pagamento de quem alega não poder suportá-lo inviabiliza o acesso ao Poder Judiciário.</w:t>
            </w:r>
          </w:p>
        </w:tc>
      </w:tr>
    </w:tbl>
    <w:p>
      <w:pPr>
        <w:pStyle w:val="BodyText"/>
        <w:spacing w:after="60"/>
        <w:jc w:val="both"/>
      </w:pPr>
      <w:r>
        <w:t xml:space="preserve">§ 1º São dispensados de preparo, inclusive porte de remessa e de retorno, os recursos interpostos pelo Ministério Público, pela União, pelo Distrito Federal, pelos Estados, pelos Municípios, e respectivas autarquias, e pelos que gozam de isenção legal.</w:t>
      </w:r>
    </w:p>
    <w:p>
      <w:pPr>
        <w:pStyle w:val="BodyText"/>
        <w:keepNext/>
        <w:spacing w:after="60"/>
        <w:jc w:val="both"/>
      </w:pPr>
      <w:r>
        <w:t xml:space="preserve">§ 2º A insuficiência no valor do preparo, inclusive porte de remessa e de retorno, implicará deserção se o recorrente, intimado na pessoa de seu advogado, não vier a supri-lo no prazo de 5 (cinco) dias.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530"/>
        <w:gridCol w:w="1905"/>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 2º — insuficiência do preparo e intimação para complementar</w:t>
            </w:r>
          </w:p>
        </w:tc>
        <w:tc>
          <w:tcPr>
            <w:tcW w:type="dxa" w:w="1531"/>
          </w:tcPr>
          <w:p>
            <w:pPr>
              <w:pStyle w:val="Compact"/>
              <w:spacing w:line="276" w:lineRule="auto" w:before="40" w:after="40"/>
            </w:pPr>
            <w:r>
              <w:rPr>
                <w:rFonts w:ascii="Liberation Sans Narrow" w:hAnsi="Liberation Sans Narrow"/>
                <w:sz w:val="17"/>
              </w:rPr>
              <w:t xml:space="preserve">STJ, AgInt no REsp 2.164.298, Terceira Turma, relator Min. Moura Ribeiro, julgado em 16/03/2026</w:t>
            </w:r>
          </w:p>
        </w:tc>
        <w:tc>
          <w:tcPr>
            <w:tcW w:type="dxa" w:w="1905"/>
          </w:tcPr>
          <w:p>
            <w:pPr>
              <w:pStyle w:val="Compact"/>
              <w:spacing w:line="276" w:lineRule="auto" w:before="40" w:after="40"/>
            </w:pPr>
            <w:r>
              <w:rPr>
                <w:rFonts w:ascii="Liberation Sans Narrow" w:hAnsi="Liberation Sans Narrow"/>
                <w:sz w:val="17"/>
              </w:rPr>
              <w:t xml:space="preserve">A insuficiência no valor do preparo, inclusive porte de remessa e de retorno, implica deserção apenas se o recorrente, intimado na pessoa de seu advogado, não vier a supri-lo no prazo de cinco dias; o art. 101, § 2º, do CPC não afasta essa intimação.</w:t>
            </w:r>
          </w:p>
        </w:tc>
      </w:tr>
    </w:tbl>
    <w:p>
      <w:pPr>
        <w:pStyle w:val="BodyText"/>
        <w:keepNext/>
        <w:spacing w:after="60"/>
        <w:jc w:val="both"/>
      </w:pPr>
      <w:r>
        <w:t xml:space="preserve">§ 3º É dispensado o recolhimento do porte de remessa e de retorno no processo em autos eletrônicos.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2154"/>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 3º — dispensa do porte de remessa e retorno em autos eletrônicos</w:t>
            </w:r>
          </w:p>
        </w:tc>
        <w:tc>
          <w:tcPr>
            <w:tcW w:type="dxa" w:w="1531"/>
          </w:tcPr>
          <w:p>
            <w:pPr>
              <w:pStyle w:val="Compact"/>
              <w:spacing w:line="276" w:lineRule="auto" w:before="40" w:after="40"/>
            </w:pPr>
            <w:r>
              <w:rPr>
                <w:rFonts w:ascii="Liberation Sans Narrow" w:hAnsi="Liberation Sans Narrow"/>
                <w:sz w:val="17"/>
              </w:rPr>
              <w:t xml:space="preserve">STJ, AREsp 2.664.432, Quarta Turma, relator Min. João Otávio de Noronha, julgado em 09/02/2026</w:t>
            </w:r>
          </w:p>
        </w:tc>
        <w:tc>
          <w:tcPr>
            <w:tcW w:type="dxa" w:w="2154"/>
          </w:tcPr>
          <w:p>
            <w:pPr>
              <w:pStyle w:val="Compact"/>
              <w:spacing w:line="276" w:lineRule="auto" w:before="40" w:after="40"/>
            </w:pPr>
            <w:r>
              <w:rPr>
                <w:rFonts w:ascii="Liberation Sans Narrow" w:hAnsi="Liberation Sans Narrow"/>
                <w:sz w:val="17"/>
              </w:rPr>
              <w:t xml:space="preserve">Em autos eletrônicos é dispensado o porte de remessa e retorno, conforme o art. 1.007, § 3º, do CPC, e a matéria não interfere na admissibilidade do recurso especial.</w:t>
            </w:r>
          </w:p>
        </w:tc>
      </w:tr>
    </w:tbl>
    <w:p>
      <w:pPr>
        <w:pStyle w:val="BodyText"/>
        <w:spacing w:after="60"/>
        <w:jc w:val="both"/>
      </w:pPr>
      <w:r>
        <w:t xml:space="preserve">§ 4º O recorrente que não comprovar, no ato de interposição do recurso, o recolhimento do preparo, inclusive porte de remessa e de retorno, será intimado, na pessoa de seu advogado, para realizar o recolhimento em dobro, sob pena de deserção.</w:t>
      </w:r>
    </w:p>
    <w:p>
      <w:pPr>
        <w:pStyle w:val="BodyText"/>
        <w:spacing w:after="60"/>
        <w:jc w:val="both"/>
      </w:pPr>
      <w:r>
        <w:t xml:space="preserve">§ 5º É vedada a complementação se houver insuficiência parcial do preparo, inclusive porte de remessa e de retorno, no recolhimento realizado na forma do § 4º.</w:t>
      </w:r>
    </w:p>
    <w:p>
      <w:pPr>
        <w:pStyle w:val="BodyText"/>
        <w:spacing w:after="60"/>
        <w:jc w:val="both"/>
      </w:pPr>
      <w:r>
        <w:t xml:space="preserve">§ 6º Provando o recorrente justo impedimento, o relator relevará a pena de deserção, por decisão irrecorrível, fixando-lhe prazo de 5 (cinco) dias para efetuar o preparo.</w:t>
      </w:r>
    </w:p>
    <w:p>
      <w:pPr>
        <w:pStyle w:val="BodyText"/>
        <w:spacing w:after="60"/>
        <w:jc w:val="both"/>
      </w:pPr>
      <w:r>
        <w:t xml:space="preserve">§ 7º O equívoco no preenchimento da guia de custas não implicará a aplicação da pena de deserção, cabendo ao relator, na hipótese de dúvida quanto ao recolhimento, intimar o recorrente para sanar o vício no prazo de 5 (cinco) dias.</w:t>
      </w:r>
    </w:p>
    <w:bookmarkEnd w:id="839"/>
    <w:bookmarkStart w:id="840" w:name="art.-1008"/>
    <w:p>
      <w:pPr>
        <w:pStyle w:val="Heading6"/>
        <w:pBdr>
          <w:left w:val="single" w:sz="36" w:space="4" w:color="2E75B6"/>
        </w:pBdr>
        <w:shd w:val="clear" w:color="auto" w:fill="E3EEF9"/>
        <w:spacing w:before="120" w:after="60"/>
        <w:ind w:left="85"/>
      </w:pPr>
      <w:r>
        <w:rPr>
          <w:i w:val="0"/>
          <w:color w:val="1F3A5F"/>
          <w:sz w:val="22"/>
        </w:rPr>
        <w:t xml:space="preserve">Art. 1008</w:t>
      </w:r>
    </w:p>
    <w:p>
      <w:pPr>
        <w:pStyle w:val="FirstParagraph"/>
        <w:spacing w:after="60"/>
        <w:jc w:val="both"/>
      </w:pPr>
      <w:r>
        <w:rPr>
          <w:b/>
          <w:bCs/>
        </w:rPr>
        <w:t xml:space="preserve">Art. 1008.</w:t>
      </w:r>
      <w:r>
        <w:t xml:space="preserve"> </w:t>
      </w:r>
      <w:r>
        <w:t xml:space="preserve">O julgamento proferido pelo tribunal substituirá a decisão impugnada no que tiver sido objeto de recurso.</w:t>
      </w:r>
    </w:p>
    <w:bookmarkEnd w:id="840"/>
    <w:bookmarkEnd w:id="841"/>
    <w:bookmarkStart w:id="847" w:name="X099c0d22a5e8b9ef257a980f4c33b745d6c37b7"/>
    <w:p>
      <w:pPr>
        <w:pStyle w:val="Heading4"/>
        <w:spacing w:before="80" w:after="40"/>
      </w:pPr>
      <w:r>
        <w:rPr>
          <w:smallCaps/>
          <w:color w:val="2E75B6"/>
        </w:rPr>
        <w:t xml:space="preserve">Capítulo II: da apelação (arts. 1010 a 1014)</w:t>
      </w:r>
    </w:p>
    <w:bookmarkStart w:id="842" w:name="art.-1010"/>
    <w:p>
      <w:pPr>
        <w:pStyle w:val="Heading6"/>
        <w:pBdr>
          <w:left w:val="single" w:sz="36" w:space="4" w:color="2E75B6"/>
        </w:pBdr>
        <w:shd w:val="clear" w:color="auto" w:fill="E3EEF9"/>
        <w:spacing w:before="120" w:after="60"/>
        <w:ind w:left="85"/>
      </w:pPr>
      <w:r>
        <w:rPr>
          <w:i w:val="0"/>
          <w:color w:val="1F3A5F"/>
          <w:sz w:val="22"/>
        </w:rPr>
        <w:t xml:space="preserve">Art. 1010</w:t>
      </w:r>
    </w:p>
    <w:p>
      <w:pPr>
        <w:pStyle w:val="FirstParagraph"/>
        <w:spacing w:after="60"/>
        <w:jc w:val="both"/>
      </w:pPr>
      <w:r>
        <w:rPr>
          <w:b/>
          <w:bCs/>
        </w:rPr>
        <w:t xml:space="preserve">Art. 1010.</w:t>
      </w:r>
      <w:r>
        <w:t xml:space="preserve"> </w:t>
      </w:r>
      <w:r>
        <w:t xml:space="preserve">A apelação, interposta por petição dirigida ao juízo de primeiro grau, conterá:</w:t>
      </w:r>
    </w:p>
    <w:p>
      <w:pPr>
        <w:pStyle w:val="BodyText"/>
        <w:spacing w:after="60"/>
        <w:jc w:val="both"/>
      </w:pPr>
      <w:r>
        <w:t xml:space="preserve">I - os nomes e a qualificação das partes;</w:t>
      </w:r>
    </w:p>
    <w:p>
      <w:pPr>
        <w:pStyle w:val="BodyText"/>
        <w:spacing w:after="60"/>
        <w:jc w:val="both"/>
      </w:pPr>
      <w:r>
        <w:t xml:space="preserve">II - a exposição do fato e do direito;</w:t>
      </w:r>
    </w:p>
    <w:p>
      <w:pPr>
        <w:pStyle w:val="BodyText"/>
        <w:spacing w:after="60"/>
        <w:jc w:val="both"/>
      </w:pPr>
      <w:r>
        <w:t xml:space="preserve">III - as razões do pedido de reforma ou de decretação de nulidade;</w:t>
      </w:r>
    </w:p>
    <w:p>
      <w:pPr>
        <w:pStyle w:val="BodyText"/>
        <w:spacing w:after="60"/>
        <w:jc w:val="both"/>
      </w:pPr>
      <w:r>
        <w:t xml:space="preserve">IV - o pedido de nova decisão.</w:t>
      </w:r>
    </w:p>
    <w:p>
      <w:pPr>
        <w:pStyle w:val="BodyText"/>
        <w:spacing w:after="60"/>
        <w:jc w:val="both"/>
      </w:pPr>
      <w:r>
        <w:t xml:space="preserve">§ 1º O apelado será intimado para apresentar contrarrazões no prazo de 15 (quinze) dias.</w:t>
      </w:r>
    </w:p>
    <w:p>
      <w:pPr>
        <w:pStyle w:val="BodyText"/>
        <w:spacing w:after="60"/>
        <w:jc w:val="both"/>
      </w:pPr>
      <w:r>
        <w:t xml:space="preserve">§ 2º Se o apelado interpuser apelação adesiva, o juiz intimará o apelante para apresentar contrarrazões.</w:t>
      </w:r>
    </w:p>
    <w:p>
      <w:pPr>
        <w:pStyle w:val="BodyText"/>
        <w:spacing w:after="60"/>
        <w:jc w:val="both"/>
      </w:pPr>
      <w:r>
        <w:t xml:space="preserve">§ 3º Após as formalidades previstas nos §§ 1º e 2º, os autos serão remetidos ao tribunal pelo juiz, independentemente de juízo de admissibilidade.</w:t>
      </w:r>
    </w:p>
    <w:bookmarkEnd w:id="842"/>
    <w:bookmarkStart w:id="843" w:name="art.-1011"/>
    <w:p>
      <w:pPr>
        <w:pStyle w:val="Heading6"/>
        <w:pBdr>
          <w:left w:val="single" w:sz="36" w:space="4" w:color="2E75B6"/>
        </w:pBdr>
        <w:shd w:val="clear" w:color="auto" w:fill="E3EEF9"/>
        <w:spacing w:before="120" w:after="60"/>
        <w:ind w:left="85"/>
      </w:pPr>
      <w:r>
        <w:rPr>
          <w:i w:val="0"/>
          <w:color w:val="1F3A5F"/>
          <w:sz w:val="22"/>
        </w:rPr>
        <w:t xml:space="preserve">Art. 1011</w:t>
      </w:r>
    </w:p>
    <w:p>
      <w:pPr>
        <w:pStyle w:val="FirstParagraph"/>
        <w:spacing w:after="60"/>
        <w:jc w:val="both"/>
      </w:pPr>
      <w:r>
        <w:rPr>
          <w:b/>
          <w:bCs/>
        </w:rPr>
        <w:t xml:space="preserve">Art. 1011.</w:t>
      </w:r>
      <w:r>
        <w:t xml:space="preserve"> </w:t>
      </w:r>
      <w:r>
        <w:t xml:space="preserve">Recebido o recurso de apelação no tribunal e distribuído imediatamente, o relator:</w:t>
      </w:r>
    </w:p>
    <w:p>
      <w:pPr>
        <w:pStyle w:val="BodyText"/>
        <w:spacing w:after="60"/>
        <w:jc w:val="both"/>
      </w:pPr>
      <w:r>
        <w:t xml:space="preserve">I - decidi-lo-á monocraticamente apenas nas hipóteses do art. 932, incisos III a V;</w:t>
      </w:r>
    </w:p>
    <w:p>
      <w:pPr>
        <w:pStyle w:val="BodyText"/>
        <w:spacing w:after="60"/>
        <w:jc w:val="both"/>
      </w:pPr>
      <w:r>
        <w:t xml:space="preserve">II - se não for o caso de decisão monocrática, elaborará seu voto para julgamento do recurso pelo órgão colegiado.</w:t>
      </w:r>
    </w:p>
    <w:bookmarkEnd w:id="843"/>
    <w:bookmarkStart w:id="844" w:name="art.-1012"/>
    <w:p>
      <w:pPr>
        <w:pStyle w:val="Heading6"/>
        <w:pBdr>
          <w:left w:val="single" w:sz="36" w:space="4" w:color="2E75B6"/>
        </w:pBdr>
        <w:shd w:val="clear" w:color="auto" w:fill="E3EEF9"/>
        <w:spacing w:before="120" w:after="60"/>
        <w:ind w:left="85"/>
      </w:pPr>
      <w:r>
        <w:rPr>
          <w:i w:val="0"/>
          <w:color w:val="1F3A5F"/>
          <w:sz w:val="22"/>
        </w:rPr>
        <w:t xml:space="preserve">Art. 1012</w:t>
      </w:r>
    </w:p>
    <w:p>
      <w:pPr>
        <w:pStyle w:val="FirstParagraph"/>
        <w:spacing w:after="60"/>
        <w:jc w:val="both"/>
      </w:pPr>
      <w:r>
        <w:rPr>
          <w:b/>
          <w:bCs/>
        </w:rPr>
        <w:t xml:space="preserve">Art. 1012.</w:t>
      </w:r>
      <w:r>
        <w:t xml:space="preserve"> </w:t>
      </w:r>
      <w:r>
        <w:t xml:space="preserve">A apelação terá efeito suspensivo.</w:t>
      </w:r>
    </w:p>
    <w:p>
      <w:pPr>
        <w:pStyle w:val="BodyText"/>
        <w:spacing w:after="60"/>
        <w:jc w:val="both"/>
      </w:pPr>
      <w:r>
        <w:t xml:space="preserve">§ 1º Além de outras hipóteses previstas em lei, começa a produzir efeitos imediatamente após a sua publicação a sentença que:</w:t>
      </w:r>
    </w:p>
    <w:p>
      <w:pPr>
        <w:pStyle w:val="BodyText"/>
        <w:spacing w:after="60"/>
        <w:jc w:val="both"/>
      </w:pPr>
      <w:r>
        <w:t xml:space="preserve">I - homologa divisão ou demarcação de terras;</w:t>
      </w:r>
    </w:p>
    <w:p>
      <w:pPr>
        <w:pStyle w:val="BodyText"/>
        <w:spacing w:after="60"/>
        <w:jc w:val="both"/>
      </w:pPr>
      <w:r>
        <w:t xml:space="preserve">II - condena a pagar alimentos;</w:t>
      </w:r>
    </w:p>
    <w:p>
      <w:pPr>
        <w:pStyle w:val="BodyText"/>
        <w:spacing w:after="60"/>
        <w:jc w:val="both"/>
      </w:pPr>
      <w:r>
        <w:t xml:space="preserve">III - extingue sem resolução do mérito ou julga improcedentes os embargos do executado;</w:t>
      </w:r>
    </w:p>
    <w:p>
      <w:pPr>
        <w:pStyle w:val="BodyText"/>
        <w:spacing w:after="60"/>
        <w:jc w:val="both"/>
      </w:pPr>
      <w:r>
        <w:t xml:space="preserve">IV - julga procedente o pedido de instituição de arbitragem;</w:t>
      </w:r>
    </w:p>
    <w:p>
      <w:pPr>
        <w:pStyle w:val="BodyText"/>
        <w:keepNext/>
        <w:spacing w:after="60"/>
        <w:jc w:val="both"/>
      </w:pPr>
      <w:r>
        <w:t xml:space="preserve">V - confirma, concede ou revoga tutela provisória;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154"/>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531"/>
          </w:tcPr>
          <w:p>
            <w:pPr>
              <w:pStyle w:val="Compact"/>
              <w:spacing w:line="276" w:lineRule="auto" w:before="40" w:after="40"/>
            </w:pPr>
            <w:r>
              <w:rPr>
                <w:rFonts w:ascii="Liberation Sans Narrow" w:hAnsi="Liberation Sans Narrow"/>
                <w:sz w:val="17"/>
              </w:rPr>
              <w:t xml:space="preserve">§ 1º, V — sentença que confirma, concede ou revoga tutela provisória (aplicação narrada)</w:t>
            </w:r>
          </w:p>
        </w:tc>
        <w:tc>
          <w:tcPr>
            <w:tcW w:type="dxa" w:w="1531"/>
          </w:tcPr>
          <w:p>
            <w:pPr>
              <w:pStyle w:val="Compact"/>
              <w:spacing w:line="276" w:lineRule="auto" w:before="40" w:after="40"/>
            </w:pPr>
            <w:r>
              <w:rPr>
                <w:rFonts w:ascii="Liberation Sans Narrow" w:hAnsi="Liberation Sans Narrow"/>
                <w:sz w:val="17"/>
              </w:rPr>
              <w:t xml:space="preserve">STJ, AREsp 3.048.882, Quarta Turma, relator Min. João Otávio de Noronha, julgado em 30/06/2026</w:t>
            </w:r>
          </w:p>
        </w:tc>
        <w:tc>
          <w:tcPr>
            <w:tcW w:type="dxa" w:w="2154"/>
          </w:tcPr>
          <w:p>
            <w:pPr>
              <w:pStyle w:val="Compact"/>
              <w:spacing w:line="276" w:lineRule="auto" w:before="40" w:after="40"/>
            </w:pPr>
            <w:r>
              <w:rPr>
                <w:rFonts w:ascii="Liberation Sans Narrow" w:hAnsi="Liberation Sans Narrow"/>
                <w:sz w:val="17"/>
              </w:rPr>
              <w:t xml:space="preserve">A apelação contra decisão que fixa astreintes em tutela provisória não autoriza o cumprimento provisório da multa antes da sentença de mérito: as astreintes somente podem ser executadas provisoriamente após a confirmação por sentença (Tema 743 e EAREsp 1.883.876/RS). Trecho: “A Corte de origem negou provimento ao agravo de instrumento e manteve o cumprimento provisório da multa cominatória fixada em tutela de urgência, afirmando a viabilidade da execução provisória das astreintes, sem efeito suspensivo dos recursos especial e extraordinário, e reconhecendo a natureza extraconcursal do crédito.”</w:t>
            </w:r>
          </w:p>
        </w:tc>
      </w:tr>
    </w:tbl>
    <w:p>
      <w:pPr>
        <w:pStyle w:val="BodyText"/>
        <w:spacing w:after="60"/>
        <w:jc w:val="both"/>
      </w:pPr>
      <w:r>
        <w:t xml:space="preserve">VI - decreta a interdição.</w:t>
      </w:r>
    </w:p>
    <w:p>
      <w:pPr>
        <w:pStyle w:val="BodyText"/>
        <w:spacing w:after="60"/>
        <w:jc w:val="both"/>
      </w:pPr>
      <w:r>
        <w:t xml:space="preserve">§ 2º Nos casos do § 1º, o apelado poderá promover o pedido de cumprimento provisório depois de publicada a sentença.</w:t>
      </w:r>
    </w:p>
    <w:p>
      <w:pPr>
        <w:pStyle w:val="BodyText"/>
        <w:spacing w:after="60"/>
        <w:jc w:val="both"/>
      </w:pPr>
      <w:r>
        <w:t xml:space="preserve">§ 3º O pedido de concessão de efeito suspensivo nas hipóteses do § 1º poderá ser formulado por requerimento dirigido ao:</w:t>
      </w:r>
    </w:p>
    <w:p>
      <w:pPr>
        <w:pStyle w:val="BodyText"/>
        <w:spacing w:after="60"/>
        <w:jc w:val="both"/>
      </w:pPr>
      <w:r>
        <w:t xml:space="preserve">I - tribunal, no período compreendido entre a interposição da apelação e sua distribuição, ficando o relator designado para seu exame prevento para julgá-la;</w:t>
      </w:r>
    </w:p>
    <w:p>
      <w:pPr>
        <w:pStyle w:val="BodyText"/>
        <w:spacing w:after="60"/>
        <w:jc w:val="both"/>
      </w:pPr>
      <w:r>
        <w:t xml:space="preserve">II - relator, se já distribuída a apelação.</w:t>
      </w:r>
    </w:p>
    <w:p>
      <w:pPr>
        <w:pStyle w:val="BodyText"/>
        <w:spacing w:after="60"/>
        <w:jc w:val="both"/>
      </w:pPr>
      <w:r>
        <w:t xml:space="preserve">§ 4º Nas hipóteses do § 1º, a eficácia da sentença poderá ser suspensa pelo relator se o apelante demonstrar a probabilidade de provimento do recurso ou se, sendo relevante a fundamentação, houver risco de dano grave ou de difícil reparação.</w:t>
      </w:r>
    </w:p>
    <w:bookmarkEnd w:id="844"/>
    <w:bookmarkStart w:id="845" w:name="art.-1013"/>
    <w:p>
      <w:pPr>
        <w:pStyle w:val="Heading6"/>
        <w:pBdr>
          <w:left w:val="single" w:sz="36" w:space="4" w:color="2E75B6"/>
        </w:pBdr>
        <w:shd w:val="clear" w:color="auto" w:fill="E3EEF9"/>
        <w:spacing w:before="120" w:after="60"/>
        <w:ind w:left="85"/>
      </w:pPr>
      <w:r>
        <w:rPr>
          <w:i w:val="0"/>
          <w:color w:val="1F3A5F"/>
          <w:sz w:val="22"/>
        </w:rPr>
        <w:t xml:space="preserve">Art. 1013</w:t>
      </w:r>
    </w:p>
    <w:p>
      <w:pPr>
        <w:pStyle w:val="FirstParagraph"/>
        <w:keepNext/>
        <w:spacing w:after="60"/>
        <w:jc w:val="both"/>
      </w:pPr>
      <w:r>
        <w:rPr>
          <w:b/>
          <w:bCs/>
        </w:rPr>
        <w:t xml:space="preserve">Art. 1013.</w:t>
      </w:r>
      <w:r>
        <w:t xml:space="preserve"> </w:t>
      </w:r>
      <w:r>
        <w:t xml:space="preserve">A apelação devolverá ao tribunal o conhecimento da matéria impugnada.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extensão do efeito devolutivo</w:t>
            </w:r>
          </w:p>
        </w:tc>
        <w:tc>
          <w:tcPr>
            <w:tcW w:type="dxa" w:w="1655"/>
          </w:tcPr>
          <w:p>
            <w:pPr>
              <w:pStyle w:val="Compact"/>
              <w:spacing w:line="276" w:lineRule="auto" w:before="40" w:after="40"/>
            </w:pPr>
            <w:r>
              <w:rPr>
                <w:rFonts w:ascii="Liberation Sans Narrow" w:hAnsi="Liberation Sans Narrow"/>
                <w:sz w:val="17"/>
              </w:rPr>
              <w:t xml:space="preserve">STJ, AgInt no AREsp 2.959.641, Quarta Turma, relatora Min. Maria Isabel Gallotti, julgado em 12/08/2026, DJEN de 17/08/2026</w:t>
            </w:r>
          </w:p>
        </w:tc>
        <w:tc>
          <w:tcPr>
            <w:tcW w:type="dxa" w:w="2030"/>
          </w:tcPr>
          <w:p>
            <w:pPr>
              <w:pStyle w:val="Compact"/>
              <w:spacing w:line="276" w:lineRule="auto" w:before="40" w:after="40"/>
            </w:pPr>
            <w:r>
              <w:rPr>
                <w:rFonts w:ascii="Liberation Sans Narrow" w:hAnsi="Liberation Sans Narrow"/>
                <w:sz w:val="17"/>
              </w:rPr>
              <w:t xml:space="preserve">O efeito devolutivo da apelação autoriza o tribunal a reexaminar integralmente a questão decidida na sentença, inclusive sob perspectiva jurídica diversa, sem supressão de instância nem inovação recursal.</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matéria impugnada e revisão dos honorários</w:t>
            </w:r>
          </w:p>
        </w:tc>
        <w:tc>
          <w:tcPr>
            <w:tcW w:type="dxa" w:w="1655"/>
          </w:tcPr>
          <w:p>
            <w:pPr>
              <w:pStyle w:val="Compact"/>
              <w:spacing w:line="276" w:lineRule="auto" w:before="40" w:after="40"/>
            </w:pPr>
            <w:r>
              <w:rPr>
                <w:rFonts w:ascii="Liberation Sans Narrow" w:hAnsi="Liberation Sans Narrow"/>
                <w:sz w:val="17"/>
              </w:rPr>
              <w:t xml:space="preserve">STJ, AREsp 2.656.064, Terceira Turma, relator Min. Moura Ribeiro, julgado em 04/05/2026</w:t>
            </w:r>
          </w:p>
        </w:tc>
        <w:tc>
          <w:tcPr>
            <w:tcW w:type="dxa" w:w="2030"/>
          </w:tcPr>
          <w:p>
            <w:pPr>
              <w:pStyle w:val="Compact"/>
              <w:spacing w:line="276" w:lineRule="auto" w:before="40" w:after="40"/>
            </w:pPr>
            <w:r>
              <w:rPr>
                <w:rFonts w:ascii="Liberation Sans Narrow" w:hAnsi="Liberation Sans Narrow"/>
                <w:sz w:val="17"/>
              </w:rPr>
              <w:t xml:space="preserve">A apelação devolve ao tribunal o conhecimento da matéria impugnada; os honorários sucumbenciais, por serem matéria de ordem pública, podem ser revistos para a adequada aplicação do art. 85, § 2º, do CPC, sem violação do art. 507.</w:t>
            </w:r>
          </w:p>
        </w:tc>
      </w:tr>
    </w:tbl>
    <w:p>
      <w:pPr>
        <w:pStyle w:val="BodyText"/>
        <w:spacing w:after="60"/>
        <w:jc w:val="both"/>
      </w:pPr>
      <w:r>
        <w:t xml:space="preserve">§ 1º Serão, porém, objeto de apreciação e julgamento pelo tribunal todas as questões suscitadas e discutidas no processo, ainda que não tenham sido solucionadas, desde que relativas ao capítulo impugnado.</w:t>
      </w:r>
    </w:p>
    <w:p>
      <w:pPr>
        <w:pStyle w:val="BodyText"/>
        <w:spacing w:after="60"/>
        <w:jc w:val="both"/>
      </w:pPr>
      <w:r>
        <w:t xml:space="preserve">§ 2º Quando o pedido ou a defesa tiver mais de um fundamento e o juiz acolher apenas um deles, a apelação devolverá ao tribunal o conhecimento dos demais.</w:t>
      </w:r>
    </w:p>
    <w:p>
      <w:pPr>
        <w:pStyle w:val="BodyText"/>
        <w:spacing w:after="60"/>
        <w:jc w:val="both"/>
      </w:pPr>
      <w:r>
        <w:t xml:space="preserve">§ 3º Se o processo estiver em condições de imediato julgamento, o tribunal deve decidir desde logo o mérito quando:</w:t>
      </w:r>
    </w:p>
    <w:p>
      <w:pPr>
        <w:pStyle w:val="BodyText"/>
        <w:spacing w:after="60"/>
        <w:jc w:val="both"/>
      </w:pPr>
      <w:r>
        <w:t xml:space="preserve">I - reformar sentença fundada no art. 485;</w:t>
      </w:r>
    </w:p>
    <w:p>
      <w:pPr>
        <w:pStyle w:val="BodyText"/>
        <w:spacing w:after="60"/>
        <w:jc w:val="both"/>
      </w:pPr>
      <w:r>
        <w:t xml:space="preserve">II - decretar a nulidade da sentença por não ser ela congruente com os limites do pedido ou da causa de pedir;</w:t>
      </w:r>
    </w:p>
    <w:p>
      <w:pPr>
        <w:pStyle w:val="BodyText"/>
        <w:spacing w:after="60"/>
        <w:jc w:val="both"/>
      </w:pPr>
      <w:r>
        <w:t xml:space="preserve">III - constatar a omissão no exame de um dos pedidos, hipótese em que poderá julgá-lo;</w:t>
      </w:r>
    </w:p>
    <w:p>
      <w:pPr>
        <w:pStyle w:val="BodyText"/>
        <w:spacing w:after="60"/>
        <w:jc w:val="both"/>
      </w:pPr>
      <w:r>
        <w:t xml:space="preserve">IV - decretar a nulidade de sentença por falta de fundamentação.</w:t>
      </w:r>
    </w:p>
    <w:p>
      <w:pPr>
        <w:pStyle w:val="BodyText"/>
        <w:spacing w:after="60"/>
        <w:jc w:val="both"/>
      </w:pPr>
      <w:r>
        <w:t xml:space="preserve">§ 4º Quando reformar sentença que reconheça a decadência ou a prescrição, o tribunal, se possível, julgará o mérito, examinando as demais questões, sem determinar o retorno do processo ao juízo de primeiro grau.</w:t>
      </w:r>
    </w:p>
    <w:p>
      <w:pPr>
        <w:pStyle w:val="BodyText"/>
        <w:spacing w:after="60"/>
        <w:jc w:val="both"/>
      </w:pPr>
      <w:r>
        <w:t xml:space="preserve">§ 5º O capítulo da sentença que confirma, concede ou revoga a tutela provisória é impugnável na apelação.</w:t>
      </w:r>
    </w:p>
    <w:bookmarkEnd w:id="845"/>
    <w:bookmarkStart w:id="846" w:name="art.-1014"/>
    <w:p>
      <w:pPr>
        <w:pStyle w:val="Heading6"/>
        <w:pBdr>
          <w:left w:val="single" w:sz="36" w:space="4" w:color="2E75B6"/>
        </w:pBdr>
        <w:shd w:val="clear" w:color="auto" w:fill="E3EEF9"/>
        <w:spacing w:before="120" w:after="60"/>
        <w:ind w:left="85"/>
      </w:pPr>
      <w:r>
        <w:rPr>
          <w:i w:val="0"/>
          <w:color w:val="1F3A5F"/>
          <w:sz w:val="22"/>
        </w:rPr>
        <w:t xml:space="preserve">Art. 1014</w:t>
      </w:r>
    </w:p>
    <w:p>
      <w:pPr>
        <w:pStyle w:val="FirstParagraph"/>
        <w:spacing w:after="60"/>
        <w:jc w:val="both"/>
      </w:pPr>
      <w:r>
        <w:rPr>
          <w:b/>
          <w:bCs/>
        </w:rPr>
        <w:t xml:space="preserve">Art. 1014.</w:t>
      </w:r>
      <w:r>
        <w:t xml:space="preserve"> </w:t>
      </w:r>
      <w:r>
        <w:t xml:space="preserve">As questões de fato não propostas no juízo inferior poderão ser suscitadas na apelação, se a parte provar que deixou de fazê-lo por motivo de força maior.</w:t>
      </w:r>
    </w:p>
    <w:bookmarkEnd w:id="846"/>
    <w:bookmarkEnd w:id="847"/>
    <w:bookmarkStart w:id="854" w:name="X439c2db5ce87e00e723369f0b104b0c373675ca"/>
    <w:p>
      <w:pPr>
        <w:pStyle w:val="Heading4"/>
        <w:spacing w:before="80" w:after="40"/>
      </w:pPr>
      <w:r>
        <w:rPr>
          <w:smallCaps/>
          <w:color w:val="2E75B6"/>
        </w:rPr>
        <w:t xml:space="preserve">Capítulo III: do agravo de instrumento (arts. 1015 a 1020)</w:t>
      </w:r>
    </w:p>
    <w:bookmarkStart w:id="848" w:name="art.-1015"/>
    <w:p>
      <w:pPr>
        <w:pStyle w:val="Heading6"/>
        <w:pBdr>
          <w:left w:val="single" w:sz="36" w:space="4" w:color="2E75B6"/>
        </w:pBdr>
        <w:shd w:val="clear" w:color="auto" w:fill="E3EEF9"/>
        <w:spacing w:before="120" w:after="60"/>
        <w:ind w:left="85"/>
      </w:pPr>
      <w:r>
        <w:rPr>
          <w:i w:val="0"/>
          <w:color w:val="1F3A5F"/>
          <w:sz w:val="22"/>
        </w:rPr>
        <w:t xml:space="preserve">Art. 1015</w:t>
      </w:r>
    </w:p>
    <w:p>
      <w:pPr>
        <w:pStyle w:val="FirstParagraph"/>
        <w:keepNext/>
        <w:spacing w:after="60"/>
        <w:jc w:val="both"/>
      </w:pPr>
      <w:r>
        <w:rPr>
          <w:b/>
          <w:bCs/>
        </w:rPr>
        <w:t xml:space="preserve">Art. 1015.</w:t>
      </w:r>
      <w:r>
        <w:t xml:space="preserve"> </w:t>
      </w:r>
      <w:r>
        <w:t xml:space="preserve">Cabe agravo de instrumento contra as decisões interlocutórias que versarem sobre: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154"/>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decisões agraváveis</w:t>
            </w:r>
          </w:p>
        </w:tc>
        <w:tc>
          <w:tcPr>
            <w:tcW w:type="dxa" w:w="1531"/>
          </w:tcPr>
          <w:p>
            <w:pPr>
              <w:pStyle w:val="Compact"/>
              <w:spacing w:line="276" w:lineRule="auto" w:before="40" w:after="40"/>
            </w:pPr>
            <w:r>
              <w:rPr>
                <w:rFonts w:ascii="Liberation Sans Narrow" w:hAnsi="Liberation Sans Narrow"/>
                <w:sz w:val="17"/>
              </w:rPr>
              <w:t xml:space="preserve">STJ, AgInt no AREsp 1.775.856, Quarta Turma, relator Min. Luis Felipe Salomão, DJe de 01/12/2021</w:t>
            </w:r>
          </w:p>
        </w:tc>
        <w:tc>
          <w:tcPr>
            <w:tcW w:type="dxa" w:w="2154"/>
          </w:tcPr>
          <w:p>
            <w:pPr>
              <w:pStyle w:val="Compact"/>
              <w:spacing w:line="276" w:lineRule="auto" w:before="40" w:after="40"/>
            </w:pPr>
            <w:r>
              <w:rPr>
                <w:rFonts w:ascii="Liberation Sans Narrow" w:hAnsi="Liberation Sans Narrow"/>
                <w:sz w:val="17"/>
              </w:rPr>
              <w:t xml:space="preserve">O agravo do art. 1.015 é o recurso cabível contra as decisões interlocutórias ali previstas, e não contra a decisão de admissibilidade do recurso especial: a interposição de agravo de instrumento nessa hipótese configura erro grosseiro.</w:t>
            </w:r>
          </w:p>
        </w:tc>
      </w:tr>
    </w:tbl>
    <w:p>
      <w:pPr>
        <w:pStyle w:val="BodyText"/>
        <w:spacing w:after="60"/>
        <w:jc w:val="both"/>
      </w:pPr>
      <w:r>
        <w:t xml:space="preserve">I - tutelas provisórias;</w:t>
      </w:r>
    </w:p>
    <w:p>
      <w:pPr>
        <w:pStyle w:val="BodyText"/>
        <w:spacing w:after="60"/>
        <w:jc w:val="both"/>
      </w:pPr>
      <w:r>
        <w:t xml:space="preserve">II - mérito do processo;</w:t>
      </w:r>
    </w:p>
    <w:p>
      <w:pPr>
        <w:pStyle w:val="BodyText"/>
        <w:spacing w:after="60"/>
        <w:jc w:val="both"/>
      </w:pPr>
      <w:r>
        <w:t xml:space="preserve">III - rejeição da alegação de convenção de arbitragem;</w:t>
      </w:r>
    </w:p>
    <w:p>
      <w:pPr>
        <w:pStyle w:val="BodyText"/>
        <w:spacing w:after="60"/>
        <w:jc w:val="both"/>
      </w:pPr>
      <w:r>
        <w:t xml:space="preserve">IV - incidente de desconsideração da personalidade jurídica;</w:t>
      </w:r>
    </w:p>
    <w:p>
      <w:pPr>
        <w:pStyle w:val="BodyText"/>
        <w:spacing w:after="60"/>
        <w:jc w:val="both"/>
      </w:pPr>
      <w:r>
        <w:t xml:space="preserve">V - rejeição do pedido de gratuidade da justiça ou acolhimento do pedido de sua revogação;</w:t>
      </w:r>
    </w:p>
    <w:p>
      <w:pPr>
        <w:pStyle w:val="BodyText"/>
        <w:spacing w:after="60"/>
        <w:jc w:val="both"/>
      </w:pPr>
      <w:r>
        <w:t xml:space="preserve">VI - exibição ou posse de documento ou coisa;</w:t>
      </w:r>
    </w:p>
    <w:p>
      <w:pPr>
        <w:pStyle w:val="BodyText"/>
        <w:spacing w:after="60"/>
        <w:jc w:val="both"/>
      </w:pPr>
      <w:r>
        <w:t xml:space="preserve">VII - exclusão de litisconsorte;</w:t>
      </w:r>
    </w:p>
    <w:p>
      <w:pPr>
        <w:pStyle w:val="BodyText"/>
        <w:spacing w:after="60"/>
        <w:jc w:val="both"/>
      </w:pPr>
      <w:r>
        <w:t xml:space="preserve">VIII - rejeição do pedido de limitação do litisconsórcio;</w:t>
      </w:r>
    </w:p>
    <w:p>
      <w:pPr>
        <w:pStyle w:val="BodyText"/>
        <w:spacing w:after="60"/>
        <w:jc w:val="both"/>
      </w:pPr>
      <w:r>
        <w:t xml:space="preserve">IX - admissão ou inadmissão de intervenção de terceiros;</w:t>
      </w:r>
    </w:p>
    <w:p>
      <w:pPr>
        <w:pStyle w:val="BodyText"/>
        <w:spacing w:after="60"/>
        <w:jc w:val="both"/>
      </w:pPr>
      <w:r>
        <w:t xml:space="preserve">X - concessão, modificação ou revogação do efeito suspensivo aos embargos à execução;</w:t>
      </w:r>
    </w:p>
    <w:p>
      <w:pPr>
        <w:pStyle w:val="BodyText"/>
        <w:spacing w:after="60"/>
        <w:jc w:val="both"/>
      </w:pPr>
      <w:r>
        <w:t xml:space="preserve">XI - redistribuição do ônus da prova nos termos do art. 373, § 1º;</w:t>
      </w:r>
    </w:p>
    <w:p>
      <w:pPr>
        <w:pStyle w:val="BodyText"/>
        <w:spacing w:after="60"/>
        <w:jc w:val="both"/>
      </w:pPr>
      <w:r>
        <w:t xml:space="preserve">XII - (VETADO);</w:t>
      </w:r>
    </w:p>
    <w:p>
      <w:pPr>
        <w:pStyle w:val="BodyText"/>
        <w:spacing w:after="60"/>
        <w:jc w:val="both"/>
      </w:pPr>
      <w:r>
        <w:t xml:space="preserve">XIII - outros casos expressamente referidos em lei.</w:t>
      </w:r>
    </w:p>
    <w:p>
      <w:pPr>
        <w:pStyle w:val="BodyText"/>
        <w:keepNext/>
        <w:spacing w:after="60"/>
        <w:jc w:val="both"/>
      </w:pPr>
      <w:r>
        <w:t xml:space="preserve">Parágrafo único. Também caberá agravo de instrumento contra decisões interlocutórias proferidas na fase de liquidação de sentença ou de cumprimento de sentença, no processo de execução e no processo de inventário.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2154"/>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Parágrafo único — recurso cabível contra decisões proferidas no cumprimento de sentença</w:t>
            </w:r>
          </w:p>
        </w:tc>
        <w:tc>
          <w:tcPr>
            <w:tcW w:type="dxa" w:w="1531"/>
          </w:tcPr>
          <w:p>
            <w:pPr>
              <w:pStyle w:val="Compact"/>
              <w:spacing w:line="276" w:lineRule="auto" w:before="40" w:after="40"/>
            </w:pPr>
            <w:r>
              <w:rPr>
                <w:rFonts w:ascii="Liberation Sans Narrow" w:hAnsi="Liberation Sans Narrow"/>
                <w:sz w:val="17"/>
              </w:rPr>
              <w:t xml:space="preserve">STJ, AgInt no AREsp 3.111.390, Quarta Turma, relator Min. Raul Araújo, julgado em 30/06/2026</w:t>
            </w:r>
          </w:p>
        </w:tc>
        <w:tc>
          <w:tcPr>
            <w:tcW w:type="dxa" w:w="2154"/>
          </w:tcPr>
          <w:p>
            <w:pPr>
              <w:pStyle w:val="Compact"/>
              <w:spacing w:line="276" w:lineRule="auto" w:before="40" w:after="40"/>
            </w:pPr>
            <w:r>
              <w:rPr>
                <w:rFonts w:ascii="Liberation Sans Narrow" w:hAnsi="Liberation Sans Narrow"/>
                <w:sz w:val="17"/>
              </w:rPr>
              <w:t xml:space="preserve">No regime do CPC/2015, a apelação é o recurso cabível contra a decisão que acolhe impugnação ao cumprimento de sentença e extingue ou esvazia a fase executiva, ao passo que o agravo de instrumento é cabível contra as decisões interlocutórias que não promovem a extinção dessa fase; a interposição de agravo de instrumento em hipótese de encerramento da fase executiva configura erro grosseiro e afasta a fungibilidade recursal.</w:t>
            </w:r>
          </w:p>
        </w:tc>
      </w:tr>
    </w:tbl>
    <w:bookmarkEnd w:id="848"/>
    <w:bookmarkStart w:id="849" w:name="art.-1016"/>
    <w:p>
      <w:pPr>
        <w:pStyle w:val="Heading6"/>
        <w:pBdr>
          <w:left w:val="single" w:sz="36" w:space="4" w:color="2E75B6"/>
        </w:pBdr>
        <w:shd w:val="clear" w:color="auto" w:fill="E3EEF9"/>
        <w:spacing w:before="120" w:after="60"/>
        <w:ind w:left="85"/>
      </w:pPr>
      <w:r>
        <w:rPr>
          <w:i w:val="0"/>
          <w:color w:val="1F3A5F"/>
          <w:sz w:val="22"/>
        </w:rPr>
        <w:t xml:space="preserve">Art. 1016</w:t>
      </w:r>
    </w:p>
    <w:p>
      <w:pPr>
        <w:pStyle w:val="FirstParagraph"/>
        <w:spacing w:after="60"/>
        <w:jc w:val="both"/>
      </w:pPr>
      <w:r>
        <w:rPr>
          <w:b/>
          <w:bCs/>
        </w:rPr>
        <w:t xml:space="preserve">Art. 1016.</w:t>
      </w:r>
      <w:r>
        <w:t xml:space="preserve"> </w:t>
      </w:r>
      <w:r>
        <w:t xml:space="preserve">O agravo de instrumento será dirigido diretamente ao tribunal competente, por meio de petição com os seguintes requisitos:</w:t>
      </w:r>
    </w:p>
    <w:p>
      <w:pPr>
        <w:pStyle w:val="BodyText"/>
        <w:spacing w:after="60"/>
        <w:jc w:val="both"/>
      </w:pPr>
      <w:r>
        <w:t xml:space="preserve">I - os nomes das partes;</w:t>
      </w:r>
    </w:p>
    <w:p>
      <w:pPr>
        <w:pStyle w:val="BodyText"/>
        <w:spacing w:after="60"/>
        <w:jc w:val="both"/>
      </w:pPr>
      <w:r>
        <w:t xml:space="preserve">II - a exposição do fato e do direito;</w:t>
      </w:r>
    </w:p>
    <w:p>
      <w:pPr>
        <w:pStyle w:val="BodyText"/>
        <w:spacing w:after="60"/>
        <w:jc w:val="both"/>
      </w:pPr>
      <w:r>
        <w:t xml:space="preserve">III - as razões do pedido de reforma ou de invalidação da decisão e o próprio pedido;</w:t>
      </w:r>
    </w:p>
    <w:p>
      <w:pPr>
        <w:pStyle w:val="BodyText"/>
        <w:spacing w:after="60"/>
        <w:jc w:val="both"/>
      </w:pPr>
      <w:r>
        <w:t xml:space="preserve">IV - o nome e o endereço completo dos advogados constantes do processo.</w:t>
      </w:r>
    </w:p>
    <w:bookmarkEnd w:id="849"/>
    <w:bookmarkStart w:id="850" w:name="art.-1017"/>
    <w:p>
      <w:pPr>
        <w:pStyle w:val="Heading6"/>
        <w:pBdr>
          <w:left w:val="single" w:sz="36" w:space="4" w:color="2E75B6"/>
        </w:pBdr>
        <w:shd w:val="clear" w:color="auto" w:fill="E3EEF9"/>
        <w:spacing w:before="120" w:after="60"/>
        <w:ind w:left="85"/>
      </w:pPr>
      <w:r>
        <w:rPr>
          <w:i w:val="0"/>
          <w:color w:val="1F3A5F"/>
          <w:sz w:val="22"/>
        </w:rPr>
        <w:t xml:space="preserve">Art. 1017</w:t>
      </w:r>
    </w:p>
    <w:p>
      <w:pPr>
        <w:pStyle w:val="FirstParagraph"/>
        <w:spacing w:after="60"/>
        <w:jc w:val="both"/>
      </w:pPr>
      <w:r>
        <w:rPr>
          <w:b/>
          <w:bCs/>
        </w:rPr>
        <w:t xml:space="preserve">Art. 1017.</w:t>
      </w:r>
      <w:r>
        <w:t xml:space="preserve"> </w:t>
      </w:r>
      <w:r>
        <w:t xml:space="preserve">A petição de agravo de instrumento será instruída:</w:t>
      </w:r>
    </w:p>
    <w:p>
      <w:pPr>
        <w:pStyle w:val="BodyText"/>
        <w:spacing w:after="60"/>
        <w:jc w:val="both"/>
      </w:pPr>
      <w:r>
        <w:t xml:space="preserve">I - obrigatoriamente, com cópias da petição inicial, da contestação, da petição que ensejou a decisão agravada, da própria decisão agravada, da certidão da respectiva intimação ou outro documento oficial que comprove a tempestividade e das procurações outorgadas aos advogados do agravante e do agravado;</w:t>
      </w:r>
    </w:p>
    <w:p>
      <w:pPr>
        <w:pStyle w:val="BodyText"/>
        <w:spacing w:after="60"/>
        <w:jc w:val="both"/>
      </w:pPr>
      <w:r>
        <w:t xml:space="preserve">II - com declaração de inexistência de qualquer dos documentos referidos no inciso I, feita pelo advogado do agravante, sob pena de sua responsabilidade pessoal;</w:t>
      </w:r>
    </w:p>
    <w:p>
      <w:pPr>
        <w:pStyle w:val="BodyText"/>
        <w:spacing w:after="60"/>
        <w:jc w:val="both"/>
      </w:pPr>
      <w:r>
        <w:t xml:space="preserve">III - facultativamente, com outras peças que o agravante reputar úteis.</w:t>
      </w:r>
    </w:p>
    <w:p>
      <w:pPr>
        <w:pStyle w:val="BodyText"/>
        <w:spacing w:after="60"/>
        <w:jc w:val="both"/>
      </w:pPr>
      <w:r>
        <w:t xml:space="preserve">§ 1º Acompanhará a petição o comprovante do pagamento das respectivas custas e do porte de retorno, quando devidos, conforme tabela publicada pelos tribunais.</w:t>
      </w:r>
    </w:p>
    <w:p>
      <w:pPr>
        <w:pStyle w:val="BodyText"/>
        <w:spacing w:after="60"/>
        <w:jc w:val="both"/>
      </w:pPr>
      <w:r>
        <w:t xml:space="preserve">§ 2º No prazo do recurso, o agravo será interposto por:</w:t>
      </w:r>
    </w:p>
    <w:p>
      <w:pPr>
        <w:pStyle w:val="BodyText"/>
        <w:spacing w:after="60"/>
        <w:jc w:val="both"/>
      </w:pPr>
      <w:r>
        <w:t xml:space="preserve">I - protocolo realizado diretamente no tribunal competente para julgá-lo;</w:t>
      </w:r>
    </w:p>
    <w:p>
      <w:pPr>
        <w:pStyle w:val="BodyText"/>
        <w:spacing w:after="60"/>
        <w:jc w:val="both"/>
      </w:pPr>
      <w:r>
        <w:t xml:space="preserve">II - protocolo realizado na própria comarca, seção ou subseção judiciárias;</w:t>
      </w:r>
    </w:p>
    <w:p>
      <w:pPr>
        <w:pStyle w:val="BodyText"/>
        <w:spacing w:after="60"/>
        <w:jc w:val="both"/>
      </w:pPr>
      <w:r>
        <w:t xml:space="preserve">III - postagem, sob registro, com aviso de recebimento;</w:t>
      </w:r>
    </w:p>
    <w:p>
      <w:pPr>
        <w:pStyle w:val="BodyText"/>
        <w:spacing w:after="60"/>
        <w:jc w:val="both"/>
      </w:pPr>
      <w:r>
        <w:t xml:space="preserve">IV - transmissão de dados tipo fac-símile, nos termos da lei;</w:t>
      </w:r>
    </w:p>
    <w:p>
      <w:pPr>
        <w:pStyle w:val="BodyText"/>
        <w:spacing w:after="60"/>
        <w:jc w:val="both"/>
      </w:pPr>
      <w:r>
        <w:t xml:space="preserve">V - outra forma prevista em lei.</w:t>
      </w:r>
    </w:p>
    <w:p>
      <w:pPr>
        <w:pStyle w:val="BodyText"/>
        <w:spacing w:after="60"/>
        <w:jc w:val="both"/>
      </w:pPr>
      <w:r>
        <w:t xml:space="preserve">§ 3º Na falta da cópia de qualquer peça ou no caso de algum outro vício que comprometa a admissibilidade do agravo de instrumento, deve o relator aplicar o disposto no art. 932, parágrafo único.</w:t>
      </w:r>
    </w:p>
    <w:p>
      <w:pPr>
        <w:pStyle w:val="BodyText"/>
        <w:spacing w:after="60"/>
        <w:jc w:val="both"/>
      </w:pPr>
      <w:r>
        <w:t xml:space="preserve">§ 4º Se o recurso for interposto por sistema de transmissão de dados tipo fac-símile ou similar, as peças devem ser juntadas no momento de protocolo da petição original.</w:t>
      </w:r>
    </w:p>
    <w:p>
      <w:pPr>
        <w:pStyle w:val="BodyText"/>
        <w:keepNext/>
        <w:spacing w:after="60"/>
        <w:jc w:val="both"/>
      </w:pPr>
      <w:r>
        <w:t xml:space="preserve">§ 5º Sendo eletrônicos os autos do processo, dispensam-se as peças referidas nos incisos I e II do caput , facultando-se ao agravante anexar outros documentos que entender úteis para a compreensão da controvérsia.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2029"/>
        <w:gridCol w:w="1655"/>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 5º — dispensa de instrução restrita ao agravo de instrumento</w:t>
            </w:r>
          </w:p>
        </w:tc>
        <w:tc>
          <w:tcPr>
            <w:tcW w:type="dxa" w:w="2030"/>
          </w:tcPr>
          <w:p>
            <w:pPr>
              <w:pStyle w:val="Compact"/>
              <w:spacing w:line="276" w:lineRule="auto" w:before="40" w:after="40"/>
            </w:pPr>
            <w:r>
              <w:rPr>
                <w:rFonts w:ascii="Liberation Sans Narrow" w:hAnsi="Liberation Sans Narrow"/>
                <w:sz w:val="17"/>
              </w:rPr>
              <w:t xml:space="preserve">STJ, AgInt nos EDcl no AREsp 3.075.656, Quarta Turma, relator Min. Luís Carlos Gambogi (Desembargador Convocado do Tjmg), julgado em 22/06/2026</w:t>
            </w:r>
          </w:p>
        </w:tc>
        <w:tc>
          <w:tcPr>
            <w:tcW w:type="dxa" w:w="1655"/>
          </w:tcPr>
          <w:p>
            <w:pPr>
              <w:pStyle w:val="Compact"/>
              <w:spacing w:line="276" w:lineRule="auto" w:before="40" w:after="40"/>
            </w:pPr>
            <w:r>
              <w:rPr>
                <w:rFonts w:ascii="Liberation Sans Narrow" w:hAnsi="Liberation Sans Narrow"/>
                <w:sz w:val="17"/>
              </w:rPr>
              <w:t xml:space="preserve">A dispensa de instrução do agravo de instrumento prevista no art. 1.017, § 5º, não se estende ao recurso especial nem ao agravo em recurso especial, cabendo ao recorrente juntar a procuração válida nos autos do recurso.</w:t>
            </w:r>
          </w:p>
        </w:tc>
      </w:tr>
    </w:tbl>
    <w:bookmarkEnd w:id="850"/>
    <w:bookmarkStart w:id="851" w:name="art.-1018"/>
    <w:p>
      <w:pPr>
        <w:pStyle w:val="Heading6"/>
        <w:pBdr>
          <w:left w:val="single" w:sz="36" w:space="4" w:color="2E75B6"/>
        </w:pBdr>
        <w:shd w:val="clear" w:color="auto" w:fill="E3EEF9"/>
        <w:spacing w:before="120" w:after="60"/>
        <w:ind w:left="85"/>
      </w:pPr>
      <w:r>
        <w:rPr>
          <w:i w:val="0"/>
          <w:color w:val="1F3A5F"/>
          <w:sz w:val="22"/>
        </w:rPr>
        <w:t xml:space="preserve">Art. 1018</w:t>
      </w:r>
    </w:p>
    <w:p>
      <w:pPr>
        <w:pStyle w:val="FirstParagraph"/>
        <w:spacing w:after="60"/>
        <w:jc w:val="both"/>
      </w:pPr>
      <w:r>
        <w:rPr>
          <w:b/>
          <w:bCs/>
        </w:rPr>
        <w:t xml:space="preserve">Art. 1018.</w:t>
      </w:r>
      <w:r>
        <w:t xml:space="preserve"> </w:t>
      </w:r>
      <w:r>
        <w:t xml:space="preserve">O agravante poderá requerer a juntada, aos autos do processo, de cópia da petição do agravo de instrumento, do comprovante de sua interposição e da relação dos documentos que instruíram o recurso.</w:t>
      </w:r>
    </w:p>
    <w:p>
      <w:pPr>
        <w:pStyle w:val="BodyText"/>
        <w:spacing w:after="60"/>
        <w:jc w:val="both"/>
      </w:pPr>
      <w:r>
        <w:t xml:space="preserve">§ 1º Se o juiz comunicar que reformou inteiramente a decisão, o relator considerará prejudicado o agravo de instrumento.</w:t>
      </w:r>
    </w:p>
    <w:p>
      <w:pPr>
        <w:pStyle w:val="BodyText"/>
        <w:spacing w:after="60"/>
        <w:jc w:val="both"/>
      </w:pPr>
      <w:r>
        <w:t xml:space="preserve">§ 2º Não sendo eletrônicos os autos, o agravante tomará a providência prevista no caput , no prazo de 3 (três) dias a contar da interposição do agravo de instrumento.</w:t>
      </w:r>
    </w:p>
    <w:p>
      <w:pPr>
        <w:pStyle w:val="BodyText"/>
        <w:spacing w:after="60"/>
        <w:jc w:val="both"/>
      </w:pPr>
      <w:r>
        <w:t xml:space="preserve">§ 3º O descumprimento da exigência de que trata o § 2º, desde que arguido e provado pelo agravado, importa inadmissibilidade do agravo de instrumento.</w:t>
      </w:r>
    </w:p>
    <w:bookmarkEnd w:id="851"/>
    <w:bookmarkStart w:id="852" w:name="art.-1019"/>
    <w:p>
      <w:pPr>
        <w:pStyle w:val="Heading6"/>
        <w:pBdr>
          <w:left w:val="single" w:sz="36" w:space="4" w:color="2E75B6"/>
        </w:pBdr>
        <w:shd w:val="clear" w:color="auto" w:fill="E3EEF9"/>
        <w:spacing w:before="120" w:after="60"/>
        <w:ind w:left="85"/>
      </w:pPr>
      <w:r>
        <w:rPr>
          <w:i w:val="0"/>
          <w:color w:val="1F3A5F"/>
          <w:sz w:val="22"/>
        </w:rPr>
        <w:t xml:space="preserve">Art. 1019</w:t>
      </w:r>
    </w:p>
    <w:p>
      <w:pPr>
        <w:pStyle w:val="FirstParagraph"/>
        <w:spacing w:after="60"/>
        <w:jc w:val="both"/>
      </w:pPr>
      <w:r>
        <w:rPr>
          <w:b/>
          <w:bCs/>
        </w:rPr>
        <w:t xml:space="preserve">Art. 1019.</w:t>
      </w:r>
      <w:r>
        <w:t xml:space="preserve"> </w:t>
      </w:r>
      <w:r>
        <w:t xml:space="preserve">Recebido o agravo de instrumento no tribunal e distribuído imediatamente, se não for o caso de aplicação do art. 932, incisos III e IV, o relator, no prazo de 5 (cinco) dias:</w:t>
      </w:r>
    </w:p>
    <w:p>
      <w:pPr>
        <w:pStyle w:val="BodyText"/>
        <w:spacing w:after="60"/>
        <w:jc w:val="both"/>
      </w:pPr>
      <w:r>
        <w:t xml:space="preserve">I - poderá atribuir efeito suspensivo ao recurso ou deferir, em antecipação de tutela, total ou parcialmente, a pretensão recursal, comunicando ao juiz sua decisão;</w:t>
      </w:r>
    </w:p>
    <w:p>
      <w:pPr>
        <w:pStyle w:val="BodyText"/>
        <w:spacing w:after="60"/>
        <w:jc w:val="both"/>
      </w:pPr>
      <w:r>
        <w:t xml:space="preserve">II - ordenará a intimação do agravado pessoalmente, por carta com aviso de recebimento, quando não tiver procurador constituído, ou pelo Diário da Justiça ou por carta com aviso de recebimento dirigida ao seu advogado, para que responda no prazo de 15 (quinze) dias, facultando-lhe juntar a documentação que entender necessária ao julgamento do recurso;</w:t>
      </w:r>
    </w:p>
    <w:p>
      <w:pPr>
        <w:pStyle w:val="BodyText"/>
        <w:spacing w:after="60"/>
        <w:jc w:val="both"/>
      </w:pPr>
      <w:r>
        <w:t xml:space="preserve">III - determinará a intimação do Ministério Público, preferencialmente por meio eletrônico, quando for o caso de sua intervenção, para que se manifeste no prazo de 15 (quinze) dias.</w:t>
      </w:r>
    </w:p>
    <w:bookmarkEnd w:id="852"/>
    <w:bookmarkStart w:id="853" w:name="art.-1020"/>
    <w:p>
      <w:pPr>
        <w:pStyle w:val="Heading6"/>
        <w:pBdr>
          <w:left w:val="single" w:sz="36" w:space="4" w:color="2E75B6"/>
        </w:pBdr>
        <w:shd w:val="clear" w:color="auto" w:fill="E3EEF9"/>
        <w:spacing w:before="120" w:after="60"/>
        <w:ind w:left="85"/>
      </w:pPr>
      <w:r>
        <w:rPr>
          <w:i w:val="0"/>
          <w:color w:val="1F3A5F"/>
          <w:sz w:val="22"/>
        </w:rPr>
        <w:t xml:space="preserve">Art. 1020</w:t>
      </w:r>
    </w:p>
    <w:p>
      <w:pPr>
        <w:pStyle w:val="FirstParagraph"/>
        <w:spacing w:after="60"/>
        <w:jc w:val="both"/>
      </w:pPr>
      <w:r>
        <w:rPr>
          <w:b/>
          <w:bCs/>
        </w:rPr>
        <w:t xml:space="preserve">Art. 1020.</w:t>
      </w:r>
      <w:r>
        <w:t xml:space="preserve"> </w:t>
      </w:r>
      <w:r>
        <w:t xml:space="preserve">O relator solicitará dia para julgamento em prazo não superior a 1 (um) mês da intimação do agravado.</w:t>
      </w:r>
    </w:p>
    <w:bookmarkEnd w:id="853"/>
    <w:bookmarkEnd w:id="854"/>
    <w:bookmarkStart w:id="856" w:name="capítulo-iv-do-agravo-interno-arts.-1021"/>
    <w:p>
      <w:pPr>
        <w:pStyle w:val="Heading4"/>
        <w:spacing w:before="80" w:after="40"/>
      </w:pPr>
      <w:r>
        <w:rPr>
          <w:smallCaps/>
          <w:color w:val="2E75B6"/>
        </w:rPr>
        <w:t xml:space="preserve">Capítulo IV: do agravo interno (arts. 1021)</w:t>
      </w:r>
    </w:p>
    <w:bookmarkStart w:id="855" w:name="art.-1021"/>
    <w:p>
      <w:pPr>
        <w:pStyle w:val="Heading6"/>
        <w:pBdr>
          <w:left w:val="single" w:sz="36" w:space="4" w:color="2E75B6"/>
        </w:pBdr>
        <w:shd w:val="clear" w:color="auto" w:fill="E3EEF9"/>
        <w:spacing w:before="120" w:after="60"/>
        <w:ind w:left="85"/>
      </w:pPr>
      <w:r>
        <w:rPr>
          <w:i w:val="0"/>
          <w:color w:val="1F3A5F"/>
          <w:sz w:val="22"/>
        </w:rPr>
        <w:t xml:space="preserve">Art. 1021</w:t>
      </w:r>
    </w:p>
    <w:p>
      <w:pPr>
        <w:pStyle w:val="FirstParagraph"/>
        <w:keepNext/>
        <w:spacing w:after="60"/>
        <w:jc w:val="both"/>
      </w:pPr>
      <w:r>
        <w:rPr>
          <w:b/>
          <w:bCs/>
        </w:rPr>
        <w:t xml:space="preserve">Art. 1021.</w:t>
      </w:r>
      <w:r>
        <w:t xml:space="preserve"> </w:t>
      </w:r>
      <w:r>
        <w:t xml:space="preserve">Contra decisão proferida pelo relator caberá agravo interno para o respectivo órgão colegiado, observadas, quanto ao processamento, as regras do regimento interno do tribunal.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agravo interno</w:t>
            </w:r>
          </w:p>
        </w:tc>
        <w:tc>
          <w:tcPr>
            <w:tcW w:type="dxa" w:w="1655"/>
          </w:tcPr>
          <w:p>
            <w:pPr>
              <w:pStyle w:val="Compact"/>
              <w:spacing w:line="276" w:lineRule="auto" w:before="40" w:after="40"/>
            </w:pPr>
            <w:r>
              <w:rPr>
                <w:rFonts w:ascii="Liberation Sans Narrow" w:hAnsi="Liberation Sans Narrow"/>
                <w:sz w:val="17"/>
              </w:rPr>
              <w:t xml:space="preserve">STJ, AgInt no AREsp 1.781.701, Quarta Turma, relator Min. Marco Buzzi, julgado em 23/08/2021, DJe de 26/08/2021</w:t>
            </w:r>
          </w:p>
        </w:tc>
        <w:tc>
          <w:tcPr>
            <w:tcW w:type="dxa" w:w="2030"/>
          </w:tcPr>
          <w:p>
            <w:pPr>
              <w:pStyle w:val="Compact"/>
              <w:spacing w:line="276" w:lineRule="auto" w:before="40" w:after="40"/>
            </w:pPr>
            <w:r>
              <w:rPr>
                <w:rFonts w:ascii="Liberation Sans Narrow" w:hAnsi="Liberation Sans Narrow"/>
                <w:sz w:val="17"/>
              </w:rPr>
              <w:t xml:space="preserve">Em razão do princípio da dialeticidade, incumbe ao agravante demonstrar de modo fundamentado o desacerto da decisão agravada.</w:t>
            </w:r>
          </w:p>
        </w:tc>
      </w:tr>
    </w:tbl>
    <w:p>
      <w:pPr>
        <w:pStyle w:val="BodyText"/>
        <w:spacing w:after="60"/>
        <w:jc w:val="both"/>
      </w:pPr>
      <w:r>
        <w:t xml:space="preserve">§ 1º Na petição de agravo interno, o recorrente impugnará especificadamente os fundamentos da decisão agravada.</w:t>
      </w:r>
    </w:p>
    <w:p>
      <w:pPr>
        <w:pStyle w:val="BodyText"/>
        <w:spacing w:after="60"/>
        <w:jc w:val="both"/>
      </w:pPr>
      <w:r>
        <w:t xml:space="preserve">§ 2º O agravo será dirigido ao relator, que intimará o agravado para manifestar-se sobre o recurso no prazo de 15 (quinze) dias, ao final do qual, não havendo retratação, o relator levá-lo-á a julgamento pelo órgão colegiado, com inclusão em pauta.</w:t>
      </w:r>
    </w:p>
    <w:p>
      <w:pPr>
        <w:pStyle w:val="BodyText"/>
        <w:spacing w:after="60"/>
        <w:jc w:val="both"/>
      </w:pPr>
      <w:r>
        <w:t xml:space="preserve">§ 3º É vedado ao relator limitar-se à reprodução dos fundamentos da decisão agravada para julgar improcedente o agravo interno.</w:t>
      </w:r>
    </w:p>
    <w:p>
      <w:pPr>
        <w:pStyle w:val="BodyText"/>
        <w:spacing w:after="60"/>
        <w:jc w:val="both"/>
      </w:pPr>
      <w:r>
        <w:t xml:space="preserve">§ 4º Quando o agravo interno for declarado manifestamente inadmissível ou improcedente em votação unânime, o órgão colegiado, em decisão fundamentada, condenará o agravante a pagar ao agravado multa fixada entre um e cinco por cento do valor atualizado da causa.</w:t>
      </w:r>
    </w:p>
    <w:p>
      <w:pPr>
        <w:pStyle w:val="BodyText"/>
        <w:spacing w:after="60"/>
        <w:jc w:val="both"/>
      </w:pPr>
      <w:r>
        <w:t xml:space="preserve">§ 5º A interposição de qualquer outro recurso está condicionada ao depósito prévio do valor da multa prevista no § 4º, à exceção da Fazenda Pública e do beneficiário de gratuidade da justiça, que farão o pagamento ao final.</w:t>
      </w:r>
    </w:p>
    <w:bookmarkEnd w:id="855"/>
    <w:bookmarkEnd w:id="856"/>
    <w:bookmarkStart w:id="862" w:name="Xa31214742f8bcd30515ca3206084c8c1bf4138f"/>
    <w:p>
      <w:pPr>
        <w:pStyle w:val="Heading4"/>
        <w:spacing w:before="80" w:after="40"/>
      </w:pPr>
      <w:r>
        <w:rPr>
          <w:smallCaps/>
          <w:color w:val="2E75B6"/>
        </w:rPr>
        <w:t xml:space="preserve">Capítulo V: dos embargos de declaração (arts. 1022 a 1026)</w:t>
      </w:r>
    </w:p>
    <w:bookmarkStart w:id="857" w:name="art.-1022"/>
    <w:p>
      <w:pPr>
        <w:pStyle w:val="Heading6"/>
        <w:pBdr>
          <w:left w:val="single" w:sz="36" w:space="4" w:color="2E75B6"/>
        </w:pBdr>
        <w:shd w:val="clear" w:color="auto" w:fill="E3EEF9"/>
        <w:spacing w:before="120" w:after="60"/>
        <w:ind w:left="85"/>
      </w:pPr>
      <w:r>
        <w:rPr>
          <w:i w:val="0"/>
          <w:color w:val="1F3A5F"/>
          <w:sz w:val="22"/>
        </w:rPr>
        <w:t xml:space="preserve">Art. 1022</w:t>
      </w:r>
    </w:p>
    <w:p>
      <w:pPr>
        <w:pStyle w:val="FirstParagraph"/>
        <w:keepNext/>
        <w:spacing w:after="60"/>
        <w:jc w:val="both"/>
      </w:pPr>
      <w:r>
        <w:rPr>
          <w:b/>
          <w:bCs/>
        </w:rPr>
        <w:t xml:space="preserve">Art. 1022.</w:t>
      </w:r>
      <w:r>
        <w:t xml:space="preserve"> </w:t>
      </w:r>
      <w:r>
        <w:t xml:space="preserve">Cabem embargos de declaração contra qualquer decisão judicial para: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cabimento dos embargos de declaração</w:t>
            </w:r>
          </w:p>
        </w:tc>
        <w:tc>
          <w:tcPr>
            <w:tcW w:type="dxa" w:w="1531"/>
          </w:tcPr>
          <w:p>
            <w:pPr>
              <w:pStyle w:val="Compact"/>
              <w:spacing w:line="276" w:lineRule="auto" w:before="40" w:after="40"/>
            </w:pPr>
            <w:r>
              <w:rPr>
                <w:rFonts w:ascii="Liberation Sans Narrow" w:hAnsi="Liberation Sans Narrow"/>
                <w:sz w:val="17"/>
              </w:rPr>
              <w:t xml:space="preserve">STJ, EDcl no EAREsp 289.579, Segunda Seção, relatora Min. Nancy Andrighi, DJe de 25/08/2025</w:t>
            </w:r>
          </w:p>
        </w:tc>
        <w:tc>
          <w:tcPr>
            <w:tcW w:type="dxa" w:w="1905"/>
          </w:tcPr>
          <w:p>
            <w:pPr>
              <w:pStyle w:val="Compact"/>
              <w:spacing w:line="276" w:lineRule="auto" w:before="40" w:after="40"/>
            </w:pPr>
            <w:r>
              <w:rPr>
                <w:rFonts w:ascii="Liberation Sans Narrow" w:hAnsi="Liberation Sans Narrow"/>
                <w:sz w:val="17"/>
              </w:rPr>
              <w:t xml:space="preserve">Os embargos de declaração objetivam sanar obscuridade, contradição, omissão ou erro material (art. 1.022) e são inadmissíveis para rediscutir questões já tratadas e fundamentadas no acórdão embargado ou para provocar novo julgamento da lide.</w:t>
            </w:r>
          </w:p>
        </w:tc>
      </w:tr>
    </w:tbl>
    <w:p>
      <w:pPr>
        <w:pStyle w:val="BodyText"/>
        <w:spacing w:after="60"/>
        <w:jc w:val="both"/>
      </w:pPr>
      <w:r>
        <w:t xml:space="preserve">I - esclarecer obscuridade ou eliminar contradição;</w:t>
      </w:r>
    </w:p>
    <w:p>
      <w:pPr>
        <w:pStyle w:val="BodyText"/>
        <w:spacing w:after="60"/>
        <w:jc w:val="both"/>
      </w:pPr>
      <w:r>
        <w:t xml:space="preserve">II - suprir omissão de ponto ou questão sobre o qual devia se pronunciar o juiz de ofício ou a requerimento;</w:t>
      </w:r>
    </w:p>
    <w:p>
      <w:pPr>
        <w:pStyle w:val="BodyText"/>
        <w:spacing w:after="60"/>
        <w:jc w:val="both"/>
      </w:pPr>
      <w:r>
        <w:t xml:space="preserve">III - corrigir erro material.</w:t>
      </w:r>
    </w:p>
    <w:p>
      <w:pPr>
        <w:pStyle w:val="BodyText"/>
        <w:spacing w:after="60"/>
        <w:jc w:val="both"/>
      </w:pPr>
      <w:r>
        <w:t xml:space="preserve">Parágrafo único. Considera-se omissa a decisão que:</w:t>
      </w:r>
    </w:p>
    <w:p>
      <w:pPr>
        <w:pStyle w:val="BodyText"/>
        <w:spacing w:after="60"/>
        <w:jc w:val="both"/>
      </w:pPr>
      <w:r>
        <w:t xml:space="preserve">I - deixe de se manifestar sobre tese firmada em julgamento de casos repetitivos ou em incidente de assunção de competência aplicável ao caso sob julgamento;</w:t>
      </w:r>
    </w:p>
    <w:p>
      <w:pPr>
        <w:pStyle w:val="BodyText"/>
        <w:spacing w:after="60"/>
        <w:jc w:val="both"/>
      </w:pPr>
      <w:r>
        <w:t xml:space="preserve">II - incorra em qualquer das condutas descritas no art. 489, § 1º.</w:t>
      </w:r>
    </w:p>
    <w:bookmarkEnd w:id="857"/>
    <w:bookmarkStart w:id="858" w:name="art.-1023"/>
    <w:p>
      <w:pPr>
        <w:pStyle w:val="Heading6"/>
        <w:pBdr>
          <w:left w:val="single" w:sz="36" w:space="4" w:color="2E75B6"/>
        </w:pBdr>
        <w:shd w:val="clear" w:color="auto" w:fill="E3EEF9"/>
        <w:spacing w:before="120" w:after="60"/>
        <w:ind w:left="85"/>
      </w:pPr>
      <w:r>
        <w:rPr>
          <w:i w:val="0"/>
          <w:color w:val="1F3A5F"/>
          <w:sz w:val="22"/>
        </w:rPr>
        <w:t xml:space="preserve">Art. 1023</w:t>
      </w:r>
    </w:p>
    <w:p>
      <w:pPr>
        <w:pStyle w:val="FirstParagraph"/>
        <w:keepNext/>
        <w:spacing w:after="60"/>
        <w:jc w:val="both"/>
      </w:pPr>
      <w:r>
        <w:rPr>
          <w:b/>
          <w:bCs/>
        </w:rPr>
        <w:t xml:space="preserve">Art. 1023.</w:t>
      </w:r>
      <w:r>
        <w:t xml:space="preserve"> </w:t>
      </w:r>
      <w:r>
        <w:t xml:space="preserve">Os embargos serão opostos, no prazo de 5 (cinco) dias, em petição dirigida ao juiz, com indicação do erro, obscuridade, contradição ou omissão, e não se sujeitam a preparo.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prazo de cinco dias para os embargos de declaração (aplicação narrada)</w:t>
            </w:r>
          </w:p>
        </w:tc>
        <w:tc>
          <w:tcPr>
            <w:tcW w:type="dxa" w:w="1655"/>
          </w:tcPr>
          <w:p>
            <w:pPr>
              <w:pStyle w:val="Compact"/>
              <w:spacing w:line="276" w:lineRule="auto" w:before="40" w:after="40"/>
            </w:pPr>
            <w:r>
              <w:rPr>
                <w:rFonts w:ascii="Liberation Sans Narrow" w:hAnsi="Liberation Sans Narrow"/>
                <w:sz w:val="17"/>
              </w:rPr>
              <w:t xml:space="preserve">STJ, EDcl nos EDcl no AgInt nos EDcl no REsp 1.935.119, Segunda Turma, relator Min. Herman Benjamin, julgado em 28/03/2022, DJe de 12/04/2022</w:t>
            </w:r>
          </w:p>
        </w:tc>
        <w:tc>
          <w:tcPr>
            <w:tcW w:type="dxa" w:w="1905"/>
          </w:tcPr>
          <w:p>
            <w:pPr>
              <w:pStyle w:val="Compact"/>
              <w:spacing w:line="276" w:lineRule="auto" w:before="40" w:after="40"/>
            </w:pPr>
            <w:r>
              <w:rPr>
                <w:rFonts w:ascii="Liberation Sans Narrow" w:hAnsi="Liberation Sans Narrow"/>
                <w:sz w:val="17"/>
              </w:rPr>
              <w:t xml:space="preserve">O prazo para a oposição de embargos de declaração é de cinco dias úteis, consoante o art. 1.023 do CPC, ressalvadas as hipóteses de ampliação do prazo recursal; são intempestivos os embargos opostos após o quinquídio legal, sem causa legal de suspensão ou interrupção. Trecho: “O prazo para a oposição de Embargos de Declaração é de 5 (cinco) dias úteis, consoante dispõe o art.”</w:t>
            </w:r>
          </w:p>
        </w:tc>
      </w:tr>
    </w:tbl>
    <w:p>
      <w:pPr>
        <w:pStyle w:val="BodyText"/>
        <w:spacing w:after="60"/>
        <w:jc w:val="both"/>
      </w:pPr>
      <w:r>
        <w:t xml:space="preserve">§ 1º Aplica-se aos embargos de declaração o art. 229.</w:t>
      </w:r>
    </w:p>
    <w:p>
      <w:pPr>
        <w:pStyle w:val="BodyText"/>
        <w:keepNext/>
        <w:spacing w:after="60"/>
        <w:jc w:val="both"/>
      </w:pPr>
      <w:r>
        <w:t xml:space="preserve">§ 2º O juiz intimará o embargado para, querendo, manifestar-se, no prazo de 5 (cinco) dias, sobre os embargos opostos, caso seu eventual acolhimento implique a modificação da decisão embargada.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530"/>
        <w:gridCol w:w="2029"/>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 2º — intimação do embargado para contrarrazões (tese)</w:t>
            </w:r>
          </w:p>
        </w:tc>
        <w:tc>
          <w:tcPr>
            <w:tcW w:type="dxa" w:w="1531"/>
          </w:tcPr>
          <w:p>
            <w:pPr>
              <w:pStyle w:val="Compact"/>
              <w:spacing w:line="276" w:lineRule="auto" w:before="40" w:after="40"/>
            </w:pPr>
            <w:r>
              <w:rPr>
                <w:rFonts w:ascii="Liberation Sans Narrow" w:hAnsi="Liberation Sans Narrow"/>
                <w:sz w:val="17"/>
              </w:rPr>
              <w:t xml:space="preserve">STJ, REsp 2.228.289, Quarta Turma, relator Min. João Otávio de Noronha, julgado em 24/08/2026</w:t>
            </w:r>
          </w:p>
        </w:tc>
        <w:tc>
          <w:tcPr>
            <w:tcW w:type="dxa" w:w="2030"/>
          </w:tcPr>
          <w:p>
            <w:pPr>
              <w:pStyle w:val="Compact"/>
              <w:spacing w:line="276" w:lineRule="auto" w:before="40" w:after="40"/>
            </w:pPr>
            <w:r>
              <w:rPr>
                <w:rFonts w:ascii="Liberation Sans Narrow" w:hAnsi="Liberation Sans Narrow"/>
                <w:sz w:val="17"/>
              </w:rPr>
              <w:t xml:space="preserve">O julgamento dos embargos de declaração com efeitos modificativos, realizado sem a prévia intimação da parte embargada para apresentar contrarrazões, viola o art. 1.023, § 2º, do CPC e o contraditório substancial, impondo a nulidade do julgamento.</w:t>
            </w:r>
          </w:p>
        </w:tc>
      </w:tr>
    </w:tbl>
    <w:bookmarkEnd w:id="858"/>
    <w:bookmarkStart w:id="859" w:name="art.-1024"/>
    <w:p>
      <w:pPr>
        <w:pStyle w:val="Heading6"/>
        <w:pBdr>
          <w:left w:val="single" w:sz="36" w:space="4" w:color="2E75B6"/>
        </w:pBdr>
        <w:shd w:val="clear" w:color="auto" w:fill="E3EEF9"/>
        <w:spacing w:before="120" w:after="60"/>
        <w:ind w:left="85"/>
      </w:pPr>
      <w:r>
        <w:rPr>
          <w:i w:val="0"/>
          <w:color w:val="1F3A5F"/>
          <w:sz w:val="22"/>
        </w:rPr>
        <w:t xml:space="preserve">Art. 1024</w:t>
      </w:r>
    </w:p>
    <w:p>
      <w:pPr>
        <w:pStyle w:val="FirstParagraph"/>
        <w:spacing w:after="60"/>
        <w:jc w:val="both"/>
      </w:pPr>
      <w:r>
        <w:rPr>
          <w:b/>
          <w:bCs/>
        </w:rPr>
        <w:t xml:space="preserve">Art. 1024.</w:t>
      </w:r>
      <w:r>
        <w:t xml:space="preserve"> </w:t>
      </w:r>
      <w:r>
        <w:t xml:space="preserve">O juiz julgará os embargos em 5 (cinco) dias.</w:t>
      </w:r>
    </w:p>
    <w:p>
      <w:pPr>
        <w:pStyle w:val="BodyText"/>
        <w:spacing w:after="60"/>
        <w:jc w:val="both"/>
      </w:pPr>
      <w:r>
        <w:t xml:space="preserve">§ 1º Nos tribunais, o relator apresentará os embargos em mesa na sessão subsequente, proferindo voto, e, não havendo julgamento nessa sessão, será o recurso incluído em pauta automaticamente.</w:t>
      </w:r>
    </w:p>
    <w:p>
      <w:pPr>
        <w:pStyle w:val="BodyText"/>
        <w:spacing w:after="60"/>
        <w:jc w:val="both"/>
      </w:pPr>
      <w:r>
        <w:t xml:space="preserve">§ 2º Quando os embargos de declaração forem opostos contra decisão de relator ou outra decisão unipessoal proferida em tribunal, o órgão prolator da decisão embargada decidi-los-á monocraticamente.</w:t>
      </w:r>
    </w:p>
    <w:p>
      <w:pPr>
        <w:pStyle w:val="BodyText"/>
        <w:spacing w:after="60"/>
        <w:jc w:val="both"/>
      </w:pPr>
      <w:r>
        <w:t xml:space="preserve">§ 3º O órgão julgador conhecerá dos embargos de declaração como agravo interno se entender ser este o recurso cabível, desde que determine previamente a intimação do recorrente para, no prazo de 5 (cinco) dias, complementar as razões recursais, de modo a ajustá-las às exigências do art. 1.021, § 1º .</w:t>
      </w:r>
    </w:p>
    <w:p>
      <w:pPr>
        <w:pStyle w:val="BodyText"/>
        <w:spacing w:after="60"/>
        <w:jc w:val="both"/>
      </w:pPr>
      <w:r>
        <w:t xml:space="preserve">§ 4º Caso o acolhimento dos embargos de declaração implique modificação da decisão embargada, o embargado que já tiver interposto outro recurso contra a decisão originária tem o direito de complementar ou alterar suas razões, nos exatos limites da modificação, no prazo de 15 (quinze) dias, contado da intimação da decisão dos embargos de declaração.</w:t>
      </w:r>
    </w:p>
    <w:p>
      <w:pPr>
        <w:pStyle w:val="BodyText"/>
        <w:spacing w:after="60"/>
        <w:jc w:val="both"/>
      </w:pPr>
      <w:r>
        <w:t xml:space="preserve">§ 5º Se os embargos de declaração forem rejeitados ou não alterarem a conclusão do julgamento anterior, o recurso interposto pela outra parte antes da publicação do julgamento dos embargos de declaração será processado e julgado independentemente de ratificação.</w:t>
      </w:r>
    </w:p>
    <w:bookmarkEnd w:id="859"/>
    <w:bookmarkStart w:id="860" w:name="art.-1025"/>
    <w:p>
      <w:pPr>
        <w:pStyle w:val="Heading6"/>
        <w:pBdr>
          <w:left w:val="single" w:sz="36" w:space="4" w:color="2E75B6"/>
        </w:pBdr>
        <w:shd w:val="clear" w:color="auto" w:fill="E3EEF9"/>
        <w:spacing w:before="120" w:after="60"/>
        <w:ind w:left="85"/>
      </w:pPr>
      <w:r>
        <w:rPr>
          <w:i w:val="0"/>
          <w:color w:val="1F3A5F"/>
          <w:sz w:val="22"/>
        </w:rPr>
        <w:t xml:space="preserve">Art. 1025</w:t>
      </w:r>
    </w:p>
    <w:p>
      <w:pPr>
        <w:pStyle w:val="FirstParagraph"/>
        <w:keepNext/>
        <w:spacing w:after="60"/>
        <w:jc w:val="both"/>
      </w:pPr>
      <w:r>
        <w:rPr>
          <w:b/>
          <w:bCs/>
        </w:rPr>
        <w:t xml:space="preserve">Art. 1025.</w:t>
      </w:r>
      <w:r>
        <w:t xml:space="preserve"> </w:t>
      </w:r>
      <w:r>
        <w:t xml:space="preserve">Consideram-se incluídos no acórdão os elementos que o embargante suscitou, para fins de pré-questionamento, ainda que os embargos de declaração sejam inadmitidos ou rejeitados, caso o tribunal superior considere existentes erro, omissão, contradição ou obscuridade.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404"/>
        <w:gridCol w:w="1530"/>
        <w:gridCol w:w="2528"/>
      </w:tblGrid>
      <w:tr>
        <w:trPr>
          <w:tblHeader w:val="on"/>
          <w:cantSplit/>
          <w:tblHeader/>
        </w:trPr>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52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2404"/>
          </w:tcPr>
          <w:p>
            <w:pPr>
              <w:pStyle w:val="Compact"/>
              <w:spacing w:line="276" w:lineRule="auto" w:before="40" w:after="40"/>
            </w:pPr>
            <w:r>
              <w:rPr>
                <w:rFonts w:ascii="Liberation Sans Narrow" w:hAnsi="Liberation Sans Narrow"/>
                <w:sz w:val="17"/>
              </w:rPr>
              <w:t xml:space="preserve">Caput — prequestionamento ficto (orientação de aplicação) (aplicação narrada)</w:t>
            </w:r>
          </w:p>
        </w:tc>
        <w:tc>
          <w:tcPr>
            <w:tcW w:type="dxa" w:w="1531"/>
          </w:tcPr>
          <w:p>
            <w:pPr>
              <w:pStyle w:val="Compact"/>
              <w:spacing w:line="276" w:lineRule="auto" w:before="40" w:after="40"/>
            </w:pPr>
            <w:r>
              <w:rPr>
                <w:rFonts w:ascii="Liberation Sans Narrow" w:hAnsi="Liberation Sans Narrow"/>
                <w:sz w:val="17"/>
              </w:rPr>
              <w:t xml:space="preserve">STJ, EDcl no AgInt no AREsp 3.072.654, Quinta Turma, relatora Min. Daniela Teixeira, julgado em 24/08/2026</w:t>
            </w:r>
          </w:p>
        </w:tc>
        <w:tc>
          <w:tcPr>
            <w:tcW w:type="dxa" w:w="2529"/>
          </w:tcPr>
          <w:p>
            <w:pPr>
              <w:pStyle w:val="Compact"/>
              <w:spacing w:line="276" w:lineRule="auto" w:before="40" w:after="40"/>
            </w:pPr>
            <w:r>
              <w:rPr>
                <w:rFonts w:ascii="Liberation Sans Narrow" w:hAnsi="Liberation Sans Narrow"/>
                <w:sz w:val="17"/>
              </w:rPr>
              <w:t xml:space="preserve">A invocação do prequestionamento ficto do art. 1.025 não afasta o fundamento formal determinante do não conhecimento do recurso, quando ausente a impugnação específica de todos os fundamentos da decisão de inadmissibilidade. Trecho: “A legislação processual e o Regimento Interno do STJ autorizam decisão monocrática do relator para não conhecer recurso inadmissível e exigem, no agravo em recurso especial, a impugnação específica de todos os fundamentos da decisão agravada (CPC, art.”</w:t>
            </w:r>
          </w:p>
        </w:tc>
      </w:tr>
    </w:tbl>
    <w:bookmarkEnd w:id="860"/>
    <w:bookmarkStart w:id="861" w:name="art.-1026"/>
    <w:p>
      <w:pPr>
        <w:pStyle w:val="Heading6"/>
        <w:pBdr>
          <w:left w:val="single" w:sz="36" w:space="4" w:color="2E75B6"/>
        </w:pBdr>
        <w:shd w:val="clear" w:color="auto" w:fill="E3EEF9"/>
        <w:spacing w:before="120" w:after="60"/>
        <w:ind w:left="85"/>
      </w:pPr>
      <w:r>
        <w:rPr>
          <w:i w:val="0"/>
          <w:color w:val="1F3A5F"/>
          <w:sz w:val="22"/>
        </w:rPr>
        <w:t xml:space="preserve">Art. 1026</w:t>
      </w:r>
    </w:p>
    <w:p>
      <w:pPr>
        <w:pStyle w:val="FirstParagraph"/>
        <w:spacing w:after="60"/>
        <w:jc w:val="both"/>
      </w:pPr>
      <w:r>
        <w:rPr>
          <w:b/>
          <w:bCs/>
        </w:rPr>
        <w:t xml:space="preserve">Art. 1026.</w:t>
      </w:r>
      <w:r>
        <w:t xml:space="preserve"> </w:t>
      </w:r>
      <w:r>
        <w:t xml:space="preserve">Os embargos de declaração não possuem efeito suspensivo e interrompem o prazo para a interposição de recurso.</w:t>
      </w:r>
    </w:p>
    <w:p>
      <w:pPr>
        <w:pStyle w:val="BodyText"/>
        <w:spacing w:after="60"/>
        <w:jc w:val="both"/>
      </w:pPr>
      <w:r>
        <w:t xml:space="preserve">§ 1º A eficácia da decisão monocrática ou colegiada poderá ser suspensa pelo respectivo juiz ou relator se demonstrada a probabilidade de provimento do recurso ou, sendo relevante a fundamentação, se houver risco de dano grave ou de difícil reparação.</w:t>
      </w:r>
    </w:p>
    <w:p>
      <w:pPr>
        <w:pStyle w:val="BodyText"/>
        <w:spacing w:after="60"/>
        <w:jc w:val="both"/>
      </w:pPr>
      <w:r>
        <w:t xml:space="preserve">§ 2º Quando manifestamente protelatórios os embargos de declaração, o juiz ou o tribunal, em decisão fundamentada, condenará o embargante a pagar ao embargado multa não excedente a dois por cento sobre o valor atualizado da causa.</w:t>
      </w:r>
    </w:p>
    <w:p>
      <w:pPr>
        <w:pStyle w:val="BodyText"/>
        <w:spacing w:after="60"/>
        <w:jc w:val="both"/>
      </w:pPr>
      <w:r>
        <w:t xml:space="preserve">§ 3º Na reiteração de embargos de declaração manifestamente protelatórios, a multa será elevada a até dez por cento sobre o valor atualizado da causa, e a interposição de qualquer recurso ficará condicionada ao depósito prévio do valor da multa, à exceção da Fazenda Pública e do beneficiário de gratuidade da justiça, que a recolherão ao final.</w:t>
      </w:r>
    </w:p>
    <w:p>
      <w:pPr>
        <w:pStyle w:val="BodyText"/>
        <w:spacing w:after="60"/>
        <w:jc w:val="both"/>
      </w:pPr>
      <w:r>
        <w:t xml:space="preserve">§ 4º Não serão admitidos novos embargos de declaração se os 2 (dois) anteriores houverem sido considerados protelatórios.</w:t>
      </w:r>
    </w:p>
    <w:bookmarkEnd w:id="861"/>
    <w:bookmarkEnd w:id="862"/>
    <w:bookmarkStart w:id="885" w:name="X2c7c1b72eb1dc5244a322a979c814d01e0d231a"/>
    <w:p>
      <w:pPr>
        <w:pStyle w:val="Heading4"/>
        <w:spacing w:before="80" w:after="40"/>
      </w:pPr>
      <w:r>
        <w:rPr>
          <w:smallCaps/>
          <w:color w:val="2E75B6"/>
        </w:rPr>
        <w:t xml:space="preserve">Capítulo VI: dos recursos para o supremo tribunal federal e para o superior tribunal de justiça (arts. 1027 a 1044)</w:t>
      </w:r>
    </w:p>
    <w:bookmarkStart w:id="865" w:name="X4f7779351e08228c5a9c6ea340807413742ee2b"/>
    <w:p>
      <w:pPr>
        <w:pStyle w:val="Heading5"/>
        <w:spacing w:before="60" w:after="20"/>
      </w:pPr>
      <w:r>
        <w:rPr>
          <w:i/>
          <w:color w:val="595959"/>
        </w:rPr>
        <w:t xml:space="preserve">Seção I: do recurso ordinário (arts. 1027 a 1028)</w:t>
      </w:r>
    </w:p>
    <w:bookmarkStart w:id="863" w:name="art.-1027"/>
    <w:p>
      <w:pPr>
        <w:pStyle w:val="Heading6"/>
        <w:pBdr>
          <w:left w:val="single" w:sz="36" w:space="4" w:color="2E75B6"/>
        </w:pBdr>
        <w:shd w:val="clear" w:color="auto" w:fill="E3EEF9"/>
        <w:spacing w:before="120" w:after="60"/>
        <w:ind w:left="85"/>
      </w:pPr>
      <w:r>
        <w:rPr>
          <w:i w:val="0"/>
          <w:color w:val="1F3A5F"/>
          <w:sz w:val="22"/>
        </w:rPr>
        <w:t xml:space="preserve">Art. 1027</w:t>
      </w:r>
    </w:p>
    <w:p>
      <w:pPr>
        <w:pStyle w:val="FirstParagraph"/>
        <w:spacing w:after="60"/>
        <w:jc w:val="both"/>
      </w:pPr>
      <w:r>
        <w:rPr>
          <w:b/>
          <w:bCs/>
        </w:rPr>
        <w:t xml:space="preserve">Art. 1027.</w:t>
      </w:r>
      <w:r>
        <w:t xml:space="preserve"> </w:t>
      </w:r>
      <w:r>
        <w:t xml:space="preserve">Serão julgados em recurso ordinário:</w:t>
      </w:r>
    </w:p>
    <w:p>
      <w:pPr>
        <w:pStyle w:val="BodyText"/>
        <w:spacing w:after="60"/>
        <w:jc w:val="both"/>
      </w:pPr>
      <w:r>
        <w:t xml:space="preserve">I - pelo Supremo Tribunal Federal, os mandados de segurança, os habeas data e os mandados de injunção decididos em única instância pelos tribunais superiores, quando denegatória a decisão;</w:t>
      </w:r>
    </w:p>
    <w:p>
      <w:pPr>
        <w:pStyle w:val="BodyText"/>
        <w:spacing w:after="60"/>
        <w:jc w:val="both"/>
      </w:pPr>
      <w:r>
        <w:t xml:space="preserve">II - pelo Superior Tribunal de Justiça:</w:t>
      </w:r>
    </w:p>
    <w:p>
      <w:pPr>
        <w:pStyle w:val="BodyText"/>
        <w:spacing w:after="60"/>
        <w:jc w:val="both"/>
      </w:pPr>
      <w:r>
        <w:t xml:space="preserve">a) os mandados de segurança decididos em única instância pelos tribunais regionais federais ou pelos tribunais de justiça dos Estados e do Distrito Federal e Territórios, quando denegatória a decisão;</w:t>
      </w:r>
    </w:p>
    <w:p>
      <w:pPr>
        <w:pStyle w:val="BodyText"/>
        <w:spacing w:after="60"/>
        <w:jc w:val="both"/>
      </w:pPr>
      <w:r>
        <w:t xml:space="preserve">b) os processos em que forem partes, de um lado, Estado estrangeiro ou organismo internacional e, de outro, Município ou pessoa residente ou domiciliada no País.</w:t>
      </w:r>
    </w:p>
    <w:p>
      <w:pPr>
        <w:pStyle w:val="BodyText"/>
        <w:spacing w:after="60"/>
        <w:jc w:val="both"/>
      </w:pPr>
      <w:r>
        <w:t xml:space="preserve">§ 1º Nos processos referidos no inciso II, alínea “b”, contra as decisões interlocutórias caberá agravo de instrumento dirigido ao Superior Tribunal de Justiça, nas hipóteses do art. 1.015.</w:t>
      </w:r>
    </w:p>
    <w:p>
      <w:pPr>
        <w:pStyle w:val="BodyText"/>
        <w:spacing w:after="60"/>
        <w:jc w:val="both"/>
      </w:pPr>
      <w:r>
        <w:t xml:space="preserve">§ 2º Aplica-se ao recurso ordinário o disposto nos arts. 1.013, § 3º, e 1.029, § 5º.</w:t>
      </w:r>
    </w:p>
    <w:bookmarkEnd w:id="863"/>
    <w:bookmarkStart w:id="864" w:name="art.-1028"/>
    <w:p>
      <w:pPr>
        <w:pStyle w:val="Heading6"/>
        <w:pBdr>
          <w:left w:val="single" w:sz="36" w:space="4" w:color="2E75B6"/>
        </w:pBdr>
        <w:shd w:val="clear" w:color="auto" w:fill="E3EEF9"/>
        <w:spacing w:before="120" w:after="60"/>
        <w:ind w:left="85"/>
      </w:pPr>
      <w:r>
        <w:rPr>
          <w:i w:val="0"/>
          <w:color w:val="1F3A5F"/>
          <w:sz w:val="22"/>
        </w:rPr>
        <w:t xml:space="preserve">Art. 1028</w:t>
      </w:r>
    </w:p>
    <w:p>
      <w:pPr>
        <w:pStyle w:val="FirstParagraph"/>
        <w:spacing w:after="60"/>
        <w:jc w:val="both"/>
      </w:pPr>
      <w:r>
        <w:rPr>
          <w:b/>
          <w:bCs/>
        </w:rPr>
        <w:t xml:space="preserve">Art. 1028.</w:t>
      </w:r>
      <w:r>
        <w:t xml:space="preserve"> </w:t>
      </w:r>
      <w:r>
        <w:t xml:space="preserve">Ao recurso mencionado no art. 1.027, inciso II, alínea “b”, aplicam-se, quanto aos requisitos de admissibilidade e ao procedimento, as disposições relativas à apelação e o Regimento Interno do Superior Tribunal de Justiça.</w:t>
      </w:r>
    </w:p>
    <w:p>
      <w:pPr>
        <w:pStyle w:val="BodyText"/>
        <w:spacing w:after="60"/>
        <w:jc w:val="both"/>
      </w:pPr>
      <w:r>
        <w:t xml:space="preserve">§ 1º Na hipótese do art. 1.027, § 1º , aplicam-se as disposições relativas ao agravo de instrumento e o Regimento Interno do Superior Tribunal de Justiça.</w:t>
      </w:r>
    </w:p>
    <w:p>
      <w:pPr>
        <w:pStyle w:val="BodyText"/>
        <w:spacing w:after="60"/>
        <w:jc w:val="both"/>
      </w:pPr>
      <w:r>
        <w:t xml:space="preserve">§ 2º O recurso previsto no art. 1.027, incisos I e II, alínea “a”, deve ser interposto perante o tribunal de origem, cabendo ao seu presidente ou vice-presidente determinar a intimação do recorrido para, em 15 (quinze) dias, apresentar as contrarrazões.</w:t>
      </w:r>
    </w:p>
    <w:p>
      <w:pPr>
        <w:pStyle w:val="BodyText"/>
        <w:spacing w:after="60"/>
        <w:jc w:val="both"/>
      </w:pPr>
      <w:r>
        <w:t xml:space="preserve">§ 3º Findo o prazo referido no § 2º, os autos serão remetidos ao respectivo tribunal superior, independentemente de juízo de admissibilidade.</w:t>
      </w:r>
    </w:p>
    <w:bookmarkEnd w:id="864"/>
    <w:bookmarkEnd w:id="865"/>
    <w:bookmarkStart w:id="879" w:name="X47e0361abfcc0c6d8ce5e71d7d4c89be9ce98ad"/>
    <w:p>
      <w:pPr>
        <w:pStyle w:val="Heading5"/>
        <w:spacing w:before="60" w:after="20"/>
      </w:pPr>
      <w:r>
        <w:rPr>
          <w:i/>
          <w:color w:val="595959"/>
        </w:rPr>
        <w:t xml:space="preserve">Seção II: do recurso extraordinário e do recurso especial (arts. 1029 a 1041)</w:t>
      </w:r>
    </w:p>
    <w:bookmarkStart w:id="866" w:name="art.-1029"/>
    <w:p>
      <w:pPr>
        <w:pStyle w:val="Heading6"/>
        <w:pBdr>
          <w:left w:val="single" w:sz="36" w:space="4" w:color="2E75B6"/>
        </w:pBdr>
        <w:shd w:val="clear" w:color="auto" w:fill="E3EEF9"/>
        <w:spacing w:before="120" w:after="60"/>
        <w:ind w:left="85"/>
      </w:pPr>
      <w:r>
        <w:rPr>
          <w:i w:val="0"/>
          <w:color w:val="1F3A5F"/>
          <w:sz w:val="22"/>
        </w:rPr>
        <w:t xml:space="preserve">Art. 1029</w:t>
      </w:r>
    </w:p>
    <w:p>
      <w:pPr>
        <w:pStyle w:val="FirstParagraph"/>
        <w:spacing w:after="60"/>
        <w:jc w:val="both"/>
      </w:pPr>
      <w:r>
        <w:rPr>
          <w:b/>
          <w:bCs/>
        </w:rPr>
        <w:t xml:space="preserve">Art. 1029.</w:t>
      </w:r>
      <w:r>
        <w:t xml:space="preserve"> </w:t>
      </w:r>
      <w:r>
        <w:t xml:space="preserve">O recurso extraordinário e o recurso especial, nos casos previstos na Constituição Federal, serão interpostos perante o presidente ou o vice-presidente do tribunal recorrido, em petições distintas que conterão:</w:t>
      </w:r>
    </w:p>
    <w:p>
      <w:pPr>
        <w:pStyle w:val="BodyText"/>
        <w:spacing w:after="60"/>
        <w:jc w:val="both"/>
      </w:pPr>
      <w:r>
        <w:t xml:space="preserve">I - a exposição do fato e do direito;</w:t>
      </w:r>
    </w:p>
    <w:p>
      <w:pPr>
        <w:pStyle w:val="BodyText"/>
        <w:spacing w:after="60"/>
        <w:jc w:val="both"/>
      </w:pPr>
      <w:r>
        <w:t xml:space="preserve">II - a demonstração do cabimento do recurso interposto;</w:t>
      </w:r>
    </w:p>
    <w:p>
      <w:pPr>
        <w:pStyle w:val="BodyText"/>
        <w:spacing w:after="60"/>
        <w:jc w:val="both"/>
      </w:pPr>
      <w:r>
        <w:t xml:space="preserve">III - as razões do pedido de reforma ou de invalidação da decisão recorrida.</w:t>
      </w:r>
    </w:p>
    <w:p>
      <w:pPr>
        <w:pStyle w:val="BodyText"/>
        <w:spacing w:after="60"/>
        <w:jc w:val="both"/>
      </w:pPr>
      <w:r>
        <w:t xml:space="preserve">§ 1º Quando o recurso fundar-se em dissídio jurisprudencial, o recorrente fará a prova da divergência com a certidão, cópia ou citação do repositório de jurisprudência, oficial ou credenciado, inclusive em mídia eletrônica, em que houver sido publicado o acórdão divergente, ou ainda com a reprodução de julgado disponível na rede mundial de computadores, com indicação da respectiva fonte, devendo-se, em qualquer caso, mencionar as circunstâncias que identifiquem ou assemelhem os casos confrontados.</w:t>
      </w:r>
    </w:p>
    <w:p>
      <w:pPr>
        <w:pStyle w:val="BodyText"/>
        <w:spacing w:after="60"/>
        <w:jc w:val="both"/>
      </w:pPr>
      <w:r>
        <w:t xml:space="preserve">§ 2º ( Revogado ). (Redação dada pela Lei nº 13.256, de 2016) (Vigência)</w:t>
      </w:r>
    </w:p>
    <w:p>
      <w:pPr>
        <w:pStyle w:val="BodyText"/>
        <w:spacing w:after="60"/>
        <w:jc w:val="both"/>
      </w:pPr>
      <w:r>
        <w:t xml:space="preserve">§ 3º O Supremo Tribunal Federal ou o Superior Tribunal de Justiça poderá desconsiderar vício formal de recurso tempestivo ou determinar sua correção, desde que não o repute grave.</w:t>
      </w:r>
    </w:p>
    <w:p>
      <w:pPr>
        <w:pStyle w:val="BodyText"/>
        <w:spacing w:after="60"/>
        <w:jc w:val="both"/>
      </w:pPr>
      <w:r>
        <w:t xml:space="preserve">§ 4º Quando, por ocasião do processamento do incidente de resolução de demandas repetitivas, o presidente do Supremo Tribunal Federal ou do Superior Tribunal de Justiça receber requerimento de suspensão de processos em que se discuta questão federal constitucional ou infraconstitucional, poderá, considerando razões de segurança jurídica ou de excepcional interesse social, estender a suspensão a todo o território nacional, até ulterior decisão do recurso extraordinário ou do recurso especial a ser interposto.</w:t>
      </w:r>
    </w:p>
    <w:p>
      <w:pPr>
        <w:pStyle w:val="BodyText"/>
        <w:spacing w:after="60"/>
        <w:jc w:val="both"/>
      </w:pPr>
      <w:r>
        <w:t xml:space="preserve">§ 5º O pedido de concessão de efeito suspensivo a recurso extraordinário ou a recurso especial poderá ser formulado por requerimento dirigido:</w:t>
      </w:r>
    </w:p>
    <w:p>
      <w:pPr>
        <w:pStyle w:val="BodyText"/>
        <w:spacing w:after="60"/>
        <w:jc w:val="both"/>
      </w:pPr>
      <w:r>
        <w:t xml:space="preserve">I – ao tribunal superior respectivo, no período compreendido entre a publicação da decisão de admissão do recurso e sua distribuição, ficando o relator designado para seu exame prevento para julgá-lo; (Redação dada pela Lei nº 13.256, de 2016) (Vigência)</w:t>
      </w:r>
    </w:p>
    <w:p>
      <w:pPr>
        <w:pStyle w:val="BodyText"/>
        <w:spacing w:after="60"/>
        <w:jc w:val="both"/>
      </w:pPr>
      <w:r>
        <w:t xml:space="preserve">II - ao relator, se já distribuído o recurso;</w:t>
      </w:r>
    </w:p>
    <w:p>
      <w:pPr>
        <w:pStyle w:val="BodyText"/>
        <w:spacing w:after="60"/>
        <w:jc w:val="both"/>
      </w:pPr>
      <w:r>
        <w:t xml:space="preserve">III – ao presidente ou ao vice-presidente do tribunal recorrido, no período compreendido entre a interposição do recurso e a publicação da decisão de admissão do recurso, assim como no caso de o recurso ter sido sobrestado, nos termos do art. 1.037. (Redação dada pela Lei nº 13.256, de 2016) (Vigência)</w:t>
      </w:r>
    </w:p>
    <w:bookmarkEnd w:id="866"/>
    <w:bookmarkStart w:id="867" w:name="art.-1030"/>
    <w:p>
      <w:pPr>
        <w:pStyle w:val="Heading6"/>
        <w:pBdr>
          <w:left w:val="single" w:sz="36" w:space="4" w:color="2E75B6"/>
        </w:pBdr>
        <w:shd w:val="clear" w:color="auto" w:fill="E3EEF9"/>
        <w:spacing w:before="120" w:after="60"/>
        <w:ind w:left="85"/>
      </w:pPr>
      <w:r>
        <w:rPr>
          <w:i w:val="0"/>
          <w:color w:val="1F3A5F"/>
          <w:sz w:val="22"/>
        </w:rPr>
        <w:t xml:space="preserve">Art. 1030</w:t>
      </w:r>
    </w:p>
    <w:p>
      <w:pPr>
        <w:pStyle w:val="FirstParagraph"/>
        <w:spacing w:after="60"/>
        <w:jc w:val="both"/>
      </w:pPr>
      <w:r>
        <w:rPr>
          <w:b/>
          <w:bCs/>
        </w:rPr>
        <w:t xml:space="preserve">Art. 1030.</w:t>
      </w:r>
      <w:r>
        <w:t xml:space="preserve"> </w:t>
      </w:r>
      <w:r>
        <w:t xml:space="preserve">Recebida a petição do recurso pela secretaria do tribunal, o recorrido será intimado para apresentar contrarrazões no prazo de 15 (quinze) dias, findo o qual os autos serão conclusos ao presidente ou ao vice-presidente do tribunal recorrido, que deverá: (Redação dada pela Lei nº 13.256, de 2016) (Vigência)</w:t>
      </w:r>
    </w:p>
    <w:p>
      <w:pPr>
        <w:pStyle w:val="BodyText"/>
        <w:keepNext/>
        <w:spacing w:after="60"/>
        <w:jc w:val="both"/>
      </w:pPr>
      <w:r>
        <w:t xml:space="preserve">I – negar seguimento: (Incluído pela Lei nº 13.256, de 2016) (Vigência)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530"/>
        <w:gridCol w:w="2029"/>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I, a — negativa de seguimento por ausência de repercussão geral ou conformidade com entendimento do STF (aplicação)</w:t>
            </w:r>
          </w:p>
        </w:tc>
        <w:tc>
          <w:tcPr>
            <w:tcW w:type="dxa" w:w="1531"/>
          </w:tcPr>
          <w:p>
            <w:pPr>
              <w:pStyle w:val="Compact"/>
              <w:spacing w:line="276" w:lineRule="auto" w:before="40" w:after="40"/>
            </w:pPr>
            <w:r>
              <w:rPr>
                <w:rFonts w:ascii="Liberation Sans Narrow" w:hAnsi="Liberation Sans Narrow"/>
                <w:sz w:val="17"/>
              </w:rPr>
              <w:t xml:space="preserve">STJ, AgRg no RE no AgRg no AREsp 2.959.046, Corte Especial, relator Min. Luis Felipe Salomão, julgado em 05/08/2026</w:t>
            </w:r>
          </w:p>
        </w:tc>
        <w:tc>
          <w:tcPr>
            <w:tcW w:type="dxa" w:w="2030"/>
          </w:tcPr>
          <w:p>
            <w:pPr>
              <w:pStyle w:val="Compact"/>
              <w:spacing w:line="276" w:lineRule="auto" w:before="40" w:after="40"/>
            </w:pPr>
            <w:r>
              <w:rPr>
                <w:rFonts w:ascii="Liberation Sans Narrow" w:hAnsi="Liberation Sans Narrow"/>
                <w:sz w:val="17"/>
              </w:rPr>
              <w:t xml:space="preserve">Nos termos do art. 1.030, I, “a”, do CPC, é justificada a negativa de seguimento do recurso extraordinário quando a questão controvertida não possui repercussão geral; estando o acórdão recorrido em conformidade com o Tema 339 do Supremo Tribunal Federal, impõe-se a negativa de seguimento.</w:t>
            </w:r>
          </w:p>
        </w:tc>
      </w:tr>
    </w:tbl>
    <w:p>
      <w:pPr>
        <w:pStyle w:val="BodyText"/>
        <w:spacing w:after="60"/>
        <w:jc w:val="both"/>
      </w:pPr>
      <w:r>
        <w:t xml:space="preserve">a) a recurso extraordinário que discuta questão constitucional à qual o Supremo Tribunal Federal não tenha reconhecido a existência de repercussão geral ou a recurso extraordinário interposto contra acórdão que esteja em conformidade com entendimento do Supremo Tribunal Federal exarado no regime de repercussão geral; (Incluída pela Lei nº 13.256, de 2016) (Vigência)</w:t>
      </w:r>
    </w:p>
    <w:p>
      <w:pPr>
        <w:pStyle w:val="BodyText"/>
        <w:spacing w:after="60"/>
        <w:jc w:val="both"/>
      </w:pPr>
      <w:r>
        <w:t xml:space="preserve">b) a recurso extraordinário ou a recurso especial interposto contra acórdão que esteja em conformidade com entendimento do Supremo Tribunal Federal ou do Superior Tribunal de Justiça, respectivamente, exarado no regime de julgamento de recursos repetitivos; (Incluída pela Lei nº 13.256, de 2016) (Vigência)</w:t>
      </w:r>
    </w:p>
    <w:p>
      <w:pPr>
        <w:pStyle w:val="BodyText"/>
        <w:spacing w:after="60"/>
        <w:jc w:val="both"/>
      </w:pPr>
      <w:r>
        <w:t xml:space="preserve">c) a recurso especial que discuta questão de direito federal infraconstitucional à qual o Superior Tribunal de Justiça não tenha reconhecido a existência de relevância da questão de direito federal infraconstitucional ou a recurso especial interposto contra acórdão que esteja em conformidade com entendimento do Superior Tribunal de Justiça exarado no regime de relevância; (Incluído pela Lei nº 15.484, de 2026) Vigência</w:t>
      </w:r>
    </w:p>
    <w:p>
      <w:pPr>
        <w:pStyle w:val="BodyText"/>
        <w:spacing w:after="60"/>
        <w:jc w:val="both"/>
      </w:pPr>
      <w:r>
        <w:t xml:space="preserve">II – encaminhar o processo ao órgão julgador para realização do juízo de retratação, se o acórdão recorrido divergir do entendimento do Supremo Tribunal Federal ou do Superior Tribunal de Justiça, conforme o caso, nos regimes de repercussão geral, de relevância da questão de direito federal infraconstitucional ou de recursos repetitivos; (Redação dada pela Lei nº 15.484, de 2026) Vigência</w:t>
      </w:r>
    </w:p>
    <w:p>
      <w:pPr>
        <w:pStyle w:val="BodyText"/>
        <w:spacing w:after="60"/>
        <w:jc w:val="both"/>
      </w:pPr>
      <w:r>
        <w:t xml:space="preserve">III – sobrestar o recurso que versar sobre controvérsia de caráter repetitivo ainda não decidida pelo Supremo Tribunal Federal ou pelo Superior Tribunal de Justiça, conforme se trate de matéria constitucional ou infraconstitucional; (Incluído pela Lei nº 13.256, de 2016) (Vigência)</w:t>
      </w:r>
    </w:p>
    <w:p>
      <w:pPr>
        <w:pStyle w:val="BodyText"/>
        <w:spacing w:after="60"/>
        <w:jc w:val="both"/>
      </w:pPr>
      <w:r>
        <w:t xml:space="preserve">IV – selecionar o recurso como representativo de controvérsia constitucional ou infraconstitucional, nos termos do § 6º do art. 1.036; (Incluído pela Lei nº 13.256, de 2016) (Vigência)</w:t>
      </w:r>
    </w:p>
    <w:p>
      <w:pPr>
        <w:pStyle w:val="BodyText"/>
        <w:spacing w:after="60"/>
        <w:jc w:val="both"/>
      </w:pPr>
      <w:r>
        <w:t xml:space="preserve">V – realizar o juízo de admissibilidade e, se positivo, remeter o feito ao Supremo Tribunal Federal ou ao Superior Tribunal de Justiça, desde que: (Incluído pela Lei nº 13.256, de 2016)</w:t>
      </w:r>
    </w:p>
    <w:p>
      <w:pPr>
        <w:pStyle w:val="BodyText"/>
        <w:spacing w:after="60"/>
        <w:jc w:val="both"/>
      </w:pPr>
      <w:r>
        <w:t xml:space="preserve">a) o recurso ainda não tenha sido submetido aos regimes de repercussão geral, de relevância da questão de direito federal infraconstitucional ou de julgamento de recursos repetitivos; (Redação dada pela Lei nº 15.484, de 2026) Vigência</w:t>
      </w:r>
    </w:p>
    <w:p>
      <w:pPr>
        <w:pStyle w:val="BodyText"/>
        <w:spacing w:after="60"/>
        <w:jc w:val="both"/>
      </w:pPr>
      <w:r>
        <w:t xml:space="preserve">b) o recurso tenha sido selecionado como representativo da controvérsia; ou (Incluída pela Lei nº 13.256, de 2016) (Vigência)</w:t>
      </w:r>
    </w:p>
    <w:p>
      <w:pPr>
        <w:pStyle w:val="BodyText"/>
        <w:spacing w:after="60"/>
        <w:jc w:val="both"/>
      </w:pPr>
      <w:r>
        <w:t xml:space="preserve">c) o tribunal recorrido tenha refutado o juízo de retratação. (Incluída pela Lei nº 13.256, de 2016) (Vigência)</w:t>
      </w:r>
    </w:p>
    <w:p>
      <w:pPr>
        <w:pStyle w:val="BodyText"/>
        <w:spacing w:after="60"/>
        <w:jc w:val="both"/>
      </w:pPr>
      <w:r>
        <w:t xml:space="preserve">§ 1º Da decisão de inadmissibilidade proferida com fundamento no inciso V caberá agravo ao tribunal superior, nos termos do art. 1.042. (Incluído pela Lei nº 13.256, de 2016) (Vigência)</w:t>
      </w:r>
    </w:p>
    <w:p>
      <w:pPr>
        <w:pStyle w:val="BodyText"/>
        <w:spacing w:after="60"/>
        <w:jc w:val="both"/>
      </w:pPr>
      <w:r>
        <w:t xml:space="preserve">§ 2º Da decisão proferida com fundamento nos incisos I e III caberá agravo interno, nos termos do art. 1.021. (Incluído pela Lei nº 13.256, de 2016) (Vigência)</w:t>
      </w:r>
    </w:p>
    <w:bookmarkEnd w:id="867"/>
    <w:bookmarkStart w:id="868" w:name="art.-1031"/>
    <w:p>
      <w:pPr>
        <w:pStyle w:val="Heading6"/>
        <w:pBdr>
          <w:left w:val="single" w:sz="36" w:space="4" w:color="2E75B6"/>
        </w:pBdr>
        <w:shd w:val="clear" w:color="auto" w:fill="E3EEF9"/>
        <w:spacing w:before="120" w:after="60"/>
        <w:ind w:left="85"/>
      </w:pPr>
      <w:r>
        <w:rPr>
          <w:i w:val="0"/>
          <w:color w:val="1F3A5F"/>
          <w:sz w:val="22"/>
        </w:rPr>
        <w:t xml:space="preserve">Art. 1031</w:t>
      </w:r>
    </w:p>
    <w:p>
      <w:pPr>
        <w:pStyle w:val="FirstParagraph"/>
        <w:keepNext/>
        <w:spacing w:after="60"/>
        <w:jc w:val="both"/>
      </w:pPr>
      <w:r>
        <w:rPr>
          <w:b/>
          <w:bCs/>
        </w:rPr>
        <w:t xml:space="preserve">Art. 1031.</w:t>
      </w:r>
      <w:r>
        <w:t xml:space="preserve"> </w:t>
      </w:r>
      <w:r>
        <w:t xml:space="preserve">Na hipótese de interposição conjunta de recurso extraordinário e recurso especial, os autos serão remetidos ao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530"/>
        <w:gridCol w:w="2404"/>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Caput — ordem de apreciação entre extraordinário e especial</w:t>
            </w:r>
          </w:p>
        </w:tc>
        <w:tc>
          <w:tcPr>
            <w:tcW w:type="dxa" w:w="1531"/>
          </w:tcPr>
          <w:p>
            <w:pPr>
              <w:pStyle w:val="Compact"/>
              <w:spacing w:line="276" w:lineRule="auto" w:before="40" w:after="40"/>
            </w:pPr>
            <w:r>
              <w:rPr>
                <w:rFonts w:ascii="Liberation Sans Narrow" w:hAnsi="Liberation Sans Narrow"/>
                <w:sz w:val="17"/>
              </w:rPr>
              <w:t xml:space="preserve">STF, ARE 930.352, Primeira Turma, relator Min. Marco Aurélio, julgado em 29/03/2021</w:t>
            </w:r>
          </w:p>
        </w:tc>
        <w:tc>
          <w:tcPr>
            <w:tcW w:type="dxa" w:w="2404"/>
          </w:tcPr>
          <w:p>
            <w:pPr>
              <w:pStyle w:val="Compact"/>
              <w:spacing w:line="276" w:lineRule="auto" w:before="40" w:after="40"/>
            </w:pPr>
            <w:r>
              <w:rPr>
                <w:rFonts w:ascii="Liberation Sans Narrow" w:hAnsi="Liberation Sans Narrow"/>
                <w:sz w:val="17"/>
              </w:rPr>
              <w:t xml:space="preserve">Pendente a apreciação, pelo Superior Tribunal de Justiça, do ato que negou seguimento ao recurso especial, não cabe ao Supremo Tribunal Federal analisar o agravo protocolado contra a inadmissibilidade do recurso extraordinário: a ordem de apreciação impõe o exame primeiro do especial.</w:t>
            </w:r>
          </w:p>
        </w:tc>
      </w:tr>
      <w:tr>
        <w:trPr>
          <w:cantSplit/>
        </w:trPr>
        <w:tc>
          <w:tcPr>
            <w:tcW w:type="dxa" w:w="2030"/>
          </w:tcPr>
          <w:p>
            <w:pPr>
              <w:pStyle w:val="Compact"/>
              <w:spacing w:line="276" w:lineRule="auto" w:before="40" w:after="40"/>
            </w:pPr>
            <w:r>
              <w:rPr>
                <w:rFonts w:ascii="Liberation Sans Narrow" w:hAnsi="Liberation Sans Narrow"/>
                <w:sz w:val="17"/>
              </w:rPr>
              <w:t xml:space="preserve">Caput — prejuízo do extraordinário pelo êxito no especial</w:t>
            </w:r>
          </w:p>
        </w:tc>
        <w:tc>
          <w:tcPr>
            <w:tcW w:type="dxa" w:w="1531"/>
          </w:tcPr>
          <w:p>
            <w:pPr>
              <w:pStyle w:val="Compact"/>
              <w:spacing w:line="276" w:lineRule="auto" w:before="40" w:after="40"/>
            </w:pPr>
            <w:r>
              <w:rPr>
                <w:rFonts w:ascii="Liberation Sans Narrow" w:hAnsi="Liberation Sans Narrow"/>
                <w:sz w:val="17"/>
              </w:rPr>
              <w:t xml:space="preserve">STF, RE 944.491, Primeira Turma, relator Min. Marco Aurélio, julgado em 12/06/2018</w:t>
            </w:r>
          </w:p>
        </w:tc>
        <w:tc>
          <w:tcPr>
            <w:tcW w:type="dxa" w:w="2404"/>
          </w:tcPr>
          <w:p>
            <w:pPr>
              <w:pStyle w:val="Compact"/>
              <w:spacing w:line="276" w:lineRule="auto" w:before="40" w:after="40"/>
            </w:pPr>
            <w:r>
              <w:rPr>
                <w:rFonts w:ascii="Liberation Sans Narrow" w:hAnsi="Liberation Sans Narrow"/>
                <w:sz w:val="17"/>
              </w:rPr>
              <w:t xml:space="preserve">O êxito no recurso especial prejudica o recurso extraordinário interposto simultaneamente: a decisão do tribunal substitui a sentença ou o ato recorrido.</w:t>
            </w:r>
          </w:p>
        </w:tc>
      </w:tr>
    </w:tbl>
    <w:p>
      <w:pPr>
        <w:pStyle w:val="BodyText"/>
        <w:spacing w:after="60"/>
        <w:jc w:val="both"/>
      </w:pPr>
      <w:r>
        <w:t xml:space="preserve">§ 1º Concluído o julgamento do recurso especial, os autos serão remetidos ao Supremo Tribunal Federal para apreciação do recurso extraordinário, se este não estiver prejudicado.</w:t>
      </w:r>
    </w:p>
    <w:p>
      <w:pPr>
        <w:pStyle w:val="BodyText"/>
        <w:spacing w:after="60"/>
        <w:jc w:val="both"/>
      </w:pPr>
      <w:r>
        <w:t xml:space="preserve">§ 2º Se o relator do recurso especial considerar prejudicial o recurso extraordinário, em decisão irrecorrível, sobrestará o julgamento e remeterá os autos ao Supremo Tribunal Federal.</w:t>
      </w:r>
    </w:p>
    <w:p>
      <w:pPr>
        <w:pStyle w:val="BodyText"/>
        <w:spacing w:after="60"/>
        <w:jc w:val="both"/>
      </w:pPr>
      <w:r>
        <w:t xml:space="preserve">§ 3º Na hipótese do § 2º, se o relator do recurso extraordinário, em decisão irrecorrível, rejeitar a prejudicialidade, devolverá os autos ao Superior Tribunal de Justiça para o julgamento do recurso especial.</w:t>
      </w:r>
    </w:p>
    <w:bookmarkEnd w:id="868"/>
    <w:bookmarkStart w:id="869" w:name="art.-1032"/>
    <w:p>
      <w:pPr>
        <w:pStyle w:val="Heading6"/>
        <w:pBdr>
          <w:left w:val="single" w:sz="36" w:space="4" w:color="2E75B6"/>
        </w:pBdr>
        <w:shd w:val="clear" w:color="auto" w:fill="E3EEF9"/>
        <w:spacing w:before="120" w:after="60"/>
        <w:ind w:left="85"/>
      </w:pPr>
      <w:r>
        <w:rPr>
          <w:i w:val="0"/>
          <w:color w:val="1F3A5F"/>
          <w:sz w:val="22"/>
        </w:rPr>
        <w:t xml:space="preserve">Art. 1032</w:t>
      </w:r>
    </w:p>
    <w:p>
      <w:pPr>
        <w:pStyle w:val="FirstParagraph"/>
        <w:spacing w:after="60"/>
        <w:jc w:val="both"/>
      </w:pPr>
      <w:r>
        <w:rPr>
          <w:b/>
          <w:bCs/>
        </w:rPr>
        <w:t xml:space="preserve">Art. 1032.</w:t>
      </w:r>
      <w:r>
        <w:t xml:space="preserve"> </w:t>
      </w:r>
      <w:r>
        <w:t xml:space="preserve">Se o relator, no Superior Tribunal de Justiça, entender que o recurso especial versa sobre questão constitucional, deverá conceder prazo de 15 (quinze) dias para que o recorrente demonstre a existência de repercussão geral e se manifeste sobre a questão constitucional.</w:t>
      </w:r>
    </w:p>
    <w:p>
      <w:pPr>
        <w:pStyle w:val="BodyText"/>
        <w:spacing w:after="60"/>
        <w:jc w:val="both"/>
      </w:pPr>
      <w:r>
        <w:t xml:space="preserve">Parágrafo único. Cumprida a diligência de que trata o caput , o relator remeterá o recurso ao Supremo Tribunal Federal, que, em juízo de admissibilidade, poderá devolvê-lo ao Superior Tribunal de Justiça.</w:t>
      </w:r>
    </w:p>
    <w:bookmarkEnd w:id="869"/>
    <w:bookmarkStart w:id="870" w:name="art.-1033"/>
    <w:p>
      <w:pPr>
        <w:pStyle w:val="Heading6"/>
        <w:pBdr>
          <w:left w:val="single" w:sz="36" w:space="4" w:color="2E75B6"/>
        </w:pBdr>
        <w:shd w:val="clear" w:color="auto" w:fill="E3EEF9"/>
        <w:spacing w:before="120" w:after="60"/>
        <w:ind w:left="85"/>
      </w:pPr>
      <w:r>
        <w:rPr>
          <w:i w:val="0"/>
          <w:color w:val="1F3A5F"/>
          <w:sz w:val="22"/>
        </w:rPr>
        <w:t xml:space="preserve">Art. 1033</w:t>
      </w:r>
    </w:p>
    <w:p>
      <w:pPr>
        <w:pStyle w:val="FirstParagraph"/>
        <w:spacing w:after="60"/>
        <w:jc w:val="both"/>
      </w:pPr>
      <w:r>
        <w:rPr>
          <w:b/>
          <w:bCs/>
        </w:rPr>
        <w:t xml:space="preserve">Art. 1033.</w:t>
      </w:r>
      <w:r>
        <w:t xml:space="preserve"> </w:t>
      </w:r>
      <w:r>
        <w:t xml:space="preserve">Se o Supremo Tribunal Federal considerar como reflexa a ofensa à Constituição afirmada no recurso extraordinário, por pressupor a revisão da interpretação de lei federal ou de tratado, remetê-lo-á ao Superior Tribunal de Justiça para julgamento como recurso especial.</w:t>
      </w:r>
    </w:p>
    <w:bookmarkEnd w:id="870"/>
    <w:bookmarkStart w:id="871" w:name="art.-1034"/>
    <w:p>
      <w:pPr>
        <w:pStyle w:val="Heading6"/>
        <w:pBdr>
          <w:left w:val="single" w:sz="36" w:space="4" w:color="2E75B6"/>
        </w:pBdr>
        <w:shd w:val="clear" w:color="auto" w:fill="E3EEF9"/>
        <w:spacing w:before="120" w:after="60"/>
        <w:ind w:left="85"/>
      </w:pPr>
      <w:r>
        <w:rPr>
          <w:i w:val="0"/>
          <w:color w:val="1F3A5F"/>
          <w:sz w:val="22"/>
        </w:rPr>
        <w:t xml:space="preserve">Art. 1034</w:t>
      </w:r>
    </w:p>
    <w:p>
      <w:pPr>
        <w:pStyle w:val="FirstParagraph"/>
        <w:spacing w:after="60"/>
        <w:jc w:val="both"/>
      </w:pPr>
      <w:r>
        <w:rPr>
          <w:b/>
          <w:bCs/>
        </w:rPr>
        <w:t xml:space="preserve">Art. 1034.</w:t>
      </w:r>
      <w:r>
        <w:t xml:space="preserve"> </w:t>
      </w:r>
      <w:r>
        <w:t xml:space="preserve">Admitido o recurso extraordinário ou o recurso especial, o Supremo Tribunal Federal ou o Superior Tribunal de Justiça julgará o processo, aplicando o direito.</w:t>
      </w:r>
    </w:p>
    <w:p>
      <w:pPr>
        <w:pStyle w:val="BodyText"/>
        <w:spacing w:after="60"/>
        <w:jc w:val="both"/>
      </w:pPr>
      <w:r>
        <w:t xml:space="preserve">Parágrafo único. Admitido o recurso extraordinário ou o recurso especial por um fundamento, devolve-se ao tribunal superior o conhecimento dos demais fundamentos para a solução do capítulo impugnado.</w:t>
      </w:r>
    </w:p>
    <w:bookmarkEnd w:id="871"/>
    <w:bookmarkStart w:id="872" w:name="art.-1035"/>
    <w:p>
      <w:pPr>
        <w:pStyle w:val="Heading6"/>
        <w:pBdr>
          <w:left w:val="single" w:sz="36" w:space="4" w:color="2E75B6"/>
        </w:pBdr>
        <w:shd w:val="clear" w:color="auto" w:fill="E3EEF9"/>
        <w:spacing w:before="120" w:after="60"/>
        <w:ind w:left="85"/>
      </w:pPr>
      <w:r>
        <w:rPr>
          <w:i w:val="0"/>
          <w:color w:val="1F3A5F"/>
          <w:sz w:val="22"/>
        </w:rPr>
        <w:t xml:space="preserve">Art. 1035</w:t>
      </w:r>
    </w:p>
    <w:p>
      <w:pPr>
        <w:pStyle w:val="FirstParagraph"/>
        <w:spacing w:after="60"/>
        <w:jc w:val="both"/>
      </w:pPr>
      <w:r>
        <w:rPr>
          <w:b/>
          <w:bCs/>
        </w:rPr>
        <w:t xml:space="preserve">Art. 1035.</w:t>
      </w:r>
      <w:r>
        <w:t xml:space="preserve"> </w:t>
      </w:r>
      <w:r>
        <w:t xml:space="preserve">O Supremo Tribunal Federal, em decisão irrecorrível, não conhecerá do recurso extraordinário quando a questão constitucional nele versada não tiver repercussão geral, nos termos deste artigo.</w:t>
      </w:r>
    </w:p>
    <w:p>
      <w:pPr>
        <w:pStyle w:val="BodyText"/>
        <w:spacing w:after="60"/>
        <w:jc w:val="both"/>
      </w:pPr>
      <w:r>
        <w:t xml:space="preserve">§ 1º Para efeito de repercussão geral, será considerada a existência ou não de questões relevantes do ponto de vista econômico, político, social ou jurídico que ultrapassem os interesses subjetivos do processo.</w:t>
      </w:r>
    </w:p>
    <w:p>
      <w:pPr>
        <w:pStyle w:val="BodyText"/>
        <w:spacing w:after="60"/>
        <w:jc w:val="both"/>
      </w:pPr>
      <w:r>
        <w:t xml:space="preserve">§ 2º O recorrente deverá demonstrar a existência de repercussão geral para apreciação exclusiva pelo Supremo Tribunal Federal.</w:t>
      </w:r>
    </w:p>
    <w:p>
      <w:pPr>
        <w:pStyle w:val="BodyText"/>
        <w:spacing w:after="60"/>
        <w:jc w:val="both"/>
      </w:pPr>
      <w:r>
        <w:t xml:space="preserve">§ 3º Haverá repercussão geral sempre que o recurso impugnar acórdão que:</w:t>
      </w:r>
    </w:p>
    <w:p>
      <w:pPr>
        <w:pStyle w:val="BodyText"/>
        <w:spacing w:after="60"/>
        <w:jc w:val="both"/>
      </w:pPr>
      <w:r>
        <w:t xml:space="preserve">I - contrarie súmula ou jurisprudência dominante do Supremo Tribunal Federal;</w:t>
      </w:r>
    </w:p>
    <w:p>
      <w:pPr>
        <w:pStyle w:val="BodyText"/>
        <w:spacing w:after="60"/>
        <w:jc w:val="both"/>
      </w:pPr>
      <w:r>
        <w:t xml:space="preserve">II – ( Revogado ); (Redação dada pela Lei nº 13.256, de 2016) (Vigência)</w:t>
      </w:r>
    </w:p>
    <w:p>
      <w:pPr>
        <w:pStyle w:val="BodyText"/>
        <w:spacing w:after="60"/>
        <w:jc w:val="both"/>
      </w:pPr>
      <w:r>
        <w:t xml:space="preserve">III - tenha reconhecido a inconstitucionalidade de tratado ou de lei federal, nos termos do art. 97 da Constituição Federal.</w:t>
      </w:r>
    </w:p>
    <w:p>
      <w:pPr>
        <w:pStyle w:val="BodyText"/>
        <w:spacing w:after="60"/>
        <w:jc w:val="both"/>
      </w:pPr>
      <w:r>
        <w:t xml:space="preserve">§ 4º O relator poderá admitir, na análise da repercussão geral, a manifestação de terceiros, subscrita por procurador habilitado, nos termos do Regimento Interno do Supremo Tribunal Federal.</w:t>
      </w:r>
    </w:p>
    <w:p>
      <w:pPr>
        <w:pStyle w:val="BodyText"/>
        <w:spacing w:after="60"/>
        <w:jc w:val="both"/>
      </w:pPr>
      <w:r>
        <w:t xml:space="preserve">§ 5º Reconhecida a repercussão geral, o relator no Supremo Tribunal Federal determinará a suspensão do processamento de todos os processos pendentes, individuais ou coletivos, que versem sobre a questão e tramitem no território nacional.</w:t>
      </w:r>
    </w:p>
    <w:p>
      <w:pPr>
        <w:pStyle w:val="BodyText"/>
        <w:spacing w:after="60"/>
        <w:jc w:val="both"/>
      </w:pPr>
      <w:r>
        <w:t xml:space="preserve">§ 6º O interessado pode requerer, ao presidente ou ao vice-presidente do tribunal de origem, que exclua da decisão de sobrestamento e inadmita o recurso extraordinário que tenha sido interposto intempestivamente, tendo o recorrente o prazo de 5 (cinco) dias para manifestar-se sobre esse requerimento.</w:t>
      </w:r>
    </w:p>
    <w:p>
      <w:pPr>
        <w:pStyle w:val="BodyText"/>
        <w:spacing w:after="60"/>
        <w:jc w:val="both"/>
      </w:pPr>
      <w:r>
        <w:t xml:space="preserve">§ 7º Da decisão que indeferir o requerimento referido no § 6º ou que aplicar entendimento firmado em regime de repercussão geral ou em julgamento de recursos repetitivos caberá agravo interno. (Redação dada pela Lei nº 13.256, de 2016) (Vigência)</w:t>
      </w:r>
    </w:p>
    <w:p>
      <w:pPr>
        <w:pStyle w:val="BodyText"/>
        <w:spacing w:after="60"/>
        <w:jc w:val="both"/>
      </w:pPr>
      <w:r>
        <w:t xml:space="preserve">§ 8º Negada a repercussão geral, o presidente ou o vice-presidente do tribunal de origem negará seguimento aos recursos extraordinários sobrestados na origem que versem sobre matéria idêntica.</w:t>
      </w:r>
    </w:p>
    <w:p>
      <w:pPr>
        <w:pStyle w:val="BodyText"/>
        <w:spacing w:after="60"/>
        <w:jc w:val="both"/>
      </w:pPr>
      <w:r>
        <w:t xml:space="preserve">§ 9º O recurso que tiver a repercussão geral reconhecida deverá ser julgado no prazo de 1 (um) ano e terá preferência sobre os demais feitos, ressalvados os que envolvam réu preso e os pedidos de habeas corpus .</w:t>
      </w:r>
    </w:p>
    <w:p>
      <w:pPr>
        <w:pStyle w:val="BodyText"/>
        <w:spacing w:after="60"/>
        <w:jc w:val="both"/>
      </w:pPr>
      <w:r>
        <w:t xml:space="preserve">§ 10. ( Revogado ). (Redação dada pela Lei nº 13.256, de 2016)</w:t>
      </w:r>
    </w:p>
    <w:p>
      <w:pPr>
        <w:pStyle w:val="BodyText"/>
        <w:spacing w:after="60"/>
        <w:jc w:val="both"/>
      </w:pPr>
      <w:r>
        <w:t xml:space="preserve">§ 11. A súmula da decisão sobre a repercussão geral constará de ata, que será publicada no diário oficial e valerá como acórdão.</w:t>
      </w:r>
    </w:p>
    <w:bookmarkEnd w:id="872"/>
    <w:bookmarkStart w:id="873" w:name="art.-1036"/>
    <w:p>
      <w:pPr>
        <w:pStyle w:val="Heading6"/>
        <w:pBdr>
          <w:left w:val="single" w:sz="36" w:space="4" w:color="2E75B6"/>
        </w:pBdr>
        <w:shd w:val="clear" w:color="auto" w:fill="E3EEF9"/>
        <w:spacing w:before="120" w:after="60"/>
        <w:ind w:left="85"/>
      </w:pPr>
      <w:r>
        <w:rPr>
          <w:i w:val="0"/>
          <w:color w:val="1F3A5F"/>
          <w:sz w:val="22"/>
        </w:rPr>
        <w:t xml:space="preserve">Art. 1036</w:t>
      </w:r>
    </w:p>
    <w:p>
      <w:pPr>
        <w:pStyle w:val="FirstParagraph"/>
        <w:spacing w:after="60"/>
        <w:jc w:val="both"/>
      </w:pPr>
      <w:r>
        <w:rPr>
          <w:b/>
          <w:bCs/>
        </w:rPr>
        <w:t xml:space="preserve">Art. 1036.</w:t>
      </w:r>
      <w:r>
        <w:t xml:space="preserve"> </w:t>
      </w:r>
      <w:r>
        <w:t xml:space="preserve">Sempre que houver multiplicidade de recursos extraordinários ou especiais com fundamento em idêntica questão de direito, haverá afetação para julgamento de acordo com as disposições desta Subseção, observado o disposto no Regimento Interno do Supremo Tribunal Federal e no do Superior Tribunal de Justiça.</w:t>
      </w:r>
    </w:p>
    <w:p>
      <w:pPr>
        <w:pStyle w:val="BodyText"/>
        <w:spacing w:after="60"/>
        <w:jc w:val="both"/>
      </w:pPr>
      <w:r>
        <w:t xml:space="preserve">§ 1º O presidente ou o vice-presidente de tribunal de justiça ou de tribunal regional federal selecionará 2 (dois) ou mais recursos representativos da controvérsia, que serão encaminhados ao Supremo Tribunal Federal ou ao Superior Tribunal de Justiça para fins de afetação, determinando a suspensão do trâmite de todos os processos pendentes, individuais ou coletivos, que tramitem no Estado ou na região, conforme o caso.</w:t>
      </w:r>
    </w:p>
    <w:p>
      <w:pPr>
        <w:pStyle w:val="BodyText"/>
        <w:spacing w:after="60"/>
        <w:jc w:val="both"/>
      </w:pPr>
      <w:r>
        <w:t xml:space="preserve">§ 2º O interessado pode requerer, ao presidente ou ao vice-presidente, que exclua da decisão de sobrestamento e inadmita o recurso especial ou o recurso extraordinário que tenha sido interposto intempestivamente, tendo o recorrente o prazo de 5 (cinco) dias para manifestar-se sobre esse requerimento.</w:t>
      </w:r>
    </w:p>
    <w:p>
      <w:pPr>
        <w:pStyle w:val="BodyText"/>
        <w:spacing w:after="60"/>
        <w:jc w:val="both"/>
      </w:pPr>
      <w:r>
        <w:t xml:space="preserve">§ 3º Da decisão que indeferir o requerimento referido no § 2º caberá apenas agravo interno. (Redação dada pela Lei nº 13.256, de 2016)</w:t>
      </w:r>
    </w:p>
    <w:p>
      <w:pPr>
        <w:pStyle w:val="BodyText"/>
        <w:spacing w:after="60"/>
        <w:jc w:val="both"/>
      </w:pPr>
      <w:r>
        <w:t xml:space="preserve">§ 4º A escolha feita pelo presidente ou vice-presidente do tribunal de justiça ou do tribunal regional federal não vinculará o relator no tribunal superior, que poderá selecionar outros recursos representativos da controvérsia.</w:t>
      </w:r>
    </w:p>
    <w:p>
      <w:pPr>
        <w:pStyle w:val="BodyText"/>
        <w:spacing w:after="60"/>
        <w:jc w:val="both"/>
      </w:pPr>
      <w:r>
        <w:t xml:space="preserve">§ 5º O relator em tribunal superior também poderá selecionar 2 (dois) ou mais recursos representativos da controvérsia para julgamento da questão de direito independentemente da iniciativa do presidente ou do vice-presidente do tribunal de origem.</w:t>
      </w:r>
    </w:p>
    <w:p>
      <w:pPr>
        <w:pStyle w:val="BodyText"/>
        <w:spacing w:after="60"/>
        <w:jc w:val="both"/>
      </w:pPr>
      <w:r>
        <w:t xml:space="preserve">§ 6º Somente podem ser selecionados recursos admissíveis que contenham abrangente argumentação e discussão a respeito da questão a ser decidida.</w:t>
      </w:r>
    </w:p>
    <w:bookmarkEnd w:id="873"/>
    <w:bookmarkStart w:id="874" w:name="art.-1037"/>
    <w:p>
      <w:pPr>
        <w:pStyle w:val="Heading6"/>
        <w:pBdr>
          <w:left w:val="single" w:sz="36" w:space="4" w:color="2E75B6"/>
        </w:pBdr>
        <w:shd w:val="clear" w:color="auto" w:fill="E3EEF9"/>
        <w:spacing w:before="120" w:after="60"/>
        <w:ind w:left="85"/>
      </w:pPr>
      <w:r>
        <w:rPr>
          <w:i w:val="0"/>
          <w:color w:val="1F3A5F"/>
          <w:sz w:val="22"/>
        </w:rPr>
        <w:t xml:space="preserve">Art. 1037</w:t>
      </w:r>
    </w:p>
    <w:p>
      <w:pPr>
        <w:pStyle w:val="FirstParagraph"/>
        <w:spacing w:after="60"/>
        <w:jc w:val="both"/>
      </w:pPr>
      <w:r>
        <w:rPr>
          <w:b/>
          <w:bCs/>
        </w:rPr>
        <w:t xml:space="preserve">Art. 1037.</w:t>
      </w:r>
      <w:r>
        <w:t xml:space="preserve"> </w:t>
      </w:r>
      <w:r>
        <w:t xml:space="preserve">Selecionados os recursos, o relator, no tribunal superior, constatando a presença do pressuposto do caput do art. 1.036, proferirá decisão de afetação, na qual:</w:t>
      </w:r>
    </w:p>
    <w:p>
      <w:pPr>
        <w:pStyle w:val="BodyText"/>
        <w:spacing w:after="60"/>
        <w:jc w:val="both"/>
      </w:pPr>
      <w:r>
        <w:t xml:space="preserve">I - identificará com precisão a questão a ser submetida a julgamento;</w:t>
      </w:r>
    </w:p>
    <w:p>
      <w:pPr>
        <w:pStyle w:val="BodyText"/>
        <w:keepNext/>
        <w:spacing w:after="60"/>
        <w:jc w:val="both"/>
      </w:pPr>
      <w:r>
        <w:t xml:space="preserve">II - determinará a suspensão do processamento de todos os processos pendentes, individuais ou coletivos, que versem sobre a questão e tramitem no território nacional;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II — suspensão do processo após a afetação</w:t>
            </w:r>
          </w:p>
        </w:tc>
        <w:tc>
          <w:tcPr>
            <w:tcW w:type="dxa" w:w="1531"/>
          </w:tcPr>
          <w:p>
            <w:pPr>
              <w:pStyle w:val="Compact"/>
              <w:spacing w:line="276" w:lineRule="auto" w:before="40" w:after="40"/>
            </w:pPr>
            <w:r>
              <w:rPr>
                <w:rFonts w:ascii="Liberation Sans Narrow" w:hAnsi="Liberation Sans Narrow"/>
                <w:sz w:val="17"/>
              </w:rPr>
              <w:t xml:space="preserve">STJ, EDcl no REsp 2.165.111, Terceira Turma, relator Min. Moura Ribeiro, julgado em 04/05/2026</w:t>
            </w:r>
          </w:p>
        </w:tc>
        <w:tc>
          <w:tcPr>
            <w:tcW w:type="dxa" w:w="1905"/>
          </w:tcPr>
          <w:p>
            <w:pPr>
              <w:pStyle w:val="Compact"/>
              <w:spacing w:line="276" w:lineRule="auto" w:before="40" w:after="40"/>
            </w:pPr>
            <w:r>
              <w:rPr>
                <w:rFonts w:ascii="Liberation Sans Narrow" w:hAnsi="Liberation Sans Narrow"/>
                <w:sz w:val="17"/>
              </w:rPr>
              <w:t xml:space="preserve">Publicada a decisão de afetação de tema repetitivo, impõe-se a devolução dos autos ao tribunal estadual para a suspensão do processo, sendo o ato de sobrestamento e devolução desprovido de carga decisória e irrecorrível.</w:t>
            </w:r>
          </w:p>
        </w:tc>
      </w:tr>
    </w:tbl>
    <w:p>
      <w:pPr>
        <w:pStyle w:val="BodyText"/>
        <w:spacing w:after="60"/>
        <w:jc w:val="both"/>
      </w:pPr>
      <w:r>
        <w:t xml:space="preserve">III - poderá requisitar aos presidentes ou aos vice-presidentes dos tribunais de justiça ou dos tribunais regionais federais a remessa de um recurso representativo da controvérsia.</w:t>
      </w:r>
    </w:p>
    <w:p>
      <w:pPr>
        <w:pStyle w:val="BodyText"/>
        <w:spacing w:after="60"/>
        <w:jc w:val="both"/>
      </w:pPr>
      <w:r>
        <w:t xml:space="preserve">§ 1º Se, após receber os recursos selecionados pelo presidente ou pelo vice-presidente de tribunal de justiça ou de tribunal regional federal, não se proceder à afetação, o relator, no tribunal superior, comunicará o fato ao presidente ou ao vice-presidente que os houver enviado, para que seja revogada a decisão de suspensão referida no art. 1.036, § 1º.</w:t>
      </w:r>
    </w:p>
    <w:p>
      <w:pPr>
        <w:pStyle w:val="BodyText"/>
        <w:spacing w:after="60"/>
        <w:jc w:val="both"/>
      </w:pPr>
      <w:r>
        <w:t xml:space="preserve">§ 2º (Revogado pela Lei nº 13.256, de 2016)</w:t>
      </w:r>
    </w:p>
    <w:p>
      <w:pPr>
        <w:pStyle w:val="BodyText"/>
        <w:spacing w:after="60"/>
        <w:jc w:val="both"/>
      </w:pPr>
      <w:r>
        <w:t xml:space="preserve">§ 3º Havendo mais de uma afetação, será prevento o relator que primeiro tiver proferido a decisão a que se refere o inciso I do caput .</w:t>
      </w:r>
    </w:p>
    <w:p>
      <w:pPr>
        <w:pStyle w:val="BodyText"/>
        <w:spacing w:after="60"/>
        <w:jc w:val="both"/>
      </w:pPr>
      <w:r>
        <w:t xml:space="preserve">§ 4º Os recursos afetados deverão ser julgados no prazo de 1 (um) ano e terão preferência sobre os demais feitos, ressalvados os que envolvam réu preso e os pedidos de habeas corpus .</w:t>
      </w:r>
    </w:p>
    <w:p>
      <w:pPr>
        <w:pStyle w:val="BodyText"/>
        <w:spacing w:after="60"/>
        <w:jc w:val="both"/>
      </w:pPr>
      <w:r>
        <w:t xml:space="preserve">§ 5º (Revogado pela Lei nº 13.256, de 2016)</w:t>
      </w:r>
    </w:p>
    <w:p>
      <w:pPr>
        <w:pStyle w:val="BodyText"/>
        <w:spacing w:after="60"/>
        <w:jc w:val="both"/>
      </w:pPr>
      <w:r>
        <w:t xml:space="preserve">§ 6º Ocorrendo a hipótese do § 5º, é permitido a outro relator do respectivo tribunal superior afetar 2 (dois) ou mais recursos representativos da controvérsia na forma do art. 1.036.</w:t>
      </w:r>
    </w:p>
    <w:p>
      <w:pPr>
        <w:pStyle w:val="BodyText"/>
        <w:spacing w:after="60"/>
        <w:jc w:val="both"/>
      </w:pPr>
      <w:r>
        <w:t xml:space="preserve">§ 7º Quando os recursos requisitados na forma do inciso III do caput contiverem outras questões além daquela que é objeto da afetação, caberá ao tribunal decidir esta em primeiro lugar e depois as demais, em acórdão específico para cada processo.</w:t>
      </w:r>
    </w:p>
    <w:p>
      <w:pPr>
        <w:pStyle w:val="BodyText"/>
        <w:spacing w:after="60"/>
        <w:jc w:val="both"/>
      </w:pPr>
      <w:r>
        <w:t xml:space="preserve">§ 8º As partes deverão ser intimadas da decisão de suspensão de seu processo, a ser proferida pelo respectivo juiz ou relator quando informado da decisão a que se refere o inciso II do caput .</w:t>
      </w:r>
    </w:p>
    <w:p>
      <w:pPr>
        <w:pStyle w:val="BodyText"/>
        <w:spacing w:after="60"/>
        <w:jc w:val="both"/>
      </w:pPr>
      <w:r>
        <w:t xml:space="preserve">§ 9º Demonstrando distinção entre a questão a ser decidida no processo e aquela a ser julgada no recurso especial ou extraordinário afetado, a parte poderá requerer o prosseguimento do seu processo.</w:t>
      </w:r>
    </w:p>
    <w:p>
      <w:pPr>
        <w:pStyle w:val="BodyText"/>
        <w:spacing w:after="60"/>
        <w:jc w:val="both"/>
      </w:pPr>
      <w:r>
        <w:t xml:space="preserve">§ 10. O requerimento a que se refere o § 9º será dirigido:</w:t>
      </w:r>
    </w:p>
    <w:p>
      <w:pPr>
        <w:pStyle w:val="BodyText"/>
        <w:spacing w:after="60"/>
        <w:jc w:val="both"/>
      </w:pPr>
      <w:r>
        <w:t xml:space="preserve">I - ao juiz, se o processo sobrestado estiver em primeiro grau;</w:t>
      </w:r>
    </w:p>
    <w:p>
      <w:pPr>
        <w:pStyle w:val="BodyText"/>
        <w:spacing w:after="60"/>
        <w:jc w:val="both"/>
      </w:pPr>
      <w:r>
        <w:t xml:space="preserve">II - ao relator, se o processo sobrestado estiver no tribunal de origem;</w:t>
      </w:r>
    </w:p>
    <w:p>
      <w:pPr>
        <w:pStyle w:val="BodyText"/>
        <w:spacing w:after="60"/>
        <w:jc w:val="both"/>
      </w:pPr>
      <w:r>
        <w:t xml:space="preserve">III - ao relator do acórdão recorrido, se for sobrestado recurso especial ou recurso extraordinário no tribunal de origem;</w:t>
      </w:r>
    </w:p>
    <w:p>
      <w:pPr>
        <w:pStyle w:val="BodyText"/>
        <w:spacing w:after="60"/>
        <w:jc w:val="both"/>
      </w:pPr>
      <w:r>
        <w:t xml:space="preserve">IV - ao relator, no tribunal superior, de recurso especial ou de recurso extraordinário cujo processamento houver sido sobrestado.</w:t>
      </w:r>
    </w:p>
    <w:p>
      <w:pPr>
        <w:pStyle w:val="BodyText"/>
        <w:spacing w:after="60"/>
        <w:jc w:val="both"/>
      </w:pPr>
      <w:r>
        <w:t xml:space="preserve">§ 11. A outra parte deverá ser ouvida sobre o requerimento a que se refere o § 9º, no prazo de 5 (cinco) dias.</w:t>
      </w:r>
    </w:p>
    <w:p>
      <w:pPr>
        <w:pStyle w:val="BodyText"/>
        <w:spacing w:after="60"/>
        <w:jc w:val="both"/>
      </w:pPr>
      <w:r>
        <w:t xml:space="preserve">§ 12. Reconhecida a distinção no caso:</w:t>
      </w:r>
    </w:p>
    <w:p>
      <w:pPr>
        <w:pStyle w:val="BodyText"/>
        <w:spacing w:after="60"/>
        <w:jc w:val="both"/>
      </w:pPr>
      <w:r>
        <w:t xml:space="preserve">I - dos incisos I, II e IV do § 10, o próprio juiz ou relator dará prosseguimento ao processo;</w:t>
      </w:r>
    </w:p>
    <w:p>
      <w:pPr>
        <w:pStyle w:val="BodyText"/>
        <w:spacing w:after="60"/>
        <w:jc w:val="both"/>
      </w:pPr>
      <w:r>
        <w:t xml:space="preserve">II - do inciso III do § 10, o relator comunicará a decisão ao presidente ou ao vice-presidente que houver determinado o sobrestamento, para que o recurso especial ou o recurso extraordinário seja encaminhado ao respectivo tribunal superior, na forma do art. 1.030, parágrafo único.</w:t>
      </w:r>
    </w:p>
    <w:p>
      <w:pPr>
        <w:pStyle w:val="BodyText"/>
        <w:spacing w:after="60"/>
        <w:jc w:val="both"/>
      </w:pPr>
      <w:r>
        <w:t xml:space="preserve">§ 13. Da decisão que resolver o requerimento a que se refere o § 9º caberá:</w:t>
      </w:r>
    </w:p>
    <w:p>
      <w:pPr>
        <w:pStyle w:val="BodyText"/>
        <w:spacing w:after="60"/>
        <w:jc w:val="both"/>
      </w:pPr>
      <w:r>
        <w:t xml:space="preserve">I - agravo de instrumento, se o processo estiver em primeiro grau;</w:t>
      </w:r>
    </w:p>
    <w:p>
      <w:pPr>
        <w:pStyle w:val="BodyText"/>
        <w:spacing w:after="60"/>
        <w:jc w:val="both"/>
      </w:pPr>
      <w:r>
        <w:t xml:space="preserve">II - agravo interno, se a decisão for de relator.</w:t>
      </w:r>
    </w:p>
    <w:bookmarkEnd w:id="874"/>
    <w:bookmarkStart w:id="875" w:name="art.-1038"/>
    <w:p>
      <w:pPr>
        <w:pStyle w:val="Heading6"/>
        <w:pBdr>
          <w:left w:val="single" w:sz="36" w:space="4" w:color="2E75B6"/>
        </w:pBdr>
        <w:shd w:val="clear" w:color="auto" w:fill="E3EEF9"/>
        <w:spacing w:before="120" w:after="60"/>
        <w:ind w:left="85"/>
      </w:pPr>
      <w:r>
        <w:rPr>
          <w:i w:val="0"/>
          <w:color w:val="1F3A5F"/>
          <w:sz w:val="22"/>
        </w:rPr>
        <w:t xml:space="preserve">Art. 1038</w:t>
      </w:r>
    </w:p>
    <w:p>
      <w:pPr>
        <w:pStyle w:val="FirstParagraph"/>
        <w:spacing w:after="60"/>
        <w:jc w:val="both"/>
      </w:pPr>
      <w:r>
        <w:rPr>
          <w:b/>
          <w:bCs/>
        </w:rPr>
        <w:t xml:space="preserve">Art. 1038.</w:t>
      </w:r>
      <w:r>
        <w:t xml:space="preserve"> </w:t>
      </w:r>
      <w:r>
        <w:t xml:space="preserve">O relator poderá:</w:t>
      </w:r>
    </w:p>
    <w:p>
      <w:pPr>
        <w:pStyle w:val="BodyText"/>
        <w:spacing w:after="60"/>
        <w:jc w:val="both"/>
      </w:pPr>
      <w:r>
        <w:t xml:space="preserve">I - solicitar ou admitir manifestação de pessoas, órgãos ou entidades com interesse na controvérsia, considerando a relevância da matéria e consoante dispuser o regimento interno;</w:t>
      </w:r>
    </w:p>
    <w:p>
      <w:pPr>
        <w:pStyle w:val="BodyText"/>
        <w:spacing w:after="60"/>
        <w:jc w:val="both"/>
      </w:pPr>
      <w:r>
        <w:t xml:space="preserve">II - fixar data para, em audiência pública, ouvir depoimentos de pessoas com experiência e conhecimento na matéria, com a finalidade de instruir o procedimento;</w:t>
      </w:r>
    </w:p>
    <w:p>
      <w:pPr>
        <w:pStyle w:val="BodyText"/>
        <w:spacing w:after="60"/>
        <w:jc w:val="both"/>
      </w:pPr>
      <w:r>
        <w:t xml:space="preserve">III - requisitar informações aos tribunais inferiores a respeito da controvérsia e, cumprida a diligência, intimará o Ministério Público para manifestar-se.</w:t>
      </w:r>
    </w:p>
    <w:p>
      <w:pPr>
        <w:pStyle w:val="BodyText"/>
        <w:spacing w:after="60"/>
        <w:jc w:val="both"/>
      </w:pPr>
      <w:r>
        <w:t xml:space="preserve">§ 1º No caso do inciso III, os prazos respectivos são de 15 (quinze) dias, e os atos serão praticados, sempre que possível, por meio eletrônico.</w:t>
      </w:r>
    </w:p>
    <w:p>
      <w:pPr>
        <w:pStyle w:val="BodyText"/>
        <w:spacing w:after="60"/>
        <w:jc w:val="both"/>
      </w:pPr>
      <w:r>
        <w:t xml:space="preserve">§ 2º Transcorrido o prazo para o Ministério Público e remetida cópia do relatório aos demais ministros, haverá inclusão em pauta, devendo ocorrer o julgamento com preferência sobre os demais feitos, ressalvados os que envolvam réu preso e os pedidos de habeas corpus .</w:t>
      </w:r>
    </w:p>
    <w:p>
      <w:pPr>
        <w:pStyle w:val="BodyText"/>
        <w:spacing w:after="60"/>
        <w:jc w:val="both"/>
      </w:pPr>
      <w:r>
        <w:t xml:space="preserve">§ 3º O conteúdo do acórdão abrangerá a análise dos fundamentos relevantes da tese jurídica discutida. (Redação dada pela Lei nº 13.256, de 2016)</w:t>
      </w:r>
    </w:p>
    <w:bookmarkEnd w:id="875"/>
    <w:bookmarkStart w:id="876" w:name="art.-1039"/>
    <w:p>
      <w:pPr>
        <w:pStyle w:val="Heading6"/>
        <w:pBdr>
          <w:left w:val="single" w:sz="36" w:space="4" w:color="2E75B6"/>
        </w:pBdr>
        <w:shd w:val="clear" w:color="auto" w:fill="E3EEF9"/>
        <w:spacing w:before="120" w:after="60"/>
        <w:ind w:left="85"/>
      </w:pPr>
      <w:r>
        <w:rPr>
          <w:i w:val="0"/>
          <w:color w:val="1F3A5F"/>
          <w:sz w:val="22"/>
        </w:rPr>
        <w:t xml:space="preserve">Art. 1039</w:t>
      </w:r>
    </w:p>
    <w:p>
      <w:pPr>
        <w:pStyle w:val="FirstParagraph"/>
        <w:spacing w:after="60"/>
        <w:jc w:val="both"/>
      </w:pPr>
      <w:r>
        <w:rPr>
          <w:b/>
          <w:bCs/>
        </w:rPr>
        <w:t xml:space="preserve">Art. 1039.</w:t>
      </w:r>
      <w:r>
        <w:t xml:space="preserve"> </w:t>
      </w:r>
      <w:r>
        <w:t xml:space="preserve">Decididos os recursos afetados, os órgãos colegiados declararão prejudicados os demais recursos versando sobre idêntica controvérsia ou os decidirão aplicando a tese firmada.</w:t>
      </w:r>
    </w:p>
    <w:p>
      <w:pPr>
        <w:pStyle w:val="BodyText"/>
        <w:spacing w:after="60"/>
        <w:jc w:val="both"/>
      </w:pPr>
      <w:r>
        <w:t xml:space="preserve">Parágrafo único. Negada a existência de repercussão geral ou de relevância da questão de direito federal infraconstitucional, respectivamente, no recurso extraordinário ou especial afetado, serão considerados automaticamente inadmitidos os recursos extraordinários ou os recursos especiais cujo processamento tenha sido sobrestado. (Redação dada pela Lei nº 15.484, de 2026) Vigência</w:t>
      </w:r>
    </w:p>
    <w:bookmarkEnd w:id="876"/>
    <w:bookmarkStart w:id="877" w:name="art.-1040"/>
    <w:p>
      <w:pPr>
        <w:pStyle w:val="Heading6"/>
        <w:pBdr>
          <w:left w:val="single" w:sz="36" w:space="4" w:color="2E75B6"/>
        </w:pBdr>
        <w:shd w:val="clear" w:color="auto" w:fill="E3EEF9"/>
        <w:spacing w:before="120" w:after="60"/>
        <w:ind w:left="85"/>
      </w:pPr>
      <w:r>
        <w:rPr>
          <w:i w:val="0"/>
          <w:color w:val="1F3A5F"/>
          <w:sz w:val="22"/>
        </w:rPr>
        <w:t xml:space="preserve">Art. 1040</w:t>
      </w:r>
    </w:p>
    <w:p>
      <w:pPr>
        <w:pStyle w:val="FirstParagraph"/>
        <w:spacing w:after="60"/>
        <w:jc w:val="both"/>
      </w:pPr>
      <w:r>
        <w:rPr>
          <w:b/>
          <w:bCs/>
        </w:rPr>
        <w:t xml:space="preserve">Art. 1040.</w:t>
      </w:r>
      <w:r>
        <w:t xml:space="preserve"> </w:t>
      </w:r>
      <w:r>
        <w:t xml:space="preserve">Publicado o acórdão paradigma:</w:t>
      </w:r>
    </w:p>
    <w:p>
      <w:pPr>
        <w:pStyle w:val="BodyText"/>
        <w:spacing w:after="60"/>
        <w:jc w:val="both"/>
      </w:pPr>
      <w:r>
        <w:t xml:space="preserve">I - o presidente ou o vice-presidente do tribunal de origem negará seguimento aos recursos especiais ou extraordinários sobrestados na origem, se o acórdão recorrido coincidir com a orientação do tribunal superior;</w:t>
      </w:r>
    </w:p>
    <w:p>
      <w:pPr>
        <w:pStyle w:val="BodyText"/>
        <w:spacing w:after="60"/>
        <w:jc w:val="both"/>
      </w:pPr>
      <w:r>
        <w:t xml:space="preserve">II - o órgão que proferiu o acórdão recorrido, na origem, reexaminará o processo de competência originária, a remessa necessária ou o recurso anteriormente julgado, se o acórdão recorrido contrariar a orientação do tribunal superior;</w:t>
      </w:r>
    </w:p>
    <w:p>
      <w:pPr>
        <w:pStyle w:val="BodyText"/>
        <w:spacing w:after="60"/>
        <w:jc w:val="both"/>
      </w:pPr>
      <w:r>
        <w:t xml:space="preserve">III - os processos suspensos em primeiro e segundo graus de jurisdição retomarão o curso para julgamento e aplicação da tese firmada pelo tribunal superior;</w:t>
      </w:r>
    </w:p>
    <w:p>
      <w:pPr>
        <w:pStyle w:val="BodyText"/>
        <w:spacing w:after="60"/>
        <w:jc w:val="both"/>
      </w:pPr>
      <w:r>
        <w:t xml:space="preserve">IV - se os recursos versarem sobre questão relativa a prestação de serviço público objeto de concessão, permissão ou autorização, o resultado do julgamento será comunicado ao órgão, ao ente ou à agência reguladora competente para fiscalização da efetiva aplicação, por parte dos entes sujeitos a regulação, da tese adotada.</w:t>
      </w:r>
    </w:p>
    <w:p>
      <w:pPr>
        <w:pStyle w:val="BodyText"/>
        <w:spacing w:after="60"/>
        <w:jc w:val="both"/>
      </w:pPr>
      <w:r>
        <w:t xml:space="preserve">§ 1º A parte poderá desistir da ação em curso no primeiro grau de jurisdição, antes de proferida a sentença, se a questão nela discutida for idêntica à resolvida pelo recurso representativo da controvérsia.</w:t>
      </w:r>
    </w:p>
    <w:p>
      <w:pPr>
        <w:pStyle w:val="BodyText"/>
        <w:spacing w:after="60"/>
        <w:jc w:val="both"/>
      </w:pPr>
      <w:r>
        <w:t xml:space="preserve">§ 2º Se a desistência ocorrer antes de oferecida contestação, a parte ficará isenta do pagamento de custas e de honorários de sucumbência.</w:t>
      </w:r>
    </w:p>
    <w:p>
      <w:pPr>
        <w:pStyle w:val="BodyText"/>
        <w:spacing w:after="60"/>
        <w:jc w:val="both"/>
      </w:pPr>
      <w:r>
        <w:t xml:space="preserve">§ 3º A desistência apresentada nos termos do § 1º independe de consentimento do réu, ainda que apresentada contestação.</w:t>
      </w:r>
    </w:p>
    <w:bookmarkEnd w:id="877"/>
    <w:bookmarkStart w:id="878" w:name="art.-1041"/>
    <w:p>
      <w:pPr>
        <w:pStyle w:val="Heading6"/>
        <w:pBdr>
          <w:left w:val="single" w:sz="36" w:space="4" w:color="2E75B6"/>
        </w:pBdr>
        <w:shd w:val="clear" w:color="auto" w:fill="E3EEF9"/>
        <w:spacing w:before="120" w:after="60"/>
        <w:ind w:left="85"/>
      </w:pPr>
      <w:r>
        <w:rPr>
          <w:i w:val="0"/>
          <w:color w:val="1F3A5F"/>
          <w:sz w:val="22"/>
        </w:rPr>
        <w:t xml:space="preserve">Art. 1041</w:t>
      </w:r>
    </w:p>
    <w:p>
      <w:pPr>
        <w:pStyle w:val="FirstParagraph"/>
        <w:spacing w:after="60"/>
        <w:jc w:val="both"/>
      </w:pPr>
      <w:r>
        <w:rPr>
          <w:b/>
          <w:bCs/>
        </w:rPr>
        <w:t xml:space="preserve">Art. 1041.</w:t>
      </w:r>
      <w:r>
        <w:t xml:space="preserve"> </w:t>
      </w:r>
      <w:r>
        <w:t xml:space="preserve">Mantido o acórdão divergente pelo tribunal de origem, o recurso especial ou extraordinário será remetido ao respectivo tribunal superior, na forma do art. 1.036, § 1º.</w:t>
      </w:r>
    </w:p>
    <w:p>
      <w:pPr>
        <w:pStyle w:val="BodyText"/>
        <w:spacing w:after="60"/>
        <w:jc w:val="both"/>
      </w:pPr>
      <w:r>
        <w:t xml:space="preserve">§ 1º Realizado o juízo de retratação, com alteração do acórdão divergente, o tribunal de origem, se for o caso, decidirá as demais questões ainda não decididas cujo enfrentamento se tornou necessário em decorrência da alteração.</w:t>
      </w:r>
    </w:p>
    <w:p>
      <w:pPr>
        <w:pStyle w:val="BodyText"/>
        <w:spacing w:after="60"/>
        <w:jc w:val="both"/>
      </w:pPr>
      <w:r>
        <w:t xml:space="preserve">§ 2º A petição de agravo será dirigida ao presidente ou ao vice-presidente do tribunal de origem e independe do pagamento de custas e despesas postais, aplicando-se a ela o regime de repercussão geral, de relevância da questão de direito federal infraconstitucional e de recursos repetitivos, inclusive quanto à possibilidade de sobrestamento e do juízo de retratação. (Redação dada pela Lei nº 15.484, de 2026) Vigência</w:t>
      </w:r>
    </w:p>
    <w:bookmarkEnd w:id="878"/>
    <w:bookmarkEnd w:id="879"/>
    <w:bookmarkStart w:id="881" w:name="X332d1761fab1bff2f1c398958a70baad3f67094"/>
    <w:p>
      <w:pPr>
        <w:pStyle w:val="Heading5"/>
        <w:spacing w:before="60" w:after="20"/>
      </w:pPr>
      <w:r>
        <w:rPr>
          <w:i/>
          <w:color w:val="595959"/>
        </w:rPr>
        <w:t xml:space="preserve">Seção III: do agravo em recurso especial e em recurso extraordinário (arts. 1042)</w:t>
      </w:r>
    </w:p>
    <w:bookmarkStart w:id="880" w:name="art.-1042"/>
    <w:p>
      <w:pPr>
        <w:pStyle w:val="Heading6"/>
        <w:pBdr>
          <w:left w:val="single" w:sz="36" w:space="4" w:color="2E75B6"/>
        </w:pBdr>
        <w:shd w:val="clear" w:color="auto" w:fill="E3EEF9"/>
        <w:spacing w:before="120" w:after="60"/>
        <w:ind w:left="85"/>
      </w:pPr>
      <w:r>
        <w:rPr>
          <w:i w:val="0"/>
          <w:color w:val="1F3A5F"/>
          <w:sz w:val="22"/>
        </w:rPr>
        <w:t xml:space="preserve">Art. 1042</w:t>
      </w:r>
    </w:p>
    <w:p>
      <w:pPr>
        <w:pStyle w:val="FirstParagraph"/>
        <w:keepNext/>
        <w:spacing w:after="60"/>
        <w:jc w:val="both"/>
      </w:pPr>
      <w:r>
        <w:rPr>
          <w:b/>
          <w:bCs/>
        </w:rPr>
        <w:t xml:space="preserve">Art. 1042.</w:t>
      </w:r>
      <w:r>
        <w:t xml:space="preserve"> </w:t>
      </w:r>
      <w:r>
        <w:t xml:space="preserve">Cabe agravo contra decisão do presidente ou do vice-presidente do tribunal recorrido que inadmitir recurso extraordinário ou recurso especial, salvo quando fundada na aplicação de entendimento firmado em regimes de repercussão geral, de relevância da questão de direito federal infraconstitucional ou de julgamento de recursos repetitivos. (Redação dada pela Lei nº 15.484, de 2026) Vigência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653"/>
        <w:gridCol w:w="1655"/>
        <w:gridCol w:w="2778"/>
      </w:tblGrid>
      <w:tr>
        <w:trPr>
          <w:tblHeader w:val="on"/>
          <w:cantSplit/>
          <w:tblHeader/>
        </w:trPr>
        <w:tc>
          <w:tcPr>
            <w:tcW w:type="dxa" w:w="2653"/>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778"/>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653"/>
          </w:tcPr>
          <w:p>
            <w:pPr>
              <w:pStyle w:val="Compact"/>
              <w:spacing w:line="276" w:lineRule="auto" w:before="40" w:after="40"/>
            </w:pPr>
            <w:r>
              <w:rPr>
                <w:rFonts w:ascii="Liberation Sans Narrow" w:hAnsi="Liberation Sans Narrow"/>
                <w:sz w:val="17"/>
              </w:rPr>
              <w:t xml:space="preserve">Caput — cabimento do agravo contra a inadmissão do recurso (aplicação narrada)</w:t>
            </w:r>
          </w:p>
        </w:tc>
        <w:tc>
          <w:tcPr>
            <w:tcW w:type="dxa" w:w="1655"/>
          </w:tcPr>
          <w:p>
            <w:pPr>
              <w:pStyle w:val="Compact"/>
              <w:spacing w:line="276" w:lineRule="auto" w:before="40" w:after="40"/>
            </w:pPr>
            <w:r>
              <w:rPr>
                <w:rFonts w:ascii="Liberation Sans Narrow" w:hAnsi="Liberation Sans Narrow"/>
                <w:sz w:val="17"/>
              </w:rPr>
              <w:t xml:space="preserve">STJ, ARE no RE no AgInt no AREsp 1.948.309, Corte Especial, relatora Min. Maria Thereza de Assis Moura, julgado em 22/11/2022, DJe de 28/11/2022</w:t>
            </w:r>
          </w:p>
        </w:tc>
        <w:tc>
          <w:tcPr>
            <w:tcW w:type="dxa" w:w="2778"/>
          </w:tcPr>
          <w:p>
            <w:pPr>
              <w:pStyle w:val="Compact"/>
              <w:spacing w:line="276" w:lineRule="auto" w:before="40" w:after="40"/>
            </w:pPr>
            <w:r>
              <w:rPr>
                <w:rFonts w:ascii="Liberation Sans Narrow" w:hAnsi="Liberation Sans Narrow"/>
                <w:sz w:val="17"/>
              </w:rPr>
              <w:t xml:space="preserve">Contra a decisão que nega seguimento ao recurso extraordinário na sistemática da repercussão geral cabe agravo interno, e não agravo em recurso extraordinário; a interposição deste configura erro grosseiro, insuscetível de fungibilidade. Trecho: “A interposição de agravo em recurso extraordinário nesses casos configura erro grosseiro, impedindo a aplicação do princípio da fungibilidade.”</w:t>
            </w:r>
          </w:p>
        </w:tc>
      </w:tr>
      <w:tr>
        <w:trPr>
          <w:cantSplit/>
        </w:trPr>
        <w:tc>
          <w:tcPr>
            <w:tcW w:type="dxa" w:w="2653"/>
          </w:tcPr>
          <w:p>
            <w:pPr>
              <w:pStyle w:val="Compact"/>
              <w:spacing w:line="276" w:lineRule="auto" w:before="40" w:after="40"/>
            </w:pPr>
            <w:r>
              <w:rPr>
                <w:rFonts w:ascii="Liberation Sans Narrow" w:hAnsi="Liberation Sans Narrow"/>
                <w:sz w:val="17"/>
              </w:rPr>
              <w:t xml:space="preserve">Caput — unirrecorribilidade e preclusão consumativa</w:t>
            </w:r>
          </w:p>
        </w:tc>
        <w:tc>
          <w:tcPr>
            <w:tcW w:type="dxa" w:w="1655"/>
          </w:tcPr>
          <w:p>
            <w:pPr>
              <w:pStyle w:val="Compact"/>
              <w:spacing w:line="276" w:lineRule="auto" w:before="40" w:after="40"/>
            </w:pPr>
            <w:r>
              <w:rPr>
                <w:rFonts w:ascii="Liberation Sans Narrow" w:hAnsi="Liberation Sans Narrow"/>
                <w:sz w:val="17"/>
              </w:rPr>
              <w:t xml:space="preserve">STJ, ARE no RE nos EDcl no AgRg no REsp 1.791.589, Corte Especial, relatora Min. Maria Thereza de Assis Moura, julgado em 12/05/2020, DJe de 15/05/2020</w:t>
            </w:r>
          </w:p>
        </w:tc>
        <w:tc>
          <w:tcPr>
            <w:tcW w:type="dxa" w:w="2778"/>
          </w:tcPr>
          <w:p>
            <w:pPr>
              <w:pStyle w:val="Compact"/>
              <w:spacing w:line="276" w:lineRule="auto" w:before="40" w:after="40"/>
            </w:pPr>
            <w:r>
              <w:rPr>
                <w:rFonts w:ascii="Liberation Sans Narrow" w:hAnsi="Liberation Sans Narrow"/>
                <w:sz w:val="17"/>
              </w:rPr>
              <w:t xml:space="preserve">É manifestamente incabível o segundo recurso interposto pelas mesmas partes contra a mesma decisão, em razão da preclusão consumativa e do princípio da unirrecorribilidade; interpostos agravo interno e agravo em recurso extraordinário contra a decisão que negou seguimento ao extraordinário, não se conhece do segundo.</w:t>
            </w:r>
          </w:p>
        </w:tc>
      </w:tr>
    </w:tbl>
    <w:p>
      <w:pPr>
        <w:pStyle w:val="BodyText"/>
        <w:spacing w:after="60"/>
        <w:jc w:val="both"/>
      </w:pPr>
      <w:r>
        <w:t xml:space="preserve">I – ( Revogado ); (Redação dada pela Lei nº 13.256, de 2016)</w:t>
      </w:r>
    </w:p>
    <w:p>
      <w:pPr>
        <w:pStyle w:val="BodyText"/>
        <w:spacing w:after="60"/>
        <w:jc w:val="both"/>
      </w:pPr>
      <w:r>
        <w:t xml:space="preserve">II – ( Revogado ); (Redação dada pela Lei nº 13.256, de 2016)</w:t>
      </w:r>
    </w:p>
    <w:p>
      <w:pPr>
        <w:pStyle w:val="BodyText"/>
        <w:spacing w:after="60"/>
        <w:jc w:val="both"/>
      </w:pPr>
      <w:r>
        <w:t xml:space="preserve">III – ( Revogado ). (Redação dada pela Lei nº 13.256, de 2016)</w:t>
      </w:r>
    </w:p>
    <w:p>
      <w:pPr>
        <w:pStyle w:val="BodyText"/>
        <w:spacing w:after="60"/>
        <w:jc w:val="both"/>
      </w:pPr>
      <w:r>
        <w:t xml:space="preserve">§ 1º ( Revogado ): (Redação dada pela Lei nº 13.256, de 2016)</w:t>
      </w:r>
    </w:p>
    <w:p>
      <w:pPr>
        <w:pStyle w:val="BodyText"/>
        <w:spacing w:after="60"/>
        <w:jc w:val="both"/>
      </w:pPr>
      <w:r>
        <w:t xml:space="preserve">I – ( Revogado ); (Redação dada pela Lei nº 13.256, de 2016)</w:t>
      </w:r>
    </w:p>
    <w:p>
      <w:pPr>
        <w:pStyle w:val="BodyText"/>
        <w:spacing w:after="60"/>
        <w:jc w:val="both"/>
      </w:pPr>
      <w:r>
        <w:t xml:space="preserve">II – ( Revogado ): (Redação dada pela Lei nº 13.256, de 2016)</w:t>
      </w:r>
    </w:p>
    <w:p>
      <w:pPr>
        <w:pStyle w:val="BodyText"/>
        <w:spacing w:after="60"/>
        <w:jc w:val="both"/>
      </w:pPr>
      <w:r>
        <w:t xml:space="preserve">a) ( Revogada ); (Redação dada pela Lei nº 13.256, de 2016)</w:t>
      </w:r>
    </w:p>
    <w:p>
      <w:pPr>
        <w:pStyle w:val="BodyText"/>
        <w:spacing w:after="60"/>
        <w:jc w:val="both"/>
      </w:pPr>
      <w:r>
        <w:t xml:space="preserve">b) ( Revogada ). (Redação dada pela Lei nº 13.256, de 2016)</w:t>
      </w:r>
    </w:p>
    <w:p>
      <w:pPr>
        <w:pStyle w:val="BodyText"/>
        <w:spacing w:after="60"/>
        <w:jc w:val="both"/>
      </w:pPr>
      <w:r>
        <w:t xml:space="preserve">§ 2º A petição de agravo será dirigida ao presidente ou ao vice-presidente do tribunal de origem e independe do pagamento de custas e despesas postais, aplicando-se a ela o regime de repercussão geral, de relevância da questão de direito federal infraconstitucional e de recursos repetitivos, inclusive quanto à possibilidade de sobrestamento e do juízo de retratação. (Redação dada pela Lei nº 15.484, de 2026) Vigência</w:t>
      </w:r>
    </w:p>
    <w:p>
      <w:pPr>
        <w:pStyle w:val="BodyText"/>
        <w:spacing w:after="60"/>
        <w:jc w:val="both"/>
      </w:pPr>
      <w:r>
        <w:t xml:space="preserve">§ 3º O agravado será intimado, de imediato, para oferecer resposta no prazo de 15 (quinze) dias.</w:t>
      </w:r>
    </w:p>
    <w:p>
      <w:pPr>
        <w:pStyle w:val="BodyText"/>
        <w:spacing w:after="60"/>
        <w:jc w:val="both"/>
      </w:pPr>
      <w:r>
        <w:t xml:space="preserve">§ 4º Após o prazo de resposta, não havendo retratação, o agravo será remetido ao tribunal superior competente.</w:t>
      </w:r>
    </w:p>
    <w:p>
      <w:pPr>
        <w:pStyle w:val="BodyText"/>
        <w:spacing w:after="60"/>
        <w:jc w:val="both"/>
      </w:pPr>
      <w:r>
        <w:t xml:space="preserve">§ 5º O agravo poderá ser julgado, conforme o caso, conjuntamente com o recurso especial ou extraordinário, assegurada, neste caso, sustentação oral, observando-se, ainda, o disposto no regimento interno do tribunal respectivo.</w:t>
      </w:r>
    </w:p>
    <w:p>
      <w:pPr>
        <w:pStyle w:val="BodyText"/>
        <w:spacing w:after="60"/>
        <w:jc w:val="both"/>
      </w:pPr>
      <w:r>
        <w:t xml:space="preserve">§ 6º Na hipótese de interposição conjunta de recursos extraordinário e especial, o agravante deverá interpor um agravo para cada recurso não admitido.</w:t>
      </w:r>
    </w:p>
    <w:p>
      <w:pPr>
        <w:pStyle w:val="BodyText"/>
        <w:spacing w:after="60"/>
        <w:jc w:val="both"/>
      </w:pPr>
      <w:r>
        <w:t xml:space="preserve">§ 7º Havendo apenas um agravo, o recurso será remetido ao tribunal competente, e, havendo interposição conjunta, os autos serão remetidos ao Superior Tribunal de Justiça.</w:t>
      </w:r>
    </w:p>
    <w:p>
      <w:pPr>
        <w:pStyle w:val="BodyText"/>
        <w:spacing w:after="60"/>
        <w:jc w:val="both"/>
      </w:pPr>
      <w:r>
        <w:t xml:space="preserve">§ 8º Concluído o julgamento do agravo pelo Superior Tribunal de Justiça e, se for o caso, do recurso especial, independentemente de pedido, os autos serão remetidos ao Supremo Tribunal Federal para apreciação do agravo a ele dirigido, salvo se estiver prejudicado.</w:t>
      </w:r>
    </w:p>
    <w:bookmarkEnd w:id="880"/>
    <w:bookmarkEnd w:id="881"/>
    <w:bookmarkStart w:id="884" w:name="Xd62c9ee4f1a4bfec00478fd948fd7c597783fb2"/>
    <w:p>
      <w:pPr>
        <w:pStyle w:val="Heading5"/>
        <w:spacing w:before="60" w:after="20"/>
      </w:pPr>
      <w:r>
        <w:rPr>
          <w:i/>
          <w:color w:val="595959"/>
        </w:rPr>
        <w:t xml:space="preserve">Seção IV: dos embargos de divergência (arts. 1043 a 1044)</w:t>
      </w:r>
    </w:p>
    <w:bookmarkStart w:id="882" w:name="art.-1043"/>
    <w:p>
      <w:pPr>
        <w:pStyle w:val="Heading6"/>
        <w:pBdr>
          <w:left w:val="single" w:sz="36" w:space="4" w:color="2E75B6"/>
        </w:pBdr>
        <w:shd w:val="clear" w:color="auto" w:fill="E3EEF9"/>
        <w:spacing w:before="120" w:after="60"/>
        <w:ind w:left="85"/>
      </w:pPr>
      <w:r>
        <w:rPr>
          <w:i w:val="0"/>
          <w:color w:val="1F3A5F"/>
          <w:sz w:val="22"/>
        </w:rPr>
        <w:t xml:space="preserve">Art. 1043</w:t>
      </w:r>
    </w:p>
    <w:p>
      <w:pPr>
        <w:pStyle w:val="FirstParagraph"/>
        <w:spacing w:after="60"/>
        <w:jc w:val="both"/>
      </w:pPr>
      <w:r>
        <w:rPr>
          <w:b/>
          <w:bCs/>
        </w:rPr>
        <w:t xml:space="preserve">Art. 1043.</w:t>
      </w:r>
      <w:r>
        <w:t xml:space="preserve"> </w:t>
      </w:r>
      <w:r>
        <w:t xml:space="preserve">É embargável o acórdão de órgão fracionário que:</w:t>
      </w:r>
    </w:p>
    <w:p>
      <w:pPr>
        <w:pStyle w:val="BodyText"/>
        <w:keepNext/>
        <w:spacing w:after="60"/>
        <w:jc w:val="both"/>
      </w:pPr>
      <w:r>
        <w:t xml:space="preserve">I - em recurso extraordinário ou em recurso especial, divergir do julgamento de qualquer outro órgão do mesmo tribunal, sendo os acórdãos, embargado e paradigma, de mérito;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154"/>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I — exigência de acórdão de mérito</w:t>
            </w:r>
          </w:p>
        </w:tc>
        <w:tc>
          <w:tcPr>
            <w:tcW w:type="dxa" w:w="1531"/>
          </w:tcPr>
          <w:p>
            <w:pPr>
              <w:pStyle w:val="Compact"/>
              <w:spacing w:line="276" w:lineRule="auto" w:before="40" w:after="40"/>
            </w:pPr>
            <w:r>
              <w:rPr>
                <w:rFonts w:ascii="Liberation Sans Narrow" w:hAnsi="Liberation Sans Narrow"/>
                <w:sz w:val="17"/>
              </w:rPr>
              <w:t xml:space="preserve">STJ, AgRg nos EAREsp 3.111.286, Corte Especial, relator Min. Luis Felipe Salomão, julgado em 18/08/2026</w:t>
            </w:r>
          </w:p>
        </w:tc>
        <w:tc>
          <w:tcPr>
            <w:tcW w:type="dxa" w:w="2154"/>
          </w:tcPr>
          <w:p>
            <w:pPr>
              <w:pStyle w:val="Compact"/>
              <w:spacing w:line="276" w:lineRule="auto" w:before="40" w:after="40"/>
            </w:pPr>
            <w:r>
              <w:rPr>
                <w:rFonts w:ascii="Liberation Sans Narrow" w:hAnsi="Liberation Sans Narrow"/>
                <w:sz w:val="17"/>
              </w:rPr>
              <w:t xml:space="preserve">Os embargos de divergência exigem dissenso interpretativo entre órgãos fracionários do tribunal sobre matéria de mérito do recurso especial e não servem ao reexame de regras técnicas de admissibilidade (Súmula 315 do STJ).</w:t>
            </w:r>
          </w:p>
        </w:tc>
      </w:tr>
    </w:tbl>
    <w:p>
      <w:pPr>
        <w:pStyle w:val="BodyText"/>
        <w:spacing w:after="60"/>
        <w:jc w:val="both"/>
      </w:pPr>
      <w:r>
        <w:t xml:space="preserve">II - (Revogado pela Lei nº 13.256, de 2016)</w:t>
      </w:r>
    </w:p>
    <w:p>
      <w:pPr>
        <w:pStyle w:val="BodyText"/>
        <w:spacing w:after="60"/>
        <w:jc w:val="both"/>
      </w:pPr>
      <w:r>
        <w:t xml:space="preserve">III - em recurso extraordinário ou em recurso especial, divergir do julgamento de qualquer outro órgão do mesmo tribunal, sendo um acórdão de mérito e outro que não tenha conhecido do recurso, embora tenha apreciado a controvérsia;</w:t>
      </w:r>
    </w:p>
    <w:p>
      <w:pPr>
        <w:pStyle w:val="BodyText"/>
        <w:spacing w:after="60"/>
        <w:jc w:val="both"/>
      </w:pPr>
      <w:r>
        <w:t xml:space="preserve">IV - (Revogado pela Lei nº 13.256, de 2016)</w:t>
      </w:r>
    </w:p>
    <w:p>
      <w:pPr>
        <w:pStyle w:val="BodyText"/>
        <w:spacing w:after="60"/>
        <w:jc w:val="both"/>
      </w:pPr>
      <w:r>
        <w:t xml:space="preserve">§ 1º Poderão ser confrontadas teses jurídicas contidas em julgamentos de recursos e de ações de competência originária.</w:t>
      </w:r>
    </w:p>
    <w:p>
      <w:pPr>
        <w:pStyle w:val="BodyText"/>
        <w:spacing w:after="60"/>
        <w:jc w:val="both"/>
      </w:pPr>
      <w:r>
        <w:t xml:space="preserve">§ 2º A divergência que autoriza a interposição de embargos de divergência pode verificar-se na aplicação do direito material ou do direito processual.</w:t>
      </w:r>
    </w:p>
    <w:p>
      <w:pPr>
        <w:pStyle w:val="BodyText"/>
        <w:spacing w:after="60"/>
        <w:jc w:val="both"/>
      </w:pPr>
      <w:r>
        <w:t xml:space="preserve">§ 3º Cabem embargos de divergência quando o acórdão paradigma for da mesma turma que proferiu a decisão embargada, desde que sua composição tenha sofrido alteração em mais da metade de seus membros.</w:t>
      </w:r>
    </w:p>
    <w:p>
      <w:pPr>
        <w:pStyle w:val="BodyText"/>
        <w:keepNext/>
        <w:spacing w:after="60"/>
        <w:jc w:val="both"/>
      </w:pPr>
      <w:r>
        <w:t xml:space="preserve">§ 4º O recorrente provará a divergência com certidão, cópia ou citação de repositório oficial ou credenciado de jurisprudência, inclusive em mídia eletrônica, onde foi publicado o acórdão divergente, ou com a reprodução de julgado disponível na rede mundial de computadores, indicando a respectiva fonte, e mencionará as circunstâncias que identificam ou assemelham os casos confrontados.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1905"/>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 4º — prova da divergência</w:t>
            </w:r>
          </w:p>
        </w:tc>
        <w:tc>
          <w:tcPr>
            <w:tcW w:type="dxa" w:w="1531"/>
          </w:tcPr>
          <w:p>
            <w:pPr>
              <w:pStyle w:val="Compact"/>
              <w:spacing w:line="276" w:lineRule="auto" w:before="40" w:after="40"/>
            </w:pPr>
            <w:r>
              <w:rPr>
                <w:rFonts w:ascii="Liberation Sans Narrow" w:hAnsi="Liberation Sans Narrow"/>
                <w:sz w:val="17"/>
              </w:rPr>
              <w:t xml:space="preserve">STJ, AgRg nos EAREsp 3.109.991, Corte Especial, relator Min. Raul Araújo, julgado em 23/06/2026</w:t>
            </w:r>
          </w:p>
        </w:tc>
        <w:tc>
          <w:tcPr>
            <w:tcW w:type="dxa" w:w="1905"/>
          </w:tcPr>
          <w:p>
            <w:pPr>
              <w:pStyle w:val="Compact"/>
              <w:spacing w:line="276" w:lineRule="auto" w:before="40" w:after="40"/>
            </w:pPr>
            <w:r>
              <w:rPr>
                <w:rFonts w:ascii="Liberation Sans Narrow" w:hAnsi="Liberation Sans Narrow"/>
                <w:sz w:val="17"/>
              </w:rPr>
              <w:t xml:space="preserve">O dissídio autorizador dos embargos de divergência há de ser comprovado na forma do art. 266, § 4º, do RISTJ, c/c os arts. 1.043, § 4º, e 1.044 do CPC, inclusive mediante o indispensável cotejo analítico entre o acórdão embargado e os paradigmas.</w:t>
            </w:r>
          </w:p>
        </w:tc>
      </w:tr>
    </w:tbl>
    <w:p>
      <w:pPr>
        <w:pStyle w:val="BodyText"/>
        <w:spacing w:after="60"/>
        <w:jc w:val="both"/>
      </w:pPr>
      <w:r>
        <w:t xml:space="preserve">§ 5º (Revogado pela Lei nº 13.256, de 2016)</w:t>
      </w:r>
    </w:p>
    <w:bookmarkEnd w:id="882"/>
    <w:bookmarkStart w:id="883" w:name="art.-1044"/>
    <w:p>
      <w:pPr>
        <w:pStyle w:val="Heading6"/>
        <w:pBdr>
          <w:left w:val="single" w:sz="36" w:space="4" w:color="2E75B6"/>
        </w:pBdr>
        <w:shd w:val="clear" w:color="auto" w:fill="E3EEF9"/>
        <w:spacing w:before="120" w:after="60"/>
        <w:ind w:left="85"/>
      </w:pPr>
      <w:r>
        <w:rPr>
          <w:i w:val="0"/>
          <w:color w:val="1F3A5F"/>
          <w:sz w:val="22"/>
        </w:rPr>
        <w:t xml:space="preserve">Art. 1044</w:t>
      </w:r>
    </w:p>
    <w:p>
      <w:pPr>
        <w:pStyle w:val="FirstParagraph"/>
        <w:spacing w:after="60"/>
        <w:jc w:val="both"/>
      </w:pPr>
      <w:r>
        <w:rPr>
          <w:b/>
          <w:bCs/>
        </w:rPr>
        <w:t xml:space="preserve">Art. 1044.</w:t>
      </w:r>
      <w:r>
        <w:t xml:space="preserve"> </w:t>
      </w:r>
      <w:r>
        <w:t xml:space="preserve">No recurso de embargos de divergência, será observado o procedimento estabelecido no regimento interno do respectivo tribunal superior.</w:t>
      </w:r>
    </w:p>
    <w:p>
      <w:pPr>
        <w:pStyle w:val="BodyText"/>
        <w:spacing w:after="60"/>
        <w:jc w:val="both"/>
      </w:pPr>
      <w:r>
        <w:t xml:space="preserve">§ 1º A interposição de embargos de divergência no Superior Tribunal de Justiça interrompe o prazo para interposição de recurso extraordinário por qualquer das partes.</w:t>
      </w:r>
    </w:p>
    <w:p>
      <w:pPr>
        <w:pStyle w:val="BodyText"/>
        <w:spacing w:after="60"/>
        <w:jc w:val="both"/>
      </w:pPr>
      <w:r>
        <w:t xml:space="preserve">§ 2º Se os embargos de divergência forem desprovidos ou não alterarem a conclusão do julgamento anterior, o recurso extraordinário interposto pela outra parte antes da publicação do julgamento dos embargos de divergência será processado e julgado independentemente de ratificação.</w:t>
      </w:r>
    </w:p>
    <w:bookmarkEnd w:id="883"/>
    <w:bookmarkEnd w:id="884"/>
    <w:bookmarkEnd w:id="885"/>
    <w:bookmarkEnd w:id="886"/>
    <w:bookmarkEnd w:id="887"/>
    <w:bookmarkStart w:id="917" w:name="X1573266528f64c0b1e4ccd308baedcf511fde88"/>
    <w:p>
      <w:pPr>
        <w:spacing w:before="0" w:after="0" w:line="20" w:lineRule="exact"/>
        <w:sectPr>
          <w:headerReference w:type="default" r:id="rId12"/>
          <w:footnotePr>
            <w:numRestart w:val="eachSect"/>
          </w:footnotePr>
          <w:pgSz w:w="11906" w:h="16838"/>
          <w:pgMar w:top="850" w:left="850" w:bottom="964" w:right="850"/>
          <w:cols w:num="2" w:space="340"/>
        </w:sectPr>
      </w:pPr>
    </w:p>
    <w:p>
      <w:pPr>
        <w:pStyle w:val="Heading2"/>
        <w:shd w:val="clear" w:color="auto" w:fill="1F3A5F"/>
        <w:spacing w:before="0" w:after="60"/>
        <w:ind w:left="113"/>
      </w:pPr>
      <w:r>
        <w:rPr>
          <w:color w:val="FFFFFF"/>
          <w:sz w:val="26"/>
        </w:rPr>
        <w:t xml:space="preserve">Livro Complementar: disposições finais e transitórias (arts. 1.045 a 1.072)</w:t>
      </w:r>
    </w:p>
    <w:bookmarkStart w:id="916" w:name="disposições-arts.-1045-a-1072"/>
    <w:p>
      <w:pPr>
        <w:pStyle w:val="Heading3"/>
        <w:pBdr>
          <w:bottom w:val="single" w:sz="8" w:space="2" w:color="2E75B6"/>
        </w:pBdr>
        <w:spacing w:before="120" w:after="60"/>
      </w:pPr>
      <w:r>
        <w:rPr>
          <w:sz w:val="22"/>
        </w:rPr>
        <w:t xml:space="preserve">Disposições (arts. 1045 a 1072)</w:t>
      </w:r>
    </w:p>
    <w:bookmarkStart w:id="888" w:name="art.-1045"/>
    <w:p>
      <w:pPr>
        <w:pStyle w:val="Heading6"/>
        <w:pBdr>
          <w:left w:val="single" w:sz="36" w:space="4" w:color="2E75B6"/>
        </w:pBdr>
        <w:shd w:val="clear" w:color="auto" w:fill="E3EEF9"/>
        <w:spacing w:before="120" w:after="60"/>
        <w:ind w:left="85"/>
      </w:pPr>
      <w:r>
        <w:rPr>
          <w:i w:val="0"/>
          <w:color w:val="1F3A5F"/>
          <w:sz w:val="22"/>
        </w:rPr>
        <w:t xml:space="preserve">Art. 1045</w:t>
      </w:r>
    </w:p>
    <w:p>
      <w:pPr>
        <w:pStyle w:val="FirstParagraph"/>
        <w:spacing w:after="60"/>
        <w:jc w:val="both"/>
      </w:pPr>
      <w:r>
        <w:rPr>
          <w:b/>
          <w:bCs/>
        </w:rPr>
        <w:t xml:space="preserve">Art. 1045.</w:t>
      </w:r>
      <w:r>
        <w:t xml:space="preserve"> </w:t>
      </w:r>
      <w:r>
        <w:t xml:space="preserve">Este Código entra em vigor após decorrido 1 (um) ano da data de sua publicação oficial.</w:t>
      </w:r>
    </w:p>
    <w:bookmarkEnd w:id="888"/>
    <w:bookmarkStart w:id="889" w:name="art.-1046"/>
    <w:p>
      <w:pPr>
        <w:pStyle w:val="Heading6"/>
        <w:pBdr>
          <w:left w:val="single" w:sz="36" w:space="4" w:color="2E75B6"/>
        </w:pBdr>
        <w:shd w:val="clear" w:color="auto" w:fill="E3EEF9"/>
        <w:spacing w:before="120" w:after="60"/>
        <w:ind w:left="85"/>
      </w:pPr>
      <w:r>
        <w:rPr>
          <w:i w:val="0"/>
          <w:color w:val="1F3A5F"/>
          <w:sz w:val="22"/>
        </w:rPr>
        <w:t xml:space="preserve">Art. 1046</w:t>
      </w:r>
    </w:p>
    <w:p>
      <w:pPr>
        <w:pStyle w:val="FirstParagraph"/>
        <w:spacing w:after="60"/>
        <w:jc w:val="both"/>
      </w:pPr>
      <w:r>
        <w:rPr>
          <w:b/>
          <w:bCs/>
        </w:rPr>
        <w:t xml:space="preserve">Art. 1046.</w:t>
      </w:r>
      <w:r>
        <w:t xml:space="preserve"> </w:t>
      </w:r>
      <w:r>
        <w:t xml:space="preserve">Ao entrar em vigor este Código, suas disposições se aplicarão desde logo aos processos pendentes, ficando revogada a Lei nº 5.869, de 11 de janeiro de 1973.</w:t>
      </w:r>
    </w:p>
    <w:p>
      <w:pPr>
        <w:pStyle w:val="BodyText"/>
        <w:spacing w:after="60"/>
        <w:jc w:val="both"/>
      </w:pPr>
      <w:r>
        <w:t xml:space="preserve">§ 1º As disposições da Lei nº 5.869, de 11 de janeiro de 1973, relativas ao procedimento sumário e aos procedimentos especiais que forem revogadas aplicar-se-ão às ações propostas e não sentenciadas até o início da vigência deste Código.</w:t>
      </w:r>
    </w:p>
    <w:p>
      <w:pPr>
        <w:pStyle w:val="BodyText"/>
        <w:spacing w:after="60"/>
        <w:jc w:val="both"/>
      </w:pPr>
      <w:r>
        <w:t xml:space="preserve">§ 2º Permanecem em vigor as disposições especiais dos procedimentos regulados em outras leis, aos quais se aplicará supletivamente este Código.</w:t>
      </w:r>
    </w:p>
    <w:p>
      <w:pPr>
        <w:pStyle w:val="BodyText"/>
        <w:spacing w:after="60"/>
        <w:jc w:val="both"/>
      </w:pPr>
      <w:r>
        <w:t xml:space="preserve">§ 3º Os processos mencionados no art. 1.218 da Lei nº 5.869, de 11 de janeiro de 1973, cujo procedimento ainda não tenha sido incorporado por lei submetem-se ao procedimento comum previsto neste Código.</w:t>
      </w:r>
    </w:p>
    <w:p>
      <w:pPr>
        <w:pStyle w:val="BodyText"/>
        <w:spacing w:after="60"/>
        <w:jc w:val="both"/>
      </w:pPr>
      <w:r>
        <w:t xml:space="preserve">§ 4º As remissões a disposições do Código de Processo Civil revogado, existentes em outras leis, passam a referir-se às que lhes são correspondentes neste Código.</w:t>
      </w:r>
    </w:p>
    <w:p>
      <w:pPr>
        <w:pStyle w:val="BodyText"/>
        <w:spacing w:after="60"/>
        <w:jc w:val="both"/>
      </w:pPr>
      <w:r>
        <w:t xml:space="preserve">§ 5º A primeira lista de processos para julgamento em ordem cronológica observará a antiguidade da distribuição entre os já conclusos na data da entrada em vigor deste Código.</w:t>
      </w:r>
    </w:p>
    <w:bookmarkEnd w:id="889"/>
    <w:bookmarkStart w:id="890" w:name="art.-1047"/>
    <w:p>
      <w:pPr>
        <w:pStyle w:val="Heading6"/>
        <w:pBdr>
          <w:left w:val="single" w:sz="36" w:space="4" w:color="2E75B6"/>
        </w:pBdr>
        <w:shd w:val="clear" w:color="auto" w:fill="E3EEF9"/>
        <w:spacing w:before="120" w:after="60"/>
        <w:ind w:left="85"/>
      </w:pPr>
      <w:r>
        <w:rPr>
          <w:i w:val="0"/>
          <w:color w:val="1F3A5F"/>
          <w:sz w:val="22"/>
        </w:rPr>
        <w:t xml:space="preserve">Art. 1047</w:t>
      </w:r>
    </w:p>
    <w:p>
      <w:pPr>
        <w:pStyle w:val="FirstParagraph"/>
        <w:spacing w:after="60"/>
        <w:jc w:val="both"/>
      </w:pPr>
      <w:r>
        <w:rPr>
          <w:b/>
          <w:bCs/>
        </w:rPr>
        <w:t xml:space="preserve">Art. 1047.</w:t>
      </w:r>
      <w:r>
        <w:t xml:space="preserve"> </w:t>
      </w:r>
      <w:r>
        <w:t xml:space="preserve">As disposições de direito probatório adotadas neste Código aplicam-se apenas às provas requeridas ou determinadas de ofício a partir da data de início de sua vigência.</w:t>
      </w:r>
    </w:p>
    <w:bookmarkEnd w:id="890"/>
    <w:bookmarkStart w:id="891" w:name="art.-1048"/>
    <w:p>
      <w:pPr>
        <w:pStyle w:val="Heading6"/>
        <w:pBdr>
          <w:left w:val="single" w:sz="36" w:space="4" w:color="2E75B6"/>
        </w:pBdr>
        <w:shd w:val="clear" w:color="auto" w:fill="E3EEF9"/>
        <w:spacing w:before="120" w:after="60"/>
        <w:ind w:left="85"/>
      </w:pPr>
      <w:r>
        <w:rPr>
          <w:i w:val="0"/>
          <w:color w:val="1F3A5F"/>
          <w:sz w:val="22"/>
        </w:rPr>
        <w:t xml:space="preserve">Art. 1048</w:t>
      </w:r>
    </w:p>
    <w:p>
      <w:pPr>
        <w:pStyle w:val="FirstParagraph"/>
        <w:spacing w:after="60"/>
        <w:jc w:val="both"/>
      </w:pPr>
      <w:r>
        <w:rPr>
          <w:b/>
          <w:bCs/>
        </w:rPr>
        <w:t xml:space="preserve">Art. 1048.</w:t>
      </w:r>
      <w:r>
        <w:t xml:space="preserve"> </w:t>
      </w:r>
      <w:r>
        <w:t xml:space="preserve">Terão prioridade de tramitação, em qualquer juízo ou tribunal, os procedimentos judiciais:</w:t>
      </w:r>
    </w:p>
    <w:p>
      <w:pPr>
        <w:pStyle w:val="BodyText"/>
        <w:spacing w:after="60"/>
        <w:jc w:val="both"/>
      </w:pPr>
      <w:r>
        <w:t xml:space="preserve">I - em que figure como parte ou interessado pessoa com idade igual ou superior a 60 (sessenta) anos ou portadora de doença grave, assim compreendida qualquer das enumeradas no art. 6º, inciso XIV, da Lei nº 7.713, de 22 de dezembro de 1988;</w:t>
      </w:r>
    </w:p>
    <w:p>
      <w:pPr>
        <w:pStyle w:val="BodyText"/>
        <w:spacing w:after="60"/>
        <w:jc w:val="both"/>
      </w:pPr>
      <w:r>
        <w:t xml:space="preserve">II - regulados pela Lei nº 8.069, de 13 de julho de 1990 (Estatuto da Criança e do Adolescente) .</w:t>
      </w:r>
    </w:p>
    <w:p>
      <w:pPr>
        <w:pStyle w:val="BodyText"/>
        <w:spacing w:after="60"/>
        <w:jc w:val="both"/>
      </w:pPr>
      <w:r>
        <w:t xml:space="preserve">III - em que figure como parte a vítima de violência doméstica e familiar, nos termos da Lei nº 11.340, de 7 de agosto de 2006 (Lei Maria da Penha). (Incluído pela Lei nº 13.894, de 2019)</w:t>
      </w:r>
    </w:p>
    <w:p>
      <w:pPr>
        <w:pStyle w:val="BodyText"/>
        <w:spacing w:after="60"/>
        <w:jc w:val="both"/>
      </w:pPr>
      <w:r>
        <w:t xml:space="preserve">IV - em que se discuta a aplicação do disposto nas normas gerais de licitação e contratação a que se refere o inciso XXVII do caput do art. 22 da Constituição Federal. (Incluído pela Lei nº 14.133, de 2021)</w:t>
      </w:r>
    </w:p>
    <w:p>
      <w:pPr>
        <w:pStyle w:val="BodyText"/>
        <w:spacing w:after="60"/>
        <w:jc w:val="both"/>
      </w:pPr>
      <w:r>
        <w:t xml:space="preserve">§ 1º A pessoa interessada na obtenção do benefício, juntando prova de sua condição, deverá requerê-lo à autoridade judiciária competente para decidir o feito, que determinará ao cartório do juízo as providências a serem cumpridas.</w:t>
      </w:r>
    </w:p>
    <w:p>
      <w:pPr>
        <w:pStyle w:val="BodyText"/>
        <w:spacing w:after="60"/>
        <w:jc w:val="both"/>
      </w:pPr>
      <w:r>
        <w:t xml:space="preserve">§ 2º Deferida a prioridade, os autos receberão identificação própria que evidencie o regime de tramitação prioritária.</w:t>
      </w:r>
    </w:p>
    <w:p>
      <w:pPr>
        <w:pStyle w:val="BodyText"/>
        <w:spacing w:after="60"/>
        <w:jc w:val="both"/>
      </w:pPr>
      <w:r>
        <w:t xml:space="preserve">§ 3º Concedida a prioridade, essa não cessará com a morte do beneficiado, estendendo-se em favor do cônjuge supérstite ou do companheiro em união estável.</w:t>
      </w:r>
    </w:p>
    <w:p>
      <w:pPr>
        <w:pStyle w:val="BodyText"/>
        <w:spacing w:after="60"/>
        <w:jc w:val="both"/>
      </w:pPr>
      <w:r>
        <w:t xml:space="preserve">§ 4º A tramitação prioritária independe de deferimento pelo órgão jurisdicional e deverá ser imediatamente concedida diante da prova da condição de beneficiário.</w:t>
      </w:r>
    </w:p>
    <w:bookmarkEnd w:id="891"/>
    <w:bookmarkStart w:id="892" w:name="art.-1049"/>
    <w:p>
      <w:pPr>
        <w:pStyle w:val="Heading6"/>
        <w:pBdr>
          <w:left w:val="single" w:sz="36" w:space="4" w:color="2E75B6"/>
        </w:pBdr>
        <w:shd w:val="clear" w:color="auto" w:fill="E3EEF9"/>
        <w:spacing w:before="120" w:after="60"/>
        <w:ind w:left="85"/>
      </w:pPr>
      <w:r>
        <w:rPr>
          <w:i w:val="0"/>
          <w:color w:val="1F3A5F"/>
          <w:sz w:val="22"/>
        </w:rPr>
        <w:t xml:space="preserve">Art. 1049</w:t>
      </w:r>
    </w:p>
    <w:p>
      <w:pPr>
        <w:pStyle w:val="FirstParagraph"/>
        <w:spacing w:after="60"/>
        <w:jc w:val="both"/>
      </w:pPr>
      <w:r>
        <w:rPr>
          <w:b/>
          <w:bCs/>
        </w:rPr>
        <w:t xml:space="preserve">Art. 1049.</w:t>
      </w:r>
      <w:r>
        <w:t xml:space="preserve"> </w:t>
      </w:r>
      <w:r>
        <w:t xml:space="preserve">Sempre que a lei remeter a procedimento previsto na lei processual sem especificá-lo, será observado o procedimento comum previsto neste Código.</w:t>
      </w:r>
    </w:p>
    <w:p>
      <w:pPr>
        <w:pStyle w:val="BodyText"/>
        <w:spacing w:after="60"/>
        <w:jc w:val="both"/>
      </w:pPr>
      <w:r>
        <w:t xml:space="preserve">Parágrafo único. Na hipótese de a lei remeter ao procedimento sumário, será observado o procedimento comum previsto neste Código, com as modificações previstas na própria lei especial, se houver.</w:t>
      </w:r>
    </w:p>
    <w:bookmarkEnd w:id="892"/>
    <w:bookmarkStart w:id="893" w:name="art.-1050"/>
    <w:p>
      <w:pPr>
        <w:pStyle w:val="Heading6"/>
        <w:pBdr>
          <w:left w:val="single" w:sz="36" w:space="4" w:color="2E75B6"/>
        </w:pBdr>
        <w:shd w:val="clear" w:color="auto" w:fill="E3EEF9"/>
        <w:spacing w:before="120" w:after="60"/>
        <w:ind w:left="85"/>
      </w:pPr>
      <w:r>
        <w:rPr>
          <w:i w:val="0"/>
          <w:color w:val="1F3A5F"/>
          <w:sz w:val="22"/>
        </w:rPr>
        <w:t xml:space="preserve">Art. 1050</w:t>
      </w:r>
    </w:p>
    <w:p>
      <w:pPr>
        <w:pStyle w:val="FirstParagraph"/>
        <w:spacing w:after="60"/>
        <w:jc w:val="both"/>
      </w:pPr>
      <w:r>
        <w:rPr>
          <w:b/>
          <w:bCs/>
        </w:rPr>
        <w:t xml:space="preserve">Art. 1050.</w:t>
      </w:r>
      <w:r>
        <w:t xml:space="preserve"> </w:t>
      </w:r>
      <w:r>
        <w:t xml:space="preserve">A União, os Estados, o Distrito Federal, os Municípios, suas respectivas entidades da administração indireta, o Ministério Público, a Defensoria Pública e a Advocacia Pública, no prazo de 30 (trinta) dias a contar da data da entrada em vigor deste Código , deverão se cadastrar perante a administração do tribunal no qual atuem para cumprimento do disposto nos arts. 246, § 2º, e 270, parágrafo único.</w:t>
      </w:r>
    </w:p>
    <w:bookmarkEnd w:id="893"/>
    <w:bookmarkStart w:id="894" w:name="art.-1051"/>
    <w:p>
      <w:pPr>
        <w:pStyle w:val="Heading6"/>
        <w:pBdr>
          <w:left w:val="single" w:sz="36" w:space="4" w:color="2E75B6"/>
        </w:pBdr>
        <w:shd w:val="clear" w:color="auto" w:fill="E3EEF9"/>
        <w:spacing w:before="120" w:after="60"/>
        <w:ind w:left="85"/>
      </w:pPr>
      <w:r>
        <w:rPr>
          <w:i w:val="0"/>
          <w:color w:val="1F3A5F"/>
          <w:sz w:val="22"/>
        </w:rPr>
        <w:t xml:space="preserve">Art. 1051</w:t>
      </w:r>
    </w:p>
    <w:p>
      <w:pPr>
        <w:pStyle w:val="FirstParagraph"/>
        <w:spacing w:after="60"/>
        <w:jc w:val="both"/>
      </w:pPr>
      <w:r>
        <w:rPr>
          <w:b/>
          <w:bCs/>
        </w:rPr>
        <w:t xml:space="preserve">Art. 1051.</w:t>
      </w:r>
      <w:r>
        <w:t xml:space="preserve"> </w:t>
      </w:r>
      <w:r>
        <w:t xml:space="preserve">As empresas públicas e privadas devem cumprir o disposto no art. 246, § 1º, no prazo de 30 (trinta) dias, a contar da data de inscrição do ato constitutivo da pessoa jurídica, perante o juízo onde tenham sede ou filial.</w:t>
      </w:r>
    </w:p>
    <w:p>
      <w:pPr>
        <w:pStyle w:val="BodyText"/>
        <w:spacing w:after="60"/>
        <w:jc w:val="both"/>
      </w:pPr>
      <w:r>
        <w:t xml:space="preserve">Parágrafo único. O disposto no caput não se aplica às microempresas e às empresas de pequeno porte.</w:t>
      </w:r>
    </w:p>
    <w:bookmarkEnd w:id="894"/>
    <w:bookmarkStart w:id="895" w:name="art.-1052"/>
    <w:p>
      <w:pPr>
        <w:pStyle w:val="Heading6"/>
        <w:pBdr>
          <w:left w:val="single" w:sz="36" w:space="4" w:color="2E75B6"/>
        </w:pBdr>
        <w:shd w:val="clear" w:color="auto" w:fill="E3EEF9"/>
        <w:spacing w:before="120" w:after="60"/>
        <w:ind w:left="85"/>
      </w:pPr>
      <w:r>
        <w:rPr>
          <w:i w:val="0"/>
          <w:color w:val="1F3A5F"/>
          <w:sz w:val="22"/>
        </w:rPr>
        <w:t xml:space="preserve">Art. 1052</w:t>
      </w:r>
    </w:p>
    <w:p>
      <w:pPr>
        <w:pStyle w:val="FirstParagraph"/>
        <w:keepNext/>
        <w:spacing w:after="60"/>
        <w:jc w:val="both"/>
      </w:pPr>
      <w:r>
        <w:rPr>
          <w:b/>
          <w:bCs/>
        </w:rPr>
        <w:t xml:space="preserve">Art. 1052.</w:t>
      </w:r>
      <w:r>
        <w:t xml:space="preserve"> </w:t>
      </w:r>
      <w:r>
        <w:t xml:space="preserve">Até a edição de lei específica, as execuções contra devedor insolvente, em curso ou que venham a ser propostas, permanecem reguladas pelo Livro II, Título IV, da Lei nº 5.869, de 11 de janeiro de 1973.</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1905"/>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insolvência civil regida pelo CPC de 1973</w:t>
            </w:r>
          </w:p>
        </w:tc>
        <w:tc>
          <w:tcPr>
            <w:tcW w:type="dxa" w:w="1655"/>
          </w:tcPr>
          <w:p>
            <w:pPr>
              <w:pStyle w:val="Compact"/>
              <w:spacing w:line="276" w:lineRule="auto" w:before="40" w:after="40"/>
            </w:pPr>
            <w:r>
              <w:rPr>
                <w:rFonts w:ascii="Liberation Sans Narrow" w:hAnsi="Liberation Sans Narrow"/>
                <w:sz w:val="17"/>
              </w:rPr>
              <w:t xml:space="preserve">STJ, REsp 2.258.692, Terceira Turma, relatora Min. Nancy Andrighi, julgado em 04/08/2026</w:t>
            </w:r>
          </w:p>
        </w:tc>
        <w:tc>
          <w:tcPr>
            <w:tcW w:type="dxa" w:w="1905"/>
          </w:tcPr>
          <w:p>
            <w:pPr>
              <w:pStyle w:val="Compact"/>
              <w:spacing w:line="276" w:lineRule="auto" w:before="40" w:after="40"/>
            </w:pPr>
            <w:r>
              <w:rPr>
                <w:rFonts w:ascii="Liberation Sans Narrow" w:hAnsi="Liberation Sans Narrow"/>
                <w:sz w:val="17"/>
              </w:rPr>
              <w:t xml:space="preserve">Nos termos do art. 1.052 do CPC de 2015, até a edição de lei específica o procedimento de declaração de insolvência civil permanece disciplinado pelo CPC de 1973, em rito bifásico: fase cognitiva encerrada com a declaração de insolvência e fase de arrecadação, concurso e expropriação.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remissão ao CPC de 1973 e prazo de extinção das obrigações</w:t>
            </w:r>
          </w:p>
        </w:tc>
        <w:tc>
          <w:tcPr>
            <w:tcW w:type="dxa" w:w="1655"/>
          </w:tcPr>
          <w:p>
            <w:pPr>
              <w:pStyle w:val="Compact"/>
              <w:spacing w:line="276" w:lineRule="auto" w:before="40" w:after="40"/>
            </w:pPr>
            <w:r>
              <w:rPr>
                <w:rFonts w:ascii="Liberation Sans Narrow" w:hAnsi="Liberation Sans Narrow"/>
                <w:sz w:val="17"/>
              </w:rPr>
              <w:t xml:space="preserve">STJ, REsp 2.189.144, Terceira Turma, relator Min. Humberto Martins, julgado em 09/03/2026, DJEN de 12/03/2026</w:t>
            </w:r>
          </w:p>
        </w:tc>
        <w:tc>
          <w:tcPr>
            <w:tcW w:type="dxa" w:w="1905"/>
          </w:tcPr>
          <w:p>
            <w:pPr>
              <w:pStyle w:val="Compact"/>
              <w:spacing w:line="276" w:lineRule="auto" w:before="40" w:after="40"/>
            </w:pPr>
            <w:r>
              <w:rPr>
                <w:rFonts w:ascii="Liberation Sans Narrow" w:hAnsi="Liberation Sans Narrow"/>
                <w:sz w:val="17"/>
              </w:rPr>
              <w:t xml:space="preserve">Em razão do art. 1.052 do CPC de 2015 e da ausência de lei específica, a insolvência civil continua regida pelos arts. 748 a 786-A do CPC de 1973, e as obrigações do devedor extinguem-se após cinco anos contados do encerramento do processo (art. 778 do CPC de 1973).</w:t>
            </w:r>
          </w:p>
        </w:tc>
      </w:tr>
    </w:tbl>
    <w:bookmarkEnd w:id="895"/>
    <w:bookmarkStart w:id="896" w:name="art.-1053"/>
    <w:p>
      <w:pPr>
        <w:pStyle w:val="Heading6"/>
        <w:pBdr>
          <w:left w:val="single" w:sz="36" w:space="4" w:color="2E75B6"/>
        </w:pBdr>
        <w:shd w:val="clear" w:color="auto" w:fill="E3EEF9"/>
        <w:spacing w:before="120" w:after="60"/>
        <w:ind w:left="85"/>
      </w:pPr>
      <w:r>
        <w:rPr>
          <w:i w:val="0"/>
          <w:color w:val="1F3A5F"/>
          <w:sz w:val="22"/>
        </w:rPr>
        <w:t xml:space="preserve">Art. 1053</w:t>
      </w:r>
    </w:p>
    <w:p>
      <w:pPr>
        <w:pStyle w:val="FirstParagraph"/>
        <w:spacing w:after="60"/>
        <w:jc w:val="both"/>
      </w:pPr>
      <w:r>
        <w:rPr>
          <w:b/>
          <w:bCs/>
        </w:rPr>
        <w:t xml:space="preserve">Art. 1053.</w:t>
      </w:r>
      <w:r>
        <w:t xml:space="preserve"> </w:t>
      </w:r>
      <w:r>
        <w:t xml:space="preserve">Os atos processuais praticados por meio eletrônico até a transição definitiva para certificação digital ficam convalidados, ainda que não tenham observado os requisitos mínimos estabelecidos por este Código, desde que tenham atingido sua finalidade e não tenha havido prejuízo à defesa de qualquer das partes.</w:t>
      </w:r>
    </w:p>
    <w:bookmarkEnd w:id="896"/>
    <w:bookmarkStart w:id="897" w:name="art.-1054"/>
    <w:p>
      <w:pPr>
        <w:pStyle w:val="Heading6"/>
        <w:pBdr>
          <w:left w:val="single" w:sz="36" w:space="4" w:color="2E75B6"/>
        </w:pBdr>
        <w:shd w:val="clear" w:color="auto" w:fill="E3EEF9"/>
        <w:spacing w:before="120" w:after="60"/>
        <w:ind w:left="85"/>
      </w:pPr>
      <w:r>
        <w:rPr>
          <w:i w:val="0"/>
          <w:color w:val="1F3A5F"/>
          <w:sz w:val="22"/>
        </w:rPr>
        <w:t xml:space="preserve">Art. 1054</w:t>
      </w:r>
    </w:p>
    <w:p>
      <w:pPr>
        <w:pStyle w:val="FirstParagraph"/>
        <w:spacing w:after="60"/>
        <w:jc w:val="both"/>
      </w:pPr>
      <w:r>
        <w:rPr>
          <w:b/>
          <w:bCs/>
        </w:rPr>
        <w:t xml:space="preserve">Art. 1054.</w:t>
      </w:r>
      <w:r>
        <w:t xml:space="preserve"> </w:t>
      </w:r>
      <w:r>
        <w:t xml:space="preserve">O disposto no art. 503, § 1º, somente se aplica aos processos iniciados após a vigência deste Código, aplicando-se aos anteriores o disposto nos arts. 5º , 325 e 470 da Lei nº 5.869, de 11 de janeiro de 1973.</w:t>
      </w:r>
    </w:p>
    <w:bookmarkEnd w:id="897"/>
    <w:bookmarkStart w:id="898" w:name="art.-1055"/>
    <w:p>
      <w:pPr>
        <w:pStyle w:val="Heading6"/>
        <w:pBdr>
          <w:left w:val="single" w:sz="36" w:space="4" w:color="2E75B6"/>
        </w:pBdr>
        <w:shd w:val="clear" w:color="auto" w:fill="E3EEF9"/>
        <w:spacing w:before="120" w:after="60"/>
        <w:ind w:left="85"/>
      </w:pPr>
      <w:r>
        <w:rPr>
          <w:i w:val="0"/>
          <w:color w:val="1F3A5F"/>
          <w:sz w:val="22"/>
        </w:rPr>
        <w:t xml:space="preserve">Art. 1055</w:t>
      </w:r>
    </w:p>
    <w:p>
      <w:pPr>
        <w:pStyle w:val="FirstParagraph"/>
        <w:spacing w:after="60"/>
        <w:jc w:val="both"/>
      </w:pPr>
      <w:r>
        <w:rPr>
          <w:b/>
          <w:bCs/>
        </w:rPr>
        <w:t xml:space="preserve">Art. 1055.</w:t>
      </w:r>
      <w:r>
        <w:t xml:space="preserve"> </w:t>
      </w:r>
      <w:r>
        <w:t xml:space="preserve">(VETADO).</w:t>
      </w:r>
    </w:p>
    <w:bookmarkEnd w:id="898"/>
    <w:bookmarkStart w:id="899" w:name="art.-1056"/>
    <w:p>
      <w:pPr>
        <w:pStyle w:val="Heading6"/>
        <w:pBdr>
          <w:left w:val="single" w:sz="36" w:space="4" w:color="2E75B6"/>
        </w:pBdr>
        <w:shd w:val="clear" w:color="auto" w:fill="E3EEF9"/>
        <w:spacing w:before="120" w:after="60"/>
        <w:ind w:left="85"/>
      </w:pPr>
      <w:r>
        <w:rPr>
          <w:i w:val="0"/>
          <w:color w:val="1F3A5F"/>
          <w:sz w:val="22"/>
        </w:rPr>
        <w:t xml:space="preserve">Art. 1056</w:t>
      </w:r>
    </w:p>
    <w:p>
      <w:pPr>
        <w:pStyle w:val="FirstParagraph"/>
        <w:spacing w:after="60"/>
        <w:jc w:val="both"/>
      </w:pPr>
      <w:r>
        <w:rPr>
          <w:b/>
          <w:bCs/>
        </w:rPr>
        <w:t xml:space="preserve">Art. 1056.</w:t>
      </w:r>
      <w:r>
        <w:t xml:space="preserve"> </w:t>
      </w:r>
      <w:r>
        <w:t xml:space="preserve">Considerar-se-á como termo inicial do prazo da prescrição prevista no art. 924, inciso V, inclusive para as execuções em curso, a data de vigência deste Código.</w:t>
      </w:r>
    </w:p>
    <w:bookmarkEnd w:id="899"/>
    <w:bookmarkStart w:id="900" w:name="art.-1057"/>
    <w:p>
      <w:pPr>
        <w:pStyle w:val="Heading6"/>
        <w:pBdr>
          <w:left w:val="single" w:sz="36" w:space="4" w:color="2E75B6"/>
        </w:pBdr>
        <w:shd w:val="clear" w:color="auto" w:fill="E3EEF9"/>
        <w:spacing w:before="120" w:after="60"/>
        <w:ind w:left="85"/>
      </w:pPr>
      <w:r>
        <w:rPr>
          <w:i w:val="0"/>
          <w:color w:val="1F3A5F"/>
          <w:sz w:val="22"/>
        </w:rPr>
        <w:t xml:space="preserve">Art. 1057</w:t>
      </w:r>
    </w:p>
    <w:p>
      <w:pPr>
        <w:pStyle w:val="FirstParagraph"/>
        <w:spacing w:after="60"/>
        <w:jc w:val="both"/>
      </w:pPr>
      <w:r>
        <w:rPr>
          <w:b/>
          <w:bCs/>
        </w:rPr>
        <w:t xml:space="preserve">Art. 1057.</w:t>
      </w:r>
      <w:r>
        <w:t xml:space="preserve"> </w:t>
      </w:r>
      <w:r>
        <w:t xml:space="preserve">O disposto no art. 525, §§ 14 e 15, e no art. 535, §§ 7º e 8º, aplica-se às decisões transitadas em julgado após a entrada em vigor deste Código, e, às decisões transitadas em julgado anteriormente, aplica-se o disposto no art. 475-L, § 1º, e no art. 741, parágrafo único, da Lei nº 5.869, de 11 de janeiro de 1973.</w:t>
      </w:r>
    </w:p>
    <w:bookmarkEnd w:id="900"/>
    <w:bookmarkStart w:id="901" w:name="art.-1058"/>
    <w:p>
      <w:pPr>
        <w:pStyle w:val="Heading6"/>
        <w:pBdr>
          <w:left w:val="single" w:sz="36" w:space="4" w:color="2E75B6"/>
        </w:pBdr>
        <w:shd w:val="clear" w:color="auto" w:fill="E3EEF9"/>
        <w:spacing w:before="120" w:after="60"/>
        <w:ind w:left="85"/>
      </w:pPr>
      <w:r>
        <w:rPr>
          <w:i w:val="0"/>
          <w:color w:val="1F3A5F"/>
          <w:sz w:val="22"/>
        </w:rPr>
        <w:t xml:space="preserve">Art. 1058</w:t>
      </w:r>
    </w:p>
    <w:p>
      <w:pPr>
        <w:pStyle w:val="FirstParagraph"/>
        <w:spacing w:after="60"/>
        <w:jc w:val="both"/>
      </w:pPr>
      <w:r>
        <w:rPr>
          <w:b/>
          <w:bCs/>
        </w:rPr>
        <w:t xml:space="preserve">Art. 1058.</w:t>
      </w:r>
      <w:r>
        <w:t xml:space="preserve"> </w:t>
      </w:r>
      <w:r>
        <w:t xml:space="preserve">Em todos os casos em que houver recolhimento de importância em dinheiro, esta será depositada em nome da parte ou do interessado, em conta especial movimentada por ordem do juiz, nos termos do art. 840, inciso I.</w:t>
      </w:r>
    </w:p>
    <w:bookmarkEnd w:id="901"/>
    <w:bookmarkStart w:id="902" w:name="art.-1059"/>
    <w:p>
      <w:pPr>
        <w:pStyle w:val="Heading6"/>
        <w:pBdr>
          <w:left w:val="single" w:sz="36" w:space="4" w:color="2E75B6"/>
        </w:pBdr>
        <w:shd w:val="clear" w:color="auto" w:fill="E3EEF9"/>
        <w:spacing w:before="120" w:after="60"/>
        <w:ind w:left="85"/>
      </w:pPr>
      <w:r>
        <w:rPr>
          <w:i w:val="0"/>
          <w:color w:val="1F3A5F"/>
          <w:sz w:val="22"/>
        </w:rPr>
        <w:t xml:space="preserve">Art. 1059</w:t>
      </w:r>
    </w:p>
    <w:p>
      <w:pPr>
        <w:pStyle w:val="FirstParagraph"/>
        <w:keepNext/>
        <w:spacing w:after="60"/>
        <w:jc w:val="both"/>
      </w:pPr>
      <w:r>
        <w:rPr>
          <w:b/>
          <w:bCs/>
        </w:rPr>
        <w:t xml:space="preserve">Art. 1059.</w:t>
      </w:r>
      <w:r>
        <w:t xml:space="preserve"> </w:t>
      </w:r>
      <w:r>
        <w:t xml:space="preserve">À tutela provisória requerida contra a Fazenda Pública aplica-se o disposto nos arts. 1º a 4º da Lei nº 8.437, de 30 de junho de 1992, e no art. 7º, § 2º, da Lei nº 12.016, de 7 de agosto de 2009.</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1905"/>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tutela provisória contra a Fazenda Pública (orientação de aplicação)</w:t>
            </w:r>
          </w:p>
        </w:tc>
        <w:tc>
          <w:tcPr>
            <w:tcW w:type="dxa" w:w="1655"/>
          </w:tcPr>
          <w:p>
            <w:pPr>
              <w:pStyle w:val="Compact"/>
              <w:spacing w:line="276" w:lineRule="auto" w:before="40" w:after="40"/>
            </w:pPr>
            <w:r>
              <w:rPr>
                <w:rFonts w:ascii="Liberation Sans Narrow" w:hAnsi="Liberation Sans Narrow"/>
                <w:sz w:val="17"/>
              </w:rPr>
              <w:t xml:space="preserve">STJ, AgInt no REsp 2.037.199, Primeira Turma, relator Min. Gurgel de Faria, julgado em 14/08/2023, DJe de 18/08/2023</w:t>
            </w:r>
          </w:p>
        </w:tc>
        <w:tc>
          <w:tcPr>
            <w:tcW w:type="dxa" w:w="1905"/>
          </w:tcPr>
          <w:p>
            <w:pPr>
              <w:pStyle w:val="Compact"/>
              <w:spacing w:line="276" w:lineRule="auto" w:before="40" w:after="40"/>
            </w:pPr>
            <w:r>
              <w:rPr>
                <w:rFonts w:ascii="Liberation Sans Narrow" w:hAnsi="Liberation Sans Narrow"/>
                <w:sz w:val="17"/>
              </w:rPr>
              <w:t xml:space="preserve">As vedações à execução provisória de sentença ou de liminar contra a Fazenda Pública, na legislação que o art. 1.059 manda aplicar (Leis ns. 8.437/1992, 9.494/1997 e 12.016/2009), comportam interpretação restritiva, adstrita às hipóteses expressamente definidas na norma.</w:t>
            </w:r>
          </w:p>
        </w:tc>
      </w:tr>
    </w:tbl>
    <w:bookmarkEnd w:id="902"/>
    <w:bookmarkStart w:id="903" w:name="art.-1060"/>
    <w:p>
      <w:pPr>
        <w:pStyle w:val="Heading6"/>
        <w:pBdr>
          <w:left w:val="single" w:sz="36" w:space="4" w:color="2E75B6"/>
        </w:pBdr>
        <w:shd w:val="clear" w:color="auto" w:fill="E3EEF9"/>
        <w:spacing w:before="120" w:after="60"/>
        <w:ind w:left="85"/>
      </w:pPr>
      <w:r>
        <w:rPr>
          <w:i w:val="0"/>
          <w:color w:val="1F3A5F"/>
          <w:sz w:val="22"/>
        </w:rPr>
        <w:t xml:space="preserve">Art. 1060</w:t>
      </w:r>
    </w:p>
    <w:p>
      <w:pPr>
        <w:pStyle w:val="FirstParagraph"/>
        <w:spacing w:after="60"/>
        <w:jc w:val="both"/>
      </w:pPr>
      <w:r>
        <w:rPr>
          <w:b/>
          <w:bCs/>
        </w:rPr>
        <w:t xml:space="preserve">Art. 1060.</w:t>
      </w:r>
      <w:r>
        <w:t xml:space="preserve"> </w:t>
      </w:r>
      <w:r>
        <w:t xml:space="preserve">O inciso II do art. 14 da Lei nº 9.289, de 4 de julho de 1996, passa a vigorar com a seguinte redação: (Vigência)</w:t>
      </w:r>
    </w:p>
    <w:p>
      <w:pPr>
        <w:pStyle w:val="BodyText"/>
        <w:spacing w:after="60"/>
        <w:jc w:val="both"/>
      </w:pPr>
      <w:r>
        <w:t xml:space="preserve">“Art. 14. …………………………………………………………..</w:t>
      </w:r>
    </w:p>
    <w:p>
      <w:pPr>
        <w:pStyle w:val="BodyText"/>
        <w:spacing w:after="60"/>
        <w:jc w:val="both"/>
      </w:pPr>
      <w:r>
        <w:t xml:space="preserve">………………………………………………………………………………</w:t>
      </w:r>
    </w:p>
    <w:p>
      <w:pPr>
        <w:pStyle w:val="BodyText"/>
        <w:spacing w:after="60"/>
        <w:jc w:val="both"/>
      </w:pPr>
      <w:r>
        <w:t xml:space="preserve">II - aquele que recorrer da sentença adiantará a outra metade das custas, comprovando o adiantamento no ato de interposição do recurso, sob pena de deserção, observado o disposto nos §§ 1º a 7º do art. 1.007 do Código de Processo Civil;</w:t>
      </w:r>
    </w:p>
    <w:p>
      <w:pPr>
        <w:pStyle w:val="BodyText"/>
        <w:spacing w:after="60"/>
        <w:jc w:val="both"/>
      </w:pPr>
      <w:r>
        <w:t xml:space="preserve">………………………………………………………………………..” (NR)</w:t>
      </w:r>
    </w:p>
    <w:bookmarkEnd w:id="903"/>
    <w:bookmarkStart w:id="904" w:name="art.-1061"/>
    <w:p>
      <w:pPr>
        <w:pStyle w:val="Heading6"/>
        <w:pBdr>
          <w:left w:val="single" w:sz="36" w:space="4" w:color="2E75B6"/>
        </w:pBdr>
        <w:shd w:val="clear" w:color="auto" w:fill="E3EEF9"/>
        <w:spacing w:before="120" w:after="60"/>
        <w:ind w:left="85"/>
      </w:pPr>
      <w:r>
        <w:rPr>
          <w:i w:val="0"/>
          <w:color w:val="1F3A5F"/>
          <w:sz w:val="22"/>
        </w:rPr>
        <w:t xml:space="preserve">Art. 1061</w:t>
      </w:r>
    </w:p>
    <w:p>
      <w:pPr>
        <w:pStyle w:val="FirstParagraph"/>
        <w:spacing w:after="60"/>
        <w:jc w:val="both"/>
      </w:pPr>
      <w:r>
        <w:rPr>
          <w:b/>
          <w:bCs/>
        </w:rPr>
        <w:t xml:space="preserve">Art. 1061.</w:t>
      </w:r>
      <w:r>
        <w:t xml:space="preserve"> </w:t>
      </w:r>
      <w:r>
        <w:t xml:space="preserve">O § 3º do art. 33 da Lei nº 9.307, de 23 de setembro de 1996 (Lei de Arbitragem), passa a vigorar com a seguinte redação: (Vigência)</w:t>
      </w:r>
    </w:p>
    <w:p>
      <w:pPr>
        <w:pStyle w:val="BodyText"/>
        <w:spacing w:after="60"/>
        <w:jc w:val="both"/>
      </w:pPr>
      <w:r>
        <w:t xml:space="preserve">“Art. 33. …………………………………………………………….</w:t>
      </w:r>
    </w:p>
    <w:p>
      <w:pPr>
        <w:pStyle w:val="BodyText"/>
        <w:spacing w:after="60"/>
        <w:jc w:val="both"/>
      </w:pPr>
      <w:r>
        <w:t xml:space="preserve">…………………………………………………………………………………</w:t>
      </w:r>
    </w:p>
    <w:p>
      <w:pPr>
        <w:pStyle w:val="BodyText"/>
        <w:spacing w:after="60"/>
        <w:jc w:val="both"/>
      </w:pPr>
      <w:r>
        <w:t xml:space="preserve">§ 3º A decretação da nulidade da sentença arbitral também poderá ser requerida na impugnação ao cumprimento da sentença, nos termos dos arts. 525 e seguintes do Código de Processo Civil, se houver execução judicial.” (NR)</w:t>
      </w:r>
    </w:p>
    <w:bookmarkEnd w:id="904"/>
    <w:bookmarkStart w:id="905" w:name="art.-1062"/>
    <w:p>
      <w:pPr>
        <w:pStyle w:val="Heading6"/>
        <w:pBdr>
          <w:left w:val="single" w:sz="36" w:space="4" w:color="2E75B6"/>
        </w:pBdr>
        <w:shd w:val="clear" w:color="auto" w:fill="E3EEF9"/>
        <w:spacing w:before="120" w:after="60"/>
        <w:ind w:left="85"/>
      </w:pPr>
      <w:r>
        <w:rPr>
          <w:i w:val="0"/>
          <w:color w:val="1F3A5F"/>
          <w:sz w:val="22"/>
        </w:rPr>
        <w:t xml:space="preserve">Art. 1062</w:t>
      </w:r>
    </w:p>
    <w:p>
      <w:pPr>
        <w:pStyle w:val="FirstParagraph"/>
        <w:spacing w:after="60"/>
        <w:jc w:val="both"/>
      </w:pPr>
      <w:r>
        <w:rPr>
          <w:b/>
          <w:bCs/>
        </w:rPr>
        <w:t xml:space="preserve">Art. 1062.</w:t>
      </w:r>
      <w:r>
        <w:t xml:space="preserve"> </w:t>
      </w:r>
      <w:r>
        <w:t xml:space="preserve">O incidente de desconsideração da personalidade jurídica aplica-se ao processo de competência dos juizados especiais.</w:t>
      </w:r>
    </w:p>
    <w:bookmarkEnd w:id="905"/>
    <w:bookmarkStart w:id="906" w:name="art.-1063"/>
    <w:p>
      <w:pPr>
        <w:pStyle w:val="Heading6"/>
        <w:pBdr>
          <w:left w:val="single" w:sz="36" w:space="4" w:color="2E75B6"/>
        </w:pBdr>
        <w:shd w:val="clear" w:color="auto" w:fill="E3EEF9"/>
        <w:spacing w:before="120" w:after="60"/>
        <w:ind w:left="85"/>
      </w:pPr>
      <w:r>
        <w:rPr>
          <w:i w:val="0"/>
          <w:color w:val="1F3A5F"/>
          <w:sz w:val="22"/>
        </w:rPr>
        <w:t xml:space="preserve">Art. 1063</w:t>
      </w:r>
    </w:p>
    <w:p>
      <w:pPr>
        <w:pStyle w:val="FirstParagraph"/>
        <w:spacing w:after="60"/>
        <w:jc w:val="both"/>
      </w:pPr>
      <w:r>
        <w:rPr>
          <w:b/>
          <w:bCs/>
        </w:rPr>
        <w:t xml:space="preserve">Art. 1063.</w:t>
      </w:r>
      <w:r>
        <w:t xml:space="preserve"> </w:t>
      </w:r>
      <w:r>
        <w:t xml:space="preserve">Os juizados especiais cíveis previstos na Lei nº 9.099, de 26 de setembro de 1995, continuam competentes para o processamento e o julgamento das causas previstas no inciso II do art. 275 da Lei nº 5.869, de 11 de janeiro de 1973. (Redação dada pela Lei nº 14.976, de 2024)</w:t>
      </w:r>
    </w:p>
    <w:bookmarkEnd w:id="906"/>
    <w:bookmarkStart w:id="907" w:name="art.-1064"/>
    <w:p>
      <w:pPr>
        <w:pStyle w:val="Heading6"/>
        <w:pBdr>
          <w:left w:val="single" w:sz="36" w:space="4" w:color="2E75B6"/>
        </w:pBdr>
        <w:shd w:val="clear" w:color="auto" w:fill="E3EEF9"/>
        <w:spacing w:before="120" w:after="60"/>
        <w:ind w:left="85"/>
      </w:pPr>
      <w:r>
        <w:rPr>
          <w:i w:val="0"/>
          <w:color w:val="1F3A5F"/>
          <w:sz w:val="22"/>
        </w:rPr>
        <w:t xml:space="preserve">Art. 1064</w:t>
      </w:r>
    </w:p>
    <w:p>
      <w:pPr>
        <w:pStyle w:val="FirstParagraph"/>
        <w:spacing w:after="60"/>
        <w:jc w:val="both"/>
      </w:pPr>
      <w:r>
        <w:rPr>
          <w:b/>
          <w:bCs/>
        </w:rPr>
        <w:t xml:space="preserve">Art. 1064.</w:t>
      </w:r>
      <w:r>
        <w:t xml:space="preserve"> </w:t>
      </w:r>
      <w:r>
        <w:t xml:space="preserve">O caput do art. 48 da Lei nº 9.099, de 26 de setembro de 1995, passa a vigorar com a seguinte redação: (Vigência)</w:t>
      </w:r>
    </w:p>
    <w:p>
      <w:pPr>
        <w:pStyle w:val="BodyText"/>
        <w:spacing w:after="60"/>
        <w:jc w:val="both"/>
      </w:pPr>
      <w:r>
        <w:t xml:space="preserve">“ Art. 48. Caberão embargos de declaração contra sentença ou acórdão nos casos previstos no Código de Processo Civil.</w:t>
      </w:r>
    </w:p>
    <w:p>
      <w:pPr>
        <w:pStyle w:val="BodyText"/>
        <w:spacing w:after="60"/>
        <w:jc w:val="both"/>
      </w:pPr>
      <w:r>
        <w:t xml:space="preserve">………………………………………………………………………..” (NR)</w:t>
      </w:r>
    </w:p>
    <w:bookmarkEnd w:id="907"/>
    <w:bookmarkStart w:id="908" w:name="art.-1065"/>
    <w:p>
      <w:pPr>
        <w:pStyle w:val="Heading6"/>
        <w:pBdr>
          <w:left w:val="single" w:sz="36" w:space="4" w:color="2E75B6"/>
        </w:pBdr>
        <w:shd w:val="clear" w:color="auto" w:fill="E3EEF9"/>
        <w:spacing w:before="120" w:after="60"/>
        <w:ind w:left="85"/>
      </w:pPr>
      <w:r>
        <w:rPr>
          <w:i w:val="0"/>
          <w:color w:val="1F3A5F"/>
          <w:sz w:val="22"/>
        </w:rPr>
        <w:t xml:space="preserve">Art. 1065</w:t>
      </w:r>
    </w:p>
    <w:p>
      <w:pPr>
        <w:pStyle w:val="FirstParagraph"/>
        <w:spacing w:after="60"/>
        <w:jc w:val="both"/>
      </w:pPr>
      <w:r>
        <w:rPr>
          <w:b/>
          <w:bCs/>
        </w:rPr>
        <w:t xml:space="preserve">Art. 1065.</w:t>
      </w:r>
      <w:r>
        <w:t xml:space="preserve"> </w:t>
      </w:r>
      <w:r>
        <w:t xml:space="preserve">O art. 50 da Lei nº 9.099, de 26 de setembro de 1995, passa a vigorar com a seguinte redação: (Vigência)</w:t>
      </w:r>
    </w:p>
    <w:p>
      <w:pPr>
        <w:pStyle w:val="BodyText"/>
        <w:spacing w:after="60"/>
        <w:jc w:val="both"/>
      </w:pPr>
      <w:r>
        <w:t xml:space="preserve">“ Art. 50. Os embargos de declaração interrompem o prazo para a interposição de recurso.” (NR)</w:t>
      </w:r>
    </w:p>
    <w:bookmarkEnd w:id="908"/>
    <w:bookmarkStart w:id="909" w:name="art.-1066"/>
    <w:p>
      <w:pPr>
        <w:pStyle w:val="Heading6"/>
        <w:pBdr>
          <w:left w:val="single" w:sz="36" w:space="4" w:color="2E75B6"/>
        </w:pBdr>
        <w:shd w:val="clear" w:color="auto" w:fill="E3EEF9"/>
        <w:spacing w:before="120" w:after="60"/>
        <w:ind w:left="85"/>
      </w:pPr>
      <w:r>
        <w:rPr>
          <w:i w:val="0"/>
          <w:color w:val="1F3A5F"/>
          <w:sz w:val="22"/>
        </w:rPr>
        <w:t xml:space="preserve">Art. 1066</w:t>
      </w:r>
    </w:p>
    <w:p>
      <w:pPr>
        <w:pStyle w:val="FirstParagraph"/>
        <w:spacing w:after="60"/>
        <w:jc w:val="both"/>
      </w:pPr>
      <w:r>
        <w:rPr>
          <w:b/>
          <w:bCs/>
        </w:rPr>
        <w:t xml:space="preserve">Art. 1066.</w:t>
      </w:r>
      <w:r>
        <w:t xml:space="preserve"> </w:t>
      </w:r>
      <w:r>
        <w:t xml:space="preserve">O art. 83 da Lei nº 9.099, de 26 de setembro de 1995, passam a vigorar com a seguinte redação: (Vigência)</w:t>
      </w:r>
    </w:p>
    <w:p>
      <w:pPr>
        <w:pStyle w:val="BodyText"/>
        <w:spacing w:after="60"/>
        <w:jc w:val="both"/>
      </w:pPr>
      <w:r>
        <w:t xml:space="preserve">“ Art. 83. Cabem embargos de declaração quando, em sentença ou acórdão, houver obscuridade, contradição ou omissão.</w:t>
      </w:r>
    </w:p>
    <w:p>
      <w:pPr>
        <w:pStyle w:val="BodyText"/>
        <w:spacing w:after="60"/>
        <w:jc w:val="both"/>
      </w:pPr>
      <w:r>
        <w:t xml:space="preserve">…………………………………………………………………………………</w:t>
      </w:r>
    </w:p>
    <w:p>
      <w:pPr>
        <w:pStyle w:val="BodyText"/>
        <w:spacing w:after="60"/>
        <w:jc w:val="both"/>
      </w:pPr>
      <w:r>
        <w:t xml:space="preserve">§ 2º Os embargos de declaração interrompem o prazo para a interposição de recurso.</w:t>
      </w:r>
    </w:p>
    <w:p>
      <w:pPr>
        <w:pStyle w:val="BodyText"/>
        <w:spacing w:after="60"/>
        <w:jc w:val="both"/>
      </w:pPr>
      <w:r>
        <w:t xml:space="preserve">………………………………………………………………………..” (NR)</w:t>
      </w:r>
    </w:p>
    <w:bookmarkEnd w:id="909"/>
    <w:bookmarkStart w:id="910" w:name="art.-1067"/>
    <w:p>
      <w:pPr>
        <w:pStyle w:val="Heading6"/>
        <w:pBdr>
          <w:left w:val="single" w:sz="36" w:space="4" w:color="2E75B6"/>
        </w:pBdr>
        <w:shd w:val="clear" w:color="auto" w:fill="E3EEF9"/>
        <w:spacing w:before="120" w:after="60"/>
        <w:ind w:left="85"/>
      </w:pPr>
      <w:r>
        <w:rPr>
          <w:i w:val="0"/>
          <w:color w:val="1F3A5F"/>
          <w:sz w:val="22"/>
        </w:rPr>
        <w:t xml:space="preserve">Art. 1067</w:t>
      </w:r>
    </w:p>
    <w:p>
      <w:pPr>
        <w:pStyle w:val="FirstParagraph"/>
        <w:spacing w:after="60"/>
        <w:jc w:val="both"/>
      </w:pPr>
      <w:r>
        <w:rPr>
          <w:b/>
          <w:bCs/>
        </w:rPr>
        <w:t xml:space="preserve">Art. 1067.</w:t>
      </w:r>
      <w:r>
        <w:t xml:space="preserve"> </w:t>
      </w:r>
      <w:r>
        <w:t xml:space="preserve">O art. 275 da Lei nº 4.737, de 15 de julho de 1965 (Código Eleitoral), passa a vigorar com a seguinte redação: (Vigência)</w:t>
      </w:r>
    </w:p>
    <w:p>
      <w:pPr>
        <w:pStyle w:val="BodyText"/>
        <w:spacing w:after="60"/>
        <w:jc w:val="both"/>
      </w:pPr>
      <w:r>
        <w:t xml:space="preserve">“ Art. 275. São admissíveis embargos de declaração nas hipóteses previstas no Código de Processo Civil.</w:t>
      </w:r>
    </w:p>
    <w:p>
      <w:pPr>
        <w:pStyle w:val="BodyText"/>
        <w:spacing w:after="60"/>
        <w:jc w:val="both"/>
      </w:pPr>
      <w:r>
        <w:t xml:space="preserve">§ 1º Os embargos de declaração serão opostos no prazo de 3 (três) dias, contado da data de publicação da decisão embargada, em petição dirigida ao juiz ou relator, com a indicação do ponto que lhes deu causa.</w:t>
      </w:r>
    </w:p>
    <w:p>
      <w:pPr>
        <w:pStyle w:val="BodyText"/>
        <w:spacing w:after="60"/>
        <w:jc w:val="both"/>
      </w:pPr>
      <w:r>
        <w:t xml:space="preserve">§ 2º Os embargos de declaração não estão sujeitos a preparo.</w:t>
      </w:r>
    </w:p>
    <w:p>
      <w:pPr>
        <w:pStyle w:val="BodyText"/>
        <w:spacing w:after="60"/>
        <w:jc w:val="both"/>
      </w:pPr>
      <w:r>
        <w:t xml:space="preserve">§ 3º O juiz julgará os embargos em 5 (cinco) dias.</w:t>
      </w:r>
    </w:p>
    <w:p>
      <w:pPr>
        <w:pStyle w:val="BodyText"/>
        <w:spacing w:after="60"/>
        <w:jc w:val="both"/>
      </w:pPr>
      <w:r>
        <w:t xml:space="preserve">§ 4º Nos tribunais:</w:t>
      </w:r>
    </w:p>
    <w:p>
      <w:pPr>
        <w:pStyle w:val="BodyText"/>
        <w:spacing w:after="60"/>
        <w:jc w:val="both"/>
      </w:pPr>
      <w:r>
        <w:t xml:space="preserve">I - o relator apresentará os embargos em mesa na sessão subsequente, proferindo voto;</w:t>
      </w:r>
    </w:p>
    <w:p>
      <w:pPr>
        <w:pStyle w:val="BodyText"/>
        <w:spacing w:after="60"/>
        <w:jc w:val="both"/>
      </w:pPr>
      <w:r>
        <w:t xml:space="preserve">II - não havendo julgamento na sessão referida no inciso I, será o recurso incluído em pauta;</w:t>
      </w:r>
    </w:p>
    <w:p>
      <w:pPr>
        <w:pStyle w:val="BodyText"/>
        <w:spacing w:after="60"/>
        <w:jc w:val="both"/>
      </w:pPr>
      <w:r>
        <w:t xml:space="preserve">III - vencido o relator, outro será designado para lavrar o acórdão.</w:t>
      </w:r>
    </w:p>
    <w:p>
      <w:pPr>
        <w:pStyle w:val="BodyText"/>
        <w:spacing w:after="60"/>
        <w:jc w:val="both"/>
      </w:pPr>
      <w:r>
        <w:t xml:space="preserve">§ 5º Os embargos de declaração interrompem o prazo para a interposição de recurso.</w:t>
      </w:r>
    </w:p>
    <w:p>
      <w:pPr>
        <w:pStyle w:val="BodyText"/>
        <w:spacing w:after="60"/>
        <w:jc w:val="both"/>
      </w:pPr>
      <w:r>
        <w:t xml:space="preserve">§ 6º Quando manifestamente protelatórios os embargos de declaração, o juiz ou o tribunal, em decisão fundamentada, condenará o embargante a pagar ao embargado multa não excedente a 2 (dois) salários-mínimos.</w:t>
      </w:r>
    </w:p>
    <w:p>
      <w:pPr>
        <w:pStyle w:val="BodyText"/>
        <w:spacing w:after="60"/>
        <w:jc w:val="both"/>
      </w:pPr>
      <w:r>
        <w:t xml:space="preserve">§ 7º Na reiteração de embargos de declaração manifestamente protelatórios, a multa será elevada a até 10 (dez) salários-mínimos.” (NR)</w:t>
      </w:r>
    </w:p>
    <w:bookmarkEnd w:id="910"/>
    <w:bookmarkStart w:id="911" w:name="art.-1068"/>
    <w:p>
      <w:pPr>
        <w:pStyle w:val="Heading6"/>
        <w:pBdr>
          <w:left w:val="single" w:sz="36" w:space="4" w:color="2E75B6"/>
        </w:pBdr>
        <w:shd w:val="clear" w:color="auto" w:fill="E3EEF9"/>
        <w:spacing w:before="120" w:after="60"/>
        <w:ind w:left="85"/>
      </w:pPr>
      <w:r>
        <w:rPr>
          <w:i w:val="0"/>
          <w:color w:val="1F3A5F"/>
          <w:sz w:val="22"/>
        </w:rPr>
        <w:t xml:space="preserve">Art. 1068</w:t>
      </w:r>
    </w:p>
    <w:p>
      <w:pPr>
        <w:pStyle w:val="FirstParagraph"/>
        <w:spacing w:after="60"/>
        <w:jc w:val="both"/>
      </w:pPr>
      <w:r>
        <w:rPr>
          <w:b/>
          <w:bCs/>
        </w:rPr>
        <w:t xml:space="preserve">Art. 1068.</w:t>
      </w:r>
      <w:r>
        <w:t xml:space="preserve"> </w:t>
      </w:r>
      <w:r>
        <w:t xml:space="preserve">O art. 274 e o caput do art. 2.027 da Lei nº 10.406, de 10 de janeiro de 2002 (Código Civil), passam a vigorar com a seguinte redação: (Vigência)</w:t>
      </w:r>
    </w:p>
    <w:p>
      <w:pPr>
        <w:pStyle w:val="BodyText"/>
        <w:spacing w:after="60"/>
        <w:jc w:val="both"/>
      </w:pPr>
      <w:r>
        <w:t xml:space="preserve">“Art. 274. O julgamento contrário a um dos credores solidários não atinge os demais, mas o julgamento favorável aproveita-lhes, sem prejuízo de exceção pessoal que o devedor tenha direito de invocar em relação a qualquer deles.” (NR)</w:t>
      </w:r>
    </w:p>
    <w:p>
      <w:pPr>
        <w:pStyle w:val="BodyText"/>
        <w:spacing w:after="60"/>
        <w:jc w:val="both"/>
      </w:pPr>
      <w:r>
        <w:t xml:space="preserve">“Art. 2.027. A partilha é anulável pelos vícios e defeitos que invalidam, em geral, os negócios jurídicos.</w:t>
      </w:r>
    </w:p>
    <w:p>
      <w:pPr>
        <w:pStyle w:val="BodyText"/>
        <w:spacing w:after="60"/>
        <w:jc w:val="both"/>
      </w:pPr>
      <w:r>
        <w:t xml:space="preserve">………………………………………………………………………..” (NR)</w:t>
      </w:r>
    </w:p>
    <w:bookmarkEnd w:id="911"/>
    <w:bookmarkStart w:id="912" w:name="art.-1069"/>
    <w:p>
      <w:pPr>
        <w:pStyle w:val="Heading6"/>
        <w:pBdr>
          <w:left w:val="single" w:sz="36" w:space="4" w:color="2E75B6"/>
        </w:pBdr>
        <w:shd w:val="clear" w:color="auto" w:fill="E3EEF9"/>
        <w:spacing w:before="120" w:after="60"/>
        <w:ind w:left="85"/>
      </w:pPr>
      <w:r>
        <w:rPr>
          <w:i w:val="0"/>
          <w:color w:val="1F3A5F"/>
          <w:sz w:val="22"/>
        </w:rPr>
        <w:t xml:space="preserve">Art. 1069</w:t>
      </w:r>
    </w:p>
    <w:p>
      <w:pPr>
        <w:pStyle w:val="FirstParagraph"/>
        <w:spacing w:after="60"/>
        <w:jc w:val="both"/>
      </w:pPr>
      <w:r>
        <w:rPr>
          <w:b/>
          <w:bCs/>
        </w:rPr>
        <w:t xml:space="preserve">Art. 1069.</w:t>
      </w:r>
      <w:r>
        <w:t xml:space="preserve"> </w:t>
      </w:r>
      <w:r>
        <w:t xml:space="preserve">O Conselho Nacional de Justiça promoverá, periodicamente, pesquisas estatísticas para avaliação da efetividade das normas previstas neste Código.</w:t>
      </w:r>
    </w:p>
    <w:bookmarkEnd w:id="912"/>
    <w:bookmarkStart w:id="913" w:name="art.-1070"/>
    <w:p>
      <w:pPr>
        <w:pStyle w:val="Heading6"/>
        <w:pBdr>
          <w:left w:val="single" w:sz="36" w:space="4" w:color="2E75B6"/>
        </w:pBdr>
        <w:shd w:val="clear" w:color="auto" w:fill="E3EEF9"/>
        <w:spacing w:before="120" w:after="60"/>
        <w:ind w:left="85"/>
      </w:pPr>
      <w:r>
        <w:rPr>
          <w:i w:val="0"/>
          <w:color w:val="1F3A5F"/>
          <w:sz w:val="22"/>
        </w:rPr>
        <w:t xml:space="preserve">Art. 1070</w:t>
      </w:r>
    </w:p>
    <w:p>
      <w:pPr>
        <w:pStyle w:val="FirstParagraph"/>
        <w:spacing w:after="60"/>
        <w:jc w:val="both"/>
      </w:pPr>
      <w:r>
        <w:rPr>
          <w:b/>
          <w:bCs/>
        </w:rPr>
        <w:t xml:space="preserve">Art. 1070.</w:t>
      </w:r>
      <w:r>
        <w:t xml:space="preserve"> </w:t>
      </w:r>
      <w:r>
        <w:t xml:space="preserve">É de 15 (quinze) dias o prazo para a interposição de qualquer agravo, previsto em lei ou em regimento interno de tribunal, contra decisão de relator ou outra decisão unipessoal proferida em tribunal.</w:t>
      </w:r>
    </w:p>
    <w:bookmarkEnd w:id="913"/>
    <w:bookmarkStart w:id="914" w:name="art.-1071"/>
    <w:p>
      <w:pPr>
        <w:pStyle w:val="Heading6"/>
        <w:pBdr>
          <w:left w:val="single" w:sz="36" w:space="4" w:color="2E75B6"/>
        </w:pBdr>
        <w:shd w:val="clear" w:color="auto" w:fill="E3EEF9"/>
        <w:spacing w:before="120" w:after="60"/>
        <w:ind w:left="85"/>
      </w:pPr>
      <w:r>
        <w:rPr>
          <w:i w:val="0"/>
          <w:color w:val="1F3A5F"/>
          <w:sz w:val="22"/>
        </w:rPr>
        <w:t xml:space="preserve">Art. 1071</w:t>
      </w:r>
    </w:p>
    <w:p>
      <w:pPr>
        <w:pStyle w:val="FirstParagraph"/>
        <w:spacing w:after="60"/>
        <w:jc w:val="both"/>
      </w:pPr>
      <w:r>
        <w:rPr>
          <w:b/>
          <w:bCs/>
        </w:rPr>
        <w:t xml:space="preserve">Art. 1071.</w:t>
      </w:r>
      <w:r>
        <w:t xml:space="preserve"> </w:t>
      </w:r>
      <w:r>
        <w:t xml:space="preserve">O Capítulo III do Título V da Lei nº 6.015, de 31 de dezembro de 1973 (Lei de Registros Públicos), passa a vigorar acrescida do seguinte art. 216-A: (Vigência)</w:t>
      </w:r>
    </w:p>
    <w:p>
      <w:pPr>
        <w:pStyle w:val="BodyText"/>
        <w:spacing w:after="60"/>
        <w:jc w:val="both"/>
      </w:pPr>
      <w:r>
        <w:t xml:space="preserve">“Art. 216-A. Sem prejuízo da via jurisdicional, é admitido o pedido de reconhecimento extrajudicial de usucapião, que será processado diretamente perante o cartório do registro de imóveis da comarca em que estiver situado o imóvel usucapiendo, a requerimento do interessado, representado por advogado, instruído com:</w:t>
      </w:r>
    </w:p>
    <w:p>
      <w:pPr>
        <w:pStyle w:val="BodyText"/>
        <w:spacing w:after="60"/>
        <w:jc w:val="both"/>
      </w:pPr>
      <w:r>
        <w:t xml:space="preserve">I - ata notarial lavrada pelo tabelião, atestando o tempo de posse do requerente e seus antecessores, conforme o caso e suas circunstâncias;</w:t>
      </w:r>
    </w:p>
    <w:p>
      <w:pPr>
        <w:pStyle w:val="BodyText"/>
        <w:spacing w:after="60"/>
        <w:jc w:val="both"/>
      </w:pPr>
      <w:r>
        <w:t xml:space="preserve">II - planta e memorial descritivo assinado por profissional legalmente habilitado, com prova de anotação de responsabilidade técnica no respectivo conselho de fiscalização profissional, e pelos titulares de direitos reais e de outros direitos registrados ou averbados na matrícula do imóvel usucapiendo e na matrícula dos imóveis confinantes;</w:t>
      </w:r>
    </w:p>
    <w:p>
      <w:pPr>
        <w:pStyle w:val="BodyText"/>
        <w:spacing w:after="60"/>
        <w:jc w:val="both"/>
      </w:pPr>
      <w:r>
        <w:t xml:space="preserve">III - certidões negativas dos distribuidores da comarca da situação do imóvel e do domicílio do requerente;</w:t>
      </w:r>
    </w:p>
    <w:p>
      <w:pPr>
        <w:pStyle w:val="BodyText"/>
        <w:spacing w:after="60"/>
        <w:jc w:val="both"/>
      </w:pPr>
      <w:r>
        <w:t xml:space="preserve">IV - justo título ou quaisquer outros documentos que demonstrem a origem, a continuidade, a natureza e o tempo da posse, tais como o pagamento dos impostos e das taxas que incidirem sobre o imóvel.</w:t>
      </w:r>
    </w:p>
    <w:p>
      <w:pPr>
        <w:pStyle w:val="BodyText"/>
        <w:spacing w:after="60"/>
        <w:jc w:val="both"/>
      </w:pPr>
      <w:r>
        <w:t xml:space="preserve">§ 1º O pedido será autuado pelo registrador, prorrogando-se o prazo da prenotação até o acolhimento ou a rejeição do pedido.</w:t>
      </w:r>
    </w:p>
    <w:p>
      <w:pPr>
        <w:pStyle w:val="BodyText"/>
        <w:spacing w:after="60"/>
        <w:jc w:val="both"/>
      </w:pPr>
      <w:r>
        <w:t xml:space="preserve">§ 2º Se a planta não contiver a assinatura de qualquer um dos titulares de direitos reais e de outros direitos registrados ou averbados na matrícula do imóvel usucapiendo e na matrícula dos imóveis confinantes, esse será notificado pelo registrador competente, pessoalmente ou pelo correio com aviso de recebimento, para manifestar seu consentimento expresso em 15 (quinze) dias, interpretado o seu silêncio como discordância.</w:t>
      </w:r>
    </w:p>
    <w:p>
      <w:pPr>
        <w:pStyle w:val="BodyText"/>
        <w:spacing w:after="60"/>
        <w:jc w:val="both"/>
      </w:pPr>
      <w:r>
        <w:t xml:space="preserve">§ 3º O oficial de registro de imóveis dará ciência à União, ao Estado, ao Distrito Federal e ao Município, pessoalmente, por intermédio do oficial de registro de títulos e documentos, ou pelo correio com aviso de recebimento, para que se manifestem, em 15 (quinze) dias, sobre o pedido.</w:t>
      </w:r>
    </w:p>
    <w:p>
      <w:pPr>
        <w:pStyle w:val="BodyText"/>
        <w:spacing w:after="60"/>
        <w:jc w:val="both"/>
      </w:pPr>
      <w:r>
        <w:t xml:space="preserve">§ 4º O oficial de registro de imóveis promoverá a publicação de edital em jornal de grande circulação, onde houver, para a ciência de terceiros eventualmente interessados, que poderão se manifestar em 15 (quinze) dias.</w:t>
      </w:r>
    </w:p>
    <w:p>
      <w:pPr>
        <w:pStyle w:val="BodyText"/>
        <w:spacing w:after="60"/>
        <w:jc w:val="both"/>
      </w:pPr>
      <w:r>
        <w:t xml:space="preserve">§ 5º Para a elucidação de qualquer ponto de dúvida, poderão ser solicitadas ou realizadas diligências pelo oficial de registro de imóveis.</w:t>
      </w:r>
    </w:p>
    <w:p>
      <w:pPr>
        <w:pStyle w:val="BodyText"/>
        <w:spacing w:after="60"/>
        <w:jc w:val="both"/>
      </w:pPr>
      <w:r>
        <w:t xml:space="preserve">§ 6º Transcorrido o prazo de que trata o § 4º deste artigo, sem pendência de diligências na forma do § 5º deste artigo e achando-se em ordem a documentação, com inclusão da concordância expressa dos titulares de direitos reais e de outros direitos registrados ou averbados na matrícula do imóvel usucapiendo e na matrícula dos imóveis confinantes, o oficial de registro de imóveis registrará a aquisição do imóvel com as descrições apresentadas, sendo permitida a abertura de matrícula, se for o caso.</w:t>
      </w:r>
    </w:p>
    <w:p>
      <w:pPr>
        <w:pStyle w:val="BodyText"/>
        <w:spacing w:after="60"/>
        <w:jc w:val="both"/>
      </w:pPr>
      <w:r>
        <w:t xml:space="preserve">§ 7º Em qualquer caso, é lícito ao interessado suscitar o procedimento de dúvida, nos termos desta Lei.</w:t>
      </w:r>
    </w:p>
    <w:p>
      <w:pPr>
        <w:pStyle w:val="BodyText"/>
        <w:spacing w:after="60"/>
        <w:jc w:val="both"/>
      </w:pPr>
      <w:r>
        <w:t xml:space="preserve">§ 8º Ao final das diligências, se a documentação não estiver em ordem, o oficial de registro de imóveis rejeitará o pedido.</w:t>
      </w:r>
    </w:p>
    <w:p>
      <w:pPr>
        <w:pStyle w:val="BodyText"/>
        <w:spacing w:after="60"/>
        <w:jc w:val="both"/>
      </w:pPr>
      <w:r>
        <w:t xml:space="preserve">§ 9º A rejeição do pedido extrajudicial não impede o ajuizamento de ação de usucapião.</w:t>
      </w:r>
    </w:p>
    <w:p>
      <w:pPr>
        <w:pStyle w:val="BodyText"/>
        <w:spacing w:after="60"/>
        <w:jc w:val="both"/>
      </w:pPr>
      <w:r>
        <w:t xml:space="preserve">§ 10. Em caso de impugnação do pedido de reconhecimento extrajudicial de usucapião, apresentada por qualquer um dos titulares de direito reais e de outros direitos registrados ou averbados na matrícula do imóvel usucapiendo e na matrícula dos imóveis confinantes, por algum dos entes públicos ou por algum terceiro interessado, o oficial de registro de imóveis remeterá os autos ao juízo competente da comarca da situação do imóvel, cabendo ao requerente emendar a petição inicial para adequá-la ao procedimento comum.”</w:t>
      </w:r>
    </w:p>
    <w:bookmarkEnd w:id="914"/>
    <w:bookmarkStart w:id="915" w:name="art.-1072"/>
    <w:p>
      <w:pPr>
        <w:pStyle w:val="Heading6"/>
        <w:pBdr>
          <w:left w:val="single" w:sz="36" w:space="4" w:color="2E75B6"/>
        </w:pBdr>
        <w:shd w:val="clear" w:color="auto" w:fill="E3EEF9"/>
        <w:spacing w:before="120" w:after="60"/>
        <w:ind w:left="85"/>
      </w:pPr>
      <w:r>
        <w:rPr>
          <w:i w:val="0"/>
          <w:color w:val="1F3A5F"/>
          <w:sz w:val="22"/>
        </w:rPr>
        <w:t xml:space="preserve">Art. 1072</w:t>
      </w:r>
    </w:p>
    <w:p>
      <w:pPr>
        <w:pStyle w:val="FirstParagraph"/>
        <w:spacing w:after="60"/>
        <w:jc w:val="both"/>
      </w:pPr>
      <w:r>
        <w:rPr>
          <w:b/>
          <w:bCs/>
        </w:rPr>
        <w:t xml:space="preserve">Art. 1072.</w:t>
      </w:r>
      <w:r>
        <w:t xml:space="preserve"> </w:t>
      </w:r>
      <w:r>
        <w:t xml:space="preserve">Revogam-se: (Vigência)</w:t>
      </w:r>
    </w:p>
    <w:p>
      <w:pPr>
        <w:pStyle w:val="BodyText"/>
        <w:spacing w:after="60"/>
        <w:jc w:val="both"/>
      </w:pPr>
      <w:r>
        <w:t xml:space="preserve">I - o art. 22 do Decreto-Lei nº 25, de 30 de novembro de 1937;</w:t>
      </w:r>
    </w:p>
    <w:p>
      <w:pPr>
        <w:pStyle w:val="BodyText"/>
        <w:spacing w:after="60"/>
        <w:jc w:val="both"/>
      </w:pPr>
      <w:r>
        <w:t xml:space="preserve">II - os arts. 227, caput, 229, 230, 456, 1.482, 1.483 e 1.768 a 1.773 da Lei nº 10.406, de 10 de janeiro de 2002 (Código Civil);</w:t>
      </w:r>
    </w:p>
    <w:p>
      <w:pPr>
        <w:pStyle w:val="BodyText"/>
        <w:spacing w:after="60"/>
        <w:jc w:val="both"/>
      </w:pPr>
      <w:r>
        <w:t xml:space="preserve">III - os arts. 2º, 3º, 4º, 6º, 7º, 11, 12 e 17 da Lei nº 1.060, de 5 de fevereiro de 1950;</w:t>
      </w:r>
    </w:p>
    <w:p>
      <w:pPr>
        <w:pStyle w:val="BodyText"/>
        <w:spacing w:after="60"/>
        <w:jc w:val="both"/>
      </w:pPr>
      <w:r>
        <w:t xml:space="preserve">IV - os arts. 13 a 18, 26 a 29 e 38 da Lei nº 8.038, de 28 de maio de 1990;</w:t>
      </w:r>
    </w:p>
    <w:p>
      <w:pPr>
        <w:pStyle w:val="BodyText"/>
        <w:spacing w:after="60"/>
        <w:jc w:val="both"/>
      </w:pPr>
      <w:r>
        <w:t xml:space="preserve">V - os arts. 16 a 18 da Lei nº 5.478, de 25 de julho de 1968; e</w:t>
      </w:r>
    </w:p>
    <w:p>
      <w:pPr>
        <w:pStyle w:val="BodyText"/>
        <w:spacing w:after="60"/>
        <w:jc w:val="both"/>
      </w:pPr>
      <w:r>
        <w:t xml:space="preserve">VI - o art. 98, § 4º, da Lei nº 12.529, de 30 de novembro de 2011.</w:t>
      </w:r>
    </w:p>
    <w:bookmarkEnd w:id="915"/>
    <w:bookmarkEnd w:id="916"/>
    <w:bookmarkEnd w:id="917"/>
    <w:bookmarkEnd w:id="918"/>
    <w:bookmarkStart w:id="925" w:name="X43a95e2aaa971cc4b236067f8a9cef338b30787"/>
    <w:p>
      <w:pPr>
        <w:spacing w:before="0" w:after="0" w:line="20" w:lineRule="exact"/>
        <w:sectPr>
          <w:headerReference w:type="default" r:id="rId13"/>
          <w:footnotePr>
            <w:numRestart w:val="eachSect"/>
          </w:footnotePr>
          <w:pgSz w:w="11906" w:h="16838"/>
          <w:pgMar w:top="850" w:left="850" w:bottom="964" w:right="850"/>
          <w:cols w:num="2" w:space="340"/>
        </w:sectPr>
      </w:pPr>
    </w:p>
    <w:p>
      <w:pPr>
        <w:pStyle w:val="Heading1"/>
        <w:pBdr>
          <w:left w:val="single" w:sz="48" w:space="8" w:color="1F3A5F"/>
        </w:pBdr>
        <w:shd w:val="clear" w:color="auto" w:fill="DCE6F2"/>
        <w:spacing w:before="120" w:after="60"/>
        <w:ind w:left="142"/>
      </w:pPr>
      <w:r>
        <w:t xml:space="preserve">6 Divergências, superações e temas pendentes</w:t>
      </w:r>
    </w:p>
    <w:bookmarkStart w:id="919" w:name="título-i-do-procedimento-comum"/>
    <w:p>
      <w:pPr>
        <w:pStyle w:val="Heading2"/>
      </w:pPr>
      <w:r>
        <w:t xml:space="preserve">6.1 Título I: do procedimento comum</w:t>
      </w:r>
    </w:p>
    <w:p>
      <w:pPr>
        <w:pStyle w:val="FirstParagraph"/>
        <w:spacing w:after="60"/>
        <w:jc w:val="both"/>
      </w:pPr>
      <w:r>
        <w:rPr>
          <w:b/>
          <w:bCs/>
        </w:rPr>
        <w:t xml:space="preserve">Art. 382, § 4º (produção antecipada de prova).</w:t>
      </w:r>
      <w:r>
        <w:t xml:space="preserve"> </w:t>
      </w:r>
      <w:r>
        <w:t xml:space="preserve">A Quarta Turma admitiu afastar a limitação de recorribilidade quando a parte atingida questiona os próprios requisitos da ação (REsp 2.043.440, 29/11/2023). A Terceira Turma, em acórdão posterior, aplicou o § 4º conforme a letra: a impugnação só cabe contra a decisão que denega a prova (AREsp 2.962.979, 17/11/2025). Os dois entendimentos coexistem nos acervos consultados.</w:t>
      </w:r>
    </w:p>
    <w:p>
      <w:pPr>
        <w:pStyle w:val="BodyText"/>
        <w:spacing w:after="60"/>
        <w:jc w:val="both"/>
      </w:pPr>
      <w:r>
        <w:rPr>
          <w:b/>
          <w:bCs/>
        </w:rPr>
        <w:t xml:space="preserve">Art. 371 e 479 (limites do livre convencimento).</w:t>
      </w:r>
      <w:r>
        <w:t xml:space="preserve"> </w:t>
      </w:r>
      <w:r>
        <w:t xml:space="preserve">A linha reiterada das Turmas submete a valoração da prova pericial à Súmula 7/STJ (por exemplo, AgInt no AREsp 2.229.945, Quarta Turma, 2023; AREsp 3.135.885, Terceira Turma, 2026; AREsp 3.160.766, Quarta Turma, 2026). No AgInt no AREsp 2.773.143 (Quarta Turma, 14/04/2026), a mesma Turma proveu o agravo interno e reconheceu ofensa aos arts. 375 e 479 na desconsideração de laudo pericial em matéria de alta complexidade, sem contraprova técnica nem fundamentação idônea, afastando ali a Súmula 7. No mesmo sentido, admite-se o afastamento motivado do laudo por erro de cálculo do perito (AgInt no AREsp 2.951.852, Segunda Turma, 19/08/2026) e a valoração que indica documentos clínicos contemporâneos para reputar insuficiente a conclusão pericial (AREsp 3.137.546, Quarta Turma, 15/06/2026).</w:t>
      </w:r>
    </w:p>
    <w:bookmarkEnd w:id="919"/>
    <w:bookmarkStart w:id="920" w:name="título-ii-do-cumprimento-da-sentença"/>
    <w:p>
      <w:pPr>
        <w:pStyle w:val="Heading2"/>
      </w:pPr>
      <w:r>
        <w:t xml:space="preserve">6.2 Título II: do cumprimento da sentença</w:t>
      </w:r>
    </w:p>
    <w:p>
      <w:pPr>
        <w:pStyle w:val="FirstParagraph"/>
        <w:spacing w:after="60"/>
        <w:jc w:val="both"/>
      </w:pPr>
      <w:r>
        <w:rPr>
          <w:b/>
          <w:bCs/>
        </w:rPr>
        <w:t xml:space="preserve">Art. 537, § 1º (multa vencida).</w:t>
      </w:r>
      <w:r>
        <w:t xml:space="preserve"> </w:t>
      </w:r>
      <w:r>
        <w:t xml:space="preserve">Turmas do STJ chegaram a admitir a revisão do valor acumulado da multa cominatória a qualquer tempo (AgInt no AREsp 1.500.279, Quarta Turma, 07/06/2021). A Corte Especial fixou, depois, que só a multa vincenda pode ser modificada (EAREsp 1.479.019, 07/05/2025), e a Terceira Turma o aplicou (REsp 2.013.922, 11/11/2025). A Quarta Turma ressalva que a restrição não alcança multa vencida sob o CPC/1973 (AgInt no REsp 1.769.265, 12/08/2026).</w:t>
      </w:r>
    </w:p>
    <w:p>
      <w:pPr>
        <w:pStyle w:val="BodyText"/>
        <w:spacing w:after="60"/>
        <w:jc w:val="both"/>
      </w:pPr>
      <w:r>
        <w:rPr>
          <w:b/>
          <w:bCs/>
        </w:rPr>
        <w:t xml:space="preserve">Art. 526 (depósito e juros).</w:t>
      </w:r>
      <w:r>
        <w:t xml:space="preserve"> </w:t>
      </w:r>
      <w:r>
        <w:t xml:space="preserve">A Quarta Turma entendeu, em 2018, que o depósito em garantia afasta novos juros moratórios (AgInt no AREsp 1.271.421, 20/09/2018). O Tema 677, revisto pela Corte Especial em 19/10/2022, fixou que o depósito não isenta o devedor dos consectários da mora.</w:t>
      </w:r>
    </w:p>
    <w:p>
      <w:pPr>
        <w:pStyle w:val="BodyText"/>
        <w:spacing w:after="60"/>
        <w:jc w:val="both"/>
      </w:pPr>
      <w:r>
        <w:rPr>
          <w:b/>
          <w:bCs/>
        </w:rPr>
        <w:t xml:space="preserve">ADI 5492 e ADI 5534 (datas).</w:t>
      </w:r>
      <w:r>
        <w:t xml:space="preserve"> </w:t>
      </w:r>
      <w:r>
        <w:t xml:space="preserve">O informativo da curadoria interna do STF (Informativo 1092) indica o encerramento da sessão virtual da ADI 5492 em 24/04/2023, e o da ADI 5534 (Informativo 1003) em 19/12/2020; o repositório externo trazia 25/04/2023 e 21/12/2020. Prevaleceu a data da curadoria interna, que consta das anotações dos arts. 535 e 525.</w:t>
      </w:r>
    </w:p>
    <w:bookmarkEnd w:id="920"/>
    <w:bookmarkStart w:id="921" w:name="título-iii-dos-procedimentos-especiais"/>
    <w:p>
      <w:pPr>
        <w:pStyle w:val="Heading2"/>
      </w:pPr>
      <w:r>
        <w:t xml:space="preserve">6.3 Título III: dos procedimentos especiais</w:t>
      </w:r>
    </w:p>
    <w:p>
      <w:pPr>
        <w:pStyle w:val="FirstParagraph"/>
        <w:spacing w:after="60"/>
        <w:jc w:val="both"/>
      </w:pPr>
      <w:r>
        <w:rPr>
          <w:b/>
          <w:bCs/>
        </w:rPr>
        <w:t xml:space="preserve">Embargos de terceiro e promessa de compra e venda não inscrita.</w:t>
      </w:r>
      <w:r>
        <w:t xml:space="preserve"> </w:t>
      </w:r>
      <w:r>
        <w:t xml:space="preserve">A Súmula 621 do STF diz que a promessa não inscrita no registro de imóveis não enseja embargos de terceiro, enquanto a Súmula 84 do STJ admite os embargos fundados na posse advinda do compromisso, ainda que sem registro. O STJ aplica a sua súmula (REsp 2.202.047, 2025), e a oposição entre os enunciados deve ser conferida na fonte.</w:t>
      </w:r>
    </w:p>
    <w:p>
      <w:pPr>
        <w:pStyle w:val="BodyText"/>
        <w:spacing w:after="60"/>
        <w:jc w:val="both"/>
      </w:pPr>
      <w:r>
        <w:rPr>
          <w:b/>
          <w:bCs/>
        </w:rPr>
        <w:t xml:space="preserve">Tema 243/STJ.</w:t>
      </w:r>
      <w:r>
        <w:t xml:space="preserve"> </w:t>
      </w:r>
      <w:r>
        <w:t xml:space="preserve">O acórdão paradigma é de 20/08/2014, anterior ao recorte da pesquisa; mantém-se por ser o marco vigente da fraude à execução (Súmula 375), com a data de origem declarada.</w:t>
      </w:r>
    </w:p>
    <w:bookmarkEnd w:id="921"/>
    <w:bookmarkStart w:id="922" w:name="livro-ii-do-processo-de-execução"/>
    <w:p>
      <w:pPr>
        <w:pStyle w:val="Heading2"/>
      </w:pPr>
      <w:r>
        <w:t xml:space="preserve">6.4 Livro II: do processo de execução</w:t>
      </w:r>
    </w:p>
    <w:p>
      <w:pPr>
        <w:pStyle w:val="FirstParagraph"/>
        <w:spacing w:after="60"/>
        <w:jc w:val="both"/>
      </w:pPr>
      <w:r>
        <w:t xml:space="preserve">Não localizadas nas bases consultadas.</w:t>
      </w:r>
    </w:p>
    <w:bookmarkEnd w:id="922"/>
    <w:bookmarkStart w:id="923" w:name="X73006239c0a78a7db38a81b820dfa972eb9e1d1"/>
    <w:p>
      <w:pPr>
        <w:pStyle w:val="Heading2"/>
      </w:pPr>
      <w:r>
        <w:t xml:space="preserve">6.5 Livro III: dos processos nos tribunais e dos meios de impugnação das decisões judiciais</w:t>
      </w:r>
    </w:p>
    <w:p>
      <w:pPr>
        <w:pStyle w:val="FirstParagraph"/>
        <w:spacing w:after="60"/>
        <w:jc w:val="both"/>
      </w:pPr>
      <w:r>
        <w:t xml:space="preserve">Não localizadas nas bases consultadas.</w:t>
      </w:r>
    </w:p>
    <w:bookmarkEnd w:id="923"/>
    <w:bookmarkStart w:id="924" w:name="X2a6dc0edcc7da1c7801f92eaf19c3361a8f927a"/>
    <w:p>
      <w:pPr>
        <w:pStyle w:val="Heading2"/>
      </w:pPr>
      <w:r>
        <w:t xml:space="preserve">6.6 Livro Complementar: disposições finais e transitórias</w:t>
      </w:r>
    </w:p>
    <w:p>
      <w:pPr>
        <w:pStyle w:val="FirstParagraph"/>
        <w:spacing w:after="60"/>
        <w:jc w:val="both"/>
      </w:pPr>
      <w:r>
        <w:t xml:space="preserve">Não localizadas nas bases consultadas.</w:t>
      </w:r>
    </w:p>
    <w:bookmarkEnd w:id="924"/>
    <w:bookmarkEnd w:id="925"/>
    <w:bookmarkStart w:id="932" w:name="pendências-de-verificação"/>
    <w:p>
      <w:pPr>
        <w:pStyle w:val="Heading1"/>
        <w:pBdr>
          <w:left w:val="single" w:sz="48" w:space="8" w:color="1F3A5F"/>
        </w:pBdr>
        <w:shd w:val="clear" w:color="auto" w:fill="DCE6F2"/>
        <w:spacing w:before="120" w:after="60"/>
        <w:ind w:left="142"/>
      </w:pPr>
      <w:r>
        <w:t xml:space="preserve">7 Pendências de verificação</w:t>
      </w:r>
    </w:p>
    <w:bookmarkStart w:id="926" w:name="título-i-do-procedimento-comum-1"/>
    <w:p>
      <w:pPr>
        <w:pStyle w:val="Heading2"/>
      </w:pPr>
      <w:r>
        <w:t xml:space="preserve">7.1 Título I: do procedimento comum</w:t>
      </w:r>
    </w:p>
    <w:p>
      <w:pPr>
        <w:pStyle w:val="Compact"/>
        <w:numPr>
          <w:ilvl w:val="0"/>
          <w:numId w:val="1003"/>
        </w:numPr>
        <w:spacing w:after="60"/>
        <w:jc w:val="both"/>
      </w:pPr>
      <w:r>
        <w:rPr>
          <w:b/>
          <w:bCs/>
        </w:rPr>
        <w:t xml:space="preserve">Alcance da busca.</w:t>
      </w:r>
      <w:r>
        <w:t xml:space="preserve"> </w:t>
      </w:r>
      <w:r>
        <w:t xml:space="preserve">Colheita sistemática de 1º/01/2016 a 18/10/2026, por dispositivo (caput, parágrafos e incisos), nos acervos de curadoria interna (Supremo Tribunal Federal e Superior Tribunal de Justiça) e no repositório externo, com lista ordenada pela hierarquia dos precedentes. A busca é semântica: artigo sem julgado com tese própria no acervo permanece apenas com o texto legal, o que não prova inexistência de jurisprudência.</w:t>
      </w:r>
    </w:p>
    <w:p>
      <w:pPr>
        <w:pStyle w:val="Compact"/>
        <w:numPr>
          <w:ilvl w:val="0"/>
          <w:numId w:val="1003"/>
        </w:numPr>
        <w:spacing w:after="60"/>
        <w:jc w:val="both"/>
      </w:pPr>
      <w:r>
        <w:rPr>
          <w:b/>
          <w:bCs/>
        </w:rPr>
        <w:t xml:space="preserve">Arts. 325, 328, 333, 340, 347 a 348, 352 a 353, 358 a 361, 363, 365 a 368, 377, 379, 383 a 384, 386 a 388, 393 a 395, 398, 404, 406 a 407, 409 a 410, 412 a 424, 426 a 428, 432 a 433, 438, 441, 445 a 446, 448 a 449, 451 a 452, 454 a 456, 458 a 463, 474 a 476, 478, 486, 488, 490, 495, 498, 501 a 502, 512.</w:t>
      </w:r>
      <w:r>
        <w:t xml:space="preserve"> </w:t>
      </w:r>
      <w:r>
        <w:t xml:space="preserve">Sem acórdão com tese própria ou orientação de aplicação nos acervos consultados além dos citados.</w:t>
      </w:r>
    </w:p>
    <w:p>
      <w:pPr>
        <w:pStyle w:val="Compact"/>
        <w:numPr>
          <w:ilvl w:val="0"/>
          <w:numId w:val="1003"/>
        </w:numPr>
        <w:spacing w:after="60"/>
        <w:jc w:val="both"/>
      </w:pPr>
      <w:r>
        <w:rPr>
          <w:b/>
          <w:bCs/>
        </w:rPr>
        <w:t xml:space="preserve">Repositório externo.</w:t>
      </w:r>
      <w:r>
        <w:t xml:space="preserve"> </w:t>
      </w:r>
      <w:r>
        <w:t xml:space="preserve">As referências marcadas provêm de repositório de terceiros; relator e data devem ser conferidos no portal do STF.</w:t>
      </w:r>
    </w:p>
    <w:p>
      <w:pPr>
        <w:pStyle w:val="Compact"/>
        <w:numPr>
          <w:ilvl w:val="0"/>
          <w:numId w:val="1003"/>
        </w:numPr>
        <w:spacing w:after="60"/>
        <w:jc w:val="both"/>
      </w:pPr>
      <w:r>
        <w:rPr>
          <w:b/>
          <w:bCs/>
        </w:rPr>
        <w:t xml:space="preserve">Art. 497 (AgInt no REsp 2.216.332).</w:t>
      </w:r>
      <w:r>
        <w:t xml:space="preserve"> </w:t>
      </w:r>
      <w:r>
        <w:t xml:space="preserve">O acórdão só aplica os óbices das Súmulas 283/STF e 83/STJ, sem tese sobre o art. 497; descartado da anotação.</w:t>
      </w:r>
    </w:p>
    <w:bookmarkEnd w:id="926"/>
    <w:bookmarkStart w:id="927" w:name="título-ii-do-cumprimento-da-sentença-1"/>
    <w:p>
      <w:pPr>
        <w:pStyle w:val="Heading2"/>
      </w:pPr>
      <w:r>
        <w:t xml:space="preserve">7.2 Título II: do cumprimento da sentença</w:t>
      </w:r>
    </w:p>
    <w:p>
      <w:pPr>
        <w:pStyle w:val="Compact"/>
        <w:numPr>
          <w:ilvl w:val="0"/>
          <w:numId w:val="1004"/>
        </w:numPr>
        <w:spacing w:after="60"/>
        <w:jc w:val="both"/>
      </w:pPr>
      <w:r>
        <w:rPr>
          <w:b/>
          <w:bCs/>
        </w:rPr>
        <w:t xml:space="preserve">Alcance da busca.</w:t>
      </w:r>
      <w:r>
        <w:t xml:space="preserve"> </w:t>
      </w:r>
      <w:r>
        <w:t xml:space="preserve">Colheita sistemática de 1º/01/2016 a 18/10/2026, por dispositivo (caput, parágrafos e incisos), nos acervos de curadoria interna (Supremo Tribunal Federal e Superior Tribunal de Justiça) e no repositório externo, com lista ordenada pela hierarquia dos precedentes. A busca é semântica: artigo sem julgado com tese própria no acervo permanece apenas com o texto legal, o que não prova inexistência de jurisprudência.</w:t>
      </w:r>
    </w:p>
    <w:p>
      <w:pPr>
        <w:pStyle w:val="Compact"/>
        <w:numPr>
          <w:ilvl w:val="0"/>
          <w:numId w:val="1004"/>
        </w:numPr>
        <w:spacing w:after="60"/>
        <w:jc w:val="both"/>
      </w:pPr>
      <w:r>
        <w:rPr>
          <w:b/>
          <w:bCs/>
        </w:rPr>
        <w:t xml:space="preserve">Arts. 514, 517 a 519, 522, 524, 529 a 530, 532 a 533, 538.</w:t>
      </w:r>
      <w:r>
        <w:t xml:space="preserve"> </w:t>
      </w:r>
      <w:r>
        <w:t xml:space="preserve">Sem acórdão com tese própria ou orientação de aplicação nos acervos consultados além dos citados.</w:t>
      </w:r>
    </w:p>
    <w:p>
      <w:pPr>
        <w:pStyle w:val="Compact"/>
        <w:numPr>
          <w:ilvl w:val="0"/>
          <w:numId w:val="1004"/>
        </w:numPr>
        <w:spacing w:after="60"/>
        <w:jc w:val="both"/>
      </w:pPr>
      <w:r>
        <w:rPr>
          <w:b/>
          <w:bCs/>
        </w:rPr>
        <w:t xml:space="preserve">Repositório externo.</w:t>
      </w:r>
      <w:r>
        <w:t xml:space="preserve"> </w:t>
      </w:r>
      <w:r>
        <w:t xml:space="preserve">As referências marcadas provêm de repositório de terceiros; relator e data devem ser conferidos no portal do STF.</w:t>
      </w:r>
    </w:p>
    <w:p>
      <w:pPr>
        <w:pStyle w:val="Compact"/>
        <w:numPr>
          <w:ilvl w:val="0"/>
          <w:numId w:val="1004"/>
        </w:numPr>
        <w:spacing w:after="60"/>
        <w:jc w:val="both"/>
      </w:pPr>
      <w:r>
        <w:rPr>
          <w:b/>
          <w:bCs/>
        </w:rPr>
        <w:t xml:space="preserve">AR 2876.</w:t>
      </w:r>
      <w:r>
        <w:t xml:space="preserve"> </w:t>
      </w:r>
      <w:r>
        <w:t xml:space="preserve">A remissão dos arts. 525, §§ 14 e 15, e 535, §§ 7º e 8º não foi localizada no controle concentrado do STF (curadoria interna), na busca híbrida do STF nem no repositório externo (consulta por classe e número). Conferir no portal do STF.</w:t>
      </w:r>
    </w:p>
    <w:p>
      <w:pPr>
        <w:pStyle w:val="Compact"/>
        <w:numPr>
          <w:ilvl w:val="0"/>
          <w:numId w:val="1004"/>
        </w:numPr>
        <w:spacing w:after="60"/>
        <w:jc w:val="both"/>
      </w:pPr>
      <w:r>
        <w:rPr>
          <w:b/>
          <w:bCs/>
        </w:rPr>
        <w:t xml:space="preserve">Tema 677.</w:t>
      </w:r>
      <w:r>
        <w:t xml:space="preserve"> </w:t>
      </w:r>
      <w:r>
        <w:t xml:space="preserve">O acervo traz duas datas de publicação para o acórdão de 19/10/2022 (15 e 16/12/2022); a data de publicação foi omitida na citação. Conferir no portal do STJ.</w:t>
      </w:r>
    </w:p>
    <w:bookmarkEnd w:id="927"/>
    <w:bookmarkStart w:id="928" w:name="título-iii-dos-procedimentos-especiais-1"/>
    <w:p>
      <w:pPr>
        <w:pStyle w:val="Heading2"/>
      </w:pPr>
      <w:r>
        <w:t xml:space="preserve">7.3 Título III: dos procedimentos especiais</w:t>
      </w:r>
    </w:p>
    <w:p>
      <w:pPr>
        <w:pStyle w:val="Compact"/>
        <w:numPr>
          <w:ilvl w:val="0"/>
          <w:numId w:val="1005"/>
        </w:numPr>
        <w:spacing w:after="60"/>
        <w:jc w:val="both"/>
      </w:pPr>
      <w:r>
        <w:rPr>
          <w:b/>
          <w:bCs/>
        </w:rPr>
        <w:t xml:space="preserve">Alcance da busca.</w:t>
      </w:r>
      <w:r>
        <w:t xml:space="preserve"> </w:t>
      </w:r>
      <w:r>
        <w:t xml:space="preserve">Colheita sistemática de 1º/01/2016 a 18/10/2026, por dispositivo (caput, parágrafos e incisos), nos acervos de curadoria interna (Supremo Tribunal Federal e Superior Tribunal de Justiça) e no repositório externo, com lista ordenada pela hierarquia dos precedentes. A busca é semântica: artigo sem julgado com tese própria no acervo permanece apenas com o texto legal, o que não prova inexistência de jurisprudência.</w:t>
      </w:r>
    </w:p>
    <w:p>
      <w:pPr>
        <w:pStyle w:val="Compact"/>
        <w:numPr>
          <w:ilvl w:val="0"/>
          <w:numId w:val="1005"/>
        </w:numPr>
        <w:spacing w:after="60"/>
        <w:jc w:val="both"/>
      </w:pPr>
      <w:r>
        <w:rPr>
          <w:b/>
          <w:bCs/>
        </w:rPr>
        <w:t xml:space="preserve">Arts. 539 a 544, 546 a 549, 552, 555 a 556, 558 a 561, 563 a 564, 566 a 598, 601 a 602, 607 a 609, 614 a 615, 618, 621, 624 a 641, 644 a 658, 660 a 673, 676 a 684, 686 a 699, 703 a 711, 713, 715 a 718, 720 a 725, 727 a 729, 732 a 736, 738 a 746, 748 a 749, 751 a 770.</w:t>
      </w:r>
      <w:r>
        <w:t xml:space="preserve"> </w:t>
      </w:r>
      <w:r>
        <w:t xml:space="preserve">Sem acórdão com tese própria ou orientação de aplicação nos acervos consultados além dos citados.</w:t>
      </w:r>
    </w:p>
    <w:p>
      <w:pPr>
        <w:pStyle w:val="Compact"/>
        <w:numPr>
          <w:ilvl w:val="0"/>
          <w:numId w:val="1005"/>
        </w:numPr>
        <w:spacing w:after="60"/>
        <w:jc w:val="both"/>
      </w:pPr>
      <w:r>
        <w:rPr>
          <w:b/>
          <w:bCs/>
        </w:rPr>
        <w:t xml:space="preserve">Repositório externo.</w:t>
      </w:r>
      <w:r>
        <w:t xml:space="preserve"> </w:t>
      </w:r>
      <w:r>
        <w:t xml:space="preserve">As referências marcadas provêm de repositório de terceiros; relator e data devem ser conferidos no portal do STF.</w:t>
      </w:r>
    </w:p>
    <w:p>
      <w:pPr>
        <w:pStyle w:val="Compact"/>
        <w:numPr>
          <w:ilvl w:val="0"/>
          <w:numId w:val="1005"/>
        </w:numPr>
        <w:spacing w:after="60"/>
        <w:jc w:val="both"/>
      </w:pPr>
      <w:r>
        <w:rPr>
          <w:b/>
          <w:bCs/>
        </w:rPr>
        <w:t xml:space="preserve">Súmulas.</w:t>
      </w:r>
      <w:r>
        <w:t xml:space="preserve"> </w:t>
      </w:r>
      <w:r>
        <w:t xml:space="preserve">O acervo não informa a data de aprovação das súmulas citadas; conferir no portal do tribunal.</w:t>
      </w:r>
    </w:p>
    <w:p>
      <w:pPr>
        <w:pStyle w:val="Compact"/>
        <w:numPr>
          <w:ilvl w:val="0"/>
          <w:numId w:val="1005"/>
        </w:numPr>
        <w:spacing w:after="60"/>
        <w:jc w:val="both"/>
      </w:pPr>
      <w:r>
        <w:rPr>
          <w:b/>
          <w:bCs/>
        </w:rPr>
        <w:t xml:space="preserve">Tema 243.</w:t>
      </w:r>
      <w:r>
        <w:t xml:space="preserve"> </w:t>
      </w:r>
      <w:r>
        <w:t xml:space="preserve">O acervo indica como relatora a Min. Nancy Andrighi; acórdão posterior do STJ (REsp 2.183.157, 2026) menciona o Min. João Otávio de Noronha como relator para o acórdão. Conferir a relatoria no portal do STJ.</w:t>
      </w:r>
    </w:p>
    <w:bookmarkEnd w:id="928"/>
    <w:bookmarkStart w:id="929" w:name="livro-ii-do-processo-de-execução-1"/>
    <w:p>
      <w:pPr>
        <w:pStyle w:val="Heading2"/>
      </w:pPr>
      <w:r>
        <w:t xml:space="preserve">7.4 Livro II: do processo de execução</w:t>
      </w:r>
    </w:p>
    <w:p>
      <w:pPr>
        <w:pStyle w:val="Compact"/>
        <w:numPr>
          <w:ilvl w:val="0"/>
          <w:numId w:val="1006"/>
        </w:numPr>
        <w:spacing w:after="60"/>
        <w:jc w:val="both"/>
      </w:pPr>
      <w:r>
        <w:rPr>
          <w:b/>
          <w:bCs/>
        </w:rPr>
        <w:t xml:space="preserve">Alcance da busca.</w:t>
      </w:r>
      <w:r>
        <w:t xml:space="preserve"> </w:t>
      </w:r>
      <w:r>
        <w:t xml:space="preserve">Colheita sistemática de 1º/01/2016 a 18/10/2026, por dispositivo (caput, parágrafos e incisos), nos acervos de curadoria interna (Supremo Tribunal Federal e Superior Tribunal de Justiça) e no repositório externo, com lista ordenada pela hierarquia dos precedentes. A busca é semântica: artigo sem julgado com tese própria no acervo permanece apenas com o texto legal, o que não prova inexistência de jurisprudência.</w:t>
      </w:r>
    </w:p>
    <w:p>
      <w:pPr>
        <w:pStyle w:val="Compact"/>
        <w:numPr>
          <w:ilvl w:val="0"/>
          <w:numId w:val="1006"/>
        </w:numPr>
        <w:spacing w:after="60"/>
        <w:jc w:val="both"/>
      </w:pPr>
      <w:r>
        <w:rPr>
          <w:b/>
          <w:bCs/>
        </w:rPr>
        <w:t xml:space="preserve">Arts. 771 a 773, 777, 780, 782, 785 a 788, 790 a 791, 793 a 796, 798 a 800, 802, 804, 806 a 814, 816, 818 a 829, 831 a 832, 834, 836 a 842, 845 a 848, 850, 852 a 853, 856, 858 a 860, 862 a 866, 868 a 870, 872, 874 a 875, 877 a 879, 881, 883 a 902, 904 a 907, 909, 912, 914 a 916, 918, 920, 922 a 923, 925.</w:t>
      </w:r>
      <w:r>
        <w:t xml:space="preserve"> </w:t>
      </w:r>
      <w:r>
        <w:t xml:space="preserve">Sem acórdão com tese própria ou orientação de aplicação nos acervos consultados além dos citados.</w:t>
      </w:r>
    </w:p>
    <w:p>
      <w:pPr>
        <w:pStyle w:val="Compact"/>
        <w:numPr>
          <w:ilvl w:val="0"/>
          <w:numId w:val="1006"/>
        </w:numPr>
        <w:spacing w:after="60"/>
        <w:jc w:val="both"/>
      </w:pPr>
      <w:r>
        <w:rPr>
          <w:b/>
          <w:bCs/>
        </w:rPr>
        <w:t xml:space="preserve">Repositório externo.</w:t>
      </w:r>
      <w:r>
        <w:t xml:space="preserve"> </w:t>
      </w:r>
      <w:r>
        <w:t xml:space="preserve">As referências marcadas provêm de repositório de terceiros; relator e data devem ser conferidos no portal do STF.</w:t>
      </w:r>
    </w:p>
    <w:p>
      <w:pPr>
        <w:pStyle w:val="Compact"/>
        <w:numPr>
          <w:ilvl w:val="0"/>
          <w:numId w:val="1006"/>
        </w:numPr>
        <w:spacing w:after="60"/>
        <w:jc w:val="both"/>
      </w:pPr>
      <w:r>
        <w:rPr>
          <w:b/>
          <w:bCs/>
        </w:rPr>
        <w:t xml:space="preserve">Art. 1.009.</w:t>
      </w:r>
      <w:r>
        <w:t xml:space="preserve"> </w:t>
      </w:r>
      <w:r>
        <w:t xml:space="preserve">O texto do art. 1.009 não consta do texto compilado do acervo local (responde</w:t>
      </w:r>
      <w:r>
        <w:t xml:space="preserve"> </w:t>
      </w:r>
      <w:r>
        <w:t xml:space="preserve">“inexistente ou suprimido”</w:t>
      </w:r>
      <w:r>
        <w:t xml:space="preserve">), embora a numeração do Código seja contínua: o dispositivo fica sem texto legal neste bloco, à espera de conferência no portal do Planalto.</w:t>
      </w:r>
    </w:p>
    <w:bookmarkEnd w:id="929"/>
    <w:bookmarkStart w:id="930" w:name="Xf2434898f891c48903d95177aa97b5c9b9faa3c"/>
    <w:p>
      <w:pPr>
        <w:pStyle w:val="Heading2"/>
      </w:pPr>
      <w:r>
        <w:t xml:space="preserve">7.5 Livro III: dos processos nos tribunais e dos meios de impugnação das decisões judiciais</w:t>
      </w:r>
    </w:p>
    <w:p>
      <w:pPr>
        <w:pStyle w:val="Compact"/>
        <w:numPr>
          <w:ilvl w:val="0"/>
          <w:numId w:val="1007"/>
        </w:numPr>
        <w:spacing w:after="60"/>
        <w:jc w:val="both"/>
      </w:pPr>
      <w:r>
        <w:rPr>
          <w:b/>
          <w:bCs/>
        </w:rPr>
        <w:t xml:space="preserve">Alcance da busca.</w:t>
      </w:r>
      <w:r>
        <w:t xml:space="preserve"> </w:t>
      </w:r>
      <w:r>
        <w:t xml:space="preserve">Colheita sistemática de 1º/01/2016 a 18/10/2026, por dispositivo (caput, parágrafos e incisos), nos acervos de curadoria interna (Supremo Tribunal Federal e Superior Tribunal de Justiça) e no repositório externo, com lista ordenada pela hierarquia dos precedentes. A busca é semântica: artigo sem julgado com tese própria no acervo permanece apenas com o texto legal, o que não prova inexistência de jurisprudência.</w:t>
      </w:r>
    </w:p>
    <w:p>
      <w:pPr>
        <w:pStyle w:val="Compact"/>
        <w:numPr>
          <w:ilvl w:val="0"/>
          <w:numId w:val="1007"/>
        </w:numPr>
        <w:spacing w:after="60"/>
        <w:jc w:val="both"/>
      </w:pPr>
      <w:r>
        <w:rPr>
          <w:b/>
          <w:bCs/>
        </w:rPr>
        <w:t xml:space="preserve">Arts. 926, 929 a 931, 933, 935 a 936, 938 a 941, 943 a 965, 967 a 987, 989 a 995, 997, 1000, 1002 a 1014, 1016 a 1020, 1023 a 1044.</w:t>
      </w:r>
      <w:r>
        <w:t xml:space="preserve"> </w:t>
      </w:r>
      <w:r>
        <w:t xml:space="preserve">Sem acórdão com tese própria ou orientação de aplicação nos acervos consultados além dos citados.</w:t>
      </w:r>
    </w:p>
    <w:p>
      <w:pPr>
        <w:pStyle w:val="Compact"/>
        <w:numPr>
          <w:ilvl w:val="0"/>
          <w:numId w:val="1007"/>
        </w:numPr>
        <w:spacing w:after="60"/>
        <w:jc w:val="both"/>
      </w:pPr>
      <w:r>
        <w:rPr>
          <w:b/>
          <w:bCs/>
        </w:rPr>
        <w:t xml:space="preserve">Repositório externo.</w:t>
      </w:r>
      <w:r>
        <w:t xml:space="preserve"> </w:t>
      </w:r>
      <w:r>
        <w:t xml:space="preserve">As referências marcadas provêm de repositório de terceiros; relator e data devem ser conferidos no portal do STF.</w:t>
      </w:r>
    </w:p>
    <w:p>
      <w:pPr>
        <w:pStyle w:val="Compact"/>
        <w:numPr>
          <w:ilvl w:val="0"/>
          <w:numId w:val="1007"/>
        </w:numPr>
        <w:spacing w:after="60"/>
        <w:jc w:val="both"/>
      </w:pPr>
      <w:r>
        <w:rPr>
          <w:b/>
          <w:bCs/>
        </w:rPr>
        <w:t xml:space="preserve">Art. 1.009.</w:t>
      </w:r>
      <w:r>
        <w:t xml:space="preserve"> </w:t>
      </w:r>
      <w:r>
        <w:t xml:space="preserve">O texto do art. 1.009 não consta do texto compilado do acervo local, embora a numeração seja contínua; o dispositivo fica sem texto legal, à espera de conferência no portal do Planalto.</w:t>
      </w:r>
    </w:p>
    <w:p>
      <w:pPr>
        <w:pStyle w:val="Compact"/>
        <w:numPr>
          <w:ilvl w:val="0"/>
          <w:numId w:val="1007"/>
        </w:numPr>
        <w:spacing w:after="60"/>
        <w:jc w:val="both"/>
      </w:pPr>
      <w:r>
        <w:rPr>
          <w:b/>
          <w:bCs/>
        </w:rPr>
        <w:t xml:space="preserve">Art. 945.</w:t>
      </w:r>
      <w:r>
        <w:t xml:space="preserve"> </w:t>
      </w:r>
      <w:r>
        <w:t xml:space="preserve">Dispositivo revogado pela Lei nº 13.256/2016; permanece no texto legal apenas a marca de revogação.</w:t>
      </w:r>
    </w:p>
    <w:bookmarkEnd w:id="930"/>
    <w:bookmarkStart w:id="931" w:name="X153332e778b7426cb9eab18b0467c160b470f9c"/>
    <w:p>
      <w:pPr>
        <w:pStyle w:val="Heading2"/>
      </w:pPr>
      <w:r>
        <w:t xml:space="preserve">7.6 Livro Complementar: disposições finais e transitórias</w:t>
      </w:r>
    </w:p>
    <w:p>
      <w:pPr>
        <w:pStyle w:val="Compact"/>
        <w:numPr>
          <w:ilvl w:val="0"/>
          <w:numId w:val="1008"/>
        </w:numPr>
        <w:spacing w:after="60"/>
        <w:jc w:val="both"/>
      </w:pPr>
      <w:r>
        <w:rPr>
          <w:b/>
          <w:bCs/>
        </w:rPr>
        <w:t xml:space="preserve">Alcance da busca.</w:t>
      </w:r>
      <w:r>
        <w:t xml:space="preserve"> </w:t>
      </w:r>
      <w:r>
        <w:t xml:space="preserve">Colheita sistemática de 1º/01/2016 a 18/10/2026, por dispositivo (caput, parágrafos e incisos), nos acervos de curadoria interna (Supremo Tribunal Federal e Superior Tribunal de Justiça) e no repositório externo, com lista ordenada pela hierarquia dos precedentes. A busca é semântica: artigo sem julgado com tese própria no acervo permanece apenas com o texto legal, o que não prova inexistência de jurisprudência.</w:t>
      </w:r>
    </w:p>
    <w:p>
      <w:pPr>
        <w:pStyle w:val="Compact"/>
        <w:numPr>
          <w:ilvl w:val="0"/>
          <w:numId w:val="1008"/>
        </w:numPr>
        <w:spacing w:after="60"/>
        <w:jc w:val="both"/>
      </w:pPr>
      <w:r>
        <w:rPr>
          <w:b/>
          <w:bCs/>
        </w:rPr>
        <w:t xml:space="preserve">Arts. 1045 a 1072.</w:t>
      </w:r>
      <w:r>
        <w:t xml:space="preserve"> </w:t>
      </w:r>
      <w:r>
        <w:t xml:space="preserve">Sem acórdão com tese própria ou orientação de aplicação nos acervos consultados além dos citados.</w:t>
      </w:r>
    </w:p>
    <w:p>
      <w:pPr>
        <w:pStyle w:val="Compact"/>
        <w:numPr>
          <w:ilvl w:val="0"/>
          <w:numId w:val="1008"/>
        </w:numPr>
        <w:spacing w:after="60"/>
        <w:jc w:val="both"/>
      </w:pPr>
      <w:r>
        <w:rPr>
          <w:b/>
          <w:bCs/>
        </w:rPr>
        <w:t xml:space="preserve">Repositório externo.</w:t>
      </w:r>
      <w:r>
        <w:t xml:space="preserve"> </w:t>
      </w:r>
      <w:r>
        <w:t xml:space="preserve">As referências marcadas provêm de repositório de terceiros; relator e data devem ser conferidos no portal do STF.</w:t>
      </w:r>
    </w:p>
    <w:p>
      <w:pPr>
        <w:pStyle w:val="Compact"/>
        <w:numPr>
          <w:ilvl w:val="0"/>
          <w:numId w:val="1008"/>
        </w:numPr>
        <w:spacing w:after="60"/>
        <w:jc w:val="both"/>
      </w:pPr>
      <w:r>
        <w:rPr>
          <w:b/>
          <w:bCs/>
        </w:rPr>
        <w:t xml:space="preserve">Art. 1.055.</w:t>
      </w:r>
      <w:r>
        <w:t xml:space="preserve"> </w:t>
      </w:r>
      <w:r>
        <w:t xml:space="preserve">Dispositivo vetado: o texto legal traz apenas a marca de veto.</w:t>
      </w:r>
    </w:p>
    <w:bookmarkEnd w:id="931"/>
    <w:bookmarkEnd w:id="932"/>
    <w:bookmarkStart w:id="936" w:name="referências"/>
    <w:p>
      <w:pPr>
        <w:pStyle w:val="Heading1"/>
        <w:pBdr>
          <w:left w:val="single" w:sz="48" w:space="8" w:color="1F3A5F"/>
        </w:pBdr>
        <w:shd w:val="clear" w:color="auto" w:fill="DCE6F2"/>
        <w:spacing w:before="120" w:after="60"/>
        <w:ind w:left="142"/>
      </w:pPr>
      <w:r>
        <w:t xml:space="preserve">Referências</w:t>
      </w:r>
    </w:p>
    <w:bookmarkStart w:id="933" w:name="Xf8b68f7228c1e15f02a4fee547a16a632b500bd"/>
    <w:p>
      <w:pPr>
        <w:pStyle w:val="Heading2"/>
      </w:pPr>
      <w:r>
        <w:t xml:space="preserve">Supremo Tribunal Federal (curadoria interna)</w:t>
      </w:r>
    </w:p>
    <w:p>
      <w:pPr>
        <w:pStyle w:val="FirstParagraph"/>
        <w:spacing w:after="60"/>
        <w:jc w:val="both"/>
      </w:pPr>
      <w:r>
        <w:t xml:space="preserve">BRASIL. Supremo Tribunal Federal. Tribunal Pleno. Ação Direta de Inconstitucionalidade 5.941. Relator: Min. Luiz Fux. Julgado em 9 fev. 2023.</w:t>
      </w:r>
    </w:p>
    <w:p>
      <w:pPr>
        <w:pStyle w:val="BodyText"/>
        <w:spacing w:after="60"/>
        <w:jc w:val="both"/>
      </w:pPr>
      <w:r>
        <w:t xml:space="preserve">BRASIL. Supremo Tribunal Federal. Tribunal Pleno. Ação Direta de Inconstitucionalidade 5.492. Relator: Min. Dias Toffoli. Julgado em 24 abr. 2023.</w:t>
      </w:r>
    </w:p>
    <w:p>
      <w:pPr>
        <w:pStyle w:val="BodyText"/>
        <w:spacing w:after="60"/>
        <w:jc w:val="both"/>
      </w:pPr>
      <w:r>
        <w:t xml:space="preserve">BRASIL. Supremo Tribunal Federal. Tribunal Pleno. Ação Direta de Inconstitucionalidade 5.534. Relator: Min. Dias Toffoli. Julgado em 19 dez. 2020.</w:t>
      </w:r>
    </w:p>
    <w:p>
      <w:pPr>
        <w:pStyle w:val="BodyText"/>
        <w:spacing w:after="60"/>
        <w:jc w:val="both"/>
      </w:pPr>
      <w:r>
        <w:t xml:space="preserve">BRASIL. Supremo Tribunal Federal. Súmula 265.</w:t>
      </w:r>
    </w:p>
    <w:p>
      <w:pPr>
        <w:pStyle w:val="BodyText"/>
        <w:spacing w:after="60"/>
        <w:jc w:val="both"/>
      </w:pPr>
      <w:r>
        <w:t xml:space="preserve">BRASIL. Supremo Tribunal Federal. Súmula 621.</w:t>
      </w:r>
    </w:p>
    <w:p>
      <w:pPr>
        <w:pStyle w:val="BodyText"/>
        <w:spacing w:after="60"/>
        <w:jc w:val="both"/>
      </w:pPr>
      <w:r>
        <w:t xml:space="preserve">BRASIL. Supremo Tribunal Federal. Tribunal Pleno. Arguição de Descumprimento de Preceito Fundamental 828. Relator: Min. Roberto Barroso. Julgado em 2 nov. 2022.</w:t>
      </w:r>
    </w:p>
    <w:p>
      <w:pPr>
        <w:pStyle w:val="BodyText"/>
        <w:spacing w:after="60"/>
        <w:jc w:val="both"/>
      </w:pPr>
      <w:r>
        <w:t xml:space="preserve">BRASIL. Supremo Tribunal Federal. Tribunal Pleno. Ação Direta de Inconstitucionalidade 5.894. Relator: Min. André Mendonça. Julgado em 24 abr. 2025. Informativo 1174.</w:t>
      </w:r>
    </w:p>
    <w:p>
      <w:pPr>
        <w:pStyle w:val="BodyText"/>
        <w:spacing w:after="60"/>
        <w:jc w:val="both"/>
      </w:pPr>
      <w:r>
        <w:t xml:space="preserve">BRASIL. Supremo Tribunal Federal. Primeira Turma. Agravo em Recurso Extraordinário 930.352. Relator: Min. Marco Aurélio. Julgado em 29 mar. 2021.</w:t>
      </w:r>
    </w:p>
    <w:p>
      <w:pPr>
        <w:pStyle w:val="BodyText"/>
        <w:spacing w:after="60"/>
        <w:jc w:val="both"/>
      </w:pPr>
      <w:r>
        <w:t xml:space="preserve">BRASIL. Supremo Tribunal Federal. Primeira Turma. Recurso Extraordinário 944.491. Relator: Min. Marco Aurélio. Julgado em 12 jun. 2018.</w:t>
      </w:r>
    </w:p>
    <w:p>
      <w:pPr>
        <w:pStyle w:val="BodyText"/>
        <w:spacing w:after="60"/>
        <w:jc w:val="both"/>
      </w:pPr>
      <w:r>
        <w:t xml:space="preserve">BRASIL. Supremo Tribunal Federal. Segunda Turma. Reclamação 60.872. Relator: Min. Nunes Marques. Julgado em 24 jun. 2024.</w:t>
      </w:r>
    </w:p>
    <w:p>
      <w:pPr>
        <w:pStyle w:val="BodyText"/>
        <w:spacing w:after="60"/>
        <w:jc w:val="both"/>
      </w:pPr>
      <w:r>
        <w:t xml:space="preserve">BRASIL. Supremo Tribunal Federal. Tribunal Pleno. Ação Rescisória 2.973. Relator: Min. Luiz Fux. Julgado em 26 fev. 2024.</w:t>
      </w:r>
    </w:p>
    <w:bookmarkEnd w:id="933"/>
    <w:bookmarkStart w:id="934" w:name="X2d274fe146e06e48a177b3b765750449e14348a"/>
    <w:p>
      <w:pPr>
        <w:pStyle w:val="Heading2"/>
      </w:pPr>
      <w:r>
        <w:t xml:space="preserve">Supremo Tribunal Federal (repositório externo)</w:t>
      </w:r>
    </w:p>
    <w:p>
      <w:pPr>
        <w:pStyle w:val="FirstParagraph"/>
        <w:spacing w:after="60"/>
        <w:jc w:val="both"/>
      </w:pPr>
      <w:r>
        <w:t xml:space="preserve">BRASIL. Supremo Tribunal Federal. Primeira Turma. Ação Originária 2.511. Relator: Min. Alexandre de Moraes. Julgado em 8 abr. 2021. [Repositório externo].</w:t>
      </w:r>
    </w:p>
    <w:p>
      <w:pPr>
        <w:pStyle w:val="BodyText"/>
        <w:spacing w:after="60"/>
        <w:jc w:val="both"/>
      </w:pPr>
      <w:r>
        <w:t xml:space="preserve">BRASIL. Supremo Tribunal Federal. Primeira Turma. Reclamação 74.610. Relator: Min. Luiz Fux. Julgado em 5 mar. 2025. [Repositório externo].</w:t>
      </w:r>
    </w:p>
    <w:p>
      <w:pPr>
        <w:pStyle w:val="BodyText"/>
        <w:spacing w:after="60"/>
        <w:jc w:val="both"/>
      </w:pPr>
      <w:r>
        <w:t xml:space="preserve">BRASIL. Supremo Tribunal Federal. Segunda Turma. Reclamação 75.525. Relator: Min. André Mendonça. Julgado em 2 dez. 2025. [Repositório externo].</w:t>
      </w:r>
    </w:p>
    <w:p>
      <w:pPr>
        <w:pStyle w:val="BodyText"/>
        <w:spacing w:after="60"/>
        <w:jc w:val="both"/>
      </w:pPr>
      <w:r>
        <w:t xml:space="preserve">BRASIL. Supremo Tribunal Federal. Tribunal Pleno. Ação Cível Originária 3.568. Relator: Min. Ricardo Lewandowski. Julgado em 17 mar. 2023. [Repositório externo].</w:t>
      </w:r>
    </w:p>
    <w:p>
      <w:pPr>
        <w:pStyle w:val="BodyText"/>
        <w:spacing w:after="60"/>
        <w:jc w:val="both"/>
      </w:pPr>
      <w:r>
        <w:t xml:space="preserve">BRASIL. Supremo Tribunal Federal. Tribunal Pleno. Recurso Extraordinário 949.297. Relator: Min. Edson Fachin. Julgado em 8 fev. 2023. [Repositório externo].</w:t>
      </w:r>
    </w:p>
    <w:p>
      <w:pPr>
        <w:pStyle w:val="BodyText"/>
        <w:spacing w:after="60"/>
        <w:jc w:val="both"/>
      </w:pPr>
      <w:r>
        <w:t xml:space="preserve">BRASIL. Supremo Tribunal Federal. Tribunal Pleno. Recurso Extraordinário 955.227. Relator: Min. Luís Roberto Barroso. Julgado em 8 fev. 2023. [Repositório externo].</w:t>
      </w:r>
    </w:p>
    <w:p>
      <w:pPr>
        <w:pStyle w:val="BodyText"/>
        <w:spacing w:after="60"/>
        <w:jc w:val="both"/>
      </w:pPr>
      <w:r>
        <w:t xml:space="preserve">BRASIL. Supremo Tribunal Federal. Tribunal Pleno. Ação Cível Originária 1.051. Relator: Min. Nunes Marques. Julgado em 26 ago. 2024. [Repositório externo].</w:t>
      </w:r>
    </w:p>
    <w:bookmarkEnd w:id="934"/>
    <w:bookmarkStart w:id="935" w:name="X04b0aca0bc2cde18c70fa1141bce67da4e7e112"/>
    <w:p>
      <w:pPr>
        <w:pStyle w:val="Heading2"/>
      </w:pPr>
      <w:r>
        <w:t xml:space="preserve">Superior Tribunal de Justiça (curadoria interna)</w:t>
      </w:r>
    </w:p>
    <w:p>
      <w:pPr>
        <w:pStyle w:val="FirstParagraph"/>
        <w:spacing w:after="60"/>
        <w:jc w:val="both"/>
      </w:pPr>
      <w:r>
        <w:t xml:space="preserve">BRASIL. Superior Tribunal de Justiça. Corte Especial. Agravo Interno na CR 14.548. Relator: Min. João Otávio de Noronha. Julgado em 7 abr. 2020. DJe 16 abr. 2020.</w:t>
      </w:r>
    </w:p>
    <w:p>
      <w:pPr>
        <w:pStyle w:val="BodyText"/>
        <w:spacing w:after="60"/>
        <w:jc w:val="both"/>
      </w:pPr>
      <w:r>
        <w:t xml:space="preserve">BRASIL. Superior Tribunal de Justiça. Corte Especial. Agravo Interno no Agravo em Recurso Especial 1.636.832. Relator: Min. Raul Araújo. DJe 25 jun. 2021.</w:t>
      </w:r>
    </w:p>
    <w:p>
      <w:pPr>
        <w:pStyle w:val="BodyText"/>
        <w:spacing w:after="60"/>
        <w:jc w:val="both"/>
      </w:pPr>
      <w:r>
        <w:t xml:space="preserve">BRASIL. Superior Tribunal de Justiça. Corte Especial. Agravo Interno no Agravo em Recurso Especial 2.029.503. Relator: Min. Raul Araújo. DJe 17 out. 2023.</w:t>
      </w:r>
    </w:p>
    <w:p>
      <w:pPr>
        <w:pStyle w:val="BodyText"/>
        <w:spacing w:after="60"/>
        <w:jc w:val="both"/>
      </w:pPr>
      <w:r>
        <w:t xml:space="preserve">BRASIL. Superior Tribunal de Justiça. Corte Especial. Agravo Interno no Embargos de Divergência em Recurso Especial 2.041.210. Relator: Min. Og Fernandes. DJe 14 jun. 2024.</w:t>
      </w:r>
    </w:p>
    <w:p>
      <w:pPr>
        <w:pStyle w:val="BodyText"/>
        <w:spacing w:after="60"/>
        <w:jc w:val="both"/>
      </w:pPr>
      <w:r>
        <w:t xml:space="preserve">BRASIL. Superior Tribunal de Justiça. Corte Especial. Agravo Interno no Homologação de Decisão Estrangeira 7.132. Relator: Min. Mauro Campbell Marques. DJe 26 maio 2025.</w:t>
      </w:r>
    </w:p>
    <w:p>
      <w:pPr>
        <w:pStyle w:val="BodyText"/>
        <w:spacing w:after="60"/>
        <w:jc w:val="both"/>
      </w:pPr>
      <w:r>
        <w:t xml:space="preserve">BRASIL. Superior Tribunal de Justiça. Corte Especial. Recurso Especial 1.882.236. Relator: Min. Og Fernandes. Julgado em 4 fev. 2026. DJEN 12 fev. 2026.</w:t>
      </w:r>
    </w:p>
    <w:p>
      <w:pPr>
        <w:pStyle w:val="BodyText"/>
        <w:spacing w:after="60"/>
        <w:jc w:val="both"/>
      </w:pPr>
      <w:r>
        <w:t xml:space="preserve">BRASIL. Superior Tribunal de Justiça. Corte Especial. Recurso Especial 2.021.665. Relator: Min. Moura Ribeiro. Julgado em 13 mar. 2025. DJEN 11 jun. 2026.</w:t>
      </w:r>
    </w:p>
    <w:p>
      <w:pPr>
        <w:pStyle w:val="BodyText"/>
        <w:spacing w:after="60"/>
        <w:jc w:val="both"/>
      </w:pPr>
      <w:r>
        <w:t xml:space="preserve">BRASIL. Superior Tribunal de Justiça. Corte Especial. Recurso Especial 2.148.059. Relator: Min. Luis Felipe Salomão. Julgado em 20 ago. 2025. DJEN 5 set. 2025.</w:t>
      </w:r>
    </w:p>
    <w:p>
      <w:pPr>
        <w:pStyle w:val="BodyText"/>
        <w:spacing w:after="60"/>
        <w:jc w:val="both"/>
      </w:pPr>
      <w:r>
        <w:t xml:space="preserve">BRASIL. Superior Tribunal de Justiça. Primeira Seção. Conflito de Competência 196.664. Relator: Min. Francisco Falcão. DJe 12 nov. 2023.</w:t>
      </w:r>
    </w:p>
    <w:p>
      <w:pPr>
        <w:pStyle w:val="BodyText"/>
        <w:spacing w:after="60"/>
        <w:jc w:val="both"/>
      </w:pPr>
      <w:r>
        <w:t xml:space="preserve">BRASIL. Superior Tribunal de Justiça. Primeira Seção. Mandado de Segurança 22.280. Relator: Min. Gurgel de Faria. DJe 25 nov. 2021.</w:t>
      </w:r>
    </w:p>
    <w:p>
      <w:pPr>
        <w:pStyle w:val="BodyText"/>
        <w:spacing w:after="60"/>
        <w:jc w:val="both"/>
      </w:pPr>
      <w:r>
        <w:t xml:space="preserve">BRASIL. Superior Tribunal de Justiça. Primeira Seção. Recurso Especial 1.727.063. Relator: Min. Mauro Campbell Marques. Julgado em 23 out. 2019. DJe 2 dez. 2019.</w:t>
      </w:r>
    </w:p>
    <w:p>
      <w:pPr>
        <w:pStyle w:val="BodyText"/>
        <w:spacing w:after="60"/>
        <w:jc w:val="both"/>
      </w:pPr>
      <w:r>
        <w:t xml:space="preserve">BRASIL. Superior Tribunal de Justiça. Primeira Seção. Recurso Especial 1.978.629. Relator: Min. Benedito Gonçalves. Julgado em 7 maio 2026. DJEN 1 jun. 2026.</w:t>
      </w:r>
    </w:p>
    <w:p>
      <w:pPr>
        <w:pStyle w:val="BodyText"/>
        <w:spacing w:after="60"/>
        <w:jc w:val="both"/>
      </w:pPr>
      <w:r>
        <w:t xml:space="preserve">BRASIL. Superior Tribunal de Justiça. Primeira Turma. Agravo Interno no Recurso Especial 2.195.778. Relator: Min. Gurgel de Faria. DJe 20 out. 2025.</w:t>
      </w:r>
    </w:p>
    <w:p>
      <w:pPr>
        <w:pStyle w:val="BodyText"/>
        <w:spacing w:after="60"/>
        <w:jc w:val="both"/>
      </w:pPr>
      <w:r>
        <w:t xml:space="preserve">BRASIL. Superior Tribunal de Justiça. Primeira Turma. Recurso Especial 2.106.717. Relator: Min. Gurgel de Faria. Julgado em 17 set. 2024. DJe 25 set. 2024.</w:t>
      </w:r>
    </w:p>
    <w:p>
      <w:pPr>
        <w:pStyle w:val="BodyText"/>
        <w:spacing w:after="60"/>
        <w:jc w:val="both"/>
      </w:pPr>
      <w:r>
        <w:t xml:space="preserve">BRASIL. Superior Tribunal de Justiça. Quarta Turma. Agravo em Recurso Especial 1.980.949. Relator: Min. Raul Araújo. Julgado em 9 mar. 2026. DJEN 16 mar. 2026.</w:t>
      </w:r>
    </w:p>
    <w:p>
      <w:pPr>
        <w:pStyle w:val="BodyText"/>
        <w:spacing w:after="60"/>
        <w:jc w:val="both"/>
      </w:pPr>
      <w:r>
        <w:t xml:space="preserve">BRASIL. Superior Tribunal de Justiça. Quarta Turma. Agravo em Recurso Especial 2.249.352. Relator: Min. Raul Araújo. Julgado em 13 out. 2025. DJEN 20 out. 2025.</w:t>
      </w:r>
    </w:p>
    <w:p>
      <w:pPr>
        <w:pStyle w:val="BodyText"/>
        <w:spacing w:after="60"/>
        <w:jc w:val="both"/>
      </w:pPr>
      <w:r>
        <w:t xml:space="preserve">BRASIL. Superior Tribunal de Justiça. Quarta Turma. Agravo em Recurso Especial 2.454.286. Relator: Min. João Otávio de Noronha. DJe 22 dez. 2025.</w:t>
      </w:r>
    </w:p>
    <w:p>
      <w:pPr>
        <w:pStyle w:val="BodyText"/>
        <w:spacing w:after="60"/>
        <w:jc w:val="both"/>
      </w:pPr>
      <w:r>
        <w:t xml:space="preserve">BRASIL. Superior Tribunal de Justiça. Quarta Turma. Agravo em Recurso Especial 2.459.998. Relator: Min. Raul Araújo. Julgado em 2 mar. 2026. DJEN 11 mar. 2026.</w:t>
      </w:r>
    </w:p>
    <w:p>
      <w:pPr>
        <w:pStyle w:val="BodyText"/>
        <w:spacing w:after="60"/>
        <w:jc w:val="both"/>
      </w:pPr>
      <w:r>
        <w:t xml:space="preserve">BRASIL. Superior Tribunal de Justiça. Quarta Turma. Agravo em Recurso Especial 2.471.590. Relator: Min. Raul Araújo. Julgado em 16 mar. 2026. DJEN 23 mar. 2026.</w:t>
      </w:r>
    </w:p>
    <w:p>
      <w:pPr>
        <w:pStyle w:val="BodyText"/>
        <w:spacing w:after="60"/>
        <w:jc w:val="both"/>
      </w:pPr>
      <w:r>
        <w:t xml:space="preserve">BRASIL. Superior Tribunal de Justiça. Quarta Turma. Agravo em Recurso Especial 2.489.481. Relator: Min. João Otávio de Noronha. Julgado em 16 mar. 2026. DJEN 19 mar. 2026.</w:t>
      </w:r>
    </w:p>
    <w:p>
      <w:pPr>
        <w:pStyle w:val="BodyText"/>
        <w:spacing w:after="60"/>
        <w:jc w:val="both"/>
      </w:pPr>
      <w:r>
        <w:t xml:space="preserve">BRASIL. Superior Tribunal de Justiça. Quarta Turma. Agravo em Recurso Especial 2.547.573. Relator: Min. João Otávio de Noronha. DJe 22 dez. 2025.</w:t>
      </w:r>
    </w:p>
    <w:p>
      <w:pPr>
        <w:pStyle w:val="BodyText"/>
        <w:spacing w:after="60"/>
        <w:jc w:val="both"/>
      </w:pPr>
      <w:r>
        <w:t xml:space="preserve">BRASIL. Superior Tribunal de Justiça. Quarta Turma. Agravo em Recurso Especial 2.580.345. Relator: Min. João Otávio de Noronha. Julgado em 30 jun. 2026. DJEN 6 jul. 2026.</w:t>
      </w:r>
    </w:p>
    <w:p>
      <w:pPr>
        <w:pStyle w:val="BodyText"/>
        <w:spacing w:after="60"/>
        <w:jc w:val="both"/>
      </w:pPr>
      <w:r>
        <w:t xml:space="preserve">BRASIL. Superior Tribunal de Justiça. Quarta Turma. Agravo em Recurso Especial 2.626.022. Relator: Min. João Otávio de Noronha. Julgado em 4 maio 2026. DJEN 7 maio 2026.</w:t>
      </w:r>
    </w:p>
    <w:p>
      <w:pPr>
        <w:pStyle w:val="BodyText"/>
        <w:spacing w:after="60"/>
        <w:jc w:val="both"/>
      </w:pPr>
      <w:r>
        <w:t xml:space="preserve">BRASIL. Superior Tribunal de Justiça. Quarta Turma. Agravo em Recurso Especial 2.679.825. Relator: Min. João Otávio de Noronha. Julgado em 9 fev. 2026. DJEN 13 fev. 2026.</w:t>
      </w:r>
    </w:p>
    <w:p>
      <w:pPr>
        <w:pStyle w:val="BodyText"/>
        <w:spacing w:after="60"/>
        <w:jc w:val="both"/>
      </w:pPr>
      <w:r>
        <w:t xml:space="preserve">BRASIL. Superior Tribunal de Justiça. Quarta Turma. Agravo em Recurso Especial 2.726.055. Relator: Min. Raul Araújo. Julgado em 9 mar. 2026. DJEN 16 mar. 2026.</w:t>
      </w:r>
    </w:p>
    <w:p>
      <w:pPr>
        <w:pStyle w:val="BodyText"/>
        <w:spacing w:after="60"/>
        <w:jc w:val="both"/>
      </w:pPr>
      <w:r>
        <w:t xml:space="preserve">BRASIL. Superior Tribunal de Justiça. Quarta Turma. Agravo em Recurso Especial 2.739.264. Relator: Min. Raul Araújo. Julgado em 2 mar. 2026. DJEN 11 mar. 2026.</w:t>
      </w:r>
    </w:p>
    <w:p>
      <w:pPr>
        <w:pStyle w:val="BodyText"/>
        <w:spacing w:after="60"/>
        <w:jc w:val="both"/>
      </w:pPr>
      <w:r>
        <w:t xml:space="preserve">BRASIL. Superior Tribunal de Justiça. Quarta Turma. Agravo em Recurso Especial 2.742.161. Relator: Min. Raul Araújo. DJe 29 out. 2025.</w:t>
      </w:r>
    </w:p>
    <w:p>
      <w:pPr>
        <w:pStyle w:val="BodyText"/>
        <w:spacing w:after="60"/>
        <w:jc w:val="both"/>
      </w:pPr>
      <w:r>
        <w:t xml:space="preserve">BRASIL. Superior Tribunal de Justiça. Quarta Turma. Agravo em Recurso Especial 2.749.084. Relator: Min. Raul Araújo. Julgado em 4 maio 2026. DJEN 12 maio 2026.</w:t>
      </w:r>
    </w:p>
    <w:p>
      <w:pPr>
        <w:pStyle w:val="BodyText"/>
        <w:spacing w:after="60"/>
        <w:jc w:val="both"/>
      </w:pPr>
      <w:r>
        <w:t xml:space="preserve">BRASIL. Superior Tribunal de Justiça. Quarta Turma. Agravo em Recurso Especial 2.766.779. Relator: Min. João Otávio de Noronha. Julgado em 16 mar. 2026. DJEN 19 mar. 2026.</w:t>
      </w:r>
    </w:p>
    <w:p>
      <w:pPr>
        <w:pStyle w:val="BodyText"/>
        <w:spacing w:after="60"/>
        <w:jc w:val="both"/>
      </w:pPr>
      <w:r>
        <w:t xml:space="preserve">BRASIL. Superior Tribunal de Justiça. Quarta Turma. Agravo em Recurso Especial 2.770.186. Relator: Min. Raul Araújo. Julgado em 2 mar. 2026. DJEN 11 mar. 2026.</w:t>
      </w:r>
    </w:p>
    <w:p>
      <w:pPr>
        <w:pStyle w:val="BodyText"/>
        <w:spacing w:after="60"/>
        <w:jc w:val="both"/>
      </w:pPr>
      <w:r>
        <w:t xml:space="preserve">BRASIL. Superior Tribunal de Justiça. Quarta Turma. Agravo em Recurso Especial 2.786.129. Relator: Min. João Otávio de Noronha. Julgado em 9 fev. 2026. DJEN 13 fev. 2026.</w:t>
      </w:r>
    </w:p>
    <w:p>
      <w:pPr>
        <w:pStyle w:val="BodyText"/>
        <w:spacing w:after="60"/>
        <w:jc w:val="both"/>
      </w:pPr>
      <w:r>
        <w:t xml:space="preserve">BRASIL. Superior Tribunal de Justiça. Quarta Turma. Agravo em Recurso Especial 2.814.141. Relator: Min. João Otávio de Noronha. Julgado em 30 mar. 2026.</w:t>
      </w:r>
    </w:p>
    <w:p>
      <w:pPr>
        <w:pStyle w:val="BodyText"/>
        <w:spacing w:after="60"/>
        <w:jc w:val="both"/>
      </w:pPr>
      <w:r>
        <w:t xml:space="preserve">BRASIL. Superior Tribunal de Justiça. Quarta Turma. Agravo em Recurso Especial 2.840.956. Relator: Min. João Otávio de Noronha. Julgado em 16 mar. 2026. DJEN 19 mar. 2026.</w:t>
      </w:r>
    </w:p>
    <w:p>
      <w:pPr>
        <w:pStyle w:val="BodyText"/>
        <w:spacing w:after="60"/>
        <w:jc w:val="both"/>
      </w:pPr>
      <w:r>
        <w:t xml:space="preserve">BRASIL. Superior Tribunal de Justiça. Quarta Turma. Agravo em Recurso Especial 2.929.120. Relator: Min. João Otávio de Noronha. Julgado em 9 mar. 2026. DJEN 12 mar. 2026.</w:t>
      </w:r>
    </w:p>
    <w:p>
      <w:pPr>
        <w:pStyle w:val="BodyText"/>
        <w:spacing w:after="60"/>
        <w:jc w:val="both"/>
      </w:pPr>
      <w:r>
        <w:t xml:space="preserve">BRASIL. Superior Tribunal de Justiça. Quarta Turma. Agravo em Recurso Especial 2.947.779. Relator: Min. Antonio Carlos Ferreira. Julgado em 30 jun. 2026. DJEN 3 jul. 2026.</w:t>
      </w:r>
    </w:p>
    <w:p>
      <w:pPr>
        <w:pStyle w:val="BodyText"/>
        <w:spacing w:after="60"/>
        <w:jc w:val="both"/>
      </w:pPr>
      <w:r>
        <w:t xml:space="preserve">BRASIL. Superior Tribunal de Justiça. Quarta Turma. Agravo em Recurso Especial 2.972.657. Relator: Min. Raul Araújo. Julgado em 16 mar. 2026. DJEN 23 mar. 2026.</w:t>
      </w:r>
    </w:p>
    <w:p>
      <w:pPr>
        <w:pStyle w:val="BodyText"/>
        <w:spacing w:after="60"/>
        <w:jc w:val="both"/>
      </w:pPr>
      <w:r>
        <w:t xml:space="preserve">BRASIL. Superior Tribunal de Justiça. Quarta Turma. Agravo em Recurso Especial 3.016.018. Relator: Min. Raul Araújo. DJe 29 out. 2025.</w:t>
      </w:r>
    </w:p>
    <w:p>
      <w:pPr>
        <w:pStyle w:val="BodyText"/>
        <w:spacing w:after="60"/>
        <w:jc w:val="both"/>
      </w:pPr>
      <w:r>
        <w:t xml:space="preserve">BRASIL. Superior Tribunal de Justiça. Quarta Turma. Agravo em Recurso Especial 3.029.971. Relator: Min. João Otávio de Noronha. Julgado em 9 fev. 2026. DJEN 13 fev. 2026.</w:t>
      </w:r>
    </w:p>
    <w:p>
      <w:pPr>
        <w:pStyle w:val="BodyText"/>
        <w:spacing w:after="60"/>
        <w:jc w:val="both"/>
      </w:pPr>
      <w:r>
        <w:t xml:space="preserve">BRASIL. Superior Tribunal de Justiça. Quarta Turma. Agravo em Recurso Especial 3.068.085. Relator: Min. Raul Araújo. Julgado em 9 mar. 2026. DJEN 16 mar. 2026.</w:t>
      </w:r>
    </w:p>
    <w:p>
      <w:pPr>
        <w:pStyle w:val="BodyText"/>
        <w:spacing w:after="60"/>
        <w:jc w:val="both"/>
      </w:pPr>
      <w:r>
        <w:t xml:space="preserve">BRASIL. Superior Tribunal de Justiça. Quarta Turma. Agravo em Recurso Especial 3.075.807. Relator: Min. Raul Araújo. Julgado em 1 jun. 2026. DJEN 9 jun. 2026.</w:t>
      </w:r>
    </w:p>
    <w:p>
      <w:pPr>
        <w:pStyle w:val="BodyText"/>
        <w:spacing w:after="60"/>
        <w:jc w:val="both"/>
      </w:pPr>
      <w:r>
        <w:t xml:space="preserve">BRASIL. Superior Tribunal de Justiça. Quarta Turma. Agravo em Recurso Especial 3.089.012. Relator: Min. Raul Araújo. Julgado em 13 abr. 2026. DJEN 22 abr. 2026.</w:t>
      </w:r>
    </w:p>
    <w:p>
      <w:pPr>
        <w:pStyle w:val="BodyText"/>
        <w:spacing w:after="60"/>
        <w:jc w:val="both"/>
      </w:pPr>
      <w:r>
        <w:t xml:space="preserve">BRASIL. Superior Tribunal de Justiça. Quarta Turma. Agravo em Recurso Especial 3.101.329. Relator: Min. João Otávio de Noronha. DJe 27 abr. 2026.</w:t>
      </w:r>
    </w:p>
    <w:p>
      <w:pPr>
        <w:pStyle w:val="BodyText"/>
        <w:spacing w:after="60"/>
        <w:jc w:val="both"/>
      </w:pPr>
      <w:r>
        <w:t xml:space="preserve">BRASIL. Superior Tribunal de Justiça. Quarta Turma. Agravo em Recurso Especial 3.137.546. Relator: Min. Raul Araújo. Julgado em 15 jun. 2026. DJEN 19 jun. 2026.</w:t>
      </w:r>
    </w:p>
    <w:p>
      <w:pPr>
        <w:pStyle w:val="BodyText"/>
        <w:spacing w:after="60"/>
        <w:jc w:val="both"/>
      </w:pPr>
      <w:r>
        <w:t xml:space="preserve">BRASIL. Superior Tribunal de Justiça. Quarta Turma. Agravo em Recurso Especial 3.145.151. Relator: Min. João Otávio de Noronha. DJe 2 out. 2026.</w:t>
      </w:r>
    </w:p>
    <w:p>
      <w:pPr>
        <w:pStyle w:val="BodyText"/>
        <w:spacing w:after="60"/>
        <w:jc w:val="both"/>
      </w:pPr>
      <w:r>
        <w:t xml:space="preserve">BRASIL. Superior Tribunal de Justiça. Quarta Turma. Agravo em Recurso Especial 3.155.087. Relator: Min. Raul Araújo. DJe 30 abr. 2026.</w:t>
      </w:r>
    </w:p>
    <w:p>
      <w:pPr>
        <w:pStyle w:val="BodyText"/>
        <w:spacing w:after="60"/>
        <w:jc w:val="both"/>
      </w:pPr>
      <w:r>
        <w:t xml:space="preserve">BRASIL. Superior Tribunal de Justiça. Quarta Turma. Agravo em Recurso Especial 3.160.766. Relator: Min. João Otávio de Noronha. Julgado em 24 ago. 2026. DJEN 27 ago. 2026.</w:t>
      </w:r>
    </w:p>
    <w:p>
      <w:pPr>
        <w:pStyle w:val="BodyText"/>
        <w:spacing w:after="60"/>
        <w:jc w:val="both"/>
      </w:pPr>
      <w:r>
        <w:t xml:space="preserve">BRASIL. Superior Tribunal de Justiça. Quarta Turma. Agravo Interno no Agravo em Recurso Especial 1.615.812. Relatora: Min. Maria Isabel Gallotti. DJe 13 dez. 2024.</w:t>
      </w:r>
    </w:p>
    <w:p>
      <w:pPr>
        <w:pStyle w:val="BodyText"/>
        <w:spacing w:after="60"/>
        <w:jc w:val="both"/>
      </w:pPr>
      <w:r>
        <w:t xml:space="preserve">BRASIL. Superior Tribunal de Justiça. Quarta Turma. Agravo Interno no Agravo em Recurso Especial 1.823.350. Relator: Min. Luis Felipe Salomão. DJe 15 dez. 2021.</w:t>
      </w:r>
    </w:p>
    <w:p>
      <w:pPr>
        <w:pStyle w:val="BodyText"/>
        <w:spacing w:after="60"/>
        <w:jc w:val="both"/>
      </w:pPr>
      <w:r>
        <w:t xml:space="preserve">BRASIL. Superior Tribunal de Justiça. Quarta Turma. Agravo Interno no Agravo em Recurso Especial 2.018.658. Relatora: Min. Maria Isabel Gallotti. DJe 23 mar. 2023.</w:t>
      </w:r>
    </w:p>
    <w:p>
      <w:pPr>
        <w:pStyle w:val="BodyText"/>
        <w:spacing w:after="60"/>
        <w:jc w:val="both"/>
      </w:pPr>
      <w:r>
        <w:t xml:space="preserve">BRASIL. Superior Tribunal de Justiça. Quarta Turma. Agravo Interno no Agravo em Recurso Especial 2.038.411. Relatora: Min. Maria Isabel Gallotti. DJe 13 dez. 2024.</w:t>
      </w:r>
    </w:p>
    <w:p>
      <w:pPr>
        <w:pStyle w:val="BodyText"/>
        <w:spacing w:after="60"/>
        <w:jc w:val="both"/>
      </w:pPr>
      <w:r>
        <w:t xml:space="preserve">BRASIL. Superior Tribunal de Justiça. Quarta Turma. Agravo Interno no Agravo em Recurso Especial 2.229.945. Relatora: Min. Maria Isabel Gallotti. DJe 16 out. 2023.</w:t>
      </w:r>
    </w:p>
    <w:p>
      <w:pPr>
        <w:pStyle w:val="BodyText"/>
        <w:spacing w:after="60"/>
        <w:jc w:val="both"/>
      </w:pPr>
      <w:r>
        <w:t xml:space="preserve">BRASIL. Superior Tribunal de Justiça. Quarta Turma. Agravo Interno no Agravo em Recurso Especial 2.406.675. Relatora: Min. Maria Isabel Gallotti. DJe 3 jul. 2024.</w:t>
      </w:r>
    </w:p>
    <w:p>
      <w:pPr>
        <w:pStyle w:val="BodyText"/>
        <w:spacing w:after="60"/>
        <w:jc w:val="both"/>
      </w:pPr>
      <w:r>
        <w:t xml:space="preserve">BRASIL. Superior Tribunal de Justiça. Quarta Turma. Agravo Interno no Agravo em Recurso Especial 2.419.237. Relatora: Min. Maria Isabel Gallotti. DJe 25 nov. 2025.</w:t>
      </w:r>
    </w:p>
    <w:p>
      <w:pPr>
        <w:pStyle w:val="BodyText"/>
        <w:spacing w:after="60"/>
        <w:jc w:val="both"/>
      </w:pPr>
      <w:r>
        <w:t xml:space="preserve">BRASIL. Superior Tribunal de Justiça. Quarta Turma. Agravo Interno no Agravo em Recurso Especial 2.546.739. Relator: Min. João Otávio de Noronha. DJe 8 jul. 2024.</w:t>
      </w:r>
    </w:p>
    <w:p>
      <w:pPr>
        <w:pStyle w:val="BodyText"/>
        <w:spacing w:after="60"/>
        <w:jc w:val="both"/>
      </w:pPr>
      <w:r>
        <w:t xml:space="preserve">BRASIL. Superior Tribunal de Justiça. Quarta Turma. Agravo Interno no Agravo em Recurso Especial 2.566.952. Relator: Min. Raul Araújo. DJe 2 set. 2024.</w:t>
      </w:r>
    </w:p>
    <w:p>
      <w:pPr>
        <w:pStyle w:val="BodyText"/>
        <w:spacing w:after="60"/>
        <w:jc w:val="both"/>
      </w:pPr>
      <w:r>
        <w:t xml:space="preserve">BRASIL. Superior Tribunal de Justiça. Quarta Turma. Agravo Interno no Agravo em Recurso Especial 2.581.366. Relator: Min. Raul Araújo. DJe 10 abr. 2025.</w:t>
      </w:r>
    </w:p>
    <w:p>
      <w:pPr>
        <w:pStyle w:val="BodyText"/>
        <w:spacing w:after="60"/>
        <w:jc w:val="both"/>
      </w:pPr>
      <w:r>
        <w:t xml:space="preserve">BRASIL. Superior Tribunal de Justiça. Quarta Turma. Agravo Interno no Agravo em Recurso Especial 2.648.107. Relator: Min. Raul Araújo. DJe 9 dez. 2025.</w:t>
      </w:r>
    </w:p>
    <w:p>
      <w:pPr>
        <w:pStyle w:val="BodyText"/>
        <w:spacing w:after="60"/>
        <w:jc w:val="both"/>
      </w:pPr>
      <w:r>
        <w:t xml:space="preserve">BRASIL. Superior Tribunal de Justiça. Quarta Turma. Agravo Interno no Agravo em Recurso Especial 2.750.701. Relator: Min. Antonio Carlos Ferreira. Julgado em 1 jun. 2026. DJEN 9 jun. 2026.</w:t>
      </w:r>
    </w:p>
    <w:p>
      <w:pPr>
        <w:pStyle w:val="BodyText"/>
        <w:spacing w:after="60"/>
        <w:jc w:val="both"/>
      </w:pPr>
      <w:r>
        <w:t xml:space="preserve">BRASIL. Superior Tribunal de Justiça. Quarta Turma. Agravo Interno no Agravo em Recurso Especial 2.773.143. Relator: Min. João Otávio de Noronha. Julgado em 14 abr. 2026. DJEN 24 abr. 2026.</w:t>
      </w:r>
    </w:p>
    <w:p>
      <w:pPr>
        <w:pStyle w:val="BodyText"/>
        <w:spacing w:after="60"/>
        <w:jc w:val="both"/>
      </w:pPr>
      <w:r>
        <w:t xml:space="preserve">BRASIL. Superior Tribunal de Justiça. Quarta Turma. Agravo Interno no Agravo em Recurso Especial 2.905.519. Relator: Min. Raul Araújo. Julgado em 8 jun. 2026. DJEN 12 jun. 2026.</w:t>
      </w:r>
    </w:p>
    <w:p>
      <w:pPr>
        <w:pStyle w:val="BodyText"/>
        <w:spacing w:after="60"/>
        <w:jc w:val="both"/>
      </w:pPr>
      <w:r>
        <w:t xml:space="preserve">BRASIL. Superior Tribunal de Justiça. Quarta Turma. Agravo Interno no Agravo em Recurso Especial 2.940.126. Relatora: Min. Maria Isabel Gallotti. Julgado em 1 jun. 2026. DJEN 8 jun. 2026.</w:t>
      </w:r>
    </w:p>
    <w:p>
      <w:pPr>
        <w:pStyle w:val="BodyText"/>
        <w:spacing w:after="60"/>
        <w:jc w:val="both"/>
      </w:pPr>
      <w:r>
        <w:t xml:space="preserve">BRASIL. Superior Tribunal de Justiça. Quarta Turma. Agravo Interno no Agravo em Recurso Especial 2.954.640. Relator: Min. Raul Araújo. Julgado em 22 jun. 2026. DJEN 29 jun. 2026.</w:t>
      </w:r>
    </w:p>
    <w:p>
      <w:pPr>
        <w:pStyle w:val="BodyText"/>
        <w:spacing w:after="60"/>
        <w:jc w:val="both"/>
      </w:pPr>
      <w:r>
        <w:t xml:space="preserve">BRASIL. Superior Tribunal de Justiça. Quarta Turma. Agravo Interno no Agravo em Recurso Especial 2.957.383. Relator: Min. Antonio Carlos Ferreira. Julgado em 30 mar. 2026. DJEN 7 abr. 2026.</w:t>
      </w:r>
    </w:p>
    <w:p>
      <w:pPr>
        <w:pStyle w:val="BodyText"/>
        <w:spacing w:after="60"/>
        <w:jc w:val="both"/>
      </w:pPr>
      <w:r>
        <w:t xml:space="preserve">BRASIL. Superior Tribunal de Justiça. Quarta Turma. Agravo Interno no Agravo em Recurso Especial 2.959.518. Relator: Min. João Otávio de Noronha. DJe 24 out. 2025.</w:t>
      </w:r>
    </w:p>
    <w:p>
      <w:pPr>
        <w:pStyle w:val="BodyText"/>
        <w:spacing w:after="60"/>
        <w:jc w:val="both"/>
      </w:pPr>
      <w:r>
        <w:t xml:space="preserve">BRASIL. Superior Tribunal de Justiça. Quarta Turma. Agravo Interno no Agravo em Recurso Especial 2.993.026. Relator: Min. Luís Carlos Gambogi (Desembargador Convocado do Tjmg). Julgado em 1 jun. 2026. DJEN 8 jun. 2026.</w:t>
      </w:r>
    </w:p>
    <w:p>
      <w:pPr>
        <w:pStyle w:val="BodyText"/>
        <w:spacing w:after="60"/>
        <w:jc w:val="both"/>
      </w:pPr>
      <w:r>
        <w:t xml:space="preserve">BRASIL. Superior Tribunal de Justiça. Quarta Turma. Agravo Interno no Agravo em Recurso Especial 2.996.755. Relatora: Min. Maria Isabel Gallotti. Julgado em 22 jun. 2026. DJEN 26 jun. 2026.</w:t>
      </w:r>
    </w:p>
    <w:p>
      <w:pPr>
        <w:pStyle w:val="BodyText"/>
        <w:spacing w:after="60"/>
        <w:jc w:val="both"/>
      </w:pPr>
      <w:r>
        <w:t xml:space="preserve">BRASIL. Superior Tribunal de Justiça. Quarta Turma. Agravo Interno no Agravo em Recurso Especial 3.023.137. Relator: Min. Raul Araújo. DJe 8 abr. 2026.</w:t>
      </w:r>
    </w:p>
    <w:p>
      <w:pPr>
        <w:pStyle w:val="BodyText"/>
        <w:spacing w:after="60"/>
        <w:jc w:val="both"/>
      </w:pPr>
      <w:r>
        <w:t xml:space="preserve">BRASIL. Superior Tribunal de Justiça. Quarta Turma. Agravo Interno no Agravo em Recurso Especial 3.052.217. Relator: Min. Luís Carlos Gambogi (Desembargador Convocado do Tjmg). Julgado em 1 jun. 2026. DJEN 8 jun. 2026.</w:t>
      </w:r>
    </w:p>
    <w:p>
      <w:pPr>
        <w:pStyle w:val="BodyText"/>
        <w:spacing w:after="60"/>
        <w:jc w:val="both"/>
      </w:pPr>
      <w:r>
        <w:t xml:space="preserve">BRASIL. Superior Tribunal de Justiça. Quarta Turma. Agravo Interno no Agravo em Recurso Especial 3.086.128. Relator: Min. Raul Araújo. Julgado em 8 jun. 2026. DJEN 12 jun. 2026.</w:t>
      </w:r>
    </w:p>
    <w:p>
      <w:pPr>
        <w:pStyle w:val="BodyText"/>
        <w:spacing w:after="60"/>
        <w:jc w:val="both"/>
      </w:pPr>
      <w:r>
        <w:t xml:space="preserve">BRASIL. Superior Tribunal de Justiça. Quarta Turma. Agravo Interno no Agravo em Recurso Especial 3.097.599. Relatora: Min. Maria Isabel Gallotti. DJe 25 set. 2026.</w:t>
      </w:r>
    </w:p>
    <w:p>
      <w:pPr>
        <w:pStyle w:val="BodyText"/>
        <w:spacing w:after="60"/>
        <w:jc w:val="both"/>
      </w:pPr>
      <w:r>
        <w:t xml:space="preserve">BRASIL. Superior Tribunal de Justiça. Quarta Turma. Agravo Interno no Agravo em Recurso Especial 3.149.164. Relator: Min. Luís Carlos Gambogi (Desembargador Convocado do Tjmg). Julgado em 8 jun. 2026. DJEN 16 jun. 2026.</w:t>
      </w:r>
    </w:p>
    <w:p>
      <w:pPr>
        <w:pStyle w:val="BodyText"/>
        <w:spacing w:after="60"/>
        <w:jc w:val="both"/>
      </w:pPr>
      <w:r>
        <w:t xml:space="preserve">BRASIL. Superior Tribunal de Justiça. Quarta Turma. Agravo Interno no Agravo Interno no Agravo em Recurso Especial 2.507.194. Relatora: Min. Maria Isabel Gallotti. Julgado em 1 jun. 2026. DJEN 8 jun. 2026.</w:t>
      </w:r>
    </w:p>
    <w:p>
      <w:pPr>
        <w:pStyle w:val="BodyText"/>
        <w:spacing w:after="60"/>
        <w:jc w:val="both"/>
      </w:pPr>
      <w:r>
        <w:t xml:space="preserve">BRASIL. Superior Tribunal de Justiça. Quarta Turma. Agravo Interno no Recurso em Mandado de Segurança 56.422. Relator: Min. Raul Araújo. Julgado em 8 jun. 2021. DJe 16 jun. 2021.</w:t>
      </w:r>
    </w:p>
    <w:p>
      <w:pPr>
        <w:pStyle w:val="BodyText"/>
        <w:spacing w:after="60"/>
        <w:jc w:val="both"/>
      </w:pPr>
      <w:r>
        <w:t xml:space="preserve">BRASIL. Superior Tribunal de Justiça. Quarta Turma. Agravo Interno no Recurso Especial 1.578.352. Relatora: Min. Maria Isabel Gallotti. DJe 12 set. 2025.</w:t>
      </w:r>
    </w:p>
    <w:p>
      <w:pPr>
        <w:pStyle w:val="BodyText"/>
        <w:spacing w:after="60"/>
        <w:jc w:val="both"/>
      </w:pPr>
      <w:r>
        <w:t xml:space="preserve">BRASIL. Superior Tribunal de Justiça. Quarta Turma. Agravo Interno no Recurso Especial 1.776.415. Relator: Min. Raul Araújo. Julgado em 13 abr. 2026. DJEN 22 abr. 2026.</w:t>
      </w:r>
    </w:p>
    <w:p>
      <w:pPr>
        <w:pStyle w:val="BodyText"/>
        <w:spacing w:after="60"/>
        <w:jc w:val="both"/>
      </w:pPr>
      <w:r>
        <w:t xml:space="preserve">BRASIL. Superior Tribunal de Justiça. Quarta Turma. Agravo Interno no Recurso Especial 1.796.125. Relator: Min. Raul Araújo.</w:t>
      </w:r>
    </w:p>
    <w:p>
      <w:pPr>
        <w:pStyle w:val="BodyText"/>
        <w:spacing w:after="60"/>
        <w:jc w:val="both"/>
      </w:pPr>
      <w:r>
        <w:t xml:space="preserve">BRASIL. Superior Tribunal de Justiça. Quarta Turma. Agravo Interno no Recurso Especial 1.839.804. Relatora: Min. Maria Isabel Gallotti. DJe 19 dez. 2025.</w:t>
      </w:r>
    </w:p>
    <w:p>
      <w:pPr>
        <w:pStyle w:val="BodyText"/>
        <w:spacing w:after="60"/>
        <w:jc w:val="both"/>
      </w:pPr>
      <w:r>
        <w:t xml:space="preserve">BRASIL. Superior Tribunal de Justiça. Quarta Turma. Agravo Interno no Recurso Especial 1.924.583. Relator: Min. Antonio Carlos Ferreira. DJe 30 set. 2022.</w:t>
      </w:r>
    </w:p>
    <w:p>
      <w:pPr>
        <w:pStyle w:val="BodyText"/>
        <w:spacing w:after="60"/>
        <w:jc w:val="both"/>
      </w:pPr>
      <w:r>
        <w:t xml:space="preserve">BRASIL. Superior Tribunal de Justiça. Quarta Turma. Agravo Interno no Recurso Especial 1.932.383. Relator: Min. Antonio Carlos Ferreira. DJe 19 dez. 2025.</w:t>
      </w:r>
    </w:p>
    <w:p>
      <w:pPr>
        <w:pStyle w:val="BodyText"/>
        <w:spacing w:after="60"/>
        <w:jc w:val="both"/>
      </w:pPr>
      <w:r>
        <w:t xml:space="preserve">BRASIL. Superior Tribunal de Justiça. Quarta Turma. Agravo Interno no Recurso Especial 2.040.456. Relator: Min. Raul Araújo. DJe 1 set. 2023.</w:t>
      </w:r>
    </w:p>
    <w:p>
      <w:pPr>
        <w:pStyle w:val="BodyText"/>
        <w:spacing w:after="60"/>
        <w:jc w:val="both"/>
      </w:pPr>
      <w:r>
        <w:t xml:space="preserve">BRASIL. Superior Tribunal de Justiça. Quarta Turma. Agravo Interno no Recurso Especial 2.102.610. Relator: Min. Raul Araújo. DJe 2 maio 2024.</w:t>
      </w:r>
    </w:p>
    <w:p>
      <w:pPr>
        <w:pStyle w:val="BodyText"/>
        <w:spacing w:after="60"/>
        <w:jc w:val="both"/>
      </w:pPr>
      <w:r>
        <w:t xml:space="preserve">BRASIL. Superior Tribunal de Justiça. Quarta Turma. Agravo Interno no Recurso Especial 2.128.649. Relator: Min. Antonio Carlos Ferreira. Julgado em 22 jun. 2026.</w:t>
      </w:r>
    </w:p>
    <w:p>
      <w:pPr>
        <w:pStyle w:val="BodyText"/>
        <w:spacing w:after="60"/>
        <w:jc w:val="both"/>
      </w:pPr>
      <w:r>
        <w:t xml:space="preserve">BRASIL. Superior Tribunal de Justiça. Quarta Turma. Agravo Interno no Recurso Especial 2.158.677. Relatora: Min. Maria Isabel Gallotti. Julgado em 15 jun. 2026. DJEN 22 jun. 2026.</w:t>
      </w:r>
    </w:p>
    <w:p>
      <w:pPr>
        <w:pStyle w:val="BodyText"/>
        <w:spacing w:after="60"/>
        <w:jc w:val="both"/>
      </w:pPr>
      <w:r>
        <w:t xml:space="preserve">BRASIL. Superior Tribunal de Justiça. Quarta Turma. Embargos de Declaração no Agravo em Recurso Especial 2.691.914. Relator: Min. João Otávio de Noronha. Julgado em 22 jun. 2026. DJEN 26 jun. 2026.</w:t>
      </w:r>
    </w:p>
    <w:p>
      <w:pPr>
        <w:pStyle w:val="BodyText"/>
        <w:spacing w:after="60"/>
        <w:jc w:val="both"/>
      </w:pPr>
      <w:r>
        <w:t xml:space="preserve">BRASIL. Superior Tribunal de Justiça. Quarta Turma. Recurso Especial 1.871.763. Relatora: Min. Maria Isabel Gallotti. Julgado em 25 maio 2026.</w:t>
      </w:r>
    </w:p>
    <w:p>
      <w:pPr>
        <w:pStyle w:val="BodyText"/>
        <w:spacing w:after="60"/>
        <w:jc w:val="both"/>
      </w:pPr>
      <w:r>
        <w:t xml:space="preserve">BRASIL. Superior Tribunal de Justiça. Quarta Turma. Recurso Especial 1.918.105. Relator: Min. João Otávio de Noronha. Julgado em 9 fev. 2026. DJEN 13 fev. 2026.</w:t>
      </w:r>
    </w:p>
    <w:p>
      <w:pPr>
        <w:pStyle w:val="BodyText"/>
        <w:spacing w:after="60"/>
        <w:jc w:val="both"/>
      </w:pPr>
      <w:r>
        <w:t xml:space="preserve">BRASIL. Superior Tribunal de Justiça. Quarta Turma. Recurso Especial 1.976.506. Relatora: Min. Maria Isabel Gallotti. Julgado em 4 maio 2026. DJEN 7 maio 2026.</w:t>
      </w:r>
    </w:p>
    <w:p>
      <w:pPr>
        <w:pStyle w:val="BodyText"/>
        <w:spacing w:after="60"/>
        <w:jc w:val="both"/>
      </w:pPr>
      <w:r>
        <w:t xml:space="preserve">BRASIL. Superior Tribunal de Justiça. Quarta Turma. Recurso Especial 2.001.188. Relator: Min. João Otávio de Noronha. Julgado em 8 jun. 2026. DJEN 11 jun. 2026.</w:t>
      </w:r>
    </w:p>
    <w:p>
      <w:pPr>
        <w:pStyle w:val="BodyText"/>
        <w:spacing w:after="60"/>
        <w:jc w:val="both"/>
      </w:pPr>
      <w:r>
        <w:t xml:space="preserve">BRASIL. Superior Tribunal de Justiça. Quarta Turma. Recurso Especial 2.010.021. Relator: Min. João Otávio de Noronha. Julgado em 1 jun. 2026. DJEN 8 jun. 2026.</w:t>
      </w:r>
    </w:p>
    <w:p>
      <w:pPr>
        <w:pStyle w:val="BodyText"/>
        <w:spacing w:after="60"/>
        <w:jc w:val="both"/>
      </w:pPr>
      <w:r>
        <w:t xml:space="preserve">BRASIL. Superior Tribunal de Justiça. Quarta Turma. Recurso Especial 2.015.911. Relator: Min. Antonio Carlos Ferreira. Julgado em 17 mar. 2026. DJEN 27 mar. 2026.</w:t>
      </w:r>
    </w:p>
    <w:p>
      <w:pPr>
        <w:pStyle w:val="BodyText"/>
        <w:spacing w:after="60"/>
        <w:jc w:val="both"/>
      </w:pPr>
      <w:r>
        <w:t xml:space="preserve">BRASIL. Superior Tribunal de Justiça. Quarta Turma. Recurso Especial 2.027.283. Relatora: Min. Maria Isabel Gallotti. Julgado em 12 ago. 2026. DJEN 17 ago. 2026.</w:t>
      </w:r>
    </w:p>
    <w:p>
      <w:pPr>
        <w:pStyle w:val="BodyText"/>
        <w:spacing w:after="60"/>
        <w:jc w:val="both"/>
      </w:pPr>
      <w:r>
        <w:t xml:space="preserve">BRASIL. Superior Tribunal de Justiça. Quarta Turma. Recurso Especial 2.043.440. Relatora: Min. Maria Isabel Gallotti. Julgado em 29 nov. 2023. DJe 23 jan. 2024.</w:t>
      </w:r>
    </w:p>
    <w:p>
      <w:pPr>
        <w:pStyle w:val="BodyText"/>
        <w:spacing w:after="60"/>
        <w:jc w:val="both"/>
      </w:pPr>
      <w:r>
        <w:t xml:space="preserve">BRASIL. Superior Tribunal de Justiça. Quarta Turma. Recurso Especial 2.051.570. Relator: Min. João Otávio de Noronha. DJe 17 set. 2026.</w:t>
      </w:r>
    </w:p>
    <w:p>
      <w:pPr>
        <w:pStyle w:val="BodyText"/>
        <w:spacing w:after="60"/>
        <w:jc w:val="both"/>
      </w:pPr>
      <w:r>
        <w:t xml:space="preserve">BRASIL. Superior Tribunal de Justiça. Quarta Turma. Recurso Especial 2.120.455. Relator: Min. Antonio Carlos Ferreira. Julgado em 11 maio 2026. DJEN 18 maio 2026.</w:t>
      </w:r>
    </w:p>
    <w:p>
      <w:pPr>
        <w:pStyle w:val="BodyText"/>
        <w:spacing w:after="60"/>
        <w:jc w:val="both"/>
      </w:pPr>
      <w:r>
        <w:t xml:space="preserve">BRASIL. Superior Tribunal de Justiça. Quarta Turma. Recurso Especial 2.120.563. Relator: Min. Raul Araújo. Julgado em 9 mar. 2026. DJEN 16 mar. 2026.</w:t>
      </w:r>
    </w:p>
    <w:p>
      <w:pPr>
        <w:pStyle w:val="BodyText"/>
        <w:spacing w:after="60"/>
        <w:jc w:val="both"/>
      </w:pPr>
      <w:r>
        <w:t xml:space="preserve">BRASIL. Superior Tribunal de Justiça. Quarta Turma. Recurso Especial 2.120.904. Relator: Min. João Otávio de Noronha. Julgado em 9 mar. 2026. DJEN 12 mar. 2026.</w:t>
      </w:r>
    </w:p>
    <w:p>
      <w:pPr>
        <w:pStyle w:val="BodyText"/>
        <w:spacing w:after="60"/>
        <w:jc w:val="both"/>
      </w:pPr>
      <w:r>
        <w:t xml:space="preserve">BRASIL. Superior Tribunal de Justiça. Quarta Turma. Recurso Especial 2.139.058. Relator: Min. João Otávio de Noronha. Julgado em 11 maio 2026. DJEN 14 maio 2026.</w:t>
      </w:r>
    </w:p>
    <w:p>
      <w:pPr>
        <w:pStyle w:val="BodyText"/>
        <w:spacing w:after="60"/>
        <w:jc w:val="both"/>
      </w:pPr>
      <w:r>
        <w:t xml:space="preserve">BRASIL. Superior Tribunal de Justiça. Quarta Turma. Recurso Especial 2.150.255. Relatora: Min. Maria Isabel Gallotti. Julgado em 30 jun. 2026. DJEN 3 jul. 2026.</w:t>
      </w:r>
    </w:p>
    <w:p>
      <w:pPr>
        <w:pStyle w:val="BodyText"/>
        <w:spacing w:after="60"/>
        <w:jc w:val="both"/>
      </w:pPr>
      <w:r>
        <w:t xml:space="preserve">BRASIL. Superior Tribunal de Justiça. Quarta Turma. Recurso Especial 2.174.791. Relator: Min. João Otávio de Noronha. Julgado em 4 maio 2026. DJEN 7 maio 2026.</w:t>
      </w:r>
    </w:p>
    <w:p>
      <w:pPr>
        <w:pStyle w:val="BodyText"/>
        <w:spacing w:after="60"/>
        <w:jc w:val="both"/>
      </w:pPr>
      <w:r>
        <w:t xml:space="preserve">BRASIL. Superior Tribunal de Justiça. Quarta Turma. Recurso Especial 2.191.153. Relatora: Min. Maria Isabel Gallotti. Julgado em 30 mar. 2026. DJEN 7 abr. 2026.</w:t>
      </w:r>
    </w:p>
    <w:p>
      <w:pPr>
        <w:pStyle w:val="BodyText"/>
        <w:spacing w:after="60"/>
        <w:jc w:val="both"/>
      </w:pPr>
      <w:r>
        <w:t xml:space="preserve">BRASIL. Superior Tribunal de Justiça. Quarta Turma. Recurso Especial 2.193.434. Relator: Min. Raul Araújo. Julgado em 2 mar. 2026. DJEN 11 mar. 2026.</w:t>
      </w:r>
    </w:p>
    <w:p>
      <w:pPr>
        <w:pStyle w:val="BodyText"/>
        <w:spacing w:after="60"/>
        <w:jc w:val="both"/>
      </w:pPr>
      <w:r>
        <w:t xml:space="preserve">BRASIL. Superior Tribunal de Justiça. Quarta Turma. Recurso Especial 2.193.462. Relator: Min. João Otávio de Noronha. Julgado em 22 jun. 2026. DJEN 26 jun. 2026.</w:t>
      </w:r>
    </w:p>
    <w:p>
      <w:pPr>
        <w:pStyle w:val="BodyText"/>
        <w:spacing w:after="60"/>
        <w:jc w:val="both"/>
      </w:pPr>
      <w:r>
        <w:t xml:space="preserve">BRASIL. Superior Tribunal de Justiça. Quarta Turma. Recurso Especial 2.200.621. Relator: Min. João Otávio de Noronha. Julgado em 22 abr. 2026. DJEN 27 abr. 2026.</w:t>
      </w:r>
    </w:p>
    <w:p>
      <w:pPr>
        <w:pStyle w:val="BodyText"/>
        <w:spacing w:after="60"/>
        <w:jc w:val="both"/>
      </w:pPr>
      <w:r>
        <w:t xml:space="preserve">BRASIL. Superior Tribunal de Justiça. Quarta Turma. Recurso Especial 2.200.972. Relatora: Min. Maria Isabel Gallotti. Julgado em 13 abr. 2026. DJEN 16 abr. 2026.</w:t>
      </w:r>
    </w:p>
    <w:p>
      <w:pPr>
        <w:pStyle w:val="BodyText"/>
        <w:spacing w:after="60"/>
        <w:jc w:val="both"/>
      </w:pPr>
      <w:r>
        <w:t xml:space="preserve">BRASIL. Superior Tribunal de Justiça. Quarta Turma. Recurso Especial 2.201.672. Relator: Min. Raul Araújo. Julgado em 24 nov. 2025. DJEN 3 dez. 2025.</w:t>
      </w:r>
    </w:p>
    <w:p>
      <w:pPr>
        <w:pStyle w:val="BodyText"/>
        <w:spacing w:after="60"/>
        <w:jc w:val="both"/>
      </w:pPr>
      <w:r>
        <w:t xml:space="preserve">BRASIL. Superior Tribunal de Justiça. Quarta Turma. Recurso Especial 2.218.679. Relator: Min. Raul Araújo. Julgado em 9 mar. 2026. DJEN 16 mar. 2026.</w:t>
      </w:r>
    </w:p>
    <w:p>
      <w:pPr>
        <w:pStyle w:val="BodyText"/>
        <w:spacing w:after="60"/>
        <w:jc w:val="both"/>
      </w:pPr>
      <w:r>
        <w:t xml:space="preserve">BRASIL. Superior Tribunal de Justiça. Quarta Turma. Recurso Especial 2.220.046. Relator: Min. João Otávio de Noronha. Julgado em 30 mar. 2026. DJEN 8 abr. 2026.</w:t>
      </w:r>
    </w:p>
    <w:p>
      <w:pPr>
        <w:pStyle w:val="BodyText"/>
        <w:spacing w:after="60"/>
        <w:jc w:val="both"/>
      </w:pPr>
      <w:r>
        <w:t xml:space="preserve">BRASIL. Superior Tribunal de Justiça. Quarta Turma. Recurso Especial 2.229.072. Relator: Min. João Otávio de Noronha. DJe 5 mar. 2026.</w:t>
      </w:r>
    </w:p>
    <w:p>
      <w:pPr>
        <w:pStyle w:val="BodyText"/>
        <w:spacing w:after="60"/>
        <w:jc w:val="both"/>
      </w:pPr>
      <w:r>
        <w:t xml:space="preserve">BRASIL. Superior Tribunal de Justiça. Quarta Turma. Recurso Especial 2.231.202. Relatora: Min. Maria Isabel Gallotti. Julgado em 16 mar. 2026. DJEN 19 mar. 2026.</w:t>
      </w:r>
    </w:p>
    <w:p>
      <w:pPr>
        <w:pStyle w:val="BodyText"/>
        <w:spacing w:after="60"/>
        <w:jc w:val="both"/>
      </w:pPr>
      <w:r>
        <w:t xml:space="preserve">BRASIL. Superior Tribunal de Justiça. Quarta Turma. Recurso Especial 2.231.891. Relator: Min. Raul Araújo. DJe 22 abr. 2026.</w:t>
      </w:r>
    </w:p>
    <w:p>
      <w:pPr>
        <w:pStyle w:val="BodyText"/>
        <w:spacing w:after="60"/>
        <w:jc w:val="both"/>
      </w:pPr>
      <w:r>
        <w:t xml:space="preserve">BRASIL. Superior Tribunal de Justiça. Quarta Turma. Recurso Especial 2.235.749. Relator: Min. João Otávio de Noronha. Julgado em 22 abr. 2026. DJEN 27 abr. 2026.</w:t>
      </w:r>
    </w:p>
    <w:p>
      <w:pPr>
        <w:pStyle w:val="BodyText"/>
        <w:spacing w:after="60"/>
        <w:jc w:val="both"/>
      </w:pPr>
      <w:r>
        <w:t xml:space="preserve">BRASIL. Superior Tribunal de Justiça. Quarta Turma. Recurso Especial 2.239.347. Relator: Min. João Otávio de Noronha.</w:t>
      </w:r>
    </w:p>
    <w:p>
      <w:pPr>
        <w:pStyle w:val="BodyText"/>
        <w:spacing w:after="60"/>
        <w:jc w:val="both"/>
      </w:pPr>
      <w:r>
        <w:t xml:space="preserve">BRASIL. Superior Tribunal de Justiça. Quarta Turma. Recurso Especial 2.240.858. Relatora: Min. Maria Isabel Gallotti. Julgado em 16 mar. 2026. DJEN 19 mar. 2026.</w:t>
      </w:r>
    </w:p>
    <w:p>
      <w:pPr>
        <w:pStyle w:val="BodyText"/>
        <w:spacing w:after="60"/>
        <w:jc w:val="both"/>
      </w:pPr>
      <w:r>
        <w:t xml:space="preserve">BRASIL. Superior Tribunal de Justiça. Quarta Turma. Recurso Especial 2.243.438. Relator: Min. João Otávio de Noronha. Julgado em 22 jun. 2026. DJEN 26 jun. 2026.</w:t>
      </w:r>
    </w:p>
    <w:p>
      <w:pPr>
        <w:pStyle w:val="BodyText"/>
        <w:spacing w:after="60"/>
        <w:jc w:val="both"/>
      </w:pPr>
      <w:r>
        <w:t xml:space="preserve">BRASIL. Superior Tribunal de Justiça. Quarta Turma. Recurso Especial 2.246.924. Relator: Min. Antonio Carlos Ferreira. Julgado em 22 abr. 2026. DJEN 28 abr. 2026.</w:t>
      </w:r>
    </w:p>
    <w:p>
      <w:pPr>
        <w:pStyle w:val="BodyText"/>
        <w:spacing w:after="60"/>
        <w:jc w:val="both"/>
      </w:pPr>
      <w:r>
        <w:t xml:space="preserve">BRASIL. Superior Tribunal de Justiça. Quarta Turma. Recurso Especial 2.250.689. Relatora: Min. Maria Isabel Gallotti. Julgado em 1 jun. 2026. DJEN 8 jun. 2026.</w:t>
      </w:r>
    </w:p>
    <w:p>
      <w:pPr>
        <w:pStyle w:val="BodyText"/>
        <w:spacing w:after="60"/>
        <w:jc w:val="both"/>
      </w:pPr>
      <w:r>
        <w:t xml:space="preserve">BRASIL. Superior Tribunal de Justiça. Quarta Turma. Recurso Especial 2.251.250. Relator: Min. João Otávio de Noronha. Julgado em 30 mar. 2026. DJEN 8 abr. 2026.</w:t>
      </w:r>
    </w:p>
    <w:p>
      <w:pPr>
        <w:pStyle w:val="BodyText"/>
        <w:spacing w:after="60"/>
        <w:jc w:val="both"/>
      </w:pPr>
      <w:r>
        <w:t xml:space="preserve">BRASIL. Superior Tribunal de Justiça. Quarta Turma. Recurso Especial 2.251.512. Relator: Min. João Otávio de Noronha. Julgado em 30 jun. 2026. DJEN 6 jul. 2026.</w:t>
      </w:r>
    </w:p>
    <w:p>
      <w:pPr>
        <w:pStyle w:val="BodyText"/>
        <w:spacing w:after="60"/>
        <w:jc w:val="both"/>
      </w:pPr>
      <w:r>
        <w:t xml:space="preserve">BRASIL. Superior Tribunal de Justiça. Quarta Turma. Recurso Especial 2.267.093. Relator: Min. João Otávio de Noronha. Julgado em 30 jun. 2026. DJEN 6 jul. 2026.</w:t>
      </w:r>
    </w:p>
    <w:p>
      <w:pPr>
        <w:pStyle w:val="BodyText"/>
        <w:spacing w:after="60"/>
        <w:jc w:val="both"/>
      </w:pPr>
      <w:r>
        <w:t xml:space="preserve">BRASIL. Superior Tribunal de Justiça. Quarta Turma. Recurso Especial 2.272.635. Relatora: Min. Maria Isabel Gallotti. DJe 25 set. 2026.</w:t>
      </w:r>
    </w:p>
    <w:p>
      <w:pPr>
        <w:pStyle w:val="BodyText"/>
        <w:spacing w:after="60"/>
        <w:jc w:val="both"/>
      </w:pPr>
      <w:r>
        <w:t xml:space="preserve">BRASIL. Superior Tribunal de Justiça. Quinta Turma. Agravo em Recurso Especial 2.729.744. Relatora: Min. Daniela Teixeira. DJe 16 out. 2025.</w:t>
      </w:r>
    </w:p>
    <w:p>
      <w:pPr>
        <w:pStyle w:val="BodyText"/>
        <w:spacing w:after="60"/>
        <w:jc w:val="both"/>
      </w:pPr>
      <w:r>
        <w:t xml:space="preserve">BRASIL. Superior Tribunal de Justiça. Quinta Turma. Agravo em Recurso Especial 2.852.331. Relatora: Min. Daniela Teixeira. DJe 2 out. 2025.</w:t>
      </w:r>
    </w:p>
    <w:p>
      <w:pPr>
        <w:pStyle w:val="BodyText"/>
        <w:spacing w:after="60"/>
        <w:jc w:val="both"/>
      </w:pPr>
      <w:r>
        <w:t xml:space="preserve">BRASIL. Superior Tribunal de Justiça. Quinta Turma. Agravo Regimental no Agravo em Recurso Especial 2.694.666. Relator: Min. Messod Azulay Neto. DJe 6 dez. 2024.</w:t>
      </w:r>
    </w:p>
    <w:p>
      <w:pPr>
        <w:pStyle w:val="BodyText"/>
        <w:spacing w:after="60"/>
        <w:jc w:val="both"/>
      </w:pPr>
      <w:r>
        <w:t xml:space="preserve">BRASIL. Superior Tribunal de Justiça. Segunda Seção. Agravo Interno no Ação Rescisória 7.846. Relatora: Min. Daniela Teixeira. DJe 18 ago. 2025.</w:t>
      </w:r>
    </w:p>
    <w:p>
      <w:pPr>
        <w:pStyle w:val="BodyText"/>
        <w:spacing w:after="60"/>
        <w:jc w:val="both"/>
      </w:pPr>
      <w:r>
        <w:t xml:space="preserve">BRASIL. Superior Tribunal de Justiça. Segunda Seção. Agravo Interno no Embargos de Divergência em Recurso Especial 1.930.225. Relator: Min. Luis Felipe Salomão. DJe 6 jun. 2022.</w:t>
      </w:r>
    </w:p>
    <w:p>
      <w:pPr>
        <w:pStyle w:val="BodyText"/>
        <w:spacing w:after="60"/>
        <w:jc w:val="both"/>
      </w:pPr>
      <w:r>
        <w:t xml:space="preserve">BRASIL. Superior Tribunal de Justiça. Segunda Seção. Agravo Interno no Embargos de Divergência em Recurso Especial 2.009.491. Relator: Min. Raul Araújo. DJe 18 set. 2026.</w:t>
      </w:r>
    </w:p>
    <w:p>
      <w:pPr>
        <w:pStyle w:val="BodyText"/>
        <w:spacing w:after="60"/>
        <w:jc w:val="both"/>
      </w:pPr>
      <w:r>
        <w:t xml:space="preserve">BRASIL. Superior Tribunal de Justiça. Segunda Seção. Conflito de Competência 211.882. Relatora: Min. Daniela Teixeira. DJe 24 jun. 2025.</w:t>
      </w:r>
    </w:p>
    <w:p>
      <w:pPr>
        <w:pStyle w:val="BodyText"/>
        <w:spacing w:after="60"/>
        <w:jc w:val="both"/>
      </w:pPr>
      <w:r>
        <w:t xml:space="preserve">BRASIL. Superior Tribunal de Justiça. Segunda Seção. Recurso Especial 1.763.462. Relator: Min. Paulo de Tarso Sanseverino. Julgado em 9 jun. 2021. DJe 1 jul. 2021.</w:t>
      </w:r>
    </w:p>
    <w:p>
      <w:pPr>
        <w:pStyle w:val="BodyText"/>
        <w:spacing w:after="60"/>
        <w:jc w:val="both"/>
      </w:pPr>
      <w:r>
        <w:t xml:space="preserve">BRASIL. Superior Tribunal de Justiça. Segunda Turma. Agravo em Recurso Especial 3.198.909. Relator: Min. Teodoro Silva Santos. Julgado em 12 ago. 2026. DJEN 18 ago. 2026.</w:t>
      </w:r>
    </w:p>
    <w:p>
      <w:pPr>
        <w:pStyle w:val="BodyText"/>
        <w:spacing w:after="60"/>
        <w:jc w:val="both"/>
      </w:pPr>
      <w:r>
        <w:t xml:space="preserve">BRASIL. Superior Tribunal de Justiça. Segunda Turma. Agravo Interno no Agravo em Recurso Especial 1.613.420. Relator: Min. Francisco Falcão. DJe 31 maio 2023.</w:t>
      </w:r>
    </w:p>
    <w:p>
      <w:pPr>
        <w:pStyle w:val="BodyText"/>
        <w:spacing w:after="60"/>
        <w:jc w:val="both"/>
      </w:pPr>
      <w:r>
        <w:t xml:space="preserve">BRASIL. Superior Tribunal de Justiça. Segunda Turma. Agravo Interno no Agravo em Recurso Especial 1.716.133. Relator: Min. Herman Benjamin. Julgado em 31 maio 2021. DJe 1 jul. 2021.</w:t>
      </w:r>
    </w:p>
    <w:p>
      <w:pPr>
        <w:pStyle w:val="BodyText"/>
        <w:spacing w:after="60"/>
        <w:jc w:val="both"/>
      </w:pPr>
      <w:r>
        <w:t xml:space="preserve">BRASIL. Superior Tribunal de Justiça. Segunda Turma. Agravo Interno no Agravo em Recurso Especial 2.129.483. Relatora: Min. Assusete Magalhães. DJe 13 dez. 2022.</w:t>
      </w:r>
    </w:p>
    <w:p>
      <w:pPr>
        <w:pStyle w:val="BodyText"/>
        <w:spacing w:after="60"/>
        <w:jc w:val="both"/>
      </w:pPr>
      <w:r>
        <w:t xml:space="preserve">BRASIL. Superior Tribunal de Justiça. Segunda Turma. Agravo Interno no Agravo em Recurso Especial 2.180.053. Relator: Min. Herman Benjamin. DJe 4 abr. 2023.</w:t>
      </w:r>
    </w:p>
    <w:p>
      <w:pPr>
        <w:pStyle w:val="BodyText"/>
        <w:spacing w:after="60"/>
        <w:jc w:val="both"/>
      </w:pPr>
      <w:r>
        <w:t xml:space="preserve">BRASIL. Superior Tribunal de Justiça. Segunda Turma. Agravo Interno no Agravo em Recurso Especial 2.336.619. Relator: Min. Herman Benjamin. DJe 2 maio 2024.</w:t>
      </w:r>
    </w:p>
    <w:p>
      <w:pPr>
        <w:pStyle w:val="BodyText"/>
        <w:spacing w:after="60"/>
        <w:jc w:val="both"/>
      </w:pPr>
      <w:r>
        <w:t xml:space="preserve">BRASIL. Superior Tribunal de Justiça. Segunda Turma. Agravo Interno no Agravo em Recurso Especial 2.350.898. Relator: Min. Herman Benjamin. DJe 21 set. 2023.</w:t>
      </w:r>
    </w:p>
    <w:p>
      <w:pPr>
        <w:pStyle w:val="BodyText"/>
        <w:spacing w:after="60"/>
        <w:jc w:val="both"/>
      </w:pPr>
      <w:r>
        <w:t xml:space="preserve">BRASIL. Superior Tribunal de Justiça. Segunda Turma. Agravo Interno no Agravo em Recurso Especial 2.377.676. Relator: Min. Mauro Campbell Marques. DJe 22 ago. 2024.</w:t>
      </w:r>
    </w:p>
    <w:p>
      <w:pPr>
        <w:pStyle w:val="BodyText"/>
        <w:spacing w:after="60"/>
        <w:jc w:val="both"/>
      </w:pPr>
      <w:r>
        <w:t xml:space="preserve">BRASIL. Superior Tribunal de Justiça. Segunda Turma. Agravo Interno no Agravo em Recurso Especial 2.840.462. Relator: Min. Francisco Falcão. DJe 26 nov. 2025.</w:t>
      </w:r>
    </w:p>
    <w:p>
      <w:pPr>
        <w:pStyle w:val="BodyText"/>
        <w:spacing w:after="60"/>
        <w:jc w:val="both"/>
      </w:pPr>
      <w:r>
        <w:t xml:space="preserve">BRASIL. Superior Tribunal de Justiça. Segunda Turma. Agravo Interno no Agravo em Recurso Especial 2.857.765. Relator: Min. Marco Aurélio Bellizze. DJe 2 mar. 2026.</w:t>
      </w:r>
    </w:p>
    <w:p>
      <w:pPr>
        <w:pStyle w:val="BodyText"/>
        <w:spacing w:after="60"/>
        <w:jc w:val="both"/>
      </w:pPr>
      <w:r>
        <w:t xml:space="preserve">BRASIL. Superior Tribunal de Justiça. Segunda Turma. Agravo Interno no Agravo em Recurso Especial 2.951.852. Relator: Min. Afrânio Vilela. Julgado em 19 ago. 2026. DJEN 24 ago. 2026.</w:t>
      </w:r>
    </w:p>
    <w:p>
      <w:pPr>
        <w:pStyle w:val="BodyText"/>
        <w:spacing w:after="60"/>
        <w:jc w:val="both"/>
      </w:pPr>
      <w:r>
        <w:t xml:space="preserve">BRASIL. Superior Tribunal de Justiça. Segunda Turma. Agravo Interno no Agravo Interno no Agravo em Recurso Especial 3.094.331. Relator: Min. Marco Aurélio Bellizze. Julgado em 19 ago. 2026. DJEN 24 ago. 2026.</w:t>
      </w:r>
    </w:p>
    <w:p>
      <w:pPr>
        <w:pStyle w:val="BodyText"/>
        <w:spacing w:after="60"/>
        <w:jc w:val="both"/>
      </w:pPr>
      <w:r>
        <w:t xml:space="preserve">BRASIL. Superior Tribunal de Justiça. Segunda Turma. Agravo Interno no Recurso em Mandado de Segurança 62.819. Relator: Min. Herman Benjamin. DJe 15 abr. 2021.</w:t>
      </w:r>
    </w:p>
    <w:p>
      <w:pPr>
        <w:pStyle w:val="BodyText"/>
        <w:spacing w:after="60"/>
        <w:jc w:val="both"/>
      </w:pPr>
      <w:r>
        <w:t xml:space="preserve">BRASIL. Superior Tribunal de Justiça. Segunda Turma. Agravo Interno no Recurso Especial 1.940.884. Relator: Min. Francisco Falcão. DJe 22 set. 2021.</w:t>
      </w:r>
    </w:p>
    <w:p>
      <w:pPr>
        <w:pStyle w:val="BodyText"/>
        <w:spacing w:after="60"/>
        <w:jc w:val="both"/>
      </w:pPr>
      <w:r>
        <w:t xml:space="preserve">BRASIL. Superior Tribunal de Justiça. Segunda Turma. Agravo Interno no Recurso Especial 2.163.154. Relatora: Min. Maria Thereza de Assis Moura. DJe 26 nov. 2025.</w:t>
      </w:r>
    </w:p>
    <w:p>
      <w:pPr>
        <w:pStyle w:val="BodyText"/>
        <w:spacing w:after="60"/>
        <w:jc w:val="both"/>
      </w:pPr>
      <w:r>
        <w:t xml:space="preserve">BRASIL. Superior Tribunal de Justiça. Segunda Turma. Agravo Interno no Recurso Especial 2.169.344. Relator: Min. Teodoro Silva Santos. Julgado em 12 maio 2026. DJEN 22 maio 2026.</w:t>
      </w:r>
    </w:p>
    <w:p>
      <w:pPr>
        <w:pStyle w:val="BodyText"/>
        <w:spacing w:after="60"/>
        <w:jc w:val="both"/>
      </w:pPr>
      <w:r>
        <w:t xml:space="preserve">BRASIL. Superior Tribunal de Justiça. Segunda Turma. Recurso Especial 1.691.771. Relator: Min. Mauro Campbell Marques. Julgado em 13 dez. 2022. DJe 15 dez. 2022.</w:t>
      </w:r>
    </w:p>
    <w:p>
      <w:pPr>
        <w:pStyle w:val="BodyText"/>
        <w:spacing w:after="60"/>
        <w:jc w:val="both"/>
      </w:pPr>
      <w:r>
        <w:t xml:space="preserve">BRASIL. Superior Tribunal de Justiça. Segunda Turma. Recurso Especial 1.721.248. Relator: Min. Herman Benjamin. Julgado em 17 abr. 2018. DJe 23 maio 2018.</w:t>
      </w:r>
    </w:p>
    <w:p>
      <w:pPr>
        <w:pStyle w:val="BodyText"/>
        <w:spacing w:after="60"/>
        <w:jc w:val="both"/>
      </w:pPr>
      <w:r>
        <w:t xml:space="preserve">BRASIL. Superior Tribunal de Justiça. Segunda Turma. Recurso Especial 2.179.441. Relatora: Min. Maria Thereza de Assis Moura. Julgado em 10 mar. 2026. DJEN 18 mar. 2026.</w:t>
      </w:r>
    </w:p>
    <w:p>
      <w:pPr>
        <w:pStyle w:val="BodyText"/>
        <w:spacing w:after="60"/>
        <w:jc w:val="both"/>
      </w:pPr>
      <w:r>
        <w:t xml:space="preserve">BRASIL. Superior Tribunal de Justiça. Sexta Turma. Agravo Regimental no Agravo em Recurso Especial 2.460.440. Relator: Min. Og Fernandes. Julgado em 3 mar. 2026.</w:t>
      </w:r>
    </w:p>
    <w:p>
      <w:pPr>
        <w:pStyle w:val="BodyText"/>
        <w:spacing w:after="60"/>
        <w:jc w:val="both"/>
      </w:pPr>
      <w:r>
        <w:t xml:space="preserve">BRASIL. Superior Tribunal de Justiça. Terceira Turma. Agravo em Recurso Especial 2.385.745. Relator: Min. Moura Ribeiro. Julgado em 23 mar. 2026.</w:t>
      </w:r>
    </w:p>
    <w:p>
      <w:pPr>
        <w:pStyle w:val="BodyText"/>
        <w:spacing w:after="60"/>
        <w:jc w:val="both"/>
      </w:pPr>
      <w:r>
        <w:t xml:space="preserve">BRASIL. Superior Tribunal de Justiça. Terceira Turma. Agravo em Recurso Especial 2.541.215. Relator: Min. Ricardo Villas Bôas Cueva. Julgado em 23 mar. 2026. DJEN 26 mar. 2026.</w:t>
      </w:r>
    </w:p>
    <w:p>
      <w:pPr>
        <w:pStyle w:val="BodyText"/>
        <w:spacing w:after="60"/>
        <w:jc w:val="both"/>
      </w:pPr>
      <w:r>
        <w:t xml:space="preserve">BRASIL. Superior Tribunal de Justiça. Terceira Turma. Agravo em Recurso Especial 2.619.049. Relator: Min. Moura Ribeiro. DJe 17 out. 2025.</w:t>
      </w:r>
    </w:p>
    <w:p>
      <w:pPr>
        <w:pStyle w:val="BodyText"/>
        <w:spacing w:after="60"/>
        <w:jc w:val="both"/>
      </w:pPr>
      <w:r>
        <w:t xml:space="preserve">BRASIL. Superior Tribunal de Justiça. Terceira Turma. Agravo em Recurso Especial 2.628.736. Relator: Min. Moura Ribeiro. Julgado em 13 out. 2025. DJEN 17 out. 2025.</w:t>
      </w:r>
    </w:p>
    <w:p>
      <w:pPr>
        <w:pStyle w:val="BodyText"/>
        <w:spacing w:after="60"/>
        <w:jc w:val="both"/>
      </w:pPr>
      <w:r>
        <w:t xml:space="preserve">BRASIL. Superior Tribunal de Justiça. Terceira Turma. Agravo em Recurso Especial 2.661.032. Relator: Min. Moura Ribeiro. DJe 17 out. 2025.</w:t>
      </w:r>
    </w:p>
    <w:p>
      <w:pPr>
        <w:pStyle w:val="BodyText"/>
        <w:spacing w:after="60"/>
        <w:jc w:val="both"/>
      </w:pPr>
      <w:r>
        <w:t xml:space="preserve">BRASIL. Superior Tribunal de Justiça. Terceira Turma. Agravo em Recurso Especial 2.668.540. Relator: Min. Moura Ribeiro. Julgado em 9 fev. 2026. DJEN 13 fev. 2026.</w:t>
      </w:r>
    </w:p>
    <w:p>
      <w:pPr>
        <w:pStyle w:val="BodyText"/>
        <w:spacing w:after="60"/>
        <w:jc w:val="both"/>
      </w:pPr>
      <w:r>
        <w:t xml:space="preserve">BRASIL. Superior Tribunal de Justiça. Terceira Turma. Agravo em Recurso Especial 2.682.619. Relator: Min. Ricardo Villas Bôas Cueva. Julgado em 2 mar. 2026. DJEN 5 mar. 2026.</w:t>
      </w:r>
    </w:p>
    <w:p>
      <w:pPr>
        <w:pStyle w:val="BodyText"/>
        <w:spacing w:after="60"/>
        <w:jc w:val="both"/>
      </w:pPr>
      <w:r>
        <w:t xml:space="preserve">BRASIL. Superior Tribunal de Justiça. Terceira Turma. Agravo em Recurso Especial 2.707.668. Relator: Min. Ricardo Villas Bôas Cueva. Julgado em 23 mar. 2026. DJEN 26 mar. 2026.</w:t>
      </w:r>
    </w:p>
    <w:p>
      <w:pPr>
        <w:pStyle w:val="BodyText"/>
        <w:spacing w:after="60"/>
        <w:jc w:val="both"/>
      </w:pPr>
      <w:r>
        <w:t xml:space="preserve">BRASIL. Superior Tribunal de Justiça. Terceira Turma. Agravo em Recurso Especial 2.798.949. Relator: Min. Ricardo Villas Bôas Cueva. Julgado em 22 abr. 2026.</w:t>
      </w:r>
    </w:p>
    <w:p>
      <w:pPr>
        <w:pStyle w:val="BodyText"/>
        <w:spacing w:after="60"/>
        <w:jc w:val="both"/>
      </w:pPr>
      <w:r>
        <w:t xml:space="preserve">BRASIL. Superior Tribunal de Justiça. Terceira Turma. Agravo em Recurso Especial 2.953.224. Relator: Min. Moura Ribeiro. Julgado em 16 mar. 2026. DJEN 20 mar. 2026.</w:t>
      </w:r>
    </w:p>
    <w:p>
      <w:pPr>
        <w:pStyle w:val="BodyText"/>
        <w:spacing w:after="60"/>
        <w:jc w:val="both"/>
      </w:pPr>
      <w:r>
        <w:t xml:space="preserve">BRASIL. Superior Tribunal de Justiça. Terceira Turma. Agravo em Recurso Especial 2.962.979. Relatora: Min. Nancy Andrighi. Julgado em 17 nov. 2025. DJEN 25 nov. 2025.</w:t>
      </w:r>
    </w:p>
    <w:p>
      <w:pPr>
        <w:pStyle w:val="BodyText"/>
        <w:spacing w:after="60"/>
        <w:jc w:val="both"/>
      </w:pPr>
      <w:r>
        <w:t xml:space="preserve">BRASIL. Superior Tribunal de Justiça. Terceira Turma. Agravo em Recurso Especial 2.968.286. Relator: Min. Moura Ribeiro. Julgado em 16 mar. 2026. DJEN 20 mar. 2026.</w:t>
      </w:r>
    </w:p>
    <w:p>
      <w:pPr>
        <w:pStyle w:val="BodyText"/>
        <w:spacing w:after="60"/>
        <w:jc w:val="both"/>
      </w:pPr>
      <w:r>
        <w:t xml:space="preserve">BRASIL. Superior Tribunal de Justiça. Terceira Turma. Agravo em Recurso Especial 2.999.990. Relator: Min. Moura Ribeiro. Julgado em 9 fev. 2026. DJEN 18 fev. 2026.</w:t>
      </w:r>
    </w:p>
    <w:p>
      <w:pPr>
        <w:pStyle w:val="BodyText"/>
        <w:spacing w:after="60"/>
        <w:jc w:val="both"/>
      </w:pPr>
      <w:r>
        <w:t xml:space="preserve">BRASIL. Superior Tribunal de Justiça. Terceira Turma. Agravo em Recurso Especial 3.005.471. Relator: Min. Moura Ribeiro. DJe 16 dez. 2025.</w:t>
      </w:r>
    </w:p>
    <w:p>
      <w:pPr>
        <w:pStyle w:val="BodyText"/>
        <w:spacing w:after="60"/>
        <w:jc w:val="both"/>
      </w:pPr>
      <w:r>
        <w:t xml:space="preserve">BRASIL. Superior Tribunal de Justiça. Terceira Turma. Agravo em Recurso Especial 3.014.872. Relator: Min. Moura Ribeiro. Julgado em 9 fev. 2026. DJEN 18 fev. 2026.</w:t>
      </w:r>
    </w:p>
    <w:p>
      <w:pPr>
        <w:pStyle w:val="BodyText"/>
        <w:spacing w:after="60"/>
        <w:jc w:val="both"/>
      </w:pPr>
      <w:r>
        <w:t xml:space="preserve">BRASIL. Superior Tribunal de Justiça. Terceira Turma. Agravo em Recurso Especial 3.018.178. Relator: Min. Moura Ribeiro. Julgado em 18 maio 2026.</w:t>
      </w:r>
    </w:p>
    <w:p>
      <w:pPr>
        <w:pStyle w:val="BodyText"/>
        <w:spacing w:after="60"/>
        <w:jc w:val="both"/>
      </w:pPr>
      <w:r>
        <w:t xml:space="preserve">BRASIL. Superior Tribunal de Justiça. Terceira Turma. Agravo em Recurso Especial 3.027.064. Relator: Min. Ricardo Villas Bôas Cueva. Julgado em 15 dez. 2025. DJEN 18 dez. 2025.</w:t>
      </w:r>
    </w:p>
    <w:p>
      <w:pPr>
        <w:pStyle w:val="BodyText"/>
        <w:spacing w:after="60"/>
        <w:jc w:val="both"/>
      </w:pPr>
      <w:r>
        <w:t xml:space="preserve">BRASIL. Superior Tribunal de Justiça. Terceira Turma. Agravo em Recurso Especial 3.055.345. Relator: Min. Moura Ribeiro. Julgado em 23 mar. 2026. DJEN 30 mar. 2026.</w:t>
      </w:r>
    </w:p>
    <w:p>
      <w:pPr>
        <w:pStyle w:val="BodyText"/>
        <w:spacing w:after="60"/>
        <w:jc w:val="both"/>
      </w:pPr>
      <w:r>
        <w:t xml:space="preserve">BRASIL. Superior Tribunal de Justiça. Terceira Turma. Agravo em Recurso Especial 3.071.983. Relator: Min. Ricardo Villas Bôas Cueva. Julgado em 15 jun. 2026. DJEN 18 jun. 2026.</w:t>
      </w:r>
    </w:p>
    <w:p>
      <w:pPr>
        <w:pStyle w:val="BodyText"/>
        <w:spacing w:after="60"/>
        <w:jc w:val="both"/>
      </w:pPr>
      <w:r>
        <w:t xml:space="preserve">BRASIL. Superior Tribunal de Justiça. Terceira Turma. Agravo em Recurso Especial 3.078.178. Relator: Min. Ricardo Villas Bôas Cueva. Julgado em 15 jun. 2026. DJEN 18 jun. 2026.</w:t>
      </w:r>
    </w:p>
    <w:p>
      <w:pPr>
        <w:pStyle w:val="BodyText"/>
        <w:spacing w:after="60"/>
        <w:jc w:val="both"/>
      </w:pPr>
      <w:r>
        <w:t xml:space="preserve">BRASIL. Superior Tribunal de Justiça. Terceira Turma. Agravo em Recurso Especial 3.096.424. Relator: Min. Ricardo Villas Bôas Cueva. Julgado em 18 maio 2026. DJEN 21 maio 2026.</w:t>
      </w:r>
    </w:p>
    <w:p>
      <w:pPr>
        <w:pStyle w:val="BodyText"/>
        <w:spacing w:after="60"/>
        <w:jc w:val="both"/>
      </w:pPr>
      <w:r>
        <w:t xml:space="preserve">BRASIL. Superior Tribunal de Justiça. Terceira Turma. Agravo em Recurso Especial 3.108.712. Relator: Min. Moura Ribeiro. DJe 25 set. 2026.</w:t>
      </w:r>
    </w:p>
    <w:p>
      <w:pPr>
        <w:pStyle w:val="BodyText"/>
        <w:spacing w:after="60"/>
        <w:jc w:val="both"/>
      </w:pPr>
      <w:r>
        <w:t xml:space="preserve">BRASIL. Superior Tribunal de Justiça. Terceira Turma. Agravo em Recurso Especial 3.121.151. Relator: Min. Moura Ribeiro. Julgado em 18 maio 2026. DJEN 26 maio 2026.</w:t>
      </w:r>
    </w:p>
    <w:p>
      <w:pPr>
        <w:pStyle w:val="BodyText"/>
        <w:spacing w:after="60"/>
        <w:jc w:val="both"/>
      </w:pPr>
      <w:r>
        <w:t xml:space="preserve">BRASIL. Superior Tribunal de Justiça. Terceira Turma. Agravo em Recurso Especial 3.124.278. Relator: Min. Moura Ribeiro. Julgado em 1 jun. 2026.</w:t>
      </w:r>
    </w:p>
    <w:p>
      <w:pPr>
        <w:pStyle w:val="BodyText"/>
        <w:spacing w:after="60"/>
        <w:jc w:val="both"/>
      </w:pPr>
      <w:r>
        <w:t xml:space="preserve">BRASIL. Superior Tribunal de Justiça. Terceira Turma. Agravo em Recurso Especial 3.134.445. Relator: Min. Moura Ribeiro. Julgado em 30 jun. 2026. DJEN 3 jul. 2026.</w:t>
      </w:r>
    </w:p>
    <w:p>
      <w:pPr>
        <w:pStyle w:val="BodyText"/>
        <w:spacing w:after="60"/>
        <w:jc w:val="both"/>
      </w:pPr>
      <w:r>
        <w:t xml:space="preserve">BRASIL. Superior Tribunal de Justiça. Terceira Turma. Agravo em Recurso Especial 3.134.716. Relator: Min. Moura Ribeiro. Julgado em 22 jun. 2026. DJEN 29 jun. 2026.</w:t>
      </w:r>
    </w:p>
    <w:p>
      <w:pPr>
        <w:pStyle w:val="BodyText"/>
        <w:spacing w:after="60"/>
        <w:jc w:val="both"/>
      </w:pPr>
      <w:r>
        <w:t xml:space="preserve">BRASIL. Superior Tribunal de Justiça. Terceira Turma. Agravo em Recurso Especial 3.135.885. Relator: Min. Ricardo Villas Bôas Cueva. DJe 27 abr. 2026.</w:t>
      </w:r>
    </w:p>
    <w:p>
      <w:pPr>
        <w:pStyle w:val="BodyText"/>
        <w:spacing w:after="60"/>
        <w:jc w:val="both"/>
      </w:pPr>
      <w:r>
        <w:t xml:space="preserve">BRASIL. Superior Tribunal de Justiça. Terceira Turma. Agravo em Recurso Especial 3.138.547. Relator: Min. Moura Ribeiro. Julgado em 22 jun. 2026.</w:t>
      </w:r>
    </w:p>
    <w:p>
      <w:pPr>
        <w:pStyle w:val="BodyText"/>
        <w:spacing w:after="60"/>
        <w:jc w:val="both"/>
      </w:pPr>
      <w:r>
        <w:t xml:space="preserve">BRASIL. Superior Tribunal de Justiça. Terceira Turma. Agravo em Recurso Especial 3.141.923. Relator: Min. Moura Ribeiro. Julgado em 30 jun. 2026. DJEN 3 jul. 2026.</w:t>
      </w:r>
    </w:p>
    <w:p>
      <w:pPr>
        <w:pStyle w:val="BodyText"/>
        <w:spacing w:after="60"/>
        <w:jc w:val="both"/>
      </w:pPr>
      <w:r>
        <w:t xml:space="preserve">BRASIL. Superior Tribunal de Justiça. Terceira Turma. Agravo em Recurso Especial 3.191.276. Relator: Min. Ricardo Villas Bôas Cueva. Julgado em 18 maio 2026. DJEN 21 maio 2026.</w:t>
      </w:r>
    </w:p>
    <w:p>
      <w:pPr>
        <w:pStyle w:val="BodyText"/>
        <w:spacing w:after="60"/>
        <w:jc w:val="both"/>
      </w:pPr>
      <w:r>
        <w:t xml:space="preserve">BRASIL. Superior Tribunal de Justiça. Terceira Turma. Agravo Interno no Agravo em Recurso Especial 1.410.278. Relator: Min. Ricardo Villas Bôas Cueva. Julgado em 13 maio 2024. DJe 15 maio 2024.</w:t>
      </w:r>
    </w:p>
    <w:p>
      <w:pPr>
        <w:pStyle w:val="BodyText"/>
        <w:spacing w:after="60"/>
        <w:jc w:val="both"/>
      </w:pPr>
      <w:r>
        <w:t xml:space="preserve">BRASIL. Superior Tribunal de Justiça. Terceira Turma. Agravo Interno no Agravo em Recurso Especial 2.622.648. Relator: Min. Marco Aurélio Bellizze. DJe 28 ago. 2024.</w:t>
      </w:r>
    </w:p>
    <w:p>
      <w:pPr>
        <w:pStyle w:val="BodyText"/>
        <w:spacing w:after="60"/>
        <w:jc w:val="both"/>
      </w:pPr>
      <w:r>
        <w:t xml:space="preserve">BRASIL. Superior Tribunal de Justiça. Terceira Turma. Agravo Interno no Agravo em Recurso Especial 2.760.574. Relatora: Min. Nancy Andrighi. DJe 27 mar. 2025.</w:t>
      </w:r>
    </w:p>
    <w:p>
      <w:pPr>
        <w:pStyle w:val="BodyText"/>
        <w:spacing w:after="60"/>
        <w:jc w:val="both"/>
      </w:pPr>
      <w:r>
        <w:t xml:space="preserve">BRASIL. Superior Tribunal de Justiça. Terceira Turma. Agravo Interno no Agravo em Recurso Especial 3.062.885. Relator: Min. Humberto Martins. Julgado em 15 jun. 2026. DJEN 18 jun. 2026.</w:t>
      </w:r>
    </w:p>
    <w:p>
      <w:pPr>
        <w:pStyle w:val="BodyText"/>
        <w:spacing w:after="60"/>
        <w:jc w:val="both"/>
      </w:pPr>
      <w:r>
        <w:t xml:space="preserve">BRASIL. Superior Tribunal de Justiça. Terceira Turma. Agravo Interno no Agravo em Recurso Especial 3.075.878. Relator: Min. Moura Ribeiro. Julgado em 30 jun. 2026. DJEN 3 jul. 2026.</w:t>
      </w:r>
    </w:p>
    <w:p>
      <w:pPr>
        <w:pStyle w:val="BodyText"/>
        <w:spacing w:after="60"/>
        <w:jc w:val="both"/>
      </w:pPr>
      <w:r>
        <w:t xml:space="preserve">BRASIL. Superior Tribunal de Justiça. Terceira Turma. Agravo Interno no Recurso Especial 1.687.186. Relator: Min. Moura Ribeiro. DJe 18 jun. 2021.</w:t>
      </w:r>
    </w:p>
    <w:p>
      <w:pPr>
        <w:pStyle w:val="BodyText"/>
        <w:spacing w:after="60"/>
        <w:jc w:val="both"/>
      </w:pPr>
      <w:r>
        <w:t xml:space="preserve">BRASIL. Superior Tribunal de Justiça. Terceira Turma. Agravo Interno no Recurso Especial 2.114.142. Relator: Min. Moura Ribeiro. DJe 15 ago. 2025.</w:t>
      </w:r>
    </w:p>
    <w:p>
      <w:pPr>
        <w:pStyle w:val="BodyText"/>
        <w:spacing w:after="60"/>
        <w:jc w:val="both"/>
      </w:pPr>
      <w:r>
        <w:t xml:space="preserve">BRASIL. Superior Tribunal de Justiça. Terceira Turma. Agravo Interno nos Embargos de Declaração no Agravo em Recurso Especial 2.636.563. Relator: Min. Humberto Martins. Julgado em 30 jun. 2026. DJEN 3 jul. 2026.</w:t>
      </w:r>
    </w:p>
    <w:p>
      <w:pPr>
        <w:pStyle w:val="BodyText"/>
        <w:spacing w:after="60"/>
        <w:jc w:val="both"/>
      </w:pPr>
      <w:r>
        <w:t xml:space="preserve">BRASIL. Superior Tribunal de Justiça. Terceira Turma. Embargos de Declaração no Agravo em Recurso Especial 1.486.202. Relator: Min. Marco Aurélio Bellizze. DJe 28 ago. 2024.</w:t>
      </w:r>
    </w:p>
    <w:p>
      <w:pPr>
        <w:pStyle w:val="BodyText"/>
        <w:spacing w:after="60"/>
        <w:jc w:val="both"/>
      </w:pPr>
      <w:r>
        <w:t xml:space="preserve">BRASIL. Superior Tribunal de Justiça. Terceira Turma. Embargos de Declaração no Agravo em Recurso Especial 2.403.361. Relator: Min. Humberto Martins. DJe 12 dez. 2024.</w:t>
      </w:r>
    </w:p>
    <w:p>
      <w:pPr>
        <w:pStyle w:val="BodyText"/>
        <w:spacing w:after="60"/>
        <w:jc w:val="both"/>
      </w:pPr>
      <w:r>
        <w:t xml:space="preserve">BRASIL. Superior Tribunal de Justiça. Terceira Turma. Embargos de Declaração no Agravo em Recurso Especial 2.995.889. Relator: Min. Moura Ribeiro. Julgado em 30 jun. 2026. DJEN 3 jul. 2026.</w:t>
      </w:r>
    </w:p>
    <w:p>
      <w:pPr>
        <w:pStyle w:val="BodyText"/>
        <w:spacing w:after="60"/>
        <w:jc w:val="both"/>
      </w:pPr>
      <w:r>
        <w:t xml:space="preserve">BRASIL. Superior Tribunal de Justiça. Terceira Turma. Recurso Especial 1.637.099. Relator: Min. Ricardo Villas Bôas Cueva. Julgado em 26 set. 2017. DJe 2 out. 2017.</w:t>
      </w:r>
    </w:p>
    <w:p>
      <w:pPr>
        <w:pStyle w:val="BodyText"/>
        <w:spacing w:after="60"/>
        <w:jc w:val="both"/>
      </w:pPr>
      <w:r>
        <w:t xml:space="preserve">BRASIL. Superior Tribunal de Justiça. Terceira Turma. Recurso Especial 1.729.110. Relatora: Min. Nancy Andrighi. Julgado em 2 abr. 2019. DJe 4 abr. 2019.</w:t>
      </w:r>
    </w:p>
    <w:p>
      <w:pPr>
        <w:pStyle w:val="BodyText"/>
        <w:spacing w:after="60"/>
        <w:jc w:val="both"/>
      </w:pPr>
      <w:r>
        <w:t xml:space="preserve">BRASIL. Superior Tribunal de Justiça. Terceira Turma. Recurso Especial 1.782.516. Relator: Min. Marco Aurélio Bellizze. Julgado em 4 jun. 2024. DJe 6 jun. 2024.</w:t>
      </w:r>
    </w:p>
    <w:p>
      <w:pPr>
        <w:pStyle w:val="BodyText"/>
        <w:spacing w:after="60"/>
        <w:jc w:val="both"/>
      </w:pPr>
      <w:r>
        <w:t xml:space="preserve">BRASIL. Superior Tribunal de Justiça. Terceira Turma. Recurso Especial 1.786.046. Relator: Min. Moura Ribeiro. Julgado em 9 maio 2023. DJe 11 maio 2023.</w:t>
      </w:r>
    </w:p>
    <w:p>
      <w:pPr>
        <w:pStyle w:val="BodyText"/>
        <w:spacing w:after="60"/>
        <w:jc w:val="both"/>
      </w:pPr>
      <w:r>
        <w:t xml:space="preserve">BRASIL. Superior Tribunal de Justiça. Terceira Turma. Recurso Especial 1.801.586. Relator: Min. Ricardo Villas Bôas Cueva. Julgado em 11 jun. 2019. DJe 18 jun. 2019.</w:t>
      </w:r>
    </w:p>
    <w:p>
      <w:pPr>
        <w:pStyle w:val="BodyText"/>
        <w:spacing w:after="60"/>
        <w:jc w:val="both"/>
      </w:pPr>
      <w:r>
        <w:t xml:space="preserve">BRASIL. Superior Tribunal de Justiça. Terceira Turma. Recurso Especial 1.802.025. Relatora: Min. Nancy Andrighi. Julgado em 17 set. 2019. DJe 20 set. 2019.</w:t>
      </w:r>
    </w:p>
    <w:p>
      <w:pPr>
        <w:pStyle w:val="BodyText"/>
        <w:spacing w:after="60"/>
        <w:jc w:val="both"/>
      </w:pPr>
      <w:r>
        <w:t xml:space="preserve">BRASIL. Superior Tribunal de Justiça. Terceira Turma. Recurso Especial 1.803.251. Relator: Min. Marco Aurélio Bellizze. Julgado em 22 out. 2019. DJe 8 nov. 2019.</w:t>
      </w:r>
    </w:p>
    <w:p>
      <w:pPr>
        <w:pStyle w:val="BodyText"/>
        <w:spacing w:after="60"/>
        <w:jc w:val="both"/>
      </w:pPr>
      <w:r>
        <w:t xml:space="preserve">BRASIL. Superior Tribunal de Justiça. Terceira Turma. Recurso Especial 1.916.316. Relator: Min. Paulo de Tarso Sanseverino. Julgado em 8 nov. 2022. DJe 16 nov. 2022.</w:t>
      </w:r>
    </w:p>
    <w:p>
      <w:pPr>
        <w:pStyle w:val="BodyText"/>
        <w:spacing w:after="60"/>
        <w:jc w:val="both"/>
      </w:pPr>
      <w:r>
        <w:t xml:space="preserve">BRASIL. Superior Tribunal de Justiça. Terceira Turma. Recurso Especial 1.921.548. Relator: Min. Moura Ribeiro. Julgado em 2 mar. 2026. DJEN 6 mar. 2026.</w:t>
      </w:r>
    </w:p>
    <w:p>
      <w:pPr>
        <w:pStyle w:val="BodyText"/>
        <w:spacing w:after="60"/>
        <w:jc w:val="both"/>
      </w:pPr>
      <w:r>
        <w:t xml:space="preserve">BRASIL. Superior Tribunal de Justiça. Terceira Turma. Recurso Especial 1.924.452. Relator: Min. Ricardo Villas Bôas Cueva. Julgado em 4 out. 2022. DJe 10 out. 2022.</w:t>
      </w:r>
    </w:p>
    <w:p>
      <w:pPr>
        <w:pStyle w:val="BodyText"/>
        <w:spacing w:after="60"/>
        <w:jc w:val="both"/>
      </w:pPr>
      <w:r>
        <w:t xml:space="preserve">BRASIL. Superior Tribunal de Justiça. Terceira Turma. Recurso Especial 1.935.852. Relator: Min. Paulo de Tarso Sanseverino. Julgado em 4 out. 2022. DJe 10 nov. 2022.</w:t>
      </w:r>
    </w:p>
    <w:p>
      <w:pPr>
        <w:pStyle w:val="BodyText"/>
        <w:spacing w:after="60"/>
        <w:jc w:val="both"/>
      </w:pPr>
      <w:r>
        <w:t xml:space="preserve">BRASIL. Superior Tribunal de Justiça. Terceira Turma. Recurso Especial 1.947.751. Relator: Min. Marco Aurélio Bellizze. Julgado em 25 abr. 2023. DJe 28 abr. 2023.</w:t>
      </w:r>
    </w:p>
    <w:p>
      <w:pPr>
        <w:pStyle w:val="BodyText"/>
        <w:spacing w:after="60"/>
        <w:jc w:val="both"/>
      </w:pPr>
      <w:r>
        <w:t xml:space="preserve">BRASIL. Superior Tribunal de Justiça. Terceira Turma. Recurso Especial 1.951.656. Relator: Min. Marco Aurélio Bellizze. Julgado em 7 fev. 2023. DJe 10 fev. 2023.</w:t>
      </w:r>
    </w:p>
    <w:p>
      <w:pPr>
        <w:pStyle w:val="BodyText"/>
        <w:spacing w:after="60"/>
        <w:jc w:val="both"/>
      </w:pPr>
      <w:r>
        <w:t xml:space="preserve">BRASIL. Superior Tribunal de Justiça. Terceira Turma. Recurso Especial 1.971.966. Relator: Min. Marco Aurélio Bellizze. Julgado em 5 mar. 2024. DJe 12 mar. 2024.</w:t>
      </w:r>
    </w:p>
    <w:p>
      <w:pPr>
        <w:pStyle w:val="BodyText"/>
        <w:spacing w:after="60"/>
        <w:jc w:val="both"/>
      </w:pPr>
      <w:r>
        <w:t xml:space="preserve">BRASIL. Superior Tribunal de Justiça. Terceira Turma. Recurso Especial 2.034.485. Relator: Min. Marco Aurélio Bellizze. Julgado em 22 nov. 2022. DJe 30 nov. 2022.</w:t>
      </w:r>
    </w:p>
    <w:p>
      <w:pPr>
        <w:pStyle w:val="BodyText"/>
        <w:spacing w:after="60"/>
        <w:jc w:val="both"/>
      </w:pPr>
      <w:r>
        <w:t xml:space="preserve">BRASIL. Superior Tribunal de Justiça. Terceira Turma. Recurso Especial 2.076.127. Relatora: Min. Nancy Andrighi. Julgado em 12 set. 2023. DJe 15 set. 2023.</w:t>
      </w:r>
    </w:p>
    <w:p>
      <w:pPr>
        <w:pStyle w:val="BodyText"/>
        <w:spacing w:after="60"/>
        <w:jc w:val="both"/>
      </w:pPr>
      <w:r>
        <w:t xml:space="preserve">BRASIL. Superior Tribunal de Justiça. Terceira Turma. Recurso Especial 2.089.756. Relatora: Min. Nancy Andrighi. Julgado em 5 mar. 2024. DJe 7 mar. 2024.</w:t>
      </w:r>
    </w:p>
    <w:p>
      <w:pPr>
        <w:pStyle w:val="BodyText"/>
        <w:spacing w:after="60"/>
        <w:jc w:val="both"/>
      </w:pPr>
      <w:r>
        <w:t xml:space="preserve">BRASIL. Superior Tribunal de Justiça. Terceira Turma. Recurso Especial 2.111.849. Relator: Min. Ricardo Villas Bôas Cueva. Julgado em 9 mar. 2026. DJEN 12 mar. 2026.</w:t>
      </w:r>
    </w:p>
    <w:p>
      <w:pPr>
        <w:pStyle w:val="BodyText"/>
        <w:spacing w:after="60"/>
        <w:jc w:val="both"/>
      </w:pPr>
      <w:r>
        <w:t xml:space="preserve">BRASIL. Superior Tribunal de Justiça. Terceira Turma. Recurso Especial 2.115.471. Relator: Min. Humberto Martins. Julgado em 9 mar. 2026. DJEN 12 mar. 2026.</w:t>
      </w:r>
    </w:p>
    <w:p>
      <w:pPr>
        <w:pStyle w:val="BodyText"/>
        <w:spacing w:after="60"/>
        <w:jc w:val="both"/>
      </w:pPr>
      <w:r>
        <w:t xml:space="preserve">BRASIL. Superior Tribunal de Justiça. Terceira Turma. Recurso Especial 2.124.830. Relator: Min. Ricardo Villas Bôas Cueva. Julgado em 14 maio 2024. DJe 16 maio 2024.</w:t>
      </w:r>
    </w:p>
    <w:p>
      <w:pPr>
        <w:pStyle w:val="BodyText"/>
        <w:spacing w:after="60"/>
        <w:jc w:val="both"/>
      </w:pPr>
      <w:r>
        <w:t xml:space="preserve">BRASIL. Superior Tribunal de Justiça. Terceira Turma. Recurso Especial 2.161.191. Relator: Min. Moura Ribeiro. Julgado em 8 jun. 2026. DJEN 11 jun. 2026.</w:t>
      </w:r>
    </w:p>
    <w:p>
      <w:pPr>
        <w:pStyle w:val="BodyText"/>
        <w:spacing w:after="60"/>
        <w:jc w:val="both"/>
      </w:pPr>
      <w:r>
        <w:t xml:space="preserve">BRASIL. Superior Tribunal de Justiça. Terceira Turma. Recurso Especial 2.173.008. Relatora: Min. Nancy Andrighi. Julgado em 12 maio 2026. DJEN 6 jul. 2026.</w:t>
      </w:r>
    </w:p>
    <w:p>
      <w:pPr>
        <w:pStyle w:val="BodyText"/>
        <w:spacing w:after="60"/>
        <w:jc w:val="both"/>
      </w:pPr>
      <w:r>
        <w:t xml:space="preserve">BRASIL. Superior Tribunal de Justiça. Terceira Turma. Recurso Especial 2.174.214. Relator: Min. Humberto Martins. Julgado em 8 jun. 2026. DJEN 11 jun. 2026.</w:t>
      </w:r>
    </w:p>
    <w:p>
      <w:pPr>
        <w:pStyle w:val="BodyText"/>
        <w:spacing w:after="60"/>
        <w:jc w:val="both"/>
      </w:pPr>
      <w:r>
        <w:t xml:space="preserve">BRASIL. Superior Tribunal de Justiça. Terceira Turma. Recurso Especial 2.174.611. Relator: Min. Moura Ribeiro. Julgado em 9 fev. 2026. DJEN 13 fev. 2026.</w:t>
      </w:r>
    </w:p>
    <w:p>
      <w:pPr>
        <w:pStyle w:val="BodyText"/>
        <w:spacing w:after="60"/>
        <w:jc w:val="both"/>
      </w:pPr>
      <w:r>
        <w:t xml:space="preserve">BRASIL. Superior Tribunal de Justiça. Terceira Turma. Recurso Especial 2.184.115. Relatora: Min. Nancy Andrighi. Julgado em 10 mar. 2026.</w:t>
      </w:r>
    </w:p>
    <w:p>
      <w:pPr>
        <w:pStyle w:val="BodyText"/>
        <w:spacing w:after="60"/>
        <w:jc w:val="both"/>
      </w:pPr>
      <w:r>
        <w:t xml:space="preserve">BRASIL. Superior Tribunal de Justiça. Terceira Turma. Recurso Especial 2.187.534. Relator: Min. Moura Ribeiro. Julgado em 9 fev. 2026. DJEN 13 fev. 2026.</w:t>
      </w:r>
    </w:p>
    <w:p>
      <w:pPr>
        <w:pStyle w:val="BodyText"/>
        <w:spacing w:after="60"/>
        <w:jc w:val="both"/>
      </w:pPr>
      <w:r>
        <w:t xml:space="preserve">BRASIL. Superior Tribunal de Justiça. Terceira Turma. Recurso Especial 2.194.521. Relatora: Min. Nancy Andrighi. Julgado em 16 out. 2025. DJEN 23 out. 2025.</w:t>
      </w:r>
    </w:p>
    <w:p>
      <w:pPr>
        <w:pStyle w:val="BodyText"/>
        <w:spacing w:after="60"/>
        <w:jc w:val="both"/>
      </w:pPr>
      <w:r>
        <w:t xml:space="preserve">BRASIL. Superior Tribunal de Justiça. Terceira Turma. Recurso Especial 2.197.156. Relatora: Min. Nancy Andrighi. Julgado em 3 mar. 2026. DJEN 9 mar. 2026.</w:t>
      </w:r>
    </w:p>
    <w:p>
      <w:pPr>
        <w:pStyle w:val="BodyText"/>
        <w:spacing w:after="60"/>
        <w:jc w:val="both"/>
      </w:pPr>
      <w:r>
        <w:t xml:space="preserve">BRASIL. Superior Tribunal de Justiça. Terceira Turma. Recurso Especial 2.198.361. Relator: Min. Humberto Martins. DJe 16 out. 2025.</w:t>
      </w:r>
    </w:p>
    <w:p>
      <w:pPr>
        <w:pStyle w:val="BodyText"/>
        <w:spacing w:after="60"/>
        <w:jc w:val="both"/>
      </w:pPr>
      <w:r>
        <w:t xml:space="preserve">BRASIL. Superior Tribunal de Justiça. Terceira Turma. Recurso Especial 2.200.460. Relator: Min. Moura Ribeiro. Julgado em 22 abr. 2026. DJEN 28 abr. 2026.</w:t>
      </w:r>
    </w:p>
    <w:p>
      <w:pPr>
        <w:pStyle w:val="BodyText"/>
        <w:spacing w:after="60"/>
        <w:jc w:val="both"/>
      </w:pPr>
      <w:r>
        <w:t xml:space="preserve">BRASIL. Superior Tribunal de Justiça. Terceira Turma. Recurso Especial 2.219.394. Relatora: Min. Nancy Andrighi. Julgado em 12 maio 2026. DJEN 28 maio 2026.</w:t>
      </w:r>
    </w:p>
    <w:p>
      <w:pPr>
        <w:pStyle w:val="BodyText"/>
        <w:spacing w:after="60"/>
        <w:jc w:val="both"/>
      </w:pPr>
      <w:r>
        <w:t xml:space="preserve">BRASIL. Superior Tribunal de Justiça. Terceira Turma. Recurso Especial 2.220.835. Relatora: Min. Nancy Andrighi. Julgado em 3 mar. 2026. DJEN 9 mar. 2026.</w:t>
      </w:r>
    </w:p>
    <w:p>
      <w:pPr>
        <w:pStyle w:val="BodyText"/>
        <w:spacing w:after="60"/>
        <w:jc w:val="both"/>
      </w:pPr>
      <w:r>
        <w:t xml:space="preserve">BRASIL. Superior Tribunal de Justiça. Terceira Turma. Recurso Especial 2.221.778. Relator: Min. Humberto Martins. DJe 16 out. 2025.</w:t>
      </w:r>
    </w:p>
    <w:p>
      <w:pPr>
        <w:pStyle w:val="BodyText"/>
        <w:spacing w:after="60"/>
        <w:jc w:val="both"/>
      </w:pPr>
      <w:r>
        <w:t xml:space="preserve">BRASIL. Superior Tribunal de Justiça. Terceira Turma. Recurso Especial 2.223.695. Relatora: Min. Nancy Andrighi. Julgado em 10 mar. 2026.</w:t>
      </w:r>
    </w:p>
    <w:p>
      <w:pPr>
        <w:pStyle w:val="BodyText"/>
        <w:spacing w:after="60"/>
        <w:jc w:val="both"/>
      </w:pPr>
      <w:r>
        <w:t xml:space="preserve">BRASIL. Superior Tribunal de Justiça. Terceira Turma. Recurso Especial 2.225.725. Relator: Min. Humberto Martins. Julgado em 2 mar. 2026. DJEN 5 mar. 2026.</w:t>
      </w:r>
    </w:p>
    <w:p>
      <w:pPr>
        <w:pStyle w:val="BodyText"/>
        <w:spacing w:after="60"/>
        <w:jc w:val="both"/>
      </w:pPr>
      <w:r>
        <w:t xml:space="preserve">BRASIL. Superior Tribunal de Justiça. Terceira Turma. Recurso Especial 2.240.917. Relator: Min. Ricardo Villas Bôas Cueva. Julgado em 18 ago. 2026.</w:t>
      </w:r>
    </w:p>
    <w:p>
      <w:pPr>
        <w:pStyle w:val="BodyText"/>
        <w:spacing w:after="60"/>
        <w:jc w:val="both"/>
      </w:pPr>
      <w:r>
        <w:t xml:space="preserve">BRASIL. Superior Tribunal de Justiça. Terceira Turma. Recurso Especial 2.251.088. Relator: Min. Humberto Martins. Julgado em 8 jun. 2026. DJEN 11 jun. 2026.</w:t>
      </w:r>
    </w:p>
    <w:p>
      <w:pPr>
        <w:pStyle w:val="BodyText"/>
        <w:spacing w:after="60"/>
        <w:jc w:val="both"/>
      </w:pPr>
      <w:r>
        <w:t xml:space="preserve">BRASIL. Superior Tribunal de Justiça. Terceira Turma. Recurso Especial 2.256.830. Relator: Min. Humberto Martins. Julgado em 8 jun. 2026. DJEN 11 jun. 2026.</w:t>
      </w:r>
    </w:p>
    <w:p>
      <w:pPr>
        <w:pStyle w:val="BodyText"/>
        <w:spacing w:after="60"/>
        <w:jc w:val="both"/>
      </w:pPr>
      <w:r>
        <w:t xml:space="preserve">BRASIL. Superior Tribunal de Justiça. Corte Especial. EAREsp 1.479.019. Relator: Min. João Otávio de Noronha. Julgado em 7 maio 2025. DJEN 19 maio 2025.</w:t>
      </w:r>
    </w:p>
    <w:p>
      <w:pPr>
        <w:pStyle w:val="BodyText"/>
        <w:spacing w:after="60"/>
        <w:jc w:val="both"/>
      </w:pPr>
      <w:r>
        <w:t xml:space="preserve">BRASIL. Superior Tribunal de Justiça. Corte Especial. Recurso Especial 1.324.152. Relator: Min. Luis Felipe Salomão. Julgado em 4 maio 2016. DJe 15 jun. 2016.</w:t>
      </w:r>
    </w:p>
    <w:p>
      <w:pPr>
        <w:pStyle w:val="BodyText"/>
        <w:spacing w:after="60"/>
        <w:jc w:val="both"/>
      </w:pPr>
      <w:r>
        <w:t xml:space="preserve">BRASIL. Superior Tribunal de Justiça. Corte Especial. Recurso Especial 1.820.963. Relatora: Min. Nancy Andrighi. Julgado em 19 out. 2022.</w:t>
      </w:r>
    </w:p>
    <w:p>
      <w:pPr>
        <w:pStyle w:val="BodyText"/>
        <w:spacing w:after="60"/>
        <w:jc w:val="both"/>
      </w:pPr>
      <w:r>
        <w:t xml:space="preserve">BRASIL. Superior Tribunal de Justiça. Corte Especial. Recurso Especial 2.061.973. Relatora: Min. Nancy Andrighi. Julgado em 2 out. 2024. DJe 7 out. 2024.</w:t>
      </w:r>
    </w:p>
    <w:p>
      <w:pPr>
        <w:pStyle w:val="BodyText"/>
        <w:spacing w:after="60"/>
        <w:jc w:val="both"/>
      </w:pPr>
      <w:r>
        <w:t xml:space="preserve">BRASIL. Superior Tribunal de Justiça. Corte Especial. Recurso Especial 2.096.505. Relatora: Min. Nancy Andrighi. Julgado em 4 mar. 2026. DJEN 20 mar. 2026.</w:t>
      </w:r>
    </w:p>
    <w:p>
      <w:pPr>
        <w:pStyle w:val="BodyText"/>
        <w:spacing w:after="60"/>
        <w:jc w:val="both"/>
      </w:pPr>
      <w:r>
        <w:t xml:space="preserve">BRASIL. Superior Tribunal de Justiça. Primeira Seção. Agravo Interno no Conflito de Competência 214.930. Relatora: Min. Maria Thereza de Assis Moura. Julgado em 14 abr. 2026. DJEN 17 abr. 2026.</w:t>
      </w:r>
    </w:p>
    <w:p>
      <w:pPr>
        <w:pStyle w:val="BodyText"/>
        <w:spacing w:after="60"/>
        <w:jc w:val="both"/>
      </w:pPr>
      <w:r>
        <w:t xml:space="preserve">BRASIL. Superior Tribunal de Justiça. Primeira Seção. Conflito de Competência 191.185. Relator: Min. Afrânio Vilela. Julgado em 28 fev. 2024. DJe 4 mar. 2024.</w:t>
      </w:r>
    </w:p>
    <w:p>
      <w:pPr>
        <w:pStyle w:val="BodyText"/>
        <w:spacing w:after="60"/>
        <w:jc w:val="both"/>
      </w:pPr>
      <w:r>
        <w:t xml:space="preserve">BRASIL. Superior Tribunal de Justiça. Primeira Seção. Conflito de Competência 198.794. Relator: Min. Mauro Campbell Marques. Julgado em 23 ago. 2023. DJe 28 ago. 2023.</w:t>
      </w:r>
    </w:p>
    <w:p>
      <w:pPr>
        <w:pStyle w:val="BodyText"/>
        <w:spacing w:after="60"/>
        <w:jc w:val="both"/>
      </w:pPr>
      <w:r>
        <w:t xml:space="preserve">BRASIL. Superior Tribunal de Justiça. Primeira Seção. Recurso Especial 1.474.665. Relator: Min. Benedito Gonçalves. Julgado em 26 abr. 2017. DJe 22 jun. 2017.</w:t>
      </w:r>
    </w:p>
    <w:p>
      <w:pPr>
        <w:pStyle w:val="BodyText"/>
        <w:spacing w:after="60"/>
        <w:jc w:val="both"/>
      </w:pPr>
      <w:r>
        <w:t xml:space="preserve">BRASIL. Superior Tribunal de Justiça. Primeira Seção. Recurso Especial 1.804.186. Relator: Min. Herman Benjamin. Julgado em 12 ago. 2020. DJe 11 set. 2020.</w:t>
      </w:r>
    </w:p>
    <w:p>
      <w:pPr>
        <w:pStyle w:val="BodyText"/>
        <w:spacing w:after="60"/>
        <w:jc w:val="both"/>
      </w:pPr>
      <w:r>
        <w:t xml:space="preserve">BRASIL. Superior Tribunal de Justiça. Primeira Seção. Recurso Especial 2.029.636. Relator: Min. Herman Benjamin. Julgado em 20 jun. 2024. DJe 1 jul. 2024.</w:t>
      </w:r>
    </w:p>
    <w:p>
      <w:pPr>
        <w:pStyle w:val="BodyText"/>
        <w:spacing w:after="60"/>
        <w:jc w:val="both"/>
      </w:pPr>
      <w:r>
        <w:t xml:space="preserve">BRASIL. Superior Tribunal de Justiça. Primeira Seção. Recurso Especial 2.053.306. Relator: Min. Sérgio Kukina. Julgado em 27 nov. 2024. DJe 4 dez. 2024.</w:t>
      </w:r>
    </w:p>
    <w:p>
      <w:pPr>
        <w:pStyle w:val="BodyText"/>
        <w:spacing w:after="60"/>
        <w:jc w:val="both"/>
      </w:pPr>
      <w:r>
        <w:t xml:space="preserve">BRASIL. Superior Tribunal de Justiça. Primeira Seção. Recurso Especial 2.057.984. Relatora: Min. Maria Thereza de Assis Moura. Julgado em 11 jun. 2025. DJEN 16 jun. 2025.</w:t>
      </w:r>
    </w:p>
    <w:p>
      <w:pPr>
        <w:pStyle w:val="BodyText"/>
        <w:spacing w:after="60"/>
        <w:jc w:val="both"/>
      </w:pPr>
      <w:r>
        <w:t xml:space="preserve">BRASIL. Superior Tribunal de Justiça. Primeira Seção. Recurso Especial 2.222.626. Relatora: Min. Maria Thereza de Assis Moura. Julgado em 20 ago. 2026. DJEN 27 ago. 2026.</w:t>
      </w:r>
    </w:p>
    <w:p>
      <w:pPr>
        <w:pStyle w:val="BodyText"/>
        <w:spacing w:after="60"/>
        <w:jc w:val="both"/>
      </w:pPr>
      <w:r>
        <w:t xml:space="preserve">BRASIL. Superior Tribunal de Justiça. Primeira Turma. Agravo Interno no Recurso Especial 2.019.036. Relator: Min. Manoel Erhardt (Desembargador Convocado do TRF5). Julgado em 5 dez. 2022. DJe 7 dez. 2022.</w:t>
      </w:r>
    </w:p>
    <w:p>
      <w:pPr>
        <w:pStyle w:val="BodyText"/>
        <w:spacing w:after="60"/>
        <w:jc w:val="both"/>
      </w:pPr>
      <w:r>
        <w:t xml:space="preserve">BRASIL. Superior Tribunal de Justiça. Quarta Turma. Agravo em Recurso Especial 2.407.683. Relator: Min. Raul Araújo. Julgado em 16 dez. 2025. DJEN 19 dez. 2025.</w:t>
      </w:r>
    </w:p>
    <w:p>
      <w:pPr>
        <w:pStyle w:val="BodyText"/>
        <w:spacing w:after="60"/>
        <w:jc w:val="both"/>
      </w:pPr>
      <w:r>
        <w:t xml:space="preserve">BRASIL. Superior Tribunal de Justiça. Quarta Turma. Agravo em Recurso Especial 2.708.360. Relator: Min. Raul Araújo. Julgado em 9 mar. 2026.</w:t>
      </w:r>
    </w:p>
    <w:p>
      <w:pPr>
        <w:pStyle w:val="BodyText"/>
        <w:spacing w:after="60"/>
        <w:jc w:val="both"/>
      </w:pPr>
      <w:r>
        <w:t xml:space="preserve">BRASIL. Superior Tribunal de Justiça. Quarta Turma. Agravo em Recurso Especial 2.812.711. Relator: Min. Raul Araújo. DJe 29 out. 2025.</w:t>
      </w:r>
    </w:p>
    <w:p>
      <w:pPr>
        <w:pStyle w:val="BodyText"/>
        <w:spacing w:after="60"/>
        <w:jc w:val="both"/>
      </w:pPr>
      <w:r>
        <w:t xml:space="preserve">BRASIL. Superior Tribunal de Justiça. Quarta Turma. Agravo em Recurso Especial 3.070.969. Relator: Min. João Otávio de Noronha. Julgado em 30 jun. 2026.</w:t>
      </w:r>
    </w:p>
    <w:p>
      <w:pPr>
        <w:pStyle w:val="BodyText"/>
        <w:spacing w:after="60"/>
        <w:jc w:val="both"/>
      </w:pPr>
      <w:r>
        <w:t xml:space="preserve">BRASIL. Superior Tribunal de Justiça. Quarta Turma. Agravo em Recurso Especial 3.192.274. Relator: Min. João Otávio de Noronha. Julgado em 12 ago. 2026.</w:t>
      </w:r>
    </w:p>
    <w:p>
      <w:pPr>
        <w:pStyle w:val="BodyText"/>
        <w:spacing w:after="60"/>
        <w:jc w:val="both"/>
      </w:pPr>
      <w:r>
        <w:t xml:space="preserve">BRASIL. Superior Tribunal de Justiça. Quarta Turma. Agravo Interno no Agravo em Recurso Especial 3.049.826. Relatora: Min. Maria Isabel Gallotti. DJe 18 set. 2026.</w:t>
      </w:r>
    </w:p>
    <w:p>
      <w:pPr>
        <w:pStyle w:val="BodyText"/>
        <w:spacing w:after="60"/>
        <w:jc w:val="both"/>
      </w:pPr>
      <w:r>
        <w:t xml:space="preserve">BRASIL. Superior Tribunal de Justiça. Quarta Turma. Agravo Interno no Recurso em Habeas Corpus 228.585. Relatora: Min. Maria Isabel Gallotti. Julgado em 12 ago. 2026.</w:t>
      </w:r>
    </w:p>
    <w:p>
      <w:pPr>
        <w:pStyle w:val="BodyText"/>
        <w:spacing w:after="60"/>
        <w:jc w:val="both"/>
      </w:pPr>
      <w:r>
        <w:t xml:space="preserve">BRASIL. Superior Tribunal de Justiça. Quarta Turma. Agravo Interno no Recurso Especial 1.769.265. Relatora: Min. Maria Isabel Gallotti. Julgado em 12 ago. 2026. DJEN 17 ago. 2026.</w:t>
      </w:r>
    </w:p>
    <w:p>
      <w:pPr>
        <w:pStyle w:val="BodyText"/>
        <w:spacing w:after="60"/>
        <w:jc w:val="both"/>
      </w:pPr>
      <w:r>
        <w:t xml:space="preserve">BRASIL. Superior Tribunal de Justiça. Quarta Turma. Agravo Interno no Recurso Especial 2.254.607. Relator: Min. Raul Araújo. DJe 25 set. 2026.</w:t>
      </w:r>
    </w:p>
    <w:p>
      <w:pPr>
        <w:pStyle w:val="BodyText"/>
        <w:spacing w:after="60"/>
        <w:jc w:val="both"/>
      </w:pPr>
      <w:r>
        <w:t xml:space="preserve">BRASIL. Superior Tribunal de Justiça. Quarta Turma. Agravo Interno no Recurso Especial 2.269.833. Relatora: Min. Maria Isabel Gallotti. DJe 1 out. 2026.</w:t>
      </w:r>
    </w:p>
    <w:p>
      <w:pPr>
        <w:pStyle w:val="BodyText"/>
        <w:spacing w:after="60"/>
        <w:jc w:val="both"/>
      </w:pPr>
      <w:r>
        <w:t xml:space="preserve">BRASIL. Superior Tribunal de Justiça. Quarta Turma. Recurso Especial 1.693.784. Relator: Min. Luis Felipe Salomão. Julgado em 28 nov. 2017. DJe 5 fev. 2018.</w:t>
      </w:r>
    </w:p>
    <w:p>
      <w:pPr>
        <w:pStyle w:val="BodyText"/>
        <w:spacing w:after="60"/>
        <w:jc w:val="both"/>
      </w:pPr>
      <w:r>
        <w:t xml:space="preserve">BRASIL. Superior Tribunal de Justiça. Quarta Turma. Recurso Especial 1.963.548. Relatora: Min. Maria Isabel Gallotti. Julgado em 30 jun. 2026. DJEN 3 jul. 2026.</w:t>
      </w:r>
    </w:p>
    <w:p>
      <w:pPr>
        <w:pStyle w:val="BodyText"/>
        <w:spacing w:after="60"/>
        <w:jc w:val="both"/>
      </w:pPr>
      <w:r>
        <w:t xml:space="preserve">BRASIL. Superior Tribunal de Justiça. Quarta Turma. Recurso Especial 2.199.837. Relator: Min. João Otávio de Noronha. Julgado em 22 jun. 2026. DJEN 26 jun. 2026.</w:t>
      </w:r>
    </w:p>
    <w:p>
      <w:pPr>
        <w:pStyle w:val="BodyText"/>
        <w:spacing w:after="60"/>
        <w:jc w:val="both"/>
      </w:pPr>
      <w:r>
        <w:t xml:space="preserve">BRASIL. Superior Tribunal de Justiça. Quarta Turma. Recurso Especial 2.235.890. Relator: Min. João Otávio de Noronha. Julgado em 9 fev. 2026. DJEN 13 fev. 2026.</w:t>
      </w:r>
    </w:p>
    <w:p>
      <w:pPr>
        <w:pStyle w:val="BodyText"/>
        <w:spacing w:after="60"/>
        <w:jc w:val="both"/>
      </w:pPr>
      <w:r>
        <w:t xml:space="preserve">BRASIL. Superior Tribunal de Justiça. Segunda Seção. Agravo Interno nos Embargos de Declaração no Conflito de Competência 186.202. Relator: Min. Luis Felipe Salomão. Julgado em 24 ago. 2022. DJe 30 ago. 2022.</w:t>
      </w:r>
    </w:p>
    <w:p>
      <w:pPr>
        <w:pStyle w:val="BodyText"/>
        <w:spacing w:after="60"/>
        <w:jc w:val="both"/>
      </w:pPr>
      <w:r>
        <w:t xml:space="preserve">BRASIL. Superior Tribunal de Justiça. Segunda Turma. Agravo em Recurso Especial 2.079.649. Relator: Min. Francisco Falcão. Julgado em 7 mar. 2023. DJe 10 mar. 2023.</w:t>
      </w:r>
    </w:p>
    <w:p>
      <w:pPr>
        <w:pStyle w:val="BodyText"/>
        <w:spacing w:after="60"/>
        <w:jc w:val="both"/>
      </w:pPr>
      <w:r>
        <w:t xml:space="preserve">BRASIL. Superior Tribunal de Justiça. Segunda Turma. Agravo em Recurso Especial 3.154.571. Relator: Min. Teodoro Silva Santos. Julgado em 12 ago. 2026. DJEN 18 ago. 2026.</w:t>
      </w:r>
    </w:p>
    <w:p>
      <w:pPr>
        <w:pStyle w:val="BodyText"/>
        <w:spacing w:after="60"/>
        <w:jc w:val="both"/>
      </w:pPr>
      <w:r>
        <w:t xml:space="preserve">BRASIL. Superior Tribunal de Justiça. Segunda Turma. Agravo Interno no Agravo em Recurso Especial 3.102.461. Relator: Min. Marco Aurélio Bellizze. Julgado em 24 jun. 2026.</w:t>
      </w:r>
    </w:p>
    <w:p>
      <w:pPr>
        <w:pStyle w:val="BodyText"/>
        <w:spacing w:after="60"/>
        <w:jc w:val="both"/>
      </w:pPr>
      <w:r>
        <w:t xml:space="preserve">BRASIL. Superior Tribunal de Justiça. Segunda Turma. Agravo Interno no Recurso Especial 2.012.959. Relator: Min. Herman Benjamin. DJe 4 nov. 2022.</w:t>
      </w:r>
    </w:p>
    <w:p>
      <w:pPr>
        <w:pStyle w:val="BodyText"/>
        <w:spacing w:after="60"/>
        <w:jc w:val="both"/>
      </w:pPr>
      <w:r>
        <w:t xml:space="preserve">BRASIL. Superior Tribunal de Justiça. Terceira Turma. Agravo em Recurso Especial 3.137.923. Relator: Min. Moura Ribeiro. Julgado em 30 jun. 2026.</w:t>
      </w:r>
    </w:p>
    <w:p>
      <w:pPr>
        <w:pStyle w:val="BodyText"/>
        <w:spacing w:after="60"/>
        <w:jc w:val="both"/>
      </w:pPr>
      <w:r>
        <w:t xml:space="preserve">BRASIL. Superior Tribunal de Justiça. Terceira Turma. Agravo Interno na TutCautAnt 144. Relator: Min. Marco Aurélio Bellizze. Julgado em 26 fev. 2024. DJe 28 fev. 2024.</w:t>
      </w:r>
    </w:p>
    <w:p>
      <w:pPr>
        <w:pStyle w:val="BodyText"/>
        <w:spacing w:after="60"/>
        <w:jc w:val="both"/>
      </w:pPr>
      <w:r>
        <w:t xml:space="preserve">BRASIL. Superior Tribunal de Justiça. Terceira Turma. Recurso Especial 1.708.348. Relator: Min. Marco Aurélio Bellizze. Julgado em 25 jun. 2019. DJe 1 ago. 2019.</w:t>
      </w:r>
    </w:p>
    <w:p>
      <w:pPr>
        <w:pStyle w:val="BodyText"/>
        <w:spacing w:after="60"/>
        <w:jc w:val="both"/>
      </w:pPr>
      <w:r>
        <w:t xml:space="preserve">BRASIL. Superior Tribunal de Justiça. Terceira Turma. Recurso Especial 1.761.068. Relator: Min. Ricardo Villas Bôas Cueva. Julgado em 15 dez. 2020. DJe 18 dez. 2020.</w:t>
      </w:r>
    </w:p>
    <w:p>
      <w:pPr>
        <w:pStyle w:val="BodyText"/>
        <w:spacing w:after="60"/>
        <w:jc w:val="both"/>
      </w:pPr>
      <w:r>
        <w:t xml:space="preserve">BRASIL. Superior Tribunal de Justiça. Terceira Turma. Recurso Especial 1.773.359. Relator: Min. Marco Aurélio Bellizze. Julgado em 13 ago. 2019. DJe 16 ago. 2019.</w:t>
      </w:r>
    </w:p>
    <w:p>
      <w:pPr>
        <w:pStyle w:val="BodyText"/>
        <w:spacing w:after="60"/>
        <w:jc w:val="both"/>
      </w:pPr>
      <w:r>
        <w:t xml:space="preserve">BRASIL. Superior Tribunal de Justiça. Terceira Turma. Recurso Especial 1.834.337. Relatora: Min. Nancy Andrighi. Julgado em 3 dez. 2019. DJe 5 dez. 2019.</w:t>
      </w:r>
    </w:p>
    <w:p>
      <w:pPr>
        <w:pStyle w:val="BodyText"/>
        <w:spacing w:after="60"/>
        <w:jc w:val="both"/>
      </w:pPr>
      <w:r>
        <w:t xml:space="preserve">BRASIL. Superior Tribunal de Justiça. Terceira Turma. Recurso Especial 1.914.052. Relator: Min. Marco Aurélio Bellizze. Julgado em 22 jun. 2021. DJe 28 jun. 2021.</w:t>
      </w:r>
    </w:p>
    <w:p>
      <w:pPr>
        <w:pStyle w:val="BodyText"/>
        <w:spacing w:after="60"/>
        <w:jc w:val="both"/>
      </w:pPr>
      <w:r>
        <w:t xml:space="preserve">BRASIL. Superior Tribunal de Justiça. Terceira Turma. Recurso Especial 1.997.512. Relator: Min. Ricardo Villas Bôas Cueva. Julgado em 17 mar. 2026. DJEN 20 mar. 2026.</w:t>
      </w:r>
    </w:p>
    <w:p>
      <w:pPr>
        <w:pStyle w:val="BodyText"/>
        <w:spacing w:after="60"/>
        <w:jc w:val="both"/>
      </w:pPr>
      <w:r>
        <w:t xml:space="preserve">BRASIL. Superior Tribunal de Justiça. Terceira Turma. Recurso Especial 2.004.516. Relatora: Min. Nancy Andrighi. Julgado em 18 out. 2022. DJe 21 out. 2022.</w:t>
      </w:r>
    </w:p>
    <w:p>
      <w:pPr>
        <w:pStyle w:val="BodyText"/>
        <w:spacing w:after="60"/>
        <w:jc w:val="both"/>
      </w:pPr>
      <w:r>
        <w:t xml:space="preserve">BRASIL. Superior Tribunal de Justiça. Terceira Turma. Recurso Especial 2.013.922. Relator: Min. Humberto Martins. Julgado em 11 nov. 2025. DJEN 27 nov. 2025.</w:t>
      </w:r>
    </w:p>
    <w:p>
      <w:pPr>
        <w:pStyle w:val="BodyText"/>
        <w:spacing w:after="60"/>
        <w:jc w:val="both"/>
      </w:pPr>
      <w:r>
        <w:t xml:space="preserve">BRASIL. Superior Tribunal de Justiça. Terceira Turma. Recurso Especial 2.077.121. Relator: Min. Marco Aurélio Bellizze. Julgado em 8 ago. 2023. DJe 15 ago. 2023.</w:t>
      </w:r>
    </w:p>
    <w:p>
      <w:pPr>
        <w:pStyle w:val="BodyText"/>
        <w:spacing w:after="60"/>
        <w:jc w:val="both"/>
      </w:pPr>
      <w:r>
        <w:t xml:space="preserve">BRASIL. Superior Tribunal de Justiça. Terceira Turma. Recurso Especial 2.100.037. Relator: Min. Humberto Martins. Julgado em 13 out. 2025. DJEN 16 out. 2025.</w:t>
      </w:r>
    </w:p>
    <w:p>
      <w:pPr>
        <w:pStyle w:val="BodyText"/>
        <w:spacing w:after="60"/>
        <w:jc w:val="both"/>
      </w:pPr>
      <w:r>
        <w:t xml:space="preserve">BRASIL. Superior Tribunal de Justiça. Terceira Turma. Recurso Especial 2.236.955. Relator: Min. Ricardo Villas Bôas Cueva. Julgado em 9 mar. 2026. DJEN 12 mar. 2026.</w:t>
      </w:r>
    </w:p>
    <w:p>
      <w:pPr>
        <w:pStyle w:val="BodyText"/>
        <w:spacing w:after="60"/>
        <w:jc w:val="both"/>
      </w:pPr>
      <w:r>
        <w:t xml:space="preserve">BRASIL. Superior Tribunal de Justiça. Corte Especial. Recurso Especial 956.943. Relatora: Min. Nancy Andrighi. Julgado em 20 ago. 2014. DJe 1 dez. 2014.</w:t>
      </w:r>
    </w:p>
    <w:p>
      <w:pPr>
        <w:pStyle w:val="BodyText"/>
        <w:spacing w:after="60"/>
        <w:jc w:val="both"/>
      </w:pPr>
      <w:r>
        <w:t xml:space="preserve">BRASIL. Superior Tribunal de Justiça. Corte Especial. Súmula 292.</w:t>
      </w:r>
    </w:p>
    <w:p>
      <w:pPr>
        <w:pStyle w:val="BodyText"/>
        <w:spacing w:after="60"/>
        <w:jc w:val="both"/>
      </w:pPr>
      <w:r>
        <w:t xml:space="preserve">BRASIL. Superior Tribunal de Justiça. Corte Especial. Súmula 303.</w:t>
      </w:r>
    </w:p>
    <w:p>
      <w:pPr>
        <w:pStyle w:val="BodyText"/>
        <w:spacing w:after="60"/>
        <w:jc w:val="both"/>
      </w:pPr>
      <w:r>
        <w:t xml:space="preserve">BRASIL. Superior Tribunal de Justiça. Corte Especial. Súmula 339.</w:t>
      </w:r>
    </w:p>
    <w:p>
      <w:pPr>
        <w:pStyle w:val="BodyText"/>
        <w:spacing w:after="60"/>
        <w:jc w:val="both"/>
      </w:pPr>
      <w:r>
        <w:t xml:space="preserve">BRASIL. Superior Tribunal de Justiça. Corte Especial. Súmula 375.</w:t>
      </w:r>
    </w:p>
    <w:p>
      <w:pPr>
        <w:pStyle w:val="BodyText"/>
        <w:spacing w:after="60"/>
        <w:jc w:val="both"/>
      </w:pPr>
      <w:r>
        <w:t xml:space="preserve">BRASIL. Superior Tribunal de Justiça. Corte Especial. Súmula 84.</w:t>
      </w:r>
    </w:p>
    <w:p>
      <w:pPr>
        <w:pStyle w:val="BodyText"/>
        <w:spacing w:after="60"/>
        <w:jc w:val="both"/>
      </w:pPr>
      <w:r>
        <w:t xml:space="preserve">BRASIL. Superior Tribunal de Justiça. Primeira Seção. Agravo Interno na PET na ExeMS 20.231. Relatora: Min. Regina Helena Costa. Julgado em 12 nov. 2025. DJEN 24 nov. 2025.</w:t>
      </w:r>
    </w:p>
    <w:p>
      <w:pPr>
        <w:pStyle w:val="BodyText"/>
        <w:spacing w:after="60"/>
        <w:jc w:val="both"/>
      </w:pPr>
      <w:r>
        <w:t xml:space="preserve">BRASIL. Superior Tribunal de Justiça. Primeira Seção. Recurso Especial 1.896.526. Relatora: Min. Regina Helena Costa. Julgado em 26 out. 2022. DJe 28 out. 2022.</w:t>
      </w:r>
    </w:p>
    <w:p>
      <w:pPr>
        <w:pStyle w:val="BodyText"/>
        <w:spacing w:after="60"/>
        <w:jc w:val="both"/>
      </w:pPr>
      <w:r>
        <w:t xml:space="preserve">BRASIL. Superior Tribunal de Justiça. Primeira Turma. Agravo Interno no Recurso Especial 1.725.179. Relator: Min. Sérgio Kukina. Julgado em 12 dez. 2022. DJe 15 dez. 2022.</w:t>
      </w:r>
    </w:p>
    <w:p>
      <w:pPr>
        <w:pStyle w:val="BodyText"/>
        <w:spacing w:after="60"/>
        <w:jc w:val="both"/>
      </w:pPr>
      <w:r>
        <w:t xml:space="preserve">BRASIL. Superior Tribunal de Justiça. Primeira Turma. Agravo Interno no Recurso Especial 2.132.010. Relator: Min. Paulo Sérgio Domingues. Julgado em 9 jun. 2025. DJEN 12 jun. 2025.</w:t>
      </w:r>
    </w:p>
    <w:p>
      <w:pPr>
        <w:pStyle w:val="BodyText"/>
        <w:spacing w:after="60"/>
        <w:jc w:val="both"/>
      </w:pPr>
      <w:r>
        <w:t xml:space="preserve">BRASIL. Superior Tribunal de Justiça. Primeira Turma. Agravo Interno no Recurso Especial 2.256.629. Relatora: Min. Regina Helena Costa. Julgado em 30 jun. 2026.</w:t>
      </w:r>
    </w:p>
    <w:p>
      <w:pPr>
        <w:pStyle w:val="BodyText"/>
        <w:spacing w:after="60"/>
        <w:jc w:val="both"/>
      </w:pPr>
      <w:r>
        <w:t xml:space="preserve">BRASIL. Superior Tribunal de Justiça. Primeira Turma. Recurso Especial 2.167.136. Relator: Min. Gurgel de Faria. Julgado em 9 jun. 2026.</w:t>
      </w:r>
    </w:p>
    <w:p>
      <w:pPr>
        <w:pStyle w:val="BodyText"/>
        <w:spacing w:after="60"/>
        <w:jc w:val="both"/>
      </w:pPr>
      <w:r>
        <w:t xml:space="preserve">BRASIL. Superior Tribunal de Justiça. Quarta Turma. Agravo em Recurso Especial 1.635.102. Relator: Min. Raul Araújo. Julgado em 31 mar. 2025. DJEN 10 abr. 2025.</w:t>
      </w:r>
    </w:p>
    <w:p>
      <w:pPr>
        <w:pStyle w:val="BodyText"/>
        <w:spacing w:after="60"/>
        <w:jc w:val="both"/>
      </w:pPr>
      <w:r>
        <w:t xml:space="preserve">BRASIL. Superior Tribunal de Justiça. Quarta Turma. Agravo em Recurso Especial 2.227.489. Relator: Min. Raul Araújo. Julgado em 11 maio 2026.</w:t>
      </w:r>
    </w:p>
    <w:p>
      <w:pPr>
        <w:pStyle w:val="BodyText"/>
        <w:spacing w:after="60"/>
        <w:jc w:val="both"/>
      </w:pPr>
      <w:r>
        <w:t xml:space="preserve">BRASIL. Superior Tribunal de Justiça. Quarta Turma. Agravo em Recurso Especial 2.601.607. Relator: Min. Raul Araújo. Julgado em 22 set. 2025. DJEN 26 set. 2025.</w:t>
      </w:r>
    </w:p>
    <w:p>
      <w:pPr>
        <w:pStyle w:val="BodyText"/>
        <w:spacing w:after="60"/>
        <w:jc w:val="both"/>
      </w:pPr>
      <w:r>
        <w:t xml:space="preserve">BRASIL. Superior Tribunal de Justiça. Quarta Turma. Agravo em Recurso Especial 2.640.027. Relator: Min. João Otávio de Noronha. Julgado em 16 mar. 2026. DJEN 19 mar. 2026.</w:t>
      </w:r>
    </w:p>
    <w:p>
      <w:pPr>
        <w:pStyle w:val="BodyText"/>
        <w:spacing w:after="60"/>
        <w:jc w:val="both"/>
      </w:pPr>
      <w:r>
        <w:t xml:space="preserve">BRASIL. Superior Tribunal de Justiça. Quarta Turma. Agravo em Recurso Especial 2.751.613. Relator: Min. Raul Araújo. Julgado em 16 mar. 2026. DJEN 23 mar. 2026.</w:t>
      </w:r>
    </w:p>
    <w:p>
      <w:pPr>
        <w:pStyle w:val="BodyText"/>
        <w:spacing w:after="60"/>
        <w:jc w:val="both"/>
      </w:pPr>
      <w:r>
        <w:t xml:space="preserve">BRASIL. Superior Tribunal de Justiça. Quarta Turma. Agravo em Recurso Especial 2.759.674. Relator: Min. João Otávio de Noronha. Julgado em 9 fev. 2026. DJEN 12 fev. 2026.</w:t>
      </w:r>
    </w:p>
    <w:p>
      <w:pPr>
        <w:pStyle w:val="BodyText"/>
        <w:spacing w:after="60"/>
        <w:jc w:val="both"/>
      </w:pPr>
      <w:r>
        <w:t xml:space="preserve">BRASIL. Superior Tribunal de Justiça. Quarta Turma. Agravo em Recurso Especial 2.760.316. Relator: Min. Raul Araújo. Julgado em 9 mar. 2026.</w:t>
      </w:r>
    </w:p>
    <w:p>
      <w:pPr>
        <w:pStyle w:val="BodyText"/>
        <w:spacing w:after="60"/>
        <w:jc w:val="both"/>
      </w:pPr>
      <w:r>
        <w:t xml:space="preserve">BRASIL. Superior Tribunal de Justiça. Quarta Turma. Agravo em Recurso Especial 2.764.416. Relator: Min. João Otávio de Noronha. Julgado em 4 maio 2026. DJEN 7 maio 2026.</w:t>
      </w:r>
    </w:p>
    <w:p>
      <w:pPr>
        <w:pStyle w:val="BodyText"/>
        <w:spacing w:after="60"/>
        <w:jc w:val="both"/>
      </w:pPr>
      <w:r>
        <w:t xml:space="preserve">BRASIL. Superior Tribunal de Justiça. Quarta Turma. Agravo em Recurso Especial 2.886.822. Relator: Min. João Otávio de Noronha. Julgado em 16 mar. 2026.</w:t>
      </w:r>
    </w:p>
    <w:p>
      <w:pPr>
        <w:pStyle w:val="BodyText"/>
        <w:spacing w:after="60"/>
        <w:jc w:val="both"/>
      </w:pPr>
      <w:r>
        <w:t xml:space="preserve">BRASIL. Superior Tribunal de Justiça. Quarta Turma. Agravo em Recurso Especial 2.895.747. Relator: Min. Raul Araújo. Julgado em 20 out. 2025. DJEN 29 out. 2025.</w:t>
      </w:r>
    </w:p>
    <w:p>
      <w:pPr>
        <w:pStyle w:val="BodyText"/>
        <w:spacing w:after="60"/>
        <w:jc w:val="both"/>
      </w:pPr>
      <w:r>
        <w:t xml:space="preserve">BRASIL. Superior Tribunal de Justiça. Quarta Turma. Agravo em Recurso Especial 2.943.741. Relator: Min. João Otávio de Noronha. Julgado em 16 mar. 2026.</w:t>
      </w:r>
    </w:p>
    <w:p>
      <w:pPr>
        <w:pStyle w:val="BodyText"/>
        <w:spacing w:after="60"/>
        <w:jc w:val="both"/>
      </w:pPr>
      <w:r>
        <w:t xml:space="preserve">BRASIL. Superior Tribunal de Justiça. Quarta Turma. Agravo em Recurso Especial 2.975.668. Relator: Min. João Otávio de Noronha. Julgado em 30 jun. 2026.</w:t>
      </w:r>
    </w:p>
    <w:p>
      <w:pPr>
        <w:pStyle w:val="BodyText"/>
        <w:spacing w:after="60"/>
        <w:jc w:val="both"/>
      </w:pPr>
      <w:r>
        <w:t xml:space="preserve">BRASIL. Superior Tribunal de Justiça. Quarta Turma. Agravo em Recurso Especial 3.054.913. Relator: Min. João Otávio de Noronha. Julgado em 11 maio 2026. DJEN 14 maio 2026.</w:t>
      </w:r>
    </w:p>
    <w:p>
      <w:pPr>
        <w:pStyle w:val="BodyText"/>
        <w:spacing w:after="60"/>
        <w:jc w:val="both"/>
      </w:pPr>
      <w:r>
        <w:t xml:space="preserve">BRASIL. Superior Tribunal de Justiça. Quarta Turma. Agravo em Recurso Especial 3.057.382. Relator: Min. João Otávio de Noronha. Julgado em 22 abr. 2026. DJEN 27 abr. 2026.</w:t>
      </w:r>
    </w:p>
    <w:p>
      <w:pPr>
        <w:pStyle w:val="BodyText"/>
        <w:spacing w:after="60"/>
        <w:jc w:val="both"/>
      </w:pPr>
      <w:r>
        <w:t xml:space="preserve">BRASIL. Superior Tribunal de Justiça. Quarta Turma. Agravo em Recurso Especial 3.099.910. Relator: Min. João Otávio de Noronha. Julgado em 16 mar. 2026.</w:t>
      </w:r>
    </w:p>
    <w:p>
      <w:pPr>
        <w:pStyle w:val="BodyText"/>
        <w:spacing w:after="60"/>
        <w:jc w:val="both"/>
      </w:pPr>
      <w:r>
        <w:t xml:space="preserve">BRASIL. Superior Tribunal de Justiça. Quarta Turma. Agravo em Recurso Especial 3.149.760. Relator: Min. Raul Araújo. Julgado em 18 maio 2026.</w:t>
      </w:r>
    </w:p>
    <w:p>
      <w:pPr>
        <w:pStyle w:val="BodyText"/>
        <w:spacing w:after="60"/>
        <w:jc w:val="both"/>
      </w:pPr>
      <w:r>
        <w:t xml:space="preserve">BRASIL. Superior Tribunal de Justiça. Quarta Turma. Agravo em Recurso Especial 3.160.120. Relator: Min. João Otávio de Noronha. Julgado em 1 jun. 2026.</w:t>
      </w:r>
    </w:p>
    <w:p>
      <w:pPr>
        <w:pStyle w:val="BodyText"/>
        <w:spacing w:after="60"/>
        <w:jc w:val="both"/>
      </w:pPr>
      <w:r>
        <w:t xml:space="preserve">BRASIL. Superior Tribunal de Justiça. Quarta Turma. Agravo em Recurso Especial 3.192.632. Relator: Min. Raul Araújo. Julgado em 22 jun. 2026. DJEN 29 jun. 2026.</w:t>
      </w:r>
    </w:p>
    <w:p>
      <w:pPr>
        <w:pStyle w:val="BodyText"/>
        <w:spacing w:after="60"/>
        <w:jc w:val="both"/>
      </w:pPr>
      <w:r>
        <w:t xml:space="preserve">BRASIL. Superior Tribunal de Justiça. Quarta Turma. Agravo em Recurso Especial 3.216.342. Relator: Min. João Otávio de Noronha. Julgado em 15 jun. 2026.</w:t>
      </w:r>
    </w:p>
    <w:p>
      <w:pPr>
        <w:pStyle w:val="BodyText"/>
        <w:spacing w:after="60"/>
        <w:jc w:val="both"/>
      </w:pPr>
      <w:r>
        <w:t xml:space="preserve">BRASIL. Superior Tribunal de Justiça. Quarta Turma. Agravo Interno no Agravo em Recurso Especial 1.414.100. Relator: Min. Raul Araújo. DJe 8 nov. 2023.</w:t>
      </w:r>
    </w:p>
    <w:p>
      <w:pPr>
        <w:pStyle w:val="BodyText"/>
        <w:spacing w:after="60"/>
        <w:jc w:val="both"/>
      </w:pPr>
      <w:r>
        <w:t xml:space="preserve">BRASIL. Superior Tribunal de Justiça. Quarta Turma. Agravo Interno no Agravo em Recurso Especial 1.906.915. Relator: Min. Raul Araújo. Julgado em 1 jun. 2026. DJEN 9 jun. 2026.</w:t>
      </w:r>
    </w:p>
    <w:p>
      <w:pPr>
        <w:pStyle w:val="BodyText"/>
        <w:spacing w:after="60"/>
        <w:jc w:val="both"/>
      </w:pPr>
      <w:r>
        <w:t xml:space="preserve">BRASIL. Superior Tribunal de Justiça. Quarta Turma. Agravo Interno no Agravo em Recurso Especial 2.859.369. Relator: Min. Raul Araújo.</w:t>
      </w:r>
    </w:p>
    <w:p>
      <w:pPr>
        <w:pStyle w:val="BodyText"/>
        <w:spacing w:after="60"/>
        <w:jc w:val="both"/>
      </w:pPr>
      <w:r>
        <w:t xml:space="preserve">BRASIL. Superior Tribunal de Justiça. Quarta Turma. Agravo Interno no Recurso Especial 1.720.466. Relatora: Min. Maria Isabel Gallotti. Julgado em 15 jun. 2026.</w:t>
      </w:r>
    </w:p>
    <w:p>
      <w:pPr>
        <w:pStyle w:val="BodyText"/>
        <w:spacing w:after="60"/>
        <w:jc w:val="both"/>
      </w:pPr>
      <w:r>
        <w:t xml:space="preserve">BRASIL. Superior Tribunal de Justiça. Quarta Turma. Agravo Interno no Recurso Especial 2.107.542. Relator: Min. Luís Carlos Gambogi (Desembargador Convocado do Tjmg). Julgado em 19 maio 2026.</w:t>
      </w:r>
    </w:p>
    <w:p>
      <w:pPr>
        <w:pStyle w:val="BodyText"/>
        <w:spacing w:after="60"/>
        <w:jc w:val="both"/>
      </w:pPr>
      <w:r>
        <w:t xml:space="preserve">BRASIL. Superior Tribunal de Justiça. Quarta Turma. Agravo Interno no Recurso Especial 2.164.065. Relator: Min. Luís Carlos Gambogi (Desembargador Convocado do Tjmg). Julgado em 15 jun. 2026.</w:t>
      </w:r>
    </w:p>
    <w:p>
      <w:pPr>
        <w:pStyle w:val="BodyText"/>
        <w:spacing w:after="60"/>
        <w:jc w:val="both"/>
      </w:pPr>
      <w:r>
        <w:t xml:space="preserve">BRASIL. Superior Tribunal de Justiça. Quarta Turma. Recurso Especial 1.236.057. Relator: Min. Antonio Carlos Ferreira. Julgado em 6 abr. 2021. DJe 28 abr. 2021.</w:t>
      </w:r>
    </w:p>
    <w:p>
      <w:pPr>
        <w:pStyle w:val="BodyText"/>
        <w:spacing w:after="60"/>
        <w:jc w:val="both"/>
      </w:pPr>
      <w:r>
        <w:t xml:space="preserve">BRASIL. Superior Tribunal de Justiça. Quarta Turma. Recurso Especial 1.372.139. Relatora: Min. Maria Isabel Gallotti. Julgado em 28 fev. 2023. DJe 14 mar. 2023.</w:t>
      </w:r>
    </w:p>
    <w:p>
      <w:pPr>
        <w:pStyle w:val="BodyText"/>
        <w:spacing w:after="60"/>
        <w:jc w:val="both"/>
      </w:pPr>
      <w:r>
        <w:t xml:space="preserve">BRASIL. Superior Tribunal de Justiça. Quarta Turma. Recurso Especial 1.549.348. Relatora: Min. Maria Isabel Gallotti. Julgado em 9 mar. 2026. DJEN 13 mar. 2026.</w:t>
      </w:r>
    </w:p>
    <w:p>
      <w:pPr>
        <w:pStyle w:val="BodyText"/>
        <w:spacing w:after="60"/>
        <w:jc w:val="both"/>
      </w:pPr>
      <w:r>
        <w:t xml:space="preserve">BRASIL. Superior Tribunal de Justiça. Quarta Turma. Recurso Especial 1.707.014. Relator: Min. Luis Felipe Salomão. Julgado em 2 mar. 2021. DJe 4 jun. 2021.</w:t>
      </w:r>
    </w:p>
    <w:p>
      <w:pPr>
        <w:pStyle w:val="BodyText"/>
        <w:spacing w:after="60"/>
        <w:jc w:val="both"/>
      </w:pPr>
      <w:r>
        <w:t xml:space="preserve">BRASIL. Superior Tribunal de Justiça. Quarta Turma. Recurso Especial 1.808.767. Relator: Min. Luis Felipe Salomão. Julgado em 15 out. 2019. DJe 3 dez. 2019.</w:t>
      </w:r>
    </w:p>
    <w:p>
      <w:pPr>
        <w:pStyle w:val="BodyText"/>
        <w:spacing w:after="60"/>
        <w:jc w:val="both"/>
      </w:pPr>
      <w:r>
        <w:t xml:space="preserve">BRASIL. Superior Tribunal de Justiça. Quarta Turma. Recurso Especial 1.938.281. Relatora: Min. Maria Isabel Gallotti. Julgado em 30 jun. 2026.</w:t>
      </w:r>
    </w:p>
    <w:p>
      <w:pPr>
        <w:pStyle w:val="BodyText"/>
        <w:spacing w:after="60"/>
        <w:jc w:val="both"/>
      </w:pPr>
      <w:r>
        <w:t xml:space="preserve">BRASIL. Superior Tribunal de Justiça. Quarta Turma. Recurso Especial 1.990.608. Relator: Min. João Otávio de Noronha. Julgado em 9 mar. 2026.</w:t>
      </w:r>
    </w:p>
    <w:p>
      <w:pPr>
        <w:pStyle w:val="BodyText"/>
        <w:spacing w:after="60"/>
        <w:jc w:val="both"/>
      </w:pPr>
      <w:r>
        <w:t xml:space="preserve">BRASIL. Superior Tribunal de Justiça. Quarta Turma. Recurso Especial 2.082.580. Relator: Min. João Otávio de Noronha. Julgado em 9 mar. 2026. DJEN 12 mar. 2026.</w:t>
      </w:r>
    </w:p>
    <w:p>
      <w:pPr>
        <w:pStyle w:val="BodyText"/>
        <w:spacing w:after="60"/>
        <w:jc w:val="both"/>
      </w:pPr>
      <w:r>
        <w:t xml:space="preserve">BRASIL. Superior Tribunal de Justiça. Quarta Turma. Recurso Especial 2.156.970. Relator: Min. João Otávio de Noronha. Julgado em 12 ago. 2026. DJEN 17 ago. 2026.</w:t>
      </w:r>
    </w:p>
    <w:p>
      <w:pPr>
        <w:pStyle w:val="BodyText"/>
        <w:spacing w:after="60"/>
        <w:jc w:val="both"/>
      </w:pPr>
      <w:r>
        <w:t xml:space="preserve">BRASIL. Superior Tribunal de Justiça. Quarta Turma. Recurso Especial 2.159.015. Relator: Min. João Otávio de Noronha. Julgado em 9 fev. 2026. DJEN 12 fev. 2026.</w:t>
      </w:r>
    </w:p>
    <w:p>
      <w:pPr>
        <w:pStyle w:val="BodyText"/>
        <w:spacing w:after="60"/>
        <w:jc w:val="both"/>
      </w:pPr>
      <w:r>
        <w:t xml:space="preserve">BRASIL. Superior Tribunal de Justiça. Quarta Turma. Recurso Especial 2.161.064. Relatora: Min. Maria Isabel Gallotti. Julgado em 9 mar. 2026. DJEN 13 mar. 2026.</w:t>
      </w:r>
    </w:p>
    <w:p>
      <w:pPr>
        <w:pStyle w:val="BodyText"/>
        <w:spacing w:after="60"/>
        <w:jc w:val="both"/>
      </w:pPr>
      <w:r>
        <w:t xml:space="preserve">BRASIL. Superior Tribunal de Justiça. Quarta Turma. Recurso Especial 2.162.164. Relator: Min. João Otávio de Noronha. Julgado em 16 mar. 2026. DJEN 19 mar. 2026.</w:t>
      </w:r>
    </w:p>
    <w:p>
      <w:pPr>
        <w:pStyle w:val="BodyText"/>
        <w:spacing w:after="60"/>
        <w:jc w:val="both"/>
      </w:pPr>
      <w:r>
        <w:t xml:space="preserve">BRASIL. Superior Tribunal de Justiça. Quarta Turma. Recurso Especial 2.175.109. Relator: Min. João Otávio de Noronha. Julgado em 9 mar. 2026. DJEN 12 mar. 2026.</w:t>
      </w:r>
    </w:p>
    <w:p>
      <w:pPr>
        <w:pStyle w:val="BodyText"/>
        <w:spacing w:after="60"/>
        <w:jc w:val="both"/>
      </w:pPr>
      <w:r>
        <w:t xml:space="preserve">BRASIL. Superior Tribunal de Justiça. Quarta Turma. Recurso Especial 2.183.157. Relator: Min. Antonio Carlos Ferreira. Julgado em 30 jun. 2026. DJEN 3 jul. 2026.</w:t>
      </w:r>
    </w:p>
    <w:p>
      <w:pPr>
        <w:pStyle w:val="BodyText"/>
        <w:spacing w:after="60"/>
        <w:jc w:val="both"/>
      </w:pPr>
      <w:r>
        <w:t xml:space="preserve">BRASIL. Superior Tribunal de Justiça. Quarta Turma. Recurso Especial 2.197.615. Relator: Min. João Otávio de Noronha. Julgado em 17 nov. 2025. DJEN 24 nov. 2025.</w:t>
      </w:r>
    </w:p>
    <w:p>
      <w:pPr>
        <w:pStyle w:val="BodyText"/>
        <w:spacing w:after="60"/>
        <w:jc w:val="both"/>
      </w:pPr>
      <w:r>
        <w:t xml:space="preserve">BRASIL. Superior Tribunal de Justiça. Quarta Turma. Recurso Especial 2.219.305. Relator: Min. João Otávio de Noronha. Julgado em 9 fev. 2026. DJEN 13 fev. 2026.</w:t>
      </w:r>
    </w:p>
    <w:p>
      <w:pPr>
        <w:pStyle w:val="BodyText"/>
        <w:spacing w:after="60"/>
        <w:jc w:val="both"/>
      </w:pPr>
      <w:r>
        <w:t xml:space="preserve">BRASIL. Superior Tribunal de Justiça. Quarta Turma. Recurso Especial 2.238.204. Relatora: Min. Maria Isabel Gallotti. Julgado em 11 maio 2026.</w:t>
      </w:r>
    </w:p>
    <w:p>
      <w:pPr>
        <w:pStyle w:val="BodyText"/>
        <w:spacing w:after="60"/>
        <w:jc w:val="both"/>
      </w:pPr>
      <w:r>
        <w:t xml:space="preserve">BRASIL. Superior Tribunal de Justiça. Quarta Turma. Recurso Especial 2.241.950. Relatora: Min. Maria Isabel Gallotti. Julgado em 25 maio 2026.</w:t>
      </w:r>
    </w:p>
    <w:p>
      <w:pPr>
        <w:pStyle w:val="BodyText"/>
        <w:spacing w:after="60"/>
        <w:jc w:val="both"/>
      </w:pPr>
      <w:r>
        <w:t xml:space="preserve">BRASIL. Superior Tribunal de Justiça. Quarta Turma. Recurso Especial 2.243.242. Relator: Min. João Otávio de Noronha. Julgado em 16 mar. 2026. DJEN 19 mar. 2026.</w:t>
      </w:r>
    </w:p>
    <w:p>
      <w:pPr>
        <w:pStyle w:val="BodyText"/>
        <w:spacing w:after="60"/>
        <w:jc w:val="both"/>
      </w:pPr>
      <w:r>
        <w:t xml:space="preserve">BRASIL. Superior Tribunal de Justiça. Quinta Turma. Agravo Interno no Agravo em Recurso Especial 3.068.426. Relatora: Min. Daniela Teixeira. Julgado em 1 jun. 2026.</w:t>
      </w:r>
    </w:p>
    <w:p>
      <w:pPr>
        <w:pStyle w:val="BodyText"/>
        <w:spacing w:after="60"/>
        <w:jc w:val="both"/>
      </w:pPr>
      <w:r>
        <w:t xml:space="preserve">BRASIL. Superior Tribunal de Justiça. Segunda Seção. Recurso Especial 1.108.058. Relator: Min. Lázaro Guimarães (Desembargador Convocado do Trf 5ª Região). Julgado em 10 out. 2018. DJe 23 out. 2018.</w:t>
      </w:r>
    </w:p>
    <w:p>
      <w:pPr>
        <w:pStyle w:val="BodyText"/>
        <w:spacing w:after="60"/>
        <w:jc w:val="both"/>
      </w:pPr>
      <w:r>
        <w:t xml:space="preserve">BRASIL. Superior Tribunal de Justiça. Segunda Seção. Súmula 134.</w:t>
      </w:r>
    </w:p>
    <w:p>
      <w:pPr>
        <w:pStyle w:val="BodyText"/>
        <w:spacing w:after="60"/>
        <w:jc w:val="both"/>
      </w:pPr>
      <w:r>
        <w:t xml:space="preserve">BRASIL. Superior Tribunal de Justiça. Segunda Seção. Súmula 259.</w:t>
      </w:r>
    </w:p>
    <w:p>
      <w:pPr>
        <w:pStyle w:val="BodyText"/>
        <w:spacing w:after="60"/>
        <w:jc w:val="both"/>
      </w:pPr>
      <w:r>
        <w:t xml:space="preserve">BRASIL. Superior Tribunal de Justiça. Segunda Seção. Súmula 299.</w:t>
      </w:r>
    </w:p>
    <w:p>
      <w:pPr>
        <w:pStyle w:val="BodyText"/>
        <w:spacing w:after="60"/>
        <w:jc w:val="both"/>
      </w:pPr>
      <w:r>
        <w:t xml:space="preserve">BRASIL. Superior Tribunal de Justiça. Segunda Turma. Agravo Interno no Recurso Especial 1.893.259. Relator: Min. Teodoro Silva Santos. DJe 23 dez. 2025.</w:t>
      </w:r>
    </w:p>
    <w:p>
      <w:pPr>
        <w:pStyle w:val="BodyText"/>
        <w:spacing w:after="60"/>
        <w:jc w:val="both"/>
      </w:pPr>
      <w:r>
        <w:t xml:space="preserve">BRASIL. Superior Tribunal de Justiça. Segunda Turma. Agravo Interno no Recurso Especial 1.960.527. Relator: Min. Humberto Martins. Julgado em 13 fev. 2023. DJe 16 fev. 2023.</w:t>
      </w:r>
    </w:p>
    <w:p>
      <w:pPr>
        <w:pStyle w:val="BodyText"/>
        <w:spacing w:after="60"/>
        <w:jc w:val="both"/>
      </w:pPr>
      <w:r>
        <w:t xml:space="preserve">BRASIL. Superior Tribunal de Justiça. Segunda Turma. Agravo Interno no Recurso Especial 2.191.569. Relator: Min. Afrânio Vilela. Julgado em 19 ago. 2026. DJEN 24 ago. 2026.</w:t>
      </w:r>
    </w:p>
    <w:p>
      <w:pPr>
        <w:pStyle w:val="BodyText"/>
        <w:spacing w:after="60"/>
        <w:jc w:val="both"/>
      </w:pPr>
      <w:r>
        <w:t xml:space="preserve">BRASIL. Superior Tribunal de Justiça. Segunda Turma. Recurso Especial 2.231.171. Relator: Min. Teodoro Silva Santos. Julgado em 29 abr. 2026.</w:t>
      </w:r>
    </w:p>
    <w:p>
      <w:pPr>
        <w:pStyle w:val="BodyText"/>
        <w:spacing w:after="60"/>
        <w:jc w:val="both"/>
      </w:pPr>
      <w:r>
        <w:t xml:space="preserve">BRASIL. Superior Tribunal de Justiça. Terceira Turma. Agravo em Recurso Especial 2.606.973. Relator: Min. Moura Ribeiro. Julgado em 9 fev. 2026.</w:t>
      </w:r>
    </w:p>
    <w:p>
      <w:pPr>
        <w:pStyle w:val="BodyText"/>
        <w:spacing w:after="60"/>
        <w:jc w:val="both"/>
      </w:pPr>
      <w:r>
        <w:t xml:space="preserve">BRASIL. Superior Tribunal de Justiça. Terceira Turma. Agravo em Recurso Especial 2.858.590. Relator: Min. Moura Ribeiro. Julgado em 16 mar. 2026.</w:t>
      </w:r>
    </w:p>
    <w:p>
      <w:pPr>
        <w:pStyle w:val="BodyText"/>
        <w:spacing w:after="60"/>
        <w:jc w:val="both"/>
      </w:pPr>
      <w:r>
        <w:t xml:space="preserve">BRASIL. Superior Tribunal de Justiça. Terceira Turma. Agravo em Recurso Especial 2.882.565. Relator: Min. Ricardo Villas Bôas Cueva. Julgado em 1 set. 2025. DJEN 5 set. 2025.</w:t>
      </w:r>
    </w:p>
    <w:p>
      <w:pPr>
        <w:pStyle w:val="BodyText"/>
        <w:spacing w:after="60"/>
        <w:jc w:val="both"/>
      </w:pPr>
      <w:r>
        <w:t xml:space="preserve">BRASIL. Superior Tribunal de Justiça. Terceira Turma. Agravo em Recurso Especial 3.083.289. Relator: Min. Moura Ribeiro. Julgado em 2 mar. 2026.</w:t>
      </w:r>
    </w:p>
    <w:p>
      <w:pPr>
        <w:pStyle w:val="BodyText"/>
        <w:spacing w:after="60"/>
        <w:jc w:val="both"/>
      </w:pPr>
      <w:r>
        <w:t xml:space="preserve">BRASIL. Superior Tribunal de Justiça. Terceira Turma. Agravo em Recurso Especial 3.123.917. Relator: Min. Moura Ribeiro. Julgado em 22 jun. 2026.</w:t>
      </w:r>
    </w:p>
    <w:p>
      <w:pPr>
        <w:pStyle w:val="BodyText"/>
        <w:spacing w:after="60"/>
        <w:jc w:val="both"/>
      </w:pPr>
      <w:r>
        <w:t xml:space="preserve">BRASIL. Superior Tribunal de Justiça. Terceira Turma. Agravo em Recurso Especial 3.138.738. Relator: Min. Moura Ribeiro. Julgado em 15 jun. 2026.</w:t>
      </w:r>
    </w:p>
    <w:p>
      <w:pPr>
        <w:pStyle w:val="BodyText"/>
        <w:spacing w:after="60"/>
        <w:jc w:val="both"/>
      </w:pPr>
      <w:r>
        <w:t xml:space="preserve">BRASIL. Superior Tribunal de Justiça. Terceira Turma. Agravo em Recurso Especial 3.196.739. Relator: Min. Moura Ribeiro. Julgado em 1 jun. 2026.</w:t>
      </w:r>
    </w:p>
    <w:p>
      <w:pPr>
        <w:pStyle w:val="BodyText"/>
        <w:spacing w:after="60"/>
        <w:jc w:val="both"/>
      </w:pPr>
      <w:r>
        <w:t xml:space="preserve">BRASIL. Superior Tribunal de Justiça. Terceira Turma. Agravo Interno no Agravo em Recurso Especial 1.562.651. Relator: Min. Moura Ribeiro. DJe 13 maio 2021.</w:t>
      </w:r>
    </w:p>
    <w:p>
      <w:pPr>
        <w:pStyle w:val="BodyText"/>
        <w:spacing w:after="60"/>
        <w:jc w:val="both"/>
      </w:pPr>
      <w:r>
        <w:t xml:space="preserve">BRASIL. Superior Tribunal de Justiça. Terceira Turma. Agravo Interno no Agravo em Recurso Especial 2.472.778. Relator: Min. Humberto Martins.</w:t>
      </w:r>
    </w:p>
    <w:p>
      <w:pPr>
        <w:pStyle w:val="BodyText"/>
        <w:spacing w:after="60"/>
        <w:jc w:val="both"/>
      </w:pPr>
      <w:r>
        <w:t xml:space="preserve">BRASIL. Superior Tribunal de Justiça. Terceira Turma. Agravo Interno no Agravo em Recurso Especial 2.659.349. Relator: Min. Moura Ribeiro.</w:t>
      </w:r>
    </w:p>
    <w:p>
      <w:pPr>
        <w:pStyle w:val="BodyText"/>
        <w:spacing w:after="60"/>
        <w:jc w:val="both"/>
      </w:pPr>
      <w:r>
        <w:t xml:space="preserve">BRASIL. Superior Tribunal de Justiça. Terceira Turma. Agravo Interno no Recurso Especial 2.125.898. Relator: Min. Moura Ribeiro. DJe 16 out. 2025.</w:t>
      </w:r>
    </w:p>
    <w:p>
      <w:pPr>
        <w:pStyle w:val="BodyText"/>
        <w:spacing w:after="60"/>
        <w:jc w:val="both"/>
      </w:pPr>
      <w:r>
        <w:t xml:space="preserve">BRASIL. Superior Tribunal de Justiça. Terceira Turma. Agravo Interno no Recurso Especial 2.141.451. Relator: Min. Humberto Martins. Julgado em 2 mar. 2026.</w:t>
      </w:r>
    </w:p>
    <w:p>
      <w:pPr>
        <w:pStyle w:val="BodyText"/>
        <w:spacing w:after="60"/>
        <w:jc w:val="both"/>
      </w:pPr>
      <w:r>
        <w:t xml:space="preserve">BRASIL. Superior Tribunal de Justiça. Terceira Turma. Recurso Especial 1.537.879. Relator: Min. João Otávio de Noronha. Julgado em 26 abr. 2016. DJe 6 maio 2016.</w:t>
      </w:r>
    </w:p>
    <w:p>
      <w:pPr>
        <w:pStyle w:val="BodyText"/>
        <w:spacing w:after="60"/>
        <w:jc w:val="both"/>
      </w:pPr>
      <w:r>
        <w:t xml:space="preserve">BRASIL. Superior Tribunal de Justiça. Terceira Turma. Recurso Especial 1.557.989. Relator: Min. Ricardo Villas Bôas Cueva. Julgado em 17 mar. 2016. DJe 31 mar. 2016.</w:t>
      </w:r>
    </w:p>
    <w:p>
      <w:pPr>
        <w:pStyle w:val="BodyText"/>
        <w:spacing w:after="60"/>
        <w:jc w:val="both"/>
      </w:pPr>
      <w:r>
        <w:t xml:space="preserve">BRASIL. Superior Tribunal de Justiça. Terceira Turma. Recurso Especial 1.618.754. Relatora: Min. Nancy Andrighi. Julgado em 26 set. 2017. DJe 13 out. 2017.</w:t>
      </w:r>
    </w:p>
    <w:p>
      <w:pPr>
        <w:pStyle w:val="BodyText"/>
        <w:spacing w:after="60"/>
        <w:jc w:val="both"/>
      </w:pPr>
      <w:r>
        <w:t xml:space="preserve">BRASIL. Superior Tribunal de Justiça. Terceira Turma. Recurso Especial 1.655.720. Relatora: Min. Nancy Andrighi. Julgado em 9 out. 2018. DJe 15 out. 2018.</w:t>
      </w:r>
    </w:p>
    <w:p>
      <w:pPr>
        <w:pStyle w:val="BodyText"/>
        <w:spacing w:after="60"/>
        <w:jc w:val="both"/>
      </w:pPr>
      <w:r>
        <w:t xml:space="preserve">BRASIL. Superior Tribunal de Justiça. Terceira Turma. Recurso Especial 1.722.633. Relatora: Min. Nancy Andrighi. Julgado em 7 ago. 2018. DJe 10 ago. 2018.</w:t>
      </w:r>
    </w:p>
    <w:p>
      <w:pPr>
        <w:pStyle w:val="BodyText"/>
        <w:spacing w:after="60"/>
        <w:jc w:val="both"/>
      </w:pPr>
      <w:r>
        <w:t xml:space="preserve">BRASIL. Superior Tribunal de Justiça. Terceira Turma. Recurso Especial 1.735.360. Relatora: Min. Nancy Andrighi. Julgado em 12 mar. 2019. DJe 15 mar. 2019.</w:t>
      </w:r>
    </w:p>
    <w:p>
      <w:pPr>
        <w:pStyle w:val="BodyText"/>
        <w:spacing w:after="60"/>
        <w:jc w:val="both"/>
      </w:pPr>
      <w:r>
        <w:t xml:space="preserve">BRASIL. Superior Tribunal de Justiça. Terceira Turma. Recurso Especial 1.758.858. Relatora: Min. Nancy Andrighi. Julgado em 19 maio 2020. DJe 25 maio 2020.</w:t>
      </w:r>
    </w:p>
    <w:p>
      <w:pPr>
        <w:pStyle w:val="BodyText"/>
        <w:spacing w:after="60"/>
        <w:jc w:val="both"/>
      </w:pPr>
      <w:r>
        <w:t xml:space="preserve">BRASIL. Superior Tribunal de Justiça. Terceira Turma. Recurso Especial 1.863.999. Relatora: Min. Nancy Andrighi. Julgado em 3 ago. 2021. DJe 9 ago. 2021.</w:t>
      </w:r>
    </w:p>
    <w:p>
      <w:pPr>
        <w:pStyle w:val="BodyText"/>
        <w:spacing w:after="60"/>
        <w:jc w:val="both"/>
      </w:pPr>
      <w:r>
        <w:t xml:space="preserve">BRASIL. Superior Tribunal de Justiça. Terceira Turma. Recurso Especial 1.877.331. Relatora: Min. Nancy Andrighi. Julgado em 13 abr. 2021. DJe 14 maio 2021.</w:t>
      </w:r>
    </w:p>
    <w:p>
      <w:pPr>
        <w:pStyle w:val="BodyText"/>
        <w:spacing w:after="60"/>
        <w:jc w:val="both"/>
      </w:pPr>
      <w:r>
        <w:t xml:space="preserve">BRASIL. Superior Tribunal de Justiça. Terceira Turma. Recurso Especial 1.877.738. Relatora: Min. Nancy Andrighi. Julgado em 9 mar. 2021. DJe 11 mar. 2021.</w:t>
      </w:r>
    </w:p>
    <w:p>
      <w:pPr>
        <w:pStyle w:val="BodyText"/>
        <w:spacing w:after="60"/>
        <w:jc w:val="both"/>
      </w:pPr>
      <w:r>
        <w:t xml:space="preserve">BRASIL. Superior Tribunal de Justiça. Terceira Turma. Recurso Especial 1.892.139. Relator: Min. Ricardo Villas Bôas Cueva. Julgado em 8 out. 2024. DJe 11 out. 2024.</w:t>
      </w:r>
    </w:p>
    <w:p>
      <w:pPr>
        <w:pStyle w:val="BodyText"/>
        <w:spacing w:after="60"/>
        <w:jc w:val="both"/>
      </w:pPr>
      <w:r>
        <w:t xml:space="preserve">BRASIL. Superior Tribunal de Justiça. Terceira Turma. Recurso Especial 1.909.196. Relatora: Min. Nancy Andrighi. Julgado em 15 jun. 2021. DJe 17 jun. 2021.</w:t>
      </w:r>
    </w:p>
    <w:p>
      <w:pPr>
        <w:pStyle w:val="BodyText"/>
        <w:spacing w:after="60"/>
        <w:jc w:val="both"/>
      </w:pPr>
      <w:r>
        <w:t xml:space="preserve">BRASIL. Superior Tribunal de Justiça. Terceira Turma. Recurso Especial 1.933.597. Relatora: Min. Nancy Andrighi. Julgado em 26 out. 2021. DJe 3 nov. 2021.</w:t>
      </w:r>
    </w:p>
    <w:p>
      <w:pPr>
        <w:pStyle w:val="BodyText"/>
        <w:spacing w:after="60"/>
        <w:jc w:val="both"/>
      </w:pPr>
      <w:r>
        <w:t xml:space="preserve">BRASIL. Superior Tribunal de Justiça. Terceira Turma. Recurso Especial 1.954.643. Relatora: Min. Nancy Andrighi. Julgado em 15 fev. 2022. DJe 18 fev. 2022.</w:t>
      </w:r>
    </w:p>
    <w:p>
      <w:pPr>
        <w:pStyle w:val="BodyText"/>
        <w:spacing w:after="60"/>
        <w:jc w:val="both"/>
      </w:pPr>
      <w:r>
        <w:t xml:space="preserve">BRASIL. Superior Tribunal de Justiça. Terceira Turma. Recurso Especial 1.959.861. Relator: Min. Ricardo Villas Bôas Cueva. Julgado em 5 maio 2025. DJEN 9 maio 2025.</w:t>
      </w:r>
    </w:p>
    <w:p>
      <w:pPr>
        <w:pStyle w:val="BodyText"/>
        <w:spacing w:after="60"/>
        <w:jc w:val="both"/>
      </w:pPr>
      <w:r>
        <w:t xml:space="preserve">BRASIL. Superior Tribunal de Justiça. Terceira Turma. Recurso Especial 1.959.926. Relator: Min. Humberto Martins. Julgado em 8 jun. 2026.</w:t>
      </w:r>
    </w:p>
    <w:p>
      <w:pPr>
        <w:pStyle w:val="BodyText"/>
        <w:spacing w:after="60"/>
        <w:jc w:val="both"/>
      </w:pPr>
      <w:r>
        <w:t xml:space="preserve">BRASIL. Superior Tribunal de Justiça. Terceira Turma. Recurso Especial 1.985.045. Relator: Min. Ricardo Villas Bôas Cueva. Julgado em 16 maio 2023. DJe 19 maio 2023.</w:t>
      </w:r>
    </w:p>
    <w:p>
      <w:pPr>
        <w:pStyle w:val="BodyText"/>
        <w:spacing w:after="60"/>
        <w:jc w:val="both"/>
      </w:pPr>
      <w:r>
        <w:t xml:space="preserve">BRASIL. Superior Tribunal de Justiça. Terceira Turma. Recurso Especial 2.000.938. Relatora: Min. Nancy Andrighi. Julgado em 8 ago. 2023. DJe 25 ago. 2023.</w:t>
      </w:r>
    </w:p>
    <w:p>
      <w:pPr>
        <w:pStyle w:val="BodyText"/>
        <w:spacing w:after="60"/>
        <w:jc w:val="both"/>
      </w:pPr>
      <w:r>
        <w:t xml:space="preserve">BRASIL. Superior Tribunal de Justiça. Terceira Turma. Recurso Especial 2.005.877. Relatora: Min. Nancy Andrighi. Julgado em 30 ago. 2022. DJe 1 set. 2022.</w:t>
      </w:r>
    </w:p>
    <w:p>
      <w:pPr>
        <w:pStyle w:val="BodyText"/>
        <w:spacing w:after="60"/>
        <w:jc w:val="both"/>
      </w:pPr>
      <w:r>
        <w:t xml:space="preserve">BRASIL. Superior Tribunal de Justiça. Terceira Turma. Recurso Especial 2.011.406. Relatora: Min. Nancy Andrighi. Julgado em 12 dez. 2023. DJe 15 dez. 2023.</w:t>
      </w:r>
    </w:p>
    <w:p>
      <w:pPr>
        <w:pStyle w:val="BodyText"/>
        <w:spacing w:after="60"/>
        <w:jc w:val="both"/>
      </w:pPr>
      <w:r>
        <w:t xml:space="preserve">BRASIL. Superior Tribunal de Justiça. Terceira Turma. Recurso Especial 2.033.581. Relator: Min. Marco Aurélio Bellizze. Julgado em 3 set. 2024. DJe 6 set. 2024.</w:t>
      </w:r>
    </w:p>
    <w:p>
      <w:pPr>
        <w:pStyle w:val="BodyText"/>
        <w:spacing w:after="60"/>
        <w:jc w:val="both"/>
      </w:pPr>
      <w:r>
        <w:t xml:space="preserve">BRASIL. Superior Tribunal de Justiça. Terceira Turma. Recurso Especial 2.042.040. Relatora: Min. Nancy Andrighi. Julgado em 21 maio 2024. DJe 24 maio 2024.</w:t>
      </w:r>
    </w:p>
    <w:p>
      <w:pPr>
        <w:pStyle w:val="BodyText"/>
        <w:spacing w:after="60"/>
        <w:jc w:val="both"/>
      </w:pPr>
      <w:r>
        <w:t xml:space="preserve">BRASIL. Superior Tribunal de Justiça. Terceira Turma. Recurso Especial 2.045.640. Relator: Min. Marco Aurélio Bellizze. Julgado em 25 abr. 2023. DJe 28 abr. 2023.</w:t>
      </w:r>
    </w:p>
    <w:p>
      <w:pPr>
        <w:pStyle w:val="BodyText"/>
        <w:spacing w:after="60"/>
        <w:jc w:val="both"/>
      </w:pPr>
      <w:r>
        <w:t xml:space="preserve">BRASIL. Superior Tribunal de Justiça. Terceira Turma. Recurso Especial 2.059.870. Relatora: Min. Nancy Andrighi. Julgado em 21 nov. 2023. DJe 1 dez. 2023.</w:t>
      </w:r>
    </w:p>
    <w:p>
      <w:pPr>
        <w:pStyle w:val="BodyText"/>
        <w:spacing w:after="60"/>
        <w:jc w:val="both"/>
      </w:pPr>
      <w:r>
        <w:t xml:space="preserve">BRASIL. Superior Tribunal de Justiça. Terceira Turma. Recurso Especial 2.080.530. Relatora: Min. Nancy Andrighi. Julgado em 17 out. 2023. DJe 30 out. 2023.</w:t>
      </w:r>
    </w:p>
    <w:p>
      <w:pPr>
        <w:pStyle w:val="BodyText"/>
        <w:spacing w:after="60"/>
        <w:jc w:val="both"/>
      </w:pPr>
      <w:r>
        <w:t xml:space="preserve">BRASIL. Superior Tribunal de Justiça. Terceira Turma. Recurso Especial 2.115.909. Relator: Min. Moura Ribeiro. Julgado em 16 jun. 2026.</w:t>
      </w:r>
    </w:p>
    <w:p>
      <w:pPr>
        <w:pStyle w:val="BodyText"/>
        <w:spacing w:after="60"/>
        <w:jc w:val="both"/>
      </w:pPr>
      <w:r>
        <w:t xml:space="preserve">BRASIL. Superior Tribunal de Justiça. Terceira Turma. Recurso Especial 2.118.304. Relator: Min. Humberto Martins. Julgado em 12 ago. 2026. DJEN 17 ago. 2026.</w:t>
      </w:r>
    </w:p>
    <w:p>
      <w:pPr>
        <w:pStyle w:val="BodyText"/>
        <w:spacing w:after="60"/>
        <w:jc w:val="both"/>
      </w:pPr>
      <w:r>
        <w:t xml:space="preserve">BRASIL. Superior Tribunal de Justiça. Terceira Turma. Recurso Especial 2.124.428. Relatora: Min. Nancy Andrighi. Julgado em 14 maio 2024. DJe 17 maio 2024.</w:t>
      </w:r>
    </w:p>
    <w:p>
      <w:pPr>
        <w:pStyle w:val="BodyText"/>
        <w:spacing w:after="60"/>
        <w:jc w:val="both"/>
      </w:pPr>
      <w:r>
        <w:t xml:space="preserve">BRASIL. Superior Tribunal de Justiça. Terceira Turma. Recurso Especial 2.142.834. Relator: Min. Ricardo Villas Bôas Cueva. Julgado em 11 jun. 2024. DJe 18 jun. 2024.</w:t>
      </w:r>
    </w:p>
    <w:p>
      <w:pPr>
        <w:pStyle w:val="BodyText"/>
        <w:spacing w:after="60"/>
        <w:jc w:val="both"/>
      </w:pPr>
      <w:r>
        <w:t xml:space="preserve">BRASIL. Superior Tribunal de Justiça. Terceira Turma. Recurso Especial 2.176.470. Relator: Min. Ricardo Villas Bôas Cueva. Julgado em 11 mar. 2025. DJEN 18 mar. 2025.</w:t>
      </w:r>
    </w:p>
    <w:p>
      <w:pPr>
        <w:pStyle w:val="BodyText"/>
        <w:spacing w:after="60"/>
        <w:jc w:val="both"/>
      </w:pPr>
      <w:r>
        <w:t xml:space="preserve">BRASIL. Superior Tribunal de Justiça. Terceira Turma. Recurso Especial 2.176.491. Relator: Min. Moura Ribeiro. Julgado em 12 ago. 2026. DJEN 17 ago. 2026.</w:t>
      </w:r>
    </w:p>
    <w:p>
      <w:pPr>
        <w:pStyle w:val="BodyText"/>
        <w:spacing w:after="60"/>
        <w:jc w:val="both"/>
      </w:pPr>
      <w:r>
        <w:t xml:space="preserve">BRASIL. Superior Tribunal de Justiça. Terceira Turma. Recurso Especial 2.191.565. Relatora: Min. Nancy Andrighi. Julgado em 26 maio 2025. DJEN 29 maio 2025.</w:t>
      </w:r>
    </w:p>
    <w:p>
      <w:pPr>
        <w:pStyle w:val="BodyText"/>
        <w:spacing w:after="60"/>
        <w:jc w:val="both"/>
      </w:pPr>
      <w:r>
        <w:t xml:space="preserve">BRASIL. Superior Tribunal de Justiça. Terceira Turma. Recurso Especial 2.195.594. Relatora: Min. Nancy Andrighi. Julgado em 7 abr. 2026. DJe 14 abr. 2026.</w:t>
      </w:r>
    </w:p>
    <w:p>
      <w:pPr>
        <w:pStyle w:val="BodyText"/>
        <w:spacing w:after="60"/>
        <w:jc w:val="both"/>
      </w:pPr>
      <w:r>
        <w:t xml:space="preserve">BRASIL. Superior Tribunal de Justiça. Terceira Turma. Recurso Especial 2.199.860. Relator: Min. Humberto Martins. Julgado em 5 maio 2025. DJEN 8 maio 2025.</w:t>
      </w:r>
    </w:p>
    <w:p>
      <w:pPr>
        <w:pStyle w:val="BodyText"/>
        <w:spacing w:after="60"/>
        <w:jc w:val="both"/>
      </w:pPr>
      <w:r>
        <w:t xml:space="preserve">BRASIL. Superior Tribunal de Justiça. Terceira Turma. Recurso Especial 2.202.047. Relator: Min. Ricardo Villas Bôas Cueva. Julgado em 13 out. 2025. DJEN 17 out. 2025.</w:t>
      </w:r>
    </w:p>
    <w:p>
      <w:pPr>
        <w:pStyle w:val="BodyText"/>
        <w:spacing w:after="60"/>
        <w:jc w:val="both"/>
      </w:pPr>
      <w:r>
        <w:t xml:space="preserve">BRASIL. Superior Tribunal de Justiça. Terceira Turma. Recurso Especial 2.203.769. Relator: Min. Moura Ribeiro. Julgado em 10 jun. 2025. DJEN 23 jun. 2025.</w:t>
      </w:r>
    </w:p>
    <w:p>
      <w:pPr>
        <w:pStyle w:val="BodyText"/>
        <w:spacing w:after="60"/>
        <w:jc w:val="both"/>
      </w:pPr>
      <w:r>
        <w:t xml:space="preserve">BRASIL. Superior Tribunal de Justiça. Terceira Turma. Recurso Especial 2.207.430. Relatora: Min. Nancy Andrighi. Julgado em 11 nov. 2025. DJEN 19 nov. 2025.</w:t>
      </w:r>
    </w:p>
    <w:p>
      <w:pPr>
        <w:pStyle w:val="BodyText"/>
        <w:spacing w:after="60"/>
        <w:jc w:val="both"/>
      </w:pPr>
      <w:r>
        <w:t xml:space="preserve">BRASIL. Superior Tribunal de Justiça. Terceira Turma. Recurso Especial 2.207.935. Relatora: Min. Nancy Andrighi. Julgado em 16 out. 2025. DJEN 23 out. 2025.</w:t>
      </w:r>
    </w:p>
    <w:p>
      <w:pPr>
        <w:pStyle w:val="BodyText"/>
        <w:spacing w:after="60"/>
        <w:jc w:val="both"/>
      </w:pPr>
      <w:r>
        <w:t xml:space="preserve">BRASIL. Superior Tribunal de Justiça. Terceira Turma. Recurso Especial 2.209.667. Relatora: Min. Nancy Andrighi. Julgado em 2 jun. 2026. DJEN 9 jun. 2026.</w:t>
      </w:r>
    </w:p>
    <w:p>
      <w:pPr>
        <w:pStyle w:val="BodyText"/>
        <w:spacing w:after="60"/>
        <w:jc w:val="both"/>
      </w:pPr>
      <w:r>
        <w:t xml:space="preserve">BRASIL. Superior Tribunal de Justiça. Terceira Turma. Recurso Especial 2.225.451. Relatora: Min. Nancy Andrighi. Julgado em 12 maio 2026.</w:t>
      </w:r>
    </w:p>
    <w:p>
      <w:pPr>
        <w:pStyle w:val="BodyText"/>
        <w:spacing w:after="60"/>
        <w:jc w:val="both"/>
      </w:pPr>
      <w:r>
        <w:t xml:space="preserve">BRASIL. Superior Tribunal de Justiça. Terceira Turma. Recurso Especial 2.233.511. Relator: Min. Ricardo Villas Bôas Cueva. Julgado em 10 fev. 2026. DJEN 13 fev. 2026.</w:t>
      </w:r>
    </w:p>
    <w:p>
      <w:pPr>
        <w:pStyle w:val="BodyText"/>
        <w:spacing w:after="60"/>
        <w:jc w:val="both"/>
      </w:pPr>
      <w:r>
        <w:t xml:space="preserve">BRASIL. Superior Tribunal de Justiça. Terceira Turma. Recurso Especial 2.256.830. Relator: Min. Humberto Martins. Julgado em 8 jun. 2026.</w:t>
      </w:r>
    </w:p>
    <w:p>
      <w:pPr>
        <w:pStyle w:val="BodyText"/>
        <w:spacing w:after="60"/>
        <w:jc w:val="both"/>
      </w:pPr>
      <w:r>
        <w:t xml:space="preserve">BRASIL. Superior Tribunal de Justiça. Terceira Turma. Recurso Especial 2.261.913. Relatora: Min. Nancy Andrighi. Julgado em 8 jun. 2026. DJEN 11 jun. 2026.</w:t>
      </w:r>
    </w:p>
    <w:p>
      <w:pPr>
        <w:pStyle w:val="BodyText"/>
        <w:spacing w:after="60"/>
        <w:jc w:val="both"/>
      </w:pPr>
      <w:r>
        <w:t xml:space="preserve">BRASIL. Superior Tribunal de Justiça. Primeira Seção. Recurso Especial 2.193.673. Relatora: Min. Maria Thereza de Assis Moura. Julgado em 11 fev. 2026. DJEN 11 mar. 2026.</w:t>
      </w:r>
    </w:p>
    <w:p>
      <w:pPr>
        <w:pStyle w:val="BodyText"/>
        <w:spacing w:after="60"/>
        <w:jc w:val="both"/>
      </w:pPr>
      <w:r>
        <w:t xml:space="preserve">BRASIL. Superior Tribunal de Justiça. Primeira Turma. Agravo em Recurso Especial 2.279.703. Relator: Min. Gurgel de Faria. Julgado em 1 out. 2024. DJe 17 out. 2024.</w:t>
      </w:r>
    </w:p>
    <w:p>
      <w:pPr>
        <w:pStyle w:val="BodyText"/>
        <w:spacing w:after="60"/>
        <w:jc w:val="both"/>
      </w:pPr>
      <w:r>
        <w:t xml:space="preserve">BRASIL. Superior Tribunal de Justiça. Primeira Turma. Agravo Interno no Agravo em Recurso Especial 2.331.515. Relator: Min. Paulo Sérgio Domingues. DJe 27 fev. 2025.</w:t>
      </w:r>
    </w:p>
    <w:p>
      <w:pPr>
        <w:pStyle w:val="BodyText"/>
        <w:spacing w:after="60"/>
        <w:jc w:val="both"/>
      </w:pPr>
      <w:r>
        <w:t xml:space="preserve">BRASIL. Superior Tribunal de Justiça. Primeira Turma. Recurso Especial 2.189.427. Relator: Min. Paulo Sérgio Domingues. Julgado em 4 ago. 2026.</w:t>
      </w:r>
    </w:p>
    <w:p>
      <w:pPr>
        <w:pStyle w:val="BodyText"/>
        <w:spacing w:after="60"/>
        <w:jc w:val="both"/>
      </w:pPr>
      <w:r>
        <w:t xml:space="preserve">BRASIL. Superior Tribunal de Justiça. Quarta Turma. Agravo em Recurso Especial 2.096.621. Relator: Min. Raul Araújo. Julgado em 9 fev. 2026. DJEN 13 fev. 2026.</w:t>
      </w:r>
    </w:p>
    <w:p>
      <w:pPr>
        <w:pStyle w:val="BodyText"/>
        <w:spacing w:after="60"/>
        <w:jc w:val="both"/>
      </w:pPr>
      <w:r>
        <w:t xml:space="preserve">BRASIL. Superior Tribunal de Justiça. Quarta Turma. Agravo em Recurso Especial 2.234.904. Relator: Min. João Otávio de Noronha. Julgado em 9 mar. 2026.</w:t>
      </w:r>
    </w:p>
    <w:p>
      <w:pPr>
        <w:pStyle w:val="BodyText"/>
        <w:spacing w:after="60"/>
        <w:jc w:val="both"/>
      </w:pPr>
      <w:r>
        <w:t xml:space="preserve">BRASIL. Superior Tribunal de Justiça. Quarta Turma. Agravo em Recurso Especial 2.261.674. Relator: Min. Raul Araújo. Julgado em 16 mar. 2026.</w:t>
      </w:r>
    </w:p>
    <w:p>
      <w:pPr>
        <w:pStyle w:val="BodyText"/>
        <w:spacing w:after="60"/>
        <w:jc w:val="both"/>
      </w:pPr>
      <w:r>
        <w:t xml:space="preserve">BRASIL. Superior Tribunal de Justiça. Quarta Turma. Agravo em Recurso Especial 2.498.470. Relator: Min. Raul Araújo. Julgado em 4 maio 2026.</w:t>
      </w:r>
    </w:p>
    <w:p>
      <w:pPr>
        <w:pStyle w:val="BodyText"/>
        <w:spacing w:after="60"/>
        <w:jc w:val="both"/>
      </w:pPr>
      <w:r>
        <w:t xml:space="preserve">BRASIL. Superior Tribunal de Justiça. Quarta Turma. Agravo em Recurso Especial 2.505.279. Relator: Min. Raul Araújo. Julgado em 4 maio 2026.</w:t>
      </w:r>
    </w:p>
    <w:p>
      <w:pPr>
        <w:pStyle w:val="BodyText"/>
        <w:spacing w:after="60"/>
        <w:jc w:val="both"/>
      </w:pPr>
      <w:r>
        <w:t xml:space="preserve">BRASIL. Superior Tribunal de Justiça. Quarta Turma. Agravo em Recurso Especial 2.556.419. Relator: Min. João Otávio de Noronha. Julgado em 9 mar. 2026.</w:t>
      </w:r>
    </w:p>
    <w:p>
      <w:pPr>
        <w:pStyle w:val="BodyText"/>
        <w:spacing w:after="60"/>
        <w:jc w:val="both"/>
      </w:pPr>
      <w:r>
        <w:t xml:space="preserve">BRASIL. Superior Tribunal de Justiça. Quarta Turma. Agravo em Recurso Especial 2.565.365. Relator: Min. João Otávio de Noronha. Julgado em 16 mar. 2026. DJEN 19 mar. 2026.</w:t>
      </w:r>
    </w:p>
    <w:p>
      <w:pPr>
        <w:pStyle w:val="BodyText"/>
        <w:spacing w:after="60"/>
        <w:jc w:val="both"/>
      </w:pPr>
      <w:r>
        <w:t xml:space="preserve">BRASIL. Superior Tribunal de Justiça. Quarta Turma. Agravo em Recurso Especial 2.621.183. Relator: Min. João Otávio de Noronha. Julgado em 9 mar. 2026. DJEN 12 mar. 2026.</w:t>
      </w:r>
    </w:p>
    <w:p>
      <w:pPr>
        <w:pStyle w:val="BodyText"/>
        <w:spacing w:after="60"/>
        <w:jc w:val="both"/>
      </w:pPr>
      <w:r>
        <w:t xml:space="preserve">BRASIL. Superior Tribunal de Justiça. Quarta Turma. Agravo em Recurso Especial 2.664.065. Relator: Min. João Otávio de Noronha. Julgado em 9 fev. 2026.</w:t>
      </w:r>
    </w:p>
    <w:p>
      <w:pPr>
        <w:pStyle w:val="BodyText"/>
        <w:spacing w:after="60"/>
        <w:jc w:val="both"/>
      </w:pPr>
      <w:r>
        <w:t xml:space="preserve">BRASIL. Superior Tribunal de Justiça. Quarta Turma. Agravo em Recurso Especial 2.673.794. Relator: Min. João Otávio de Noronha. Julgado em 16 mar. 2026.</w:t>
      </w:r>
    </w:p>
    <w:p>
      <w:pPr>
        <w:pStyle w:val="BodyText"/>
        <w:spacing w:after="60"/>
        <w:jc w:val="both"/>
      </w:pPr>
      <w:r>
        <w:t xml:space="preserve">BRASIL. Superior Tribunal de Justiça. Quarta Turma. Agravo em Recurso Especial 2.705.816. Relator: Min. João Otávio de Noronha. Julgado em 30 mar. 2026. DJEN 7 abr. 2026.</w:t>
      </w:r>
    </w:p>
    <w:p>
      <w:pPr>
        <w:pStyle w:val="BodyText"/>
        <w:spacing w:after="60"/>
        <w:jc w:val="both"/>
      </w:pPr>
      <w:r>
        <w:t xml:space="preserve">BRASIL. Superior Tribunal de Justiça. Quarta Turma. Agravo em Recurso Especial 2.726.728. Relator: Min. Raul Araújo. Julgado em 2 mar. 2026. DJEN 11 mar. 2026.</w:t>
      </w:r>
    </w:p>
    <w:p>
      <w:pPr>
        <w:pStyle w:val="BodyText"/>
        <w:spacing w:after="60"/>
        <w:jc w:val="both"/>
      </w:pPr>
      <w:r>
        <w:t xml:space="preserve">BRASIL. Superior Tribunal de Justiça. Quarta Turma. Agravo em Recurso Especial 2.996.240. Relator: Min. Antonio Carlos Ferreira. Julgado em 30 jun. 2026.</w:t>
      </w:r>
    </w:p>
    <w:p>
      <w:pPr>
        <w:pStyle w:val="BodyText"/>
        <w:spacing w:after="60"/>
        <w:jc w:val="both"/>
      </w:pPr>
      <w:r>
        <w:t xml:space="preserve">BRASIL. Superior Tribunal de Justiça. Quarta Turma. Agravo em Recurso Especial 3.077.841. Relator: Min. João Otávio de Noronha. Julgado em 16 mar. 2026. DJEN 19 mar. 2026.</w:t>
      </w:r>
    </w:p>
    <w:p>
      <w:pPr>
        <w:pStyle w:val="BodyText"/>
        <w:spacing w:after="60"/>
        <w:jc w:val="both"/>
      </w:pPr>
      <w:r>
        <w:t xml:space="preserve">BRASIL. Superior Tribunal de Justiça. Quarta Turma. Agravo em Recurso Especial 3.100.128. Relator: Min. João Otávio de Noronha. Julgado em 23 mar. 2026.</w:t>
      </w:r>
    </w:p>
    <w:p>
      <w:pPr>
        <w:pStyle w:val="BodyText"/>
        <w:spacing w:after="60"/>
        <w:jc w:val="both"/>
      </w:pPr>
      <w:r>
        <w:t xml:space="preserve">BRASIL. Superior Tribunal de Justiça. Quarta Turma. Agravo em Recurso Especial 3.119.030. Relator: Min. Raul Araújo. Julgado em 1 jun. 2026.</w:t>
      </w:r>
    </w:p>
    <w:p>
      <w:pPr>
        <w:pStyle w:val="BodyText"/>
        <w:spacing w:after="60"/>
        <w:jc w:val="both"/>
      </w:pPr>
      <w:r>
        <w:t xml:space="preserve">BRASIL. Superior Tribunal de Justiça. Quarta Turma. Agravo em Recurso Especial 3.133.045. Relator: Min. João Otávio de Noronha. Julgado em 11 maio 2026. DJEN 14 maio 2026.</w:t>
      </w:r>
    </w:p>
    <w:p>
      <w:pPr>
        <w:pStyle w:val="BodyText"/>
        <w:spacing w:after="60"/>
        <w:jc w:val="both"/>
      </w:pPr>
      <w:r>
        <w:t xml:space="preserve">BRASIL. Superior Tribunal de Justiça. Quarta Turma. Agravo em Recurso Especial 3.141.140. Relator: Min. Raul Araújo. Julgado em 22 jun. 2026.</w:t>
      </w:r>
    </w:p>
    <w:p>
      <w:pPr>
        <w:pStyle w:val="BodyText"/>
        <w:spacing w:after="60"/>
        <w:jc w:val="both"/>
      </w:pPr>
      <w:r>
        <w:t xml:space="preserve">BRASIL. Superior Tribunal de Justiça. Quarta Turma. Agravo em Recurso Especial 3.226.831. Relator: Min. Raul Araújo. Julgado em 22 jun. 2026. DJEN 29 jun. 2026.</w:t>
      </w:r>
    </w:p>
    <w:p>
      <w:pPr>
        <w:pStyle w:val="BodyText"/>
        <w:spacing w:after="60"/>
        <w:jc w:val="both"/>
      </w:pPr>
      <w:r>
        <w:t xml:space="preserve">BRASIL. Superior Tribunal de Justiça. Quarta Turma. Agravo Interno no Agravo em Recurso Especial 1.540.073. Relator: Min. Raul Araújo. DJe 25 ago. 2023.</w:t>
      </w:r>
    </w:p>
    <w:p>
      <w:pPr>
        <w:pStyle w:val="BodyText"/>
        <w:spacing w:after="60"/>
        <w:jc w:val="both"/>
      </w:pPr>
      <w:r>
        <w:t xml:space="preserve">BRASIL. Superior Tribunal de Justiça. Quarta Turma. Agravo Interno no Agravo em Recurso Especial 1.746.039. Relator: Min. Raul Araújo. Julgado em 19 abr. 2021. DJe 24 maio 2021.</w:t>
      </w:r>
    </w:p>
    <w:p>
      <w:pPr>
        <w:pStyle w:val="BodyText"/>
        <w:spacing w:after="60"/>
        <w:jc w:val="both"/>
      </w:pPr>
      <w:r>
        <w:t xml:space="preserve">BRASIL. Superior Tribunal de Justiça. Quarta Turma. Agravo Interno no Agravo em Recurso Especial 2.287.007. Relatora: Min. Maria Isabel Gallotti. Julgado em 13 nov. 2023. DJe 17 nov. 2023.</w:t>
      </w:r>
    </w:p>
    <w:p>
      <w:pPr>
        <w:pStyle w:val="BodyText"/>
        <w:spacing w:after="60"/>
        <w:jc w:val="both"/>
      </w:pPr>
      <w:r>
        <w:t xml:space="preserve">BRASIL. Superior Tribunal de Justiça. Quarta Turma. Agravo Interno no Agravo em Recurso Especial 2.720.239. Relator: Min. João Otávio de Noronha. DJe 22 dez. 2025.</w:t>
      </w:r>
    </w:p>
    <w:p>
      <w:pPr>
        <w:pStyle w:val="BodyText"/>
        <w:spacing w:after="60"/>
        <w:jc w:val="both"/>
      </w:pPr>
      <w:r>
        <w:t xml:space="preserve">BRASIL. Superior Tribunal de Justiça. Quarta Turma. Agravo Interno no Agravo em Recurso Especial 2.796.399. Relator: Min. Raul Araújo. DJe 3 nov. 2025.</w:t>
      </w:r>
    </w:p>
    <w:p>
      <w:pPr>
        <w:pStyle w:val="BodyText"/>
        <w:spacing w:after="60"/>
        <w:jc w:val="both"/>
      </w:pPr>
      <w:r>
        <w:t xml:space="preserve">BRASIL. Superior Tribunal de Justiça. Quarta Turma. Agravo Interno no Agravo em Recurso Especial 2.890.749. Relator: Min. Raul Araújo. Julgado em 8 jun. 2026. DJEN 12 jun. 2026.</w:t>
      </w:r>
    </w:p>
    <w:p>
      <w:pPr>
        <w:pStyle w:val="BodyText"/>
        <w:spacing w:after="60"/>
        <w:jc w:val="both"/>
      </w:pPr>
      <w:r>
        <w:t xml:space="preserve">BRASIL. Superior Tribunal de Justiça. Quarta Turma. Agravo Interno no Agravo em Recurso Especial 2.989.688. Relator: Min. Raul Araújo. Julgado em 8 jun. 2026. DJEN 12 jun. 2026.</w:t>
      </w:r>
    </w:p>
    <w:p>
      <w:pPr>
        <w:pStyle w:val="BodyText"/>
        <w:spacing w:after="60"/>
        <w:jc w:val="both"/>
      </w:pPr>
      <w:r>
        <w:t xml:space="preserve">BRASIL. Superior Tribunal de Justiça. Quarta Turma. Agravo Interno no Agravo em Recurso Especial 3.004.092. Relator: Min. Raul Araújo. Julgado em 30 jun. 2026. DJEN 30 jul. 2026.</w:t>
      </w:r>
    </w:p>
    <w:p>
      <w:pPr>
        <w:pStyle w:val="BodyText"/>
        <w:spacing w:after="60"/>
        <w:jc w:val="both"/>
      </w:pPr>
      <w:r>
        <w:t xml:space="preserve">BRASIL. Superior Tribunal de Justiça. Quarta Turma. Agravo Interno no Agravo em Recurso Especial 3.076.915. Relatora: Min. Maria Isabel Gallotti. Julgado em 8 jun. 2026.</w:t>
      </w:r>
    </w:p>
    <w:p>
      <w:pPr>
        <w:pStyle w:val="BodyText"/>
        <w:spacing w:after="60"/>
        <w:jc w:val="both"/>
      </w:pPr>
      <w:r>
        <w:t xml:space="preserve">BRASIL. Superior Tribunal de Justiça. Quarta Turma. Agravo Interno no Agravo em Recurso Especial 3.102.802. Relator: Min. Luís Carlos Gambogi (Desembargador Convocado do Tjmg). Julgado em 22 abr. 2026.</w:t>
      </w:r>
    </w:p>
    <w:p>
      <w:pPr>
        <w:pStyle w:val="BodyText"/>
        <w:spacing w:after="60"/>
        <w:jc w:val="both"/>
      </w:pPr>
      <w:r>
        <w:t xml:space="preserve">BRASIL. Superior Tribunal de Justiça. Quarta Turma. Agravo Interno no Recurso Especial 2.146.304. Relatora: Min. Maria Isabel Gallotti. Julgado em 12 ago. 2026.</w:t>
      </w:r>
    </w:p>
    <w:p>
      <w:pPr>
        <w:pStyle w:val="BodyText"/>
        <w:spacing w:after="60"/>
        <w:jc w:val="both"/>
      </w:pPr>
      <w:r>
        <w:t xml:space="preserve">BRASIL. Superior Tribunal de Justiça. Quarta Turma. Agravo Interno nos Embargos de Declaração no Agravo em Recurso Especial 2.980.872. Relatora: Min. Maria Isabel Gallotti. Julgado em 12 ago. 2026.</w:t>
      </w:r>
    </w:p>
    <w:p>
      <w:pPr>
        <w:pStyle w:val="BodyText"/>
        <w:spacing w:after="60"/>
        <w:jc w:val="both"/>
      </w:pPr>
      <w:r>
        <w:t xml:space="preserve">BRASIL. Superior Tribunal de Justiça. Quarta Turma. Agravo Interno nos Embargos de Declaração no Agravo Interno no Agravo em Recurso Especial 2.540.075. Relatora: Min. Maria Isabel Gallotti. Julgado em 16 mar. 2026.</w:t>
      </w:r>
    </w:p>
    <w:p>
      <w:pPr>
        <w:pStyle w:val="BodyText"/>
        <w:spacing w:after="60"/>
        <w:jc w:val="both"/>
      </w:pPr>
      <w:r>
        <w:t xml:space="preserve">BRASIL. Superior Tribunal de Justiça. Quarta Turma. Embargos de Declaração no Agravo em Recurso Especial 2.505.836. Relator: Min. Raul Araújo. Julgado em 13 abr. 2026.</w:t>
      </w:r>
    </w:p>
    <w:p>
      <w:pPr>
        <w:pStyle w:val="BodyText"/>
        <w:spacing w:after="60"/>
        <w:jc w:val="both"/>
      </w:pPr>
      <w:r>
        <w:t xml:space="preserve">BRASIL. Superior Tribunal de Justiça. Quarta Turma. Recurso Especial 1.675.741. Relator: Min. Luis Felipe Salomão. Julgado em 11 jun. 2019. DJe 5 ago. 2019.</w:t>
      </w:r>
    </w:p>
    <w:p>
      <w:pPr>
        <w:pStyle w:val="BodyText"/>
        <w:spacing w:after="60"/>
        <w:jc w:val="both"/>
      </w:pPr>
      <w:r>
        <w:t xml:space="preserve">BRASIL. Superior Tribunal de Justiça. Quarta Turma. Recurso Especial 1.903.596. Relator: Min. Raul Araújo. Julgado em 17 mar. 2026. DJEN 2 jun. 2026.</w:t>
      </w:r>
    </w:p>
    <w:p>
      <w:pPr>
        <w:pStyle w:val="BodyText"/>
        <w:spacing w:after="60"/>
        <w:jc w:val="both"/>
      </w:pPr>
      <w:r>
        <w:t xml:space="preserve">BRASIL. Superior Tribunal de Justiça. Quarta Turma. Recurso Especial 2.041.272. Relator: Min. João Otávio de Noronha. Julgado em 22 jun. 2026.</w:t>
      </w:r>
    </w:p>
    <w:p>
      <w:pPr>
        <w:pStyle w:val="BodyText"/>
        <w:spacing w:after="60"/>
        <w:jc w:val="both"/>
      </w:pPr>
      <w:r>
        <w:t xml:space="preserve">BRASIL. Superior Tribunal de Justiça. Quarta Turma. Recurso Especial 2.162.965. Relator: Min. João Otávio de Noronha. Julgado em 25 maio 2026. DJEN 28 maio 2026.</w:t>
      </w:r>
    </w:p>
    <w:p>
      <w:pPr>
        <w:pStyle w:val="BodyText"/>
        <w:spacing w:after="60"/>
        <w:jc w:val="both"/>
      </w:pPr>
      <w:r>
        <w:t xml:space="preserve">BRASIL. Superior Tribunal de Justiça. Quarta Turma. Recurso Especial 2.167.656. Relator: Min. João Otávio de Noronha. Julgado em 9 mar. 2026.</w:t>
      </w:r>
    </w:p>
    <w:p>
      <w:pPr>
        <w:pStyle w:val="BodyText"/>
        <w:spacing w:after="60"/>
        <w:jc w:val="both"/>
      </w:pPr>
      <w:r>
        <w:t xml:space="preserve">BRASIL. Superior Tribunal de Justiça. Quarta Turma. Recurso Especial 2.177.058. Relator: Min. João Otávio de Noronha. Julgado em 30 jun. 2026.</w:t>
      </w:r>
    </w:p>
    <w:p>
      <w:pPr>
        <w:pStyle w:val="BodyText"/>
        <w:spacing w:after="60"/>
        <w:jc w:val="both"/>
      </w:pPr>
      <w:r>
        <w:t xml:space="preserve">BRASIL. Superior Tribunal de Justiça. Quarta Turma. Recurso Especial 2.178.147. Relatora: Min. Maria Isabel Gallotti. Julgado em 15 jun. 2026. DJEN 22 jun. 2026.</w:t>
      </w:r>
    </w:p>
    <w:p>
      <w:pPr>
        <w:pStyle w:val="BodyText"/>
        <w:spacing w:after="60"/>
        <w:jc w:val="both"/>
      </w:pPr>
      <w:r>
        <w:t xml:space="preserve">BRASIL. Superior Tribunal de Justiça. Quarta Turma. Recurso Especial 2.197.058. Relator: Min. João Otávio de Noronha. Julgado em 22 abr. 2026. DJEN 27 abr. 2026.</w:t>
      </w:r>
    </w:p>
    <w:p>
      <w:pPr>
        <w:pStyle w:val="BodyText"/>
        <w:spacing w:after="60"/>
        <w:jc w:val="both"/>
      </w:pPr>
      <w:r>
        <w:t xml:space="preserve">BRASIL. Superior Tribunal de Justiça. Quarta Turma. Recurso Especial 2.199.430. Relator: Min. João Otávio de Noronha. Julgado em 9 mar. 2026. DJEN 12 mar. 2026.</w:t>
      </w:r>
    </w:p>
    <w:p>
      <w:pPr>
        <w:pStyle w:val="BodyText"/>
        <w:spacing w:after="60"/>
        <w:jc w:val="both"/>
      </w:pPr>
      <w:r>
        <w:t xml:space="preserve">BRASIL. Superior Tribunal de Justiça. Quarta Turma. Recurso Especial 2.228.425. Relator: Min. Raul Araújo. Julgado em 9 mar. 2026.</w:t>
      </w:r>
    </w:p>
    <w:p>
      <w:pPr>
        <w:pStyle w:val="BodyText"/>
        <w:spacing w:after="60"/>
        <w:jc w:val="both"/>
      </w:pPr>
      <w:r>
        <w:t xml:space="preserve">BRASIL. Superior Tribunal de Justiça. Quarta Turma. Recurso Especial 2.228.772. Relator: Min. Antonio Carlos Ferreira. Julgado em 3 mar. 2026.</w:t>
      </w:r>
    </w:p>
    <w:p>
      <w:pPr>
        <w:pStyle w:val="BodyText"/>
        <w:spacing w:after="60"/>
        <w:jc w:val="both"/>
      </w:pPr>
      <w:r>
        <w:t xml:space="preserve">BRASIL. Superior Tribunal de Justiça. Quarta Turma. Recurso Especial 2.233.654. Relator: Min. João Otávio de Noronha. Julgado em 22 abr. 2026.</w:t>
      </w:r>
    </w:p>
    <w:p>
      <w:pPr>
        <w:pStyle w:val="BodyText"/>
        <w:spacing w:after="60"/>
        <w:jc w:val="both"/>
      </w:pPr>
      <w:r>
        <w:t xml:space="preserve">BRASIL. Superior Tribunal de Justiça. Quarta Turma. Recurso Especial 2.238.613. Relatora: Min. Maria Isabel Gallotti. Julgado em 25 maio 2026. DJEN 28 maio 2026.</w:t>
      </w:r>
    </w:p>
    <w:p>
      <w:pPr>
        <w:pStyle w:val="BodyText"/>
        <w:spacing w:after="60"/>
        <w:jc w:val="both"/>
      </w:pPr>
      <w:r>
        <w:t xml:space="preserve">BRASIL. Superior Tribunal de Justiça. Quarta Turma. Recurso Especial 2.255.343. Relator: Min. João Otávio de Noronha. Julgado em 22 abr. 2026. DJEN 27 abr. 2026.</w:t>
      </w:r>
    </w:p>
    <w:p>
      <w:pPr>
        <w:pStyle w:val="BodyText"/>
        <w:spacing w:after="60"/>
        <w:jc w:val="both"/>
      </w:pPr>
      <w:r>
        <w:t xml:space="preserve">BRASIL. Superior Tribunal de Justiça. Segunda Seção. Conflito de Competência 210.807. Relator: Min. Moura Ribeiro. DJe 11 jun. 2025.</w:t>
      </w:r>
    </w:p>
    <w:p>
      <w:pPr>
        <w:pStyle w:val="BodyText"/>
        <w:spacing w:after="60"/>
        <w:jc w:val="both"/>
      </w:pPr>
      <w:r>
        <w:t xml:space="preserve">BRASIL. Superior Tribunal de Justiça. Segunda Seção. Conflito de Competência 216.850. Relatora: Min. Daniela Teixeira. DJe 17 nov. 2025.</w:t>
      </w:r>
    </w:p>
    <w:p>
      <w:pPr>
        <w:pStyle w:val="BodyText"/>
        <w:spacing w:after="60"/>
        <w:jc w:val="both"/>
      </w:pPr>
      <w:r>
        <w:t xml:space="preserve">BRASIL. Superior Tribunal de Justiça. Segunda Turma. Agravo Interno no Recurso Especial 1.822.142. Relator: Min. Herman Benjamin. Julgado em 19 nov. 2019. DJe 19 dez. 2019.</w:t>
      </w:r>
    </w:p>
    <w:p>
      <w:pPr>
        <w:pStyle w:val="BodyText"/>
        <w:spacing w:after="60"/>
        <w:jc w:val="both"/>
      </w:pPr>
      <w:r>
        <w:t xml:space="preserve">BRASIL. Superior Tribunal de Justiça. Segunda Turma. Agravo Interno no Recurso Especial 1.877.544. Relator: Min. Francisco Falcão. Julgado em 21 nov. 2023. DJe 24 nov. 2023.</w:t>
      </w:r>
    </w:p>
    <w:p>
      <w:pPr>
        <w:pStyle w:val="BodyText"/>
        <w:spacing w:after="60"/>
        <w:jc w:val="both"/>
      </w:pPr>
      <w:r>
        <w:t xml:space="preserve">BRASIL. Superior Tribunal de Justiça. Segunda Turma. Agravo Interno no Recurso Especial 2.139.858. Relator: Min. Marco Aurélio Bellizze. Julgado em 12 ago. 2026.</w:t>
      </w:r>
    </w:p>
    <w:p>
      <w:pPr>
        <w:pStyle w:val="BodyText"/>
        <w:spacing w:after="60"/>
        <w:jc w:val="both"/>
      </w:pPr>
      <w:r>
        <w:t xml:space="preserve">BRASIL. Superior Tribunal de Justiça. Segunda Turma. Recurso Especial 2.190.438. Relatora: Min. Maria Thereza de Assis Moura. Julgado em 13 maio 2026.</w:t>
      </w:r>
    </w:p>
    <w:p>
      <w:pPr>
        <w:pStyle w:val="BodyText"/>
        <w:spacing w:after="60"/>
        <w:jc w:val="both"/>
      </w:pPr>
      <w:r>
        <w:t xml:space="preserve">BRASIL. Superior Tribunal de Justiça. Segunda Turma. Recurso Especial 2.251.367. Relator: Min. Teodoro Silva Santos. Julgado em 15 abr. 2026. DJEN 24 abr. 2026.</w:t>
      </w:r>
    </w:p>
    <w:p>
      <w:pPr>
        <w:pStyle w:val="BodyText"/>
        <w:spacing w:after="60"/>
        <w:jc w:val="both"/>
      </w:pPr>
      <w:r>
        <w:t xml:space="preserve">BRASIL. Superior Tribunal de Justiça. Terceira Turma. Agravo em Recurso Especial 2.669.057. Relator: Min. Moura Ribeiro. Julgado em 22 jun. 2026.</w:t>
      </w:r>
    </w:p>
    <w:p>
      <w:pPr>
        <w:pStyle w:val="BodyText"/>
        <w:spacing w:after="60"/>
        <w:jc w:val="both"/>
      </w:pPr>
      <w:r>
        <w:t xml:space="preserve">BRASIL. Superior Tribunal de Justiça. Terceira Turma. Agravo em Recurso Especial 2.707.741. Relator: Min. Moura Ribeiro. Julgado em 16 mar. 2026.</w:t>
      </w:r>
    </w:p>
    <w:p>
      <w:pPr>
        <w:pStyle w:val="BodyText"/>
        <w:spacing w:after="60"/>
        <w:jc w:val="both"/>
      </w:pPr>
      <w:r>
        <w:t xml:space="preserve">BRASIL. Superior Tribunal de Justiça. Terceira Turma. Agravo em Recurso Especial 2.983.239. Relator: Min. Ricardo Villas Bôas Cueva. DJe 27 abr. 2026.</w:t>
      </w:r>
    </w:p>
    <w:p>
      <w:pPr>
        <w:pStyle w:val="BodyText"/>
        <w:spacing w:after="60"/>
        <w:jc w:val="both"/>
      </w:pPr>
      <w:r>
        <w:t xml:space="preserve">BRASIL. Superior Tribunal de Justiça. Terceira Turma. Agravo em Recurso Especial 2.985.751. Relator: Min. Humberto Martins. Julgado em 1 jun. 2026.</w:t>
      </w:r>
    </w:p>
    <w:p>
      <w:pPr>
        <w:pStyle w:val="BodyText"/>
        <w:spacing w:after="60"/>
        <w:jc w:val="both"/>
      </w:pPr>
      <w:r>
        <w:t xml:space="preserve">BRASIL. Superior Tribunal de Justiça. Terceira Turma. Agravo em Recurso Especial 3.001.994. Relatora: Min. Nancy Andrighi. Julgado em 2 mar. 2026.</w:t>
      </w:r>
    </w:p>
    <w:p>
      <w:pPr>
        <w:pStyle w:val="BodyText"/>
        <w:spacing w:after="60"/>
        <w:jc w:val="both"/>
      </w:pPr>
      <w:r>
        <w:t xml:space="preserve">BRASIL. Superior Tribunal de Justiça. Terceira Turma. Agravo em Recurso Especial 3.052.836. Relator: Min. Humberto Martins. Julgado em 30 mar. 2026.</w:t>
      </w:r>
    </w:p>
    <w:p>
      <w:pPr>
        <w:pStyle w:val="BodyText"/>
        <w:spacing w:after="60"/>
        <w:jc w:val="both"/>
      </w:pPr>
      <w:r>
        <w:t xml:space="preserve">BRASIL. Superior Tribunal de Justiça. Terceira Turma. Agravo em Recurso Especial 3.107.495. Relator: Min. Moura Ribeiro. Julgado em 22 jun. 2026.</w:t>
      </w:r>
    </w:p>
    <w:p>
      <w:pPr>
        <w:pStyle w:val="BodyText"/>
        <w:spacing w:after="60"/>
        <w:jc w:val="both"/>
      </w:pPr>
      <w:r>
        <w:t xml:space="preserve">BRASIL. Superior Tribunal de Justiça. Terceira Turma. Agravo em Recurso Especial 3.107.679. Relator: Min. Moura Ribeiro. Julgado em 25 maio 2026.</w:t>
      </w:r>
    </w:p>
    <w:p>
      <w:pPr>
        <w:pStyle w:val="BodyText"/>
        <w:spacing w:after="60"/>
        <w:jc w:val="both"/>
      </w:pPr>
      <w:r>
        <w:t xml:space="preserve">BRASIL. Superior Tribunal de Justiça. Terceira Turma. Agravo em Recurso Especial 3.160.978. Relator: Min. Moura Ribeiro. Julgado em 22 jun. 2026.</w:t>
      </w:r>
    </w:p>
    <w:p>
      <w:pPr>
        <w:pStyle w:val="BodyText"/>
        <w:spacing w:after="60"/>
        <w:jc w:val="both"/>
      </w:pPr>
      <w:r>
        <w:t xml:space="preserve">BRASIL. Superior Tribunal de Justiça. Terceira Turma. Agravo Interno no Agravo em Recurso Especial 1.740.029. Relator: Min. Marco Aurélio Bellizze. DJe 17 mar. 2021.</w:t>
      </w:r>
    </w:p>
    <w:p>
      <w:pPr>
        <w:pStyle w:val="BodyText"/>
        <w:spacing w:after="60"/>
        <w:jc w:val="both"/>
      </w:pPr>
      <w:r>
        <w:t xml:space="preserve">BRASIL. Superior Tribunal de Justiça. Terceira Turma. Agravo Interno no Agravo em Recurso Especial 2.254.162. Relator: Min. Marco Aurélio Bellizze. DJe 24 maio 2023.</w:t>
      </w:r>
    </w:p>
    <w:p>
      <w:pPr>
        <w:pStyle w:val="BodyText"/>
        <w:spacing w:after="60"/>
        <w:jc w:val="both"/>
      </w:pPr>
      <w:r>
        <w:t xml:space="preserve">BRASIL. Superior Tribunal de Justiça. Terceira Turma. Agravo Interno no Agravo em Recurso Especial 2.392.225. Relator: Min. Humberto Martins. DJe 5 dez. 2024.</w:t>
      </w:r>
    </w:p>
    <w:p>
      <w:pPr>
        <w:pStyle w:val="BodyText"/>
        <w:spacing w:after="60"/>
        <w:jc w:val="both"/>
      </w:pPr>
      <w:r>
        <w:t xml:space="preserve">BRASIL. Superior Tribunal de Justiça. Terceira Turma. Agravo Interno no Agravo em Recurso Especial 2.716.112. Relator: Min. Humberto Martins. DJe 27 abr. 2026.</w:t>
      </w:r>
    </w:p>
    <w:p>
      <w:pPr>
        <w:pStyle w:val="BodyText"/>
        <w:spacing w:after="60"/>
        <w:jc w:val="both"/>
      </w:pPr>
      <w:r>
        <w:t xml:space="preserve">BRASIL. Superior Tribunal de Justiça. Terceira Turma. Agravo Interno no Agravo em Recurso Especial 3.116.356. Relator: Min. Humberto Martins. Julgado em 22 jun. 2026.</w:t>
      </w:r>
    </w:p>
    <w:p>
      <w:pPr>
        <w:pStyle w:val="BodyText"/>
        <w:spacing w:after="60"/>
        <w:jc w:val="both"/>
      </w:pPr>
      <w:r>
        <w:t xml:space="preserve">BRASIL. Superior Tribunal de Justiça. Terceira Turma. Agravo Interno no Agravo em Recurso Especial 3.174.968. Relator: Min. Humberto Martins. Julgado em 30 jun. 2026.</w:t>
      </w:r>
    </w:p>
    <w:p>
      <w:pPr>
        <w:pStyle w:val="BodyText"/>
        <w:spacing w:after="60"/>
        <w:jc w:val="both"/>
      </w:pPr>
      <w:r>
        <w:t xml:space="preserve">BRASIL. Superior Tribunal de Justiça. Terceira Turma. Agravo Interno no Embargos de Divergência em Recurso Especial 1.896.456. Relator: Min. Marco Aurélio Bellizze. DJe 3 mar. 2021.</w:t>
      </w:r>
    </w:p>
    <w:p>
      <w:pPr>
        <w:pStyle w:val="BodyText"/>
        <w:spacing w:after="60"/>
        <w:jc w:val="both"/>
      </w:pPr>
      <w:r>
        <w:t xml:space="preserve">BRASIL. Superior Tribunal de Justiça. Terceira Turma. Agravo Interno no Recurso Especial 2.018.134. Relator: Min. Humberto Martins. Julgado em 27 nov. 2023. DJe 30 nov. 2023.</w:t>
      </w:r>
    </w:p>
    <w:p>
      <w:pPr>
        <w:pStyle w:val="BodyText"/>
        <w:spacing w:after="60"/>
        <w:jc w:val="both"/>
      </w:pPr>
      <w:r>
        <w:t xml:space="preserve">BRASIL. Superior Tribunal de Justiça. Terceira Turma. Agravo Interno no Recurso Especial 2.111.955. Relator: Min. Humberto Martins. Julgado em 22 jun. 2026.</w:t>
      </w:r>
    </w:p>
    <w:p>
      <w:pPr>
        <w:pStyle w:val="BodyText"/>
        <w:spacing w:after="60"/>
        <w:jc w:val="both"/>
      </w:pPr>
      <w:r>
        <w:t xml:space="preserve">BRASIL. Superior Tribunal de Justiça. Terceira Turma. Agravo Interno no Recurso Especial 2.177.131. Relator: Min. Ricardo Villas Bôas Cueva. Julgado em 22 jun. 2026. DJEN 26 jun. 2026.</w:t>
      </w:r>
    </w:p>
    <w:p>
      <w:pPr>
        <w:pStyle w:val="BodyText"/>
        <w:spacing w:after="60"/>
        <w:jc w:val="both"/>
      </w:pPr>
      <w:r>
        <w:t xml:space="preserve">BRASIL. Superior Tribunal de Justiça. Terceira Turma. Agravo Interno no Recurso Especial 2.189.293. Relator: Min. Ricardo Villas Bôas Cueva. Julgado em 30 jun. 2026.</w:t>
      </w:r>
    </w:p>
    <w:p>
      <w:pPr>
        <w:pStyle w:val="BodyText"/>
        <w:spacing w:after="60"/>
        <w:jc w:val="both"/>
      </w:pPr>
      <w:r>
        <w:t xml:space="preserve">BRASIL. Superior Tribunal de Justiça. Terceira Turma. Agravo Interno no Recurso Especial 2.233.888. Relator: Min. Humberto Martins. Julgado em 24 ago. 2026. DJEN 27 ago. 2026.</w:t>
      </w:r>
    </w:p>
    <w:p>
      <w:pPr>
        <w:pStyle w:val="BodyText"/>
        <w:spacing w:after="60"/>
        <w:jc w:val="both"/>
      </w:pPr>
      <w:r>
        <w:t xml:space="preserve">BRASIL. Superior Tribunal de Justiça. Terceira Turma. Agravo Interno no Recurso Especial 2.251.445. Relator: Min. Humberto Martins. Julgado em 15 jun. 2026. DJEN 18 jun. 2026.</w:t>
      </w:r>
    </w:p>
    <w:p>
      <w:pPr>
        <w:pStyle w:val="BodyText"/>
        <w:spacing w:after="60"/>
        <w:jc w:val="both"/>
      </w:pPr>
      <w:r>
        <w:t xml:space="preserve">BRASIL. Superior Tribunal de Justiça. Terceira Turma. Embargos de Declaração no Agravo em Recurso Especial 3.089.140. Relator: Min. Moura Ribeiro. Julgado em 24 ago. 2026.</w:t>
      </w:r>
    </w:p>
    <w:p>
      <w:pPr>
        <w:pStyle w:val="BodyText"/>
        <w:spacing w:after="60"/>
        <w:jc w:val="both"/>
      </w:pPr>
      <w:r>
        <w:t xml:space="preserve">BRASIL. Superior Tribunal de Justiça. Terceira Turma. Embargos de Divergência em Recurso Especial 1.890.615. Relatora: Min. Nancy Andrighi. DJe 19 ago. 2021.</w:t>
      </w:r>
    </w:p>
    <w:p>
      <w:pPr>
        <w:pStyle w:val="BodyText"/>
        <w:spacing w:after="60"/>
        <w:jc w:val="both"/>
      </w:pPr>
      <w:r>
        <w:t xml:space="preserve">BRASIL. Superior Tribunal de Justiça. Terceira Turma. Recurso Especial 1.964.457. Relator: Min. Paulo de Tarso Sanseverino. Julgado em 3 maio 2022. DJe 11 maio 2022.</w:t>
      </w:r>
    </w:p>
    <w:p>
      <w:pPr>
        <w:pStyle w:val="BodyText"/>
        <w:spacing w:after="60"/>
        <w:jc w:val="both"/>
      </w:pPr>
      <w:r>
        <w:t xml:space="preserve">BRASIL. Superior Tribunal de Justiça. Terceira Turma. Recurso Especial 2.016.739. Relatora: Min. Nancy Andrighi. Julgado em 29 nov. 2022. DJe 1 dez. 2022.</w:t>
      </w:r>
    </w:p>
    <w:p>
      <w:pPr>
        <w:pStyle w:val="BodyText"/>
        <w:spacing w:after="60"/>
        <w:jc w:val="both"/>
      </w:pPr>
      <w:r>
        <w:t xml:space="preserve">BRASIL. Superior Tribunal de Justiça. Terceira Turma. Recurso Especial 2.101.226. Relatora: Min. Nancy Andrighi. Julgado em 12 mar. 2024. DJe 14 mar. 2024.</w:t>
      </w:r>
    </w:p>
    <w:p>
      <w:pPr>
        <w:pStyle w:val="BodyText"/>
        <w:spacing w:after="60"/>
        <w:jc w:val="both"/>
      </w:pPr>
      <w:r>
        <w:t xml:space="preserve">BRASIL. Superior Tribunal de Justiça. Terceira Turma. Recurso Especial 2.198.525. Relator: Min. Ricardo Villas Bôas Cueva. Julgado em 19 maio 2026. DJEN 3 jun. 2026.</w:t>
      </w:r>
    </w:p>
    <w:p>
      <w:pPr>
        <w:pStyle w:val="BodyText"/>
        <w:spacing w:after="60"/>
        <w:jc w:val="both"/>
      </w:pPr>
      <w:r>
        <w:t xml:space="preserve">BRASIL. Superior Tribunal de Justiça. Terceira Turma. Recurso Especial 2.199.841. Relatora: Min. Nancy Andrighi. Julgado em 25 ago. 2025. DJEN 1 set. 2025.</w:t>
      </w:r>
    </w:p>
    <w:p>
      <w:pPr>
        <w:pStyle w:val="BodyText"/>
        <w:spacing w:after="60"/>
        <w:jc w:val="both"/>
      </w:pPr>
      <w:r>
        <w:t xml:space="preserve">BRASIL. Superior Tribunal de Justiça. Terceira Turma. Recurso Especial 2.202.208. Relatora: Min. Nancy Andrighi. Julgado em 5 maio 2026. DJEN 13 maio 2026.</w:t>
      </w:r>
    </w:p>
    <w:p>
      <w:pPr>
        <w:pStyle w:val="BodyText"/>
        <w:spacing w:after="60"/>
        <w:jc w:val="both"/>
      </w:pPr>
      <w:r>
        <w:t xml:space="preserve">BRASIL. Superior Tribunal de Justiça. Terceira Turma. Recurso Especial 2.207.127. Relator: Min. Humberto Martins. Julgado em 9 mar. 2026.</w:t>
      </w:r>
    </w:p>
    <w:p>
      <w:pPr>
        <w:pStyle w:val="BodyText"/>
        <w:spacing w:after="60"/>
        <w:jc w:val="both"/>
      </w:pPr>
      <w:r>
        <w:t xml:space="preserve">BRASIL. Superior Tribunal de Justiça. Terceira Turma. Recurso Especial 2.210.081. Relatora: Min. Nancy Andrighi. Julgado em 9 jun. 2026.</w:t>
      </w:r>
    </w:p>
    <w:p>
      <w:pPr>
        <w:pStyle w:val="BodyText"/>
        <w:spacing w:after="60"/>
        <w:jc w:val="both"/>
      </w:pPr>
      <w:r>
        <w:t xml:space="preserve">BRASIL. Superior Tribunal de Justiça. Terceira Turma. Recurso Especial 2.225.590. Relator: Min. Humberto Martins. Julgado em 12 ago. 2026. DJEN 17 ago. 2026.</w:t>
      </w:r>
    </w:p>
    <w:p>
      <w:pPr>
        <w:pStyle w:val="BodyText"/>
        <w:spacing w:after="60"/>
        <w:jc w:val="both"/>
      </w:pPr>
      <w:r>
        <w:t xml:space="preserve">BRASIL. Superior Tribunal de Justiça. Terceira Turma. Recurso Especial 2.260.454. Relator: Min. Humberto Martins. Julgado em 12 ago. 2026.</w:t>
      </w:r>
    </w:p>
    <w:p>
      <w:pPr>
        <w:pStyle w:val="BodyText"/>
        <w:spacing w:after="60"/>
        <w:jc w:val="both"/>
      </w:pPr>
      <w:r>
        <w:t xml:space="preserve">BRASIL. Superior Tribunal de Justiça. Corte Especial. Agravo em Recurso Extraordinário no Recurso Extraordinário no Agravo Interno no Agravo em Recurso Especial 1.948.309. Relatora: Min. Maria Thereza de Assis Moura. Julgado em 22 nov. 2022. DJe 28 nov. 2022.</w:t>
      </w:r>
    </w:p>
    <w:p>
      <w:pPr>
        <w:pStyle w:val="BodyText"/>
        <w:spacing w:after="60"/>
        <w:jc w:val="both"/>
      </w:pPr>
      <w:r>
        <w:t xml:space="preserve">BRASIL. Superior Tribunal de Justiça. Corte Especial. Agravo em Recurso Extraordinário no Recurso Extraordinário nos Embargos de Declaração no Agravo Regimental no Recurso Especial 1.791.589. Relatora: Min. Maria Thereza de Assis Moura. Julgado em 12 maio 2020. DJe 15 maio 2020.</w:t>
      </w:r>
    </w:p>
    <w:p>
      <w:pPr>
        <w:pStyle w:val="BodyText"/>
        <w:spacing w:after="60"/>
        <w:jc w:val="both"/>
      </w:pPr>
      <w:r>
        <w:t xml:space="preserve">BRASIL. Superior Tribunal de Justiça. Corte Especial. Agravo Interno na Homologação de Decisão Estrangeira 3.552. Relator: Min. Humberto Martins. Julgado em 10 mar. 2026. DJEN 16 mar. 2026.</w:t>
      </w:r>
    </w:p>
    <w:p>
      <w:pPr>
        <w:pStyle w:val="BodyText"/>
        <w:spacing w:after="60"/>
        <w:jc w:val="both"/>
      </w:pPr>
      <w:r>
        <w:t xml:space="preserve">BRASIL. Superior Tribunal de Justiça. Corte Especial. Agravo Interno nos Embargos de Declaração na Homologação de Decisão Estrangeira 11.911. Relator: Min. Og Fernandes. Julgado em 3 mar. 2026. DJEN 10 mar. 2026.</w:t>
      </w:r>
    </w:p>
    <w:p>
      <w:pPr>
        <w:pStyle w:val="BodyText"/>
        <w:spacing w:after="60"/>
        <w:jc w:val="both"/>
      </w:pPr>
      <w:r>
        <w:t xml:space="preserve">BRASIL. Superior Tribunal de Justiça. Corte Especial. Agravo Regimental no Recurso Extraordinário no Agravo Regimental no Agravo em Recurso Especial 2.959.046. Relator: Min. Luis Felipe Salomão. Julgado em 5 ago. 2026.</w:t>
      </w:r>
    </w:p>
    <w:p>
      <w:pPr>
        <w:pStyle w:val="BodyText"/>
        <w:spacing w:after="60"/>
        <w:jc w:val="both"/>
      </w:pPr>
      <w:r>
        <w:t xml:space="preserve">BRASIL. Superior Tribunal de Justiça. Corte Especial. Agravo Regimental nos EAREsp 3.109.991. Relator: Min. Raul Araújo. Julgado em 23 jun. 2026.</w:t>
      </w:r>
    </w:p>
    <w:p>
      <w:pPr>
        <w:pStyle w:val="BodyText"/>
        <w:spacing w:after="60"/>
        <w:jc w:val="both"/>
      </w:pPr>
      <w:r>
        <w:t xml:space="preserve">BRASIL. Superior Tribunal de Justiça. Corte Especial. Agravo Regimental nos EAREsp 3.111.286. Relator: Min. Luis Felipe Salomão. Julgado em 18 ago. 2026.</w:t>
      </w:r>
    </w:p>
    <w:p>
      <w:pPr>
        <w:pStyle w:val="BodyText"/>
        <w:spacing w:after="60"/>
        <w:jc w:val="both"/>
      </w:pPr>
      <w:r>
        <w:t xml:space="preserve">BRASIL. Superior Tribunal de Justiça. Corte Especial. Conflito de Competência 218.125. Relatora: Min. Maria Thereza de Assis Moura. Julgado em 24 mar. 2026. DJEN 30 mar. 2026.</w:t>
      </w:r>
    </w:p>
    <w:p>
      <w:pPr>
        <w:pStyle w:val="BodyText"/>
        <w:spacing w:after="60"/>
        <w:jc w:val="both"/>
      </w:pPr>
      <w:r>
        <w:t xml:space="preserve">BRASIL. Superior Tribunal de Justiça. Corte Especial. Embargos de Declaração no Agravo em Recurso Especial 2.288.038. Relator: Min. Joel Ilan Paciornik. DJe 27 out. 2023.</w:t>
      </w:r>
    </w:p>
    <w:p>
      <w:pPr>
        <w:pStyle w:val="BodyText"/>
        <w:spacing w:after="60"/>
        <w:jc w:val="both"/>
      </w:pPr>
      <w:r>
        <w:t xml:space="preserve">BRASIL. Superior Tribunal de Justiça. Corte Especial. Homologação de Decisão Estrangeira 7.547. Relator: Min. Francisco Falcão. Julgado em 17 abr. 2024. DJe 22 abr. 2024.</w:t>
      </w:r>
    </w:p>
    <w:p>
      <w:pPr>
        <w:pStyle w:val="BodyText"/>
        <w:spacing w:after="60"/>
        <w:jc w:val="both"/>
      </w:pPr>
      <w:r>
        <w:t xml:space="preserve">BRASIL. Superior Tribunal de Justiça. Corte Especial. Homologação de Decisão Estrangeira 8.908. Relatora: Min. Maria Thereza de Assis Moura. Julgado em 25 nov. 2025. DJEN 28 nov. 2025.</w:t>
      </w:r>
    </w:p>
    <w:p>
      <w:pPr>
        <w:pStyle w:val="BodyText"/>
        <w:spacing w:after="60"/>
        <w:jc w:val="both"/>
      </w:pPr>
      <w:r>
        <w:t xml:space="preserve">BRASIL. Superior Tribunal de Justiça. Primeira Seção. Agravo Interno na Ação Rescisória 7.967. Relator: Min. Francisco Falcão. Julgado em 23 jun. 2026.</w:t>
      </w:r>
    </w:p>
    <w:p>
      <w:pPr>
        <w:pStyle w:val="BodyText"/>
        <w:spacing w:after="60"/>
        <w:jc w:val="both"/>
      </w:pPr>
      <w:r>
        <w:t xml:space="preserve">BRASIL. Superior Tribunal de Justiça. Primeira Seção. Agravo Interno no Conflito de Competência 219.988. Relatora: Min. Maria Thereza de Assis Moura. Julgado em 16 jun. 2026.</w:t>
      </w:r>
    </w:p>
    <w:p>
      <w:pPr>
        <w:pStyle w:val="BodyText"/>
        <w:spacing w:after="60"/>
        <w:jc w:val="both"/>
      </w:pPr>
      <w:r>
        <w:t xml:space="preserve">BRASIL. Superior Tribunal de Justiça. Primeira Seção. Agravo Interno no Reclamação 40.663. Relator: Min. Mauro Campbell Marques. DJe 4 mar. 2021.</w:t>
      </w:r>
    </w:p>
    <w:p>
      <w:pPr>
        <w:pStyle w:val="BodyText"/>
        <w:spacing w:after="60"/>
        <w:jc w:val="both"/>
      </w:pPr>
      <w:r>
        <w:t xml:space="preserve">BRASIL. Superior Tribunal de Justiça. Primeira Seção. CAt 297. Relator: Min. Herman Benjamin. Julgado em 12 jun. 2019. DJe 1 jul. 2019.</w:t>
      </w:r>
    </w:p>
    <w:p>
      <w:pPr>
        <w:pStyle w:val="BodyText"/>
        <w:spacing w:after="60"/>
        <w:jc w:val="both"/>
      </w:pPr>
      <w:r>
        <w:t xml:space="preserve">BRASIL. Superior Tribunal de Justiça. Primeira Seção. Embargos de Declaração no Mandado de Segurança 25.453. Relator: Min. Francisco Falcão. DJe 5 maio 2022.</w:t>
      </w:r>
    </w:p>
    <w:p>
      <w:pPr>
        <w:pStyle w:val="BodyText"/>
        <w:spacing w:after="60"/>
        <w:jc w:val="both"/>
      </w:pPr>
      <w:r>
        <w:t xml:space="preserve">BRASIL. Superior Tribunal de Justiça. Primeira Seção. Incidente de Assunção de Competência no Recurso em Mandado de Segurança 73.231. Relator: Min. Afrânio Vilela. Julgado em 2 jun. 2026.</w:t>
      </w:r>
    </w:p>
    <w:p>
      <w:pPr>
        <w:pStyle w:val="BodyText"/>
        <w:spacing w:after="60"/>
        <w:jc w:val="both"/>
      </w:pPr>
      <w:r>
        <w:t xml:space="preserve">BRASIL. Superior Tribunal de Justiça. Primeira Seção. Incidente de Assunção de Competência no Recurso Especial 1.860.219. Relator: Min. Paulo Sérgio Domingues. Julgado em 28 maio 2024. DJe 17 jun. 2024.</w:t>
      </w:r>
    </w:p>
    <w:p>
      <w:pPr>
        <w:pStyle w:val="BodyText"/>
        <w:spacing w:after="60"/>
        <w:jc w:val="both"/>
      </w:pPr>
      <w:r>
        <w:t xml:space="preserve">BRASIL. Superior Tribunal de Justiça. Primeira Turma. Agravo Interno no Agravo em Recurso Especial 1.192.559. Relator: Min. Sérgio Kukina. Julgado em 28 nov. 2022. DJe 1 dez. 2022.</w:t>
      </w:r>
    </w:p>
    <w:p>
      <w:pPr>
        <w:pStyle w:val="BodyText"/>
        <w:spacing w:after="60"/>
        <w:jc w:val="both"/>
      </w:pPr>
      <w:r>
        <w:t xml:space="preserve">BRASIL. Superior Tribunal de Justiça. Primeira Turma. Agravo Interno no Agravo em Recurso Especial 2.991.121. Relator: Min. Paulo Sérgio Domingues. Julgado em 12 ago. 2026.</w:t>
      </w:r>
    </w:p>
    <w:p>
      <w:pPr>
        <w:pStyle w:val="BodyText"/>
        <w:spacing w:after="60"/>
        <w:jc w:val="both"/>
      </w:pPr>
      <w:r>
        <w:t xml:space="preserve">BRASIL. Superior Tribunal de Justiça. Primeira Turma. Agravo Interno no Agravo em Recurso Especial 3.116.274. Relator: Min. Benedito Gonçalves. Julgado em 12 ago. 2026.</w:t>
      </w:r>
    </w:p>
    <w:p>
      <w:pPr>
        <w:pStyle w:val="BodyText"/>
        <w:spacing w:after="60"/>
        <w:jc w:val="both"/>
      </w:pPr>
      <w:r>
        <w:t xml:space="preserve">BRASIL. Superior Tribunal de Justiça. Quarta Turma. Agravo em Recurso Especial 2.664.432. Relator: Min. João Otávio de Noronha. Julgado em 9 fev. 2026.</w:t>
      </w:r>
    </w:p>
    <w:p>
      <w:pPr>
        <w:pStyle w:val="BodyText"/>
        <w:spacing w:after="60"/>
        <w:jc w:val="both"/>
      </w:pPr>
      <w:r>
        <w:t xml:space="preserve">BRASIL. Superior Tribunal de Justiça. Quarta Turma. Agravo em Recurso Especial 2.744.284. Relator: Min. João Otávio de Noronha. Julgado em 9 mar. 2026.</w:t>
      </w:r>
    </w:p>
    <w:p>
      <w:pPr>
        <w:pStyle w:val="BodyText"/>
        <w:spacing w:after="60"/>
        <w:jc w:val="both"/>
      </w:pPr>
      <w:r>
        <w:t xml:space="preserve">BRASIL. Superior Tribunal de Justiça. Quarta Turma. Agravo em Recurso Especial 3.048.882. Relator: Min. João Otávio de Noronha. Julgado em 30 jun. 2026.</w:t>
      </w:r>
    </w:p>
    <w:p>
      <w:pPr>
        <w:pStyle w:val="BodyText"/>
        <w:spacing w:after="60"/>
        <w:jc w:val="both"/>
      </w:pPr>
      <w:r>
        <w:t xml:space="preserve">BRASIL. Superior Tribunal de Justiça. Quarta Turma. Agravo Interno no Agravo em Recurso Especial 1.775.856. Relator: Min. Luis Felipe Salomão. DJe 1 dez. 2021.</w:t>
      </w:r>
    </w:p>
    <w:p>
      <w:pPr>
        <w:pStyle w:val="BodyText"/>
        <w:spacing w:after="60"/>
        <w:jc w:val="both"/>
      </w:pPr>
      <w:r>
        <w:t xml:space="preserve">BRASIL. Superior Tribunal de Justiça. Quarta Turma. Agravo Interno no Agravo em Recurso Especial 1.781.701. Relator: Min. Marco Buzzi. Julgado em 23 ago. 2021. DJe 26 ago. 2021.</w:t>
      </w:r>
    </w:p>
    <w:p>
      <w:pPr>
        <w:pStyle w:val="BodyText"/>
        <w:spacing w:after="60"/>
        <w:jc w:val="both"/>
      </w:pPr>
      <w:r>
        <w:t xml:space="preserve">BRASIL. Superior Tribunal de Justiça. Quarta Turma. Agravo Interno no Agravo em Recurso Especial 1.834.252. Relator: Min. Luís Carlos Gambogi (Desembargador Convocado do Tjmg). Julgado em 8 jun. 2026. DJEN 12 jun. 2026.</w:t>
      </w:r>
    </w:p>
    <w:p>
      <w:pPr>
        <w:pStyle w:val="BodyText"/>
        <w:spacing w:after="60"/>
        <w:jc w:val="both"/>
      </w:pPr>
      <w:r>
        <w:t xml:space="preserve">BRASIL. Superior Tribunal de Justiça. Quarta Turma. Agravo Interno no Agravo em Recurso Especial 1.889.947. Relator: Min. Raul Araújo. Julgado em 12 ago. 2026.</w:t>
      </w:r>
    </w:p>
    <w:p>
      <w:pPr>
        <w:pStyle w:val="BodyText"/>
        <w:spacing w:after="60"/>
        <w:jc w:val="both"/>
      </w:pPr>
      <w:r>
        <w:t xml:space="preserve">BRASIL. Superior Tribunal de Justiça. Quarta Turma. Agravo Interno no Agravo em Recurso Especial 2.959.641. Relatora: Min. Maria Isabel Gallotti. Julgado em 12 ago. 2026. DJEN 17 ago. 2026.</w:t>
      </w:r>
    </w:p>
    <w:p>
      <w:pPr>
        <w:pStyle w:val="BodyText"/>
        <w:spacing w:after="60"/>
        <w:jc w:val="both"/>
      </w:pPr>
      <w:r>
        <w:t xml:space="preserve">BRASIL. Superior Tribunal de Justiça. Quarta Turma. Agravo Interno no Agravo em Recurso Especial 3.111.390. Relator: Min. Raul Araújo. Julgado em 30 jun. 2026.</w:t>
      </w:r>
    </w:p>
    <w:p>
      <w:pPr>
        <w:pStyle w:val="BodyText"/>
        <w:spacing w:after="60"/>
        <w:jc w:val="both"/>
      </w:pPr>
      <w:r>
        <w:t xml:space="preserve">BRASIL. Superior Tribunal de Justiça. Quarta Turma. Agravo Interno nos Embargos de Declaração no Agravo em Recurso Especial 2.873.650. Relator: Min. Raul Araújo. Julgado em 15 jun. 2026.</w:t>
      </w:r>
    </w:p>
    <w:p>
      <w:pPr>
        <w:pStyle w:val="BodyText"/>
        <w:spacing w:after="60"/>
        <w:jc w:val="both"/>
      </w:pPr>
      <w:r>
        <w:t xml:space="preserve">BRASIL. Superior Tribunal de Justiça. Quarta Turma. Agravo Interno nos Embargos de Declaração no Agravo em Recurso Especial 3.075.656. Relator: Min. Luís Carlos Gambogi (Desembargador Convocado do Tjmg). Julgado em 22 jun. 2026.</w:t>
      </w:r>
    </w:p>
    <w:p>
      <w:pPr>
        <w:pStyle w:val="BodyText"/>
        <w:spacing w:after="60"/>
        <w:jc w:val="both"/>
      </w:pPr>
      <w:r>
        <w:t xml:space="preserve">BRASIL. Superior Tribunal de Justiça. Quarta Turma. Embargos de Declaração no Agravo em Recurso Especial 2.109.686. Relator: Min. Raul Araújo. Julgado em 30 mar. 2026.</w:t>
      </w:r>
    </w:p>
    <w:p>
      <w:pPr>
        <w:pStyle w:val="BodyText"/>
        <w:spacing w:after="60"/>
        <w:jc w:val="both"/>
      </w:pPr>
      <w:r>
        <w:t xml:space="preserve">BRASIL. Superior Tribunal de Justiça. Quarta Turma. Recurso Especial 1.781.587. Relator: Min. João Otávio de Noronha. Julgado em 14 abr. 2026.</w:t>
      </w:r>
    </w:p>
    <w:p>
      <w:pPr>
        <w:pStyle w:val="BodyText"/>
        <w:spacing w:after="60"/>
        <w:jc w:val="both"/>
      </w:pPr>
      <w:r>
        <w:t xml:space="preserve">BRASIL. Superior Tribunal de Justiça. Quarta Turma. Recurso Especial 2.082.230. Relator: Min. João Otávio de Noronha. Julgado em 22 jun. 2026.</w:t>
      </w:r>
    </w:p>
    <w:p>
      <w:pPr>
        <w:pStyle w:val="BodyText"/>
        <w:spacing w:after="60"/>
        <w:jc w:val="both"/>
      </w:pPr>
      <w:r>
        <w:t xml:space="preserve">BRASIL. Superior Tribunal de Justiça. Quarta Turma. Recurso Especial 2.228.289. Relator: Min. João Otávio de Noronha. Julgado em 24 ago. 2026.</w:t>
      </w:r>
    </w:p>
    <w:p>
      <w:pPr>
        <w:pStyle w:val="BodyText"/>
        <w:spacing w:after="60"/>
        <w:jc w:val="both"/>
      </w:pPr>
      <w:r>
        <w:t xml:space="preserve">BRASIL. Superior Tribunal de Justiça. Quinta Turma. Agravo Interno no Agravo em Recurso Especial 3.107.379. Relatora: Min. Daniela Teixeira. Julgado em 30 jun. 2026.</w:t>
      </w:r>
    </w:p>
    <w:p>
      <w:pPr>
        <w:pStyle w:val="BodyText"/>
        <w:spacing w:after="60"/>
        <w:jc w:val="both"/>
      </w:pPr>
      <w:r>
        <w:t xml:space="preserve">BRASIL. Superior Tribunal de Justiça. Quinta Turma. Embargos de Declaração no Agravo Interno no Agravo em Recurso Especial 3.072.654. Relatora: Min. Daniela Teixeira. Julgado em 24 ago. 2026.</w:t>
      </w:r>
    </w:p>
    <w:p>
      <w:pPr>
        <w:pStyle w:val="BodyText"/>
        <w:spacing w:after="60"/>
        <w:jc w:val="both"/>
      </w:pPr>
      <w:r>
        <w:t xml:space="preserve">BRASIL. Superior Tribunal de Justiça. Quinta Turma. Embargos de Declaração no Agravo Regimental no Recurso em Mandado de Segurança 77.943. Relator: Min. Joel Ilan Paciornik. Julgado em 4 ago. 2026.</w:t>
      </w:r>
    </w:p>
    <w:p>
      <w:pPr>
        <w:pStyle w:val="BodyText"/>
        <w:spacing w:after="60"/>
        <w:jc w:val="both"/>
      </w:pPr>
      <w:r>
        <w:t xml:space="preserve">BRASIL. Superior Tribunal de Justiça. Segunda Seção. Ação Rescisória 5.980. Relator: Min. Marco Aurélio Bellizze. Julgado em 24 nov. 2021. DJe 3 dez. 2021.</w:t>
      </w:r>
    </w:p>
    <w:p>
      <w:pPr>
        <w:pStyle w:val="BodyText"/>
        <w:spacing w:after="60"/>
        <w:jc w:val="both"/>
      </w:pPr>
      <w:r>
        <w:t xml:space="preserve">BRASIL. Superior Tribunal de Justiça. Segunda Seção. Embargos de Declaração no Ação Rescisória 7.646. Relator: Min. Marco Buzzi. DJe 23 out. 2024.</w:t>
      </w:r>
    </w:p>
    <w:p>
      <w:pPr>
        <w:pStyle w:val="BodyText"/>
        <w:spacing w:after="60"/>
        <w:jc w:val="both"/>
      </w:pPr>
      <w:r>
        <w:t xml:space="preserve">BRASIL. Superior Tribunal de Justiça. Segunda Seção. Embargos de Declaração no EAREsp 289.579. Relatora: Min. Nancy Andrighi. DJe 25 ago. 2025.</w:t>
      </w:r>
    </w:p>
    <w:p>
      <w:pPr>
        <w:pStyle w:val="BodyText"/>
        <w:spacing w:after="60"/>
        <w:jc w:val="both"/>
      </w:pPr>
      <w:r>
        <w:t xml:space="preserve">BRASIL. Superior Tribunal de Justiça. Segunda Turma. Agravo em Recurso Especial 2.475.196. Relator: Min. Mauro Campbell Marques. Julgado em 5 mar. 2024. DJe 7 mar. 2024.</w:t>
      </w:r>
    </w:p>
    <w:p>
      <w:pPr>
        <w:pStyle w:val="BodyText"/>
        <w:spacing w:after="60"/>
        <w:jc w:val="both"/>
      </w:pPr>
      <w:r>
        <w:t xml:space="preserve">BRASIL. Superior Tribunal de Justiça. Segunda Turma. Agravo Interno no Agravo em Recurso Especial 2.146.524. Relatora: Min. Assusete Magalhães. DJe 29 ago. 2023.</w:t>
      </w:r>
    </w:p>
    <w:p>
      <w:pPr>
        <w:pStyle w:val="BodyText"/>
        <w:spacing w:after="60"/>
        <w:jc w:val="both"/>
      </w:pPr>
      <w:r>
        <w:t xml:space="preserve">BRASIL. Superior Tribunal de Justiça. Segunda Turma. Agravo Interno no Agravo em Recurso Especial 2.966.132. Relator: Min. Marco Aurélio Bellizze. Julgado em 24 jun. 2026.</w:t>
      </w:r>
    </w:p>
    <w:p>
      <w:pPr>
        <w:pStyle w:val="BodyText"/>
        <w:spacing w:after="60"/>
        <w:jc w:val="both"/>
      </w:pPr>
      <w:r>
        <w:t xml:space="preserve">BRASIL. Superior Tribunal de Justiça. Segunda Turma. Agravo Interno no Recurso em Mandado de Segurança 78.807. Relator: Min. Marco Aurélio Bellizze. Julgado em 26 ago. 2026.</w:t>
      </w:r>
    </w:p>
    <w:p>
      <w:pPr>
        <w:pStyle w:val="BodyText"/>
        <w:spacing w:after="60"/>
        <w:jc w:val="both"/>
      </w:pPr>
      <w:r>
        <w:t xml:space="preserve">BRASIL. Superior Tribunal de Justiça. Segunda Turma. DESIS no Recurso Especial 1.795.534. Relator: Min. Herman Benjamin. Julgado em 20 ago. 2019. DJe 13 set. 2019.</w:t>
      </w:r>
    </w:p>
    <w:p>
      <w:pPr>
        <w:pStyle w:val="BodyText"/>
        <w:spacing w:after="60"/>
        <w:jc w:val="both"/>
      </w:pPr>
      <w:r>
        <w:t xml:space="preserve">BRASIL. Superior Tribunal de Justiça. Segunda Turma. Embargos de Declaração nos Embargos de Declaração no Agravo Interno nos Embargos de Declaração no Recurso Especial 1.935.119. Relator: Min. Herman Benjamin. Julgado em 28 mar. 2022. DJe 12 abr. 2022.</w:t>
      </w:r>
    </w:p>
    <w:p>
      <w:pPr>
        <w:pStyle w:val="BodyText"/>
        <w:spacing w:after="60"/>
        <w:jc w:val="both"/>
      </w:pPr>
      <w:r>
        <w:t xml:space="preserve">BRASIL. Superior Tribunal de Justiça. Segunda Turma. Recurso Especial 1.869.867. Relator: Min. Og Fernandes. Julgado em 20 abr. 2021. DJe 3 maio 2021.</w:t>
      </w:r>
    </w:p>
    <w:p>
      <w:pPr>
        <w:pStyle w:val="BodyText"/>
        <w:spacing w:after="60"/>
        <w:jc w:val="both"/>
      </w:pPr>
      <w:r>
        <w:t xml:space="preserve">BRASIL. Superior Tribunal de Justiça. Segunda Turma. Recurso Especial 1.916.976. Relator: Min. Herman Benjamin. Julgado em 21 maio 2024. DJe 23 ago. 2024.</w:t>
      </w:r>
    </w:p>
    <w:p>
      <w:pPr>
        <w:pStyle w:val="BodyText"/>
        <w:spacing w:after="60"/>
        <w:jc w:val="both"/>
      </w:pPr>
      <w:r>
        <w:t xml:space="preserve">BRASIL. Superior Tribunal de Justiça. Segunda Turma. Recurso Especial 1.922.044. Relator: Min. Herman Benjamin. DJe 13 abr. 2021.</w:t>
      </w:r>
    </w:p>
    <w:p>
      <w:pPr>
        <w:pStyle w:val="BodyText"/>
        <w:spacing w:after="60"/>
        <w:jc w:val="both"/>
      </w:pPr>
      <w:r>
        <w:t xml:space="preserve">BRASIL. Superior Tribunal de Justiça. Segunda Turma. Recurso Especial 2.213.902. Relator: Min. Francisco Falcão. Julgado em 3 mar. 2026.</w:t>
      </w:r>
    </w:p>
    <w:p>
      <w:pPr>
        <w:pStyle w:val="BodyText"/>
        <w:spacing w:after="60"/>
        <w:jc w:val="both"/>
      </w:pPr>
      <w:r>
        <w:t xml:space="preserve">BRASIL. Superior Tribunal de Justiça. Terceira Seção. Agravo Regimental na Reclamação 51.018. Relator: Min. Maria Marluce Caldas. Julgado em 18 jun. 2026.</w:t>
      </w:r>
    </w:p>
    <w:p>
      <w:pPr>
        <w:pStyle w:val="BodyText"/>
        <w:spacing w:after="60"/>
        <w:jc w:val="both"/>
      </w:pPr>
      <w:r>
        <w:t xml:space="preserve">BRASIL. Superior Tribunal de Justiça. Terceira Turma. Agravo em Recurso Especial 2.656.064. Relator: Min. Moura Ribeiro. Julgado em 4 maio 2026.</w:t>
      </w:r>
    </w:p>
    <w:p>
      <w:pPr>
        <w:pStyle w:val="BodyText"/>
        <w:spacing w:after="60"/>
        <w:jc w:val="both"/>
      </w:pPr>
      <w:r>
        <w:t xml:space="preserve">BRASIL. Superior Tribunal de Justiça. Terceira Turma. Agravo em Recurso Especial 3.027.409. Relator: Min. Moura Ribeiro. Julgado em 22 jun. 2026.</w:t>
      </w:r>
    </w:p>
    <w:p>
      <w:pPr>
        <w:pStyle w:val="BodyText"/>
        <w:spacing w:after="60"/>
        <w:jc w:val="both"/>
      </w:pPr>
      <w:r>
        <w:t xml:space="preserve">BRASIL. Superior Tribunal de Justiça. Terceira Turma. Agravo em Recurso Especial 3.126.952. Relator: Min. Moura Ribeiro. Julgado em 18 maio 2026.</w:t>
      </w:r>
    </w:p>
    <w:p>
      <w:pPr>
        <w:pStyle w:val="BodyText"/>
        <w:spacing w:after="60"/>
        <w:jc w:val="both"/>
      </w:pPr>
      <w:r>
        <w:t xml:space="preserve">BRASIL. Superior Tribunal de Justiça. Terceira Turma. Agravo em Recurso Especial 3.165.006. Relator: Min. Moura Ribeiro. Julgado em 22 jun. 2026.</w:t>
      </w:r>
    </w:p>
    <w:p>
      <w:pPr>
        <w:pStyle w:val="BodyText"/>
        <w:spacing w:after="60"/>
        <w:jc w:val="both"/>
      </w:pPr>
      <w:r>
        <w:t xml:space="preserve">BRASIL. Superior Tribunal de Justiça. Terceira Turma. Agravo em Recurso Especial 3.184.455. Relator: Min. Moura Ribeiro. Julgado em 22 jun. 2026. DJEN 1 jul. 2026.</w:t>
      </w:r>
    </w:p>
    <w:p>
      <w:pPr>
        <w:pStyle w:val="BodyText"/>
        <w:spacing w:after="60"/>
        <w:jc w:val="both"/>
      </w:pPr>
      <w:r>
        <w:t xml:space="preserve">BRASIL. Superior Tribunal de Justiça. Terceira Turma. Agravo Interno no Agravo em Recurso Especial 1.854.995. Relatora: Min. Nancy Andrighi. DJe 22 set. 2021.</w:t>
      </w:r>
    </w:p>
    <w:p>
      <w:pPr>
        <w:pStyle w:val="BodyText"/>
        <w:spacing w:after="60"/>
        <w:jc w:val="both"/>
      </w:pPr>
      <w:r>
        <w:t xml:space="preserve">BRASIL. Superior Tribunal de Justiça. Terceira Turma. Agravo Interno no Agravo em Recurso Especial 3.087.923. Relator: Min. Humberto Martins. Julgado em 22 jun. 2026. DJEN 25 jun. 2026.</w:t>
      </w:r>
    </w:p>
    <w:p>
      <w:pPr>
        <w:pStyle w:val="BodyText"/>
        <w:spacing w:after="60"/>
        <w:jc w:val="both"/>
      </w:pPr>
      <w:r>
        <w:t xml:space="preserve">BRASIL. Superior Tribunal de Justiça. Terceira Turma. Agravo Interno no Recurso Especial 2.164.298. Relator: Min. Moura Ribeiro. Julgado em 16 mar. 2026.</w:t>
      </w:r>
    </w:p>
    <w:p>
      <w:pPr>
        <w:pStyle w:val="BodyText"/>
        <w:spacing w:after="60"/>
        <w:jc w:val="both"/>
      </w:pPr>
      <w:r>
        <w:t xml:space="preserve">BRASIL. Superior Tribunal de Justiça. Terceira Turma. Embargos de Declaração no Recurso Especial 1.571.109. Relator: Min. Marco Aurélio Bellizze. Julgado em 6 dez. 2022. DJe 14 dez. 2022.</w:t>
      </w:r>
    </w:p>
    <w:p>
      <w:pPr>
        <w:pStyle w:val="BodyText"/>
        <w:spacing w:after="60"/>
        <w:jc w:val="both"/>
      </w:pPr>
      <w:r>
        <w:t xml:space="preserve">BRASIL. Superior Tribunal de Justiça. Terceira Turma. Embargos de Declaração no Recurso Especial 2.165.111. Relator: Min. Moura Ribeiro. Julgado em 4 maio 2026.</w:t>
      </w:r>
    </w:p>
    <w:p>
      <w:pPr>
        <w:pStyle w:val="BodyText"/>
        <w:spacing w:after="60"/>
        <w:jc w:val="both"/>
      </w:pPr>
      <w:r>
        <w:t xml:space="preserve">BRASIL. Superior Tribunal de Justiça. Terceira Turma. Recurso Especial 2.037.422. Relator: Min. Moura Ribeiro. Julgado em 9 mar. 2026.</w:t>
      </w:r>
    </w:p>
    <w:p>
      <w:pPr>
        <w:pStyle w:val="BodyText"/>
        <w:spacing w:after="60"/>
        <w:jc w:val="both"/>
      </w:pPr>
      <w:r>
        <w:t xml:space="preserve">BRASIL. Superior Tribunal de Justiça. Terceira Turma. Recurso Especial 2.166.486. Relator: Min. Ricardo Villas Bôas Cueva. Julgado em 12 ago. 2026.</w:t>
      </w:r>
    </w:p>
    <w:p>
      <w:pPr>
        <w:pStyle w:val="BodyText"/>
        <w:spacing w:after="60"/>
        <w:jc w:val="both"/>
      </w:pPr>
      <w:r>
        <w:t xml:space="preserve">BRASIL. Superior Tribunal de Justiça. Terceira Turma. Recurso Especial 2.221.166. Relatora: Min. Nancy Andrighi. Julgado em 18 ago. 2026.</w:t>
      </w:r>
    </w:p>
    <w:p>
      <w:pPr>
        <w:pStyle w:val="BodyText"/>
        <w:spacing w:after="60"/>
        <w:jc w:val="both"/>
      </w:pPr>
      <w:r>
        <w:t xml:space="preserve">BRASIL. Superior Tribunal de Justiça. Primeira Turma. Agravo Interno no Recurso Especial 2.037.199. Relator: Min. Gurgel de Faria. Julgado em 14 ago. 2023. DJe 18 ago. 2023.</w:t>
      </w:r>
    </w:p>
    <w:p>
      <w:pPr>
        <w:pStyle w:val="BodyText"/>
        <w:spacing w:after="60"/>
        <w:jc w:val="both"/>
      </w:pPr>
      <w:r>
        <w:t xml:space="preserve">BRASIL. Superior Tribunal de Justiça. Terceira Turma. Recurso Especial 2.189.144. Relator: Min. Humberto Martins. Julgado em 9 mar. 2026. DJEN 12 mar. 2026.</w:t>
      </w:r>
    </w:p>
    <w:p>
      <w:pPr>
        <w:pStyle w:val="BodyText"/>
        <w:spacing w:after="60"/>
        <w:jc w:val="both"/>
      </w:pPr>
      <w:r>
        <w:t xml:space="preserve">BRASIL. Superior Tribunal de Justiça. Terceira Turma. Recurso Especial 2.258.692. Relatora: Min. Nancy Andrighi. Julgado em 4 ago. 2026.</w:t>
      </w:r>
    </w:p>
    <w:bookmarkEnd w:id="935"/>
    <w:bookmarkEnd w:id="936"/>
    <w:bookmarkStart w:id="937" w:name="índice-de-artigos"/>
    <w:p>
      <w:pPr>
        <w:pStyle w:val="Heading1"/>
        <w:pBdr>
          <w:left w:val="single" w:sz="48" w:space="8" w:color="1F3A5F"/>
        </w:pBdr>
        <w:shd w:val="clear" w:color="auto" w:fill="DCE6F2"/>
        <w:spacing w:before="120" w:after="60"/>
        <w:ind w:left="142"/>
      </w:pPr>
      <w:r>
        <w:t xml:space="preserve">Índice de artigos</w:t>
      </w:r>
    </w:p>
    <w:p>
      <w:pPr>
        <w:pStyle w:val="FirstParagraph"/>
        <w:keepNext/>
        <w:spacing w:after="60"/>
        <w:jc w:val="both"/>
      </w:pPr>
      <w:r>
        <w:t xml:space="preserve">Remete cada artigo (Parte Especial) à página em que começa o seu texto.</w:t>
      </w:r>
    </w:p>
    <w:tbl>
      <w:tblPr>
        <w:tblStyle w:val="Table"/>
        <w:tblLook w:firstRow="1" w:lastRow="0" w:firstColumn="0" w:lastColumn="0" w:noHBand="0" w:noVBand="0" w:val="0020"/>
        <w:tblW w:w="10206" w:type="dxa"/>
        <w:tblLayout w:type="fixed"/>
      </w:tblPr>
      <w:tblGrid>
        <w:gridCol w:w="1754"/>
        <w:gridCol w:w="797"/>
        <w:gridCol w:w="1754"/>
        <w:gridCol w:w="797"/>
        <w:gridCol w:w="1754"/>
        <w:gridCol w:w="797"/>
        <w:gridCol w:w="1754"/>
        <w:gridCol w:w="797"/>
      </w:tblGrid>
      <w:tr>
        <w:trPr>
          <w:tblHeader w:val="on"/>
          <w:cantSplit/>
        </w:trPr>
        <w:tc>
          <w:tcPr>
            <w:tcW w:type="dxa" w:w="1754"/>
            <w:tcBorders>
              <w:bottom w:val="single" w:sz="8" w:space="0" w:color="2E75B6"/>
            </w:tcBorders>
          </w:tcPr>
          <w:p>
            <w:pPr>
              <w:pStyle w:val="Compact"/>
              <w:keepNext/>
              <w:spacing w:before="20" w:after="20" w:line="240" w:lineRule="auto"/>
              <w:jc w:val="left"/>
            </w:pPr>
            <w:r>
              <w:rPr>
                <w:rFonts w:ascii="Liberation Sans Narrow" w:hAnsi="Liberation Sans Narrow"/>
                <w:b/>
                <w:sz w:val="17"/>
              </w:rPr>
              <w:t xml:space="preserve">Artigo</w:t>
            </w:r>
          </w:p>
        </w:tc>
        <w:tc>
          <w:tcPr>
            <w:tcW w:type="dxa" w:w="797"/>
            <w:tcBorders>
              <w:bottom w:val="single" w:sz="8" w:space="0" w:color="2E75B6"/>
            </w:tcBorders>
          </w:tcPr>
          <w:p>
            <w:pPr>
              <w:pStyle w:val="Compact"/>
              <w:keepNext/>
              <w:spacing w:before="20" w:after="20" w:line="240" w:lineRule="auto"/>
              <w:jc w:val="right"/>
            </w:pPr>
            <w:r>
              <w:rPr>
                <w:rFonts w:ascii="Liberation Sans Narrow" w:hAnsi="Liberation Sans Narrow"/>
                <w:b/>
                <w:sz w:val="17"/>
              </w:rPr>
              <w:t xml:space="preserve">Pág.</w:t>
            </w:r>
          </w:p>
        </w:tc>
        <w:tc>
          <w:tcPr>
            <w:tcW w:type="dxa" w:w="1754"/>
            <w:tcBorders>
              <w:bottom w:val="single" w:sz="8" w:space="0" w:color="2E75B6"/>
            </w:tcBorders>
          </w:tcPr>
          <w:p>
            <w:pPr>
              <w:pStyle w:val="Compact"/>
              <w:keepNext/>
              <w:spacing w:before="20" w:after="20" w:line="240" w:lineRule="auto"/>
              <w:jc w:val="left"/>
            </w:pPr>
            <w:r>
              <w:rPr>
                <w:rFonts w:ascii="Liberation Sans Narrow" w:hAnsi="Liberation Sans Narrow"/>
                <w:b/>
                <w:sz w:val="17"/>
              </w:rPr>
              <w:t xml:space="preserve">Artigo</w:t>
            </w:r>
          </w:p>
        </w:tc>
        <w:tc>
          <w:tcPr>
            <w:tcW w:type="dxa" w:w="797"/>
            <w:tcBorders>
              <w:bottom w:val="single" w:sz="8" w:space="0" w:color="2E75B6"/>
            </w:tcBorders>
          </w:tcPr>
          <w:p>
            <w:pPr>
              <w:pStyle w:val="Compact"/>
              <w:keepNext/>
              <w:spacing w:before="20" w:after="20" w:line="240" w:lineRule="auto"/>
              <w:jc w:val="right"/>
            </w:pPr>
            <w:r>
              <w:rPr>
                <w:rFonts w:ascii="Liberation Sans Narrow" w:hAnsi="Liberation Sans Narrow"/>
                <w:b/>
                <w:sz w:val="17"/>
              </w:rPr>
              <w:t xml:space="preserve">Pág.</w:t>
            </w:r>
          </w:p>
        </w:tc>
        <w:tc>
          <w:tcPr>
            <w:tcW w:type="dxa" w:w="1754"/>
            <w:tcBorders>
              <w:bottom w:val="single" w:sz="8" w:space="0" w:color="2E75B6"/>
            </w:tcBorders>
          </w:tcPr>
          <w:p>
            <w:pPr>
              <w:pStyle w:val="Compact"/>
              <w:keepNext/>
              <w:spacing w:before="20" w:after="20" w:line="240" w:lineRule="auto"/>
              <w:jc w:val="left"/>
            </w:pPr>
            <w:r>
              <w:rPr>
                <w:rFonts w:ascii="Liberation Sans Narrow" w:hAnsi="Liberation Sans Narrow"/>
                <w:b/>
                <w:sz w:val="17"/>
              </w:rPr>
              <w:t xml:space="preserve">Artigo</w:t>
            </w:r>
          </w:p>
        </w:tc>
        <w:tc>
          <w:tcPr>
            <w:tcW w:type="dxa" w:w="797"/>
            <w:tcBorders>
              <w:bottom w:val="single" w:sz="8" w:space="0" w:color="2E75B6"/>
            </w:tcBorders>
          </w:tcPr>
          <w:p>
            <w:pPr>
              <w:pStyle w:val="Compact"/>
              <w:keepNext/>
              <w:spacing w:before="20" w:after="20" w:line="240" w:lineRule="auto"/>
              <w:jc w:val="right"/>
            </w:pPr>
            <w:r>
              <w:rPr>
                <w:rFonts w:ascii="Liberation Sans Narrow" w:hAnsi="Liberation Sans Narrow"/>
                <w:b/>
                <w:sz w:val="17"/>
              </w:rPr>
              <w:t xml:space="preserve">Pág.</w:t>
            </w:r>
          </w:p>
        </w:tc>
        <w:tc>
          <w:tcPr>
            <w:tcW w:type="dxa" w:w="1754"/>
            <w:tcBorders>
              <w:bottom w:val="single" w:sz="8" w:space="0" w:color="2E75B6"/>
            </w:tcBorders>
          </w:tcPr>
          <w:p>
            <w:pPr>
              <w:pStyle w:val="Compact"/>
              <w:keepNext/>
              <w:spacing w:before="20" w:after="20" w:line="240" w:lineRule="auto"/>
              <w:jc w:val="left"/>
            </w:pPr>
            <w:r>
              <w:rPr>
                <w:rFonts w:ascii="Liberation Sans Narrow" w:hAnsi="Liberation Sans Narrow"/>
                <w:b/>
                <w:sz w:val="17"/>
              </w:rPr>
              <w:t xml:space="preserve">Artigo</w:t>
            </w:r>
          </w:p>
        </w:tc>
        <w:tc>
          <w:tcPr>
            <w:tcW w:type="dxa" w:w="797"/>
            <w:tcBorders>
              <w:bottom w:val="single" w:sz="8" w:space="0" w:color="2E75B6"/>
            </w:tcBorders>
          </w:tcPr>
          <w:p>
            <w:pPr>
              <w:pStyle w:val="Compact"/>
              <w:keepNext/>
              <w:spacing w:before="20" w:after="20" w:line="240" w:lineRule="auto"/>
              <w:jc w:val="right"/>
            </w:pPr>
            <w:r>
              <w:rPr>
                <w:rFonts w:ascii="Liberation Sans Narrow" w:hAnsi="Liberation Sans Narrow"/>
                <w:b/>
                <w:sz w:val="17"/>
              </w:rPr>
              <w:t xml:space="preserve">Pág.</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318</w:t>
            </w:r>
          </w:p>
        </w:tc>
        <w:tc>
          <w:tcPr>
            <w:tcW w:type="dxa" w:w="797"/>
          </w:tcPr>
          <w:p>
            <w:pPr>
              <w:pStyle w:val="Compact"/>
              <w:spacing w:before="20" w:after="20" w:line="240" w:lineRule="auto"/>
              <w:jc w:val="right"/>
            </w:pPr>
            <w:r>
              <w:rPr>
                <w:rFonts w:ascii="Liberation Sans Narrow" w:hAnsi="Liberation Sans Narrow"/>
                <w:b/>
                <w:sz w:val="17"/>
              </w:rPr>
              <w:t xml:space="preserve">18</w:t>
            </w:r>
          </w:p>
        </w:tc>
        <w:tc>
          <w:tcPr>
            <w:tcW w:type="dxa" w:w="1754"/>
          </w:tcPr>
          <w:p>
            <w:pPr>
              <w:pStyle w:val="Compact"/>
              <w:spacing w:before="20" w:after="20" w:line="240" w:lineRule="auto"/>
              <w:jc w:val="left"/>
            </w:pPr>
            <w:r>
              <w:rPr>
                <w:rFonts w:ascii="Liberation Sans Narrow" w:hAnsi="Liberation Sans Narrow"/>
                <w:b w:val="0"/>
                <w:sz w:val="17"/>
              </w:rPr>
              <w:t xml:space="preserve">Art. 507</w:t>
            </w:r>
          </w:p>
        </w:tc>
        <w:tc>
          <w:tcPr>
            <w:tcW w:type="dxa" w:w="797"/>
          </w:tcPr>
          <w:p>
            <w:pPr>
              <w:pStyle w:val="Compact"/>
              <w:spacing w:before="20" w:after="20" w:line="240" w:lineRule="auto"/>
              <w:jc w:val="right"/>
            </w:pPr>
            <w:r>
              <w:rPr>
                <w:rFonts w:ascii="Liberation Sans Narrow" w:hAnsi="Liberation Sans Narrow"/>
                <w:b/>
                <w:sz w:val="17"/>
              </w:rPr>
              <w:t xml:space="preserve">74</w:t>
            </w:r>
          </w:p>
        </w:tc>
        <w:tc>
          <w:tcPr>
            <w:tcW w:type="dxa" w:w="1754"/>
          </w:tcPr>
          <w:p>
            <w:pPr>
              <w:pStyle w:val="Compact"/>
              <w:spacing w:before="20" w:after="20" w:line="240" w:lineRule="auto"/>
              <w:jc w:val="left"/>
            </w:pPr>
            <w:r>
              <w:rPr>
                <w:rFonts w:ascii="Liberation Sans Narrow" w:hAnsi="Liberation Sans Narrow"/>
                <w:b w:val="0"/>
                <w:sz w:val="17"/>
              </w:rPr>
              <w:t xml:space="preserve">Art. 696</w:t>
            </w:r>
          </w:p>
        </w:tc>
        <w:tc>
          <w:tcPr>
            <w:tcW w:type="dxa" w:w="797"/>
          </w:tcPr>
          <w:p>
            <w:pPr>
              <w:pStyle w:val="Compact"/>
              <w:spacing w:before="20" w:after="20" w:line="240" w:lineRule="auto"/>
              <w:jc w:val="right"/>
            </w:pPr>
            <w:r>
              <w:rPr>
                <w:rFonts w:ascii="Liberation Sans Narrow" w:hAnsi="Liberation Sans Narrow"/>
                <w:b/>
                <w:sz w:val="17"/>
              </w:rPr>
              <w:t xml:space="preserve">118</w:t>
            </w:r>
          </w:p>
        </w:tc>
        <w:tc>
          <w:tcPr>
            <w:tcW w:type="dxa" w:w="1754"/>
          </w:tcPr>
          <w:p>
            <w:pPr>
              <w:pStyle w:val="Compact"/>
              <w:spacing w:before="20" w:after="20" w:line="240" w:lineRule="auto"/>
              <w:jc w:val="left"/>
            </w:pPr>
            <w:r>
              <w:rPr>
                <w:rFonts w:ascii="Liberation Sans Narrow" w:hAnsi="Liberation Sans Narrow"/>
                <w:b w:val="0"/>
                <w:sz w:val="17"/>
              </w:rPr>
              <w:t xml:space="preserve">Art. 885</w:t>
            </w:r>
          </w:p>
        </w:tc>
        <w:tc>
          <w:tcPr>
            <w:tcW w:type="dxa" w:w="797"/>
          </w:tcPr>
          <w:p>
            <w:pPr>
              <w:pStyle w:val="Compact"/>
              <w:spacing w:before="20" w:after="20" w:line="240" w:lineRule="auto"/>
              <w:jc w:val="right"/>
            </w:pPr>
            <w:r>
              <w:rPr>
                <w:rFonts w:ascii="Liberation Sans Narrow" w:hAnsi="Liberation Sans Narrow"/>
                <w:b/>
                <w:sz w:val="17"/>
              </w:rPr>
              <w:t xml:space="preserve">156</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319</w:t>
            </w:r>
          </w:p>
        </w:tc>
        <w:tc>
          <w:tcPr>
            <w:tcW w:type="dxa" w:w="797"/>
          </w:tcPr>
          <w:p>
            <w:pPr>
              <w:pStyle w:val="Compact"/>
              <w:spacing w:before="20" w:after="20" w:line="240" w:lineRule="auto"/>
              <w:jc w:val="right"/>
            </w:pPr>
            <w:r>
              <w:rPr>
                <w:rFonts w:ascii="Liberation Sans Narrow" w:hAnsi="Liberation Sans Narrow"/>
                <w:b/>
                <w:sz w:val="17"/>
              </w:rPr>
              <w:t xml:space="preserve">18</w:t>
            </w:r>
          </w:p>
        </w:tc>
        <w:tc>
          <w:tcPr>
            <w:tcW w:type="dxa" w:w="1754"/>
          </w:tcPr>
          <w:p>
            <w:pPr>
              <w:pStyle w:val="Compact"/>
              <w:spacing w:before="20" w:after="20" w:line="240" w:lineRule="auto"/>
              <w:jc w:val="left"/>
            </w:pPr>
            <w:r>
              <w:rPr>
                <w:rFonts w:ascii="Liberation Sans Narrow" w:hAnsi="Liberation Sans Narrow"/>
                <w:b w:val="0"/>
                <w:sz w:val="17"/>
              </w:rPr>
              <w:t xml:space="preserve">Art. 508</w:t>
            </w:r>
          </w:p>
        </w:tc>
        <w:tc>
          <w:tcPr>
            <w:tcW w:type="dxa" w:w="797"/>
          </w:tcPr>
          <w:p>
            <w:pPr>
              <w:pStyle w:val="Compact"/>
              <w:spacing w:before="20" w:after="20" w:line="240" w:lineRule="auto"/>
              <w:jc w:val="right"/>
            </w:pPr>
            <w:r>
              <w:rPr>
                <w:rFonts w:ascii="Liberation Sans Narrow" w:hAnsi="Liberation Sans Narrow"/>
                <w:b/>
                <w:sz w:val="17"/>
              </w:rPr>
              <w:t xml:space="preserve">74</w:t>
            </w:r>
          </w:p>
        </w:tc>
        <w:tc>
          <w:tcPr>
            <w:tcW w:type="dxa" w:w="1754"/>
          </w:tcPr>
          <w:p>
            <w:pPr>
              <w:pStyle w:val="Compact"/>
              <w:spacing w:before="20" w:after="20" w:line="240" w:lineRule="auto"/>
              <w:jc w:val="left"/>
            </w:pPr>
            <w:r>
              <w:rPr>
                <w:rFonts w:ascii="Liberation Sans Narrow" w:hAnsi="Liberation Sans Narrow"/>
                <w:b w:val="0"/>
                <w:sz w:val="17"/>
              </w:rPr>
              <w:t xml:space="preserve">Art. 697</w:t>
            </w:r>
          </w:p>
        </w:tc>
        <w:tc>
          <w:tcPr>
            <w:tcW w:type="dxa" w:w="797"/>
          </w:tcPr>
          <w:p>
            <w:pPr>
              <w:pStyle w:val="Compact"/>
              <w:spacing w:before="20" w:after="20" w:line="240" w:lineRule="auto"/>
              <w:jc w:val="right"/>
            </w:pPr>
            <w:r>
              <w:rPr>
                <w:rFonts w:ascii="Liberation Sans Narrow" w:hAnsi="Liberation Sans Narrow"/>
                <w:b/>
                <w:sz w:val="17"/>
              </w:rPr>
              <w:t xml:space="preserve">118</w:t>
            </w:r>
          </w:p>
        </w:tc>
        <w:tc>
          <w:tcPr>
            <w:tcW w:type="dxa" w:w="1754"/>
          </w:tcPr>
          <w:p>
            <w:pPr>
              <w:pStyle w:val="Compact"/>
              <w:spacing w:before="20" w:after="20" w:line="240" w:lineRule="auto"/>
              <w:jc w:val="left"/>
            </w:pPr>
            <w:r>
              <w:rPr>
                <w:rFonts w:ascii="Liberation Sans Narrow" w:hAnsi="Liberation Sans Narrow"/>
                <w:b w:val="0"/>
                <w:sz w:val="17"/>
              </w:rPr>
              <w:t xml:space="preserve">Art. 886</w:t>
            </w:r>
          </w:p>
        </w:tc>
        <w:tc>
          <w:tcPr>
            <w:tcW w:type="dxa" w:w="797"/>
          </w:tcPr>
          <w:p>
            <w:pPr>
              <w:pStyle w:val="Compact"/>
              <w:spacing w:before="20" w:after="20" w:line="240" w:lineRule="auto"/>
              <w:jc w:val="right"/>
            </w:pPr>
            <w:r>
              <w:rPr>
                <w:rFonts w:ascii="Liberation Sans Narrow" w:hAnsi="Liberation Sans Narrow"/>
                <w:b/>
                <w:sz w:val="17"/>
              </w:rPr>
              <w:t xml:space="preserve">156</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320</w:t>
            </w:r>
          </w:p>
        </w:tc>
        <w:tc>
          <w:tcPr>
            <w:tcW w:type="dxa" w:w="797"/>
          </w:tcPr>
          <w:p>
            <w:pPr>
              <w:pStyle w:val="Compact"/>
              <w:spacing w:before="20" w:after="20" w:line="240" w:lineRule="auto"/>
              <w:jc w:val="right"/>
            </w:pPr>
            <w:r>
              <w:rPr>
                <w:rFonts w:ascii="Liberation Sans Narrow" w:hAnsi="Liberation Sans Narrow"/>
                <w:b/>
                <w:sz w:val="17"/>
              </w:rPr>
              <w:t xml:space="preserve">19</w:t>
            </w:r>
          </w:p>
        </w:tc>
        <w:tc>
          <w:tcPr>
            <w:tcW w:type="dxa" w:w="1754"/>
          </w:tcPr>
          <w:p>
            <w:pPr>
              <w:pStyle w:val="Compact"/>
              <w:spacing w:before="20" w:after="20" w:line="240" w:lineRule="auto"/>
              <w:jc w:val="left"/>
            </w:pPr>
            <w:r>
              <w:rPr>
                <w:rFonts w:ascii="Liberation Sans Narrow" w:hAnsi="Liberation Sans Narrow"/>
                <w:b w:val="0"/>
                <w:sz w:val="17"/>
              </w:rPr>
              <w:t xml:space="preserve">Art. 509</w:t>
            </w:r>
          </w:p>
        </w:tc>
        <w:tc>
          <w:tcPr>
            <w:tcW w:type="dxa" w:w="797"/>
          </w:tcPr>
          <w:p>
            <w:pPr>
              <w:pStyle w:val="Compact"/>
              <w:spacing w:before="20" w:after="20" w:line="240" w:lineRule="auto"/>
              <w:jc w:val="right"/>
            </w:pPr>
            <w:r>
              <w:rPr>
                <w:rFonts w:ascii="Liberation Sans Narrow" w:hAnsi="Liberation Sans Narrow"/>
                <w:b/>
                <w:sz w:val="17"/>
              </w:rPr>
              <w:t xml:space="preserve">75</w:t>
            </w:r>
          </w:p>
        </w:tc>
        <w:tc>
          <w:tcPr>
            <w:tcW w:type="dxa" w:w="1754"/>
          </w:tcPr>
          <w:p>
            <w:pPr>
              <w:pStyle w:val="Compact"/>
              <w:spacing w:before="20" w:after="20" w:line="240" w:lineRule="auto"/>
              <w:jc w:val="left"/>
            </w:pPr>
            <w:r>
              <w:rPr>
                <w:rFonts w:ascii="Liberation Sans Narrow" w:hAnsi="Liberation Sans Narrow"/>
                <w:b w:val="0"/>
                <w:sz w:val="17"/>
              </w:rPr>
              <w:t xml:space="preserve">Art. 698</w:t>
            </w:r>
          </w:p>
        </w:tc>
        <w:tc>
          <w:tcPr>
            <w:tcW w:type="dxa" w:w="797"/>
          </w:tcPr>
          <w:p>
            <w:pPr>
              <w:pStyle w:val="Compact"/>
              <w:spacing w:before="20" w:after="20" w:line="240" w:lineRule="auto"/>
              <w:jc w:val="right"/>
            </w:pPr>
            <w:r>
              <w:rPr>
                <w:rFonts w:ascii="Liberation Sans Narrow" w:hAnsi="Liberation Sans Narrow"/>
                <w:b/>
                <w:sz w:val="17"/>
              </w:rPr>
              <w:t xml:space="preserve">118</w:t>
            </w:r>
          </w:p>
        </w:tc>
        <w:tc>
          <w:tcPr>
            <w:tcW w:type="dxa" w:w="1754"/>
          </w:tcPr>
          <w:p>
            <w:pPr>
              <w:pStyle w:val="Compact"/>
              <w:spacing w:before="20" w:after="20" w:line="240" w:lineRule="auto"/>
              <w:jc w:val="left"/>
            </w:pPr>
            <w:r>
              <w:rPr>
                <w:rFonts w:ascii="Liberation Sans Narrow" w:hAnsi="Liberation Sans Narrow"/>
                <w:b w:val="0"/>
                <w:sz w:val="17"/>
              </w:rPr>
              <w:t xml:space="preserve">Art. 887</w:t>
            </w:r>
          </w:p>
        </w:tc>
        <w:tc>
          <w:tcPr>
            <w:tcW w:type="dxa" w:w="797"/>
          </w:tcPr>
          <w:p>
            <w:pPr>
              <w:pStyle w:val="Compact"/>
              <w:spacing w:before="20" w:after="20" w:line="240" w:lineRule="auto"/>
              <w:jc w:val="right"/>
            </w:pPr>
            <w:r>
              <w:rPr>
                <w:rFonts w:ascii="Liberation Sans Narrow" w:hAnsi="Liberation Sans Narrow"/>
                <w:b/>
                <w:sz w:val="17"/>
              </w:rPr>
              <w:t xml:space="preserve">157</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321</w:t>
            </w:r>
          </w:p>
        </w:tc>
        <w:tc>
          <w:tcPr>
            <w:tcW w:type="dxa" w:w="797"/>
          </w:tcPr>
          <w:p>
            <w:pPr>
              <w:pStyle w:val="Compact"/>
              <w:spacing w:before="20" w:after="20" w:line="240" w:lineRule="auto"/>
              <w:jc w:val="right"/>
            </w:pPr>
            <w:r>
              <w:rPr>
                <w:rFonts w:ascii="Liberation Sans Narrow" w:hAnsi="Liberation Sans Narrow"/>
                <w:b/>
                <w:sz w:val="17"/>
              </w:rPr>
              <w:t xml:space="preserve">19</w:t>
            </w:r>
          </w:p>
        </w:tc>
        <w:tc>
          <w:tcPr>
            <w:tcW w:type="dxa" w:w="1754"/>
          </w:tcPr>
          <w:p>
            <w:pPr>
              <w:pStyle w:val="Compact"/>
              <w:spacing w:before="20" w:after="20" w:line="240" w:lineRule="auto"/>
              <w:jc w:val="left"/>
            </w:pPr>
            <w:r>
              <w:rPr>
                <w:rFonts w:ascii="Liberation Sans Narrow" w:hAnsi="Liberation Sans Narrow"/>
                <w:b w:val="0"/>
                <w:sz w:val="17"/>
              </w:rPr>
              <w:t xml:space="preserve">Art. 510</w:t>
            </w:r>
          </w:p>
        </w:tc>
        <w:tc>
          <w:tcPr>
            <w:tcW w:type="dxa" w:w="797"/>
          </w:tcPr>
          <w:p>
            <w:pPr>
              <w:pStyle w:val="Compact"/>
              <w:spacing w:before="20" w:after="20" w:line="240" w:lineRule="auto"/>
              <w:jc w:val="right"/>
            </w:pPr>
            <w:r>
              <w:rPr>
                <w:rFonts w:ascii="Liberation Sans Narrow" w:hAnsi="Liberation Sans Narrow"/>
                <w:b/>
                <w:sz w:val="17"/>
              </w:rPr>
              <w:t xml:space="preserve">75</w:t>
            </w:r>
          </w:p>
        </w:tc>
        <w:tc>
          <w:tcPr>
            <w:tcW w:type="dxa" w:w="1754"/>
          </w:tcPr>
          <w:p>
            <w:pPr>
              <w:pStyle w:val="Compact"/>
              <w:spacing w:before="20" w:after="20" w:line="240" w:lineRule="auto"/>
              <w:jc w:val="left"/>
            </w:pPr>
            <w:r>
              <w:rPr>
                <w:rFonts w:ascii="Liberation Sans Narrow" w:hAnsi="Liberation Sans Narrow"/>
                <w:b w:val="0"/>
                <w:sz w:val="17"/>
              </w:rPr>
              <w:t xml:space="preserve">Art. 699</w:t>
            </w:r>
          </w:p>
        </w:tc>
        <w:tc>
          <w:tcPr>
            <w:tcW w:type="dxa" w:w="797"/>
          </w:tcPr>
          <w:p>
            <w:pPr>
              <w:pStyle w:val="Compact"/>
              <w:spacing w:before="20" w:after="20" w:line="240" w:lineRule="auto"/>
              <w:jc w:val="right"/>
            </w:pPr>
            <w:r>
              <w:rPr>
                <w:rFonts w:ascii="Liberation Sans Narrow" w:hAnsi="Liberation Sans Narrow"/>
                <w:b/>
                <w:sz w:val="17"/>
              </w:rPr>
              <w:t xml:space="preserve">118</w:t>
            </w:r>
          </w:p>
        </w:tc>
        <w:tc>
          <w:tcPr>
            <w:tcW w:type="dxa" w:w="1754"/>
          </w:tcPr>
          <w:p>
            <w:pPr>
              <w:pStyle w:val="Compact"/>
              <w:spacing w:before="20" w:after="20" w:line="240" w:lineRule="auto"/>
              <w:jc w:val="left"/>
            </w:pPr>
            <w:r>
              <w:rPr>
                <w:rFonts w:ascii="Liberation Sans Narrow" w:hAnsi="Liberation Sans Narrow"/>
                <w:b w:val="0"/>
                <w:sz w:val="17"/>
              </w:rPr>
              <w:t xml:space="preserve">Art. 888</w:t>
            </w:r>
          </w:p>
        </w:tc>
        <w:tc>
          <w:tcPr>
            <w:tcW w:type="dxa" w:w="797"/>
          </w:tcPr>
          <w:p>
            <w:pPr>
              <w:pStyle w:val="Compact"/>
              <w:spacing w:before="20" w:after="20" w:line="240" w:lineRule="auto"/>
              <w:jc w:val="right"/>
            </w:pPr>
            <w:r>
              <w:rPr>
                <w:rFonts w:ascii="Liberation Sans Narrow" w:hAnsi="Liberation Sans Narrow"/>
                <w:b/>
                <w:sz w:val="17"/>
              </w:rPr>
              <w:t xml:space="preserve">157</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322</w:t>
            </w:r>
          </w:p>
        </w:tc>
        <w:tc>
          <w:tcPr>
            <w:tcW w:type="dxa" w:w="797"/>
          </w:tcPr>
          <w:p>
            <w:pPr>
              <w:pStyle w:val="Compact"/>
              <w:spacing w:before="20" w:after="20" w:line="240" w:lineRule="auto"/>
              <w:jc w:val="right"/>
            </w:pPr>
            <w:r>
              <w:rPr>
                <w:rFonts w:ascii="Liberation Sans Narrow" w:hAnsi="Liberation Sans Narrow"/>
                <w:b/>
                <w:sz w:val="17"/>
              </w:rPr>
              <w:t xml:space="preserve">19</w:t>
            </w:r>
          </w:p>
        </w:tc>
        <w:tc>
          <w:tcPr>
            <w:tcW w:type="dxa" w:w="1754"/>
          </w:tcPr>
          <w:p>
            <w:pPr>
              <w:pStyle w:val="Compact"/>
              <w:spacing w:before="20" w:after="20" w:line="240" w:lineRule="auto"/>
              <w:jc w:val="left"/>
            </w:pPr>
            <w:r>
              <w:rPr>
                <w:rFonts w:ascii="Liberation Sans Narrow" w:hAnsi="Liberation Sans Narrow"/>
                <w:b w:val="0"/>
                <w:sz w:val="17"/>
              </w:rPr>
              <w:t xml:space="preserve">Art. 511</w:t>
            </w:r>
          </w:p>
        </w:tc>
        <w:tc>
          <w:tcPr>
            <w:tcW w:type="dxa" w:w="797"/>
          </w:tcPr>
          <w:p>
            <w:pPr>
              <w:pStyle w:val="Compact"/>
              <w:spacing w:before="20" w:after="20" w:line="240" w:lineRule="auto"/>
              <w:jc w:val="right"/>
            </w:pPr>
            <w:r>
              <w:rPr>
                <w:rFonts w:ascii="Liberation Sans Narrow" w:hAnsi="Liberation Sans Narrow"/>
                <w:b/>
                <w:sz w:val="17"/>
              </w:rPr>
              <w:t xml:space="preserve">75</w:t>
            </w:r>
          </w:p>
        </w:tc>
        <w:tc>
          <w:tcPr>
            <w:tcW w:type="dxa" w:w="1754"/>
          </w:tcPr>
          <w:p>
            <w:pPr>
              <w:pStyle w:val="Compact"/>
              <w:spacing w:before="20" w:after="20" w:line="240" w:lineRule="auto"/>
              <w:jc w:val="left"/>
            </w:pPr>
            <w:r>
              <w:rPr>
                <w:rFonts w:ascii="Liberation Sans Narrow" w:hAnsi="Liberation Sans Narrow"/>
                <w:b w:val="0"/>
                <w:sz w:val="17"/>
              </w:rPr>
              <w:t xml:space="preserve">Art. 700</w:t>
            </w:r>
          </w:p>
        </w:tc>
        <w:tc>
          <w:tcPr>
            <w:tcW w:type="dxa" w:w="797"/>
          </w:tcPr>
          <w:p>
            <w:pPr>
              <w:pStyle w:val="Compact"/>
              <w:spacing w:before="20" w:after="20" w:line="240" w:lineRule="auto"/>
              <w:jc w:val="right"/>
            </w:pPr>
            <w:r>
              <w:rPr>
                <w:rFonts w:ascii="Liberation Sans Narrow" w:hAnsi="Liberation Sans Narrow"/>
                <w:b/>
                <w:sz w:val="17"/>
              </w:rPr>
              <w:t xml:space="preserve">118</w:t>
            </w:r>
          </w:p>
        </w:tc>
        <w:tc>
          <w:tcPr>
            <w:tcW w:type="dxa" w:w="1754"/>
          </w:tcPr>
          <w:p>
            <w:pPr>
              <w:pStyle w:val="Compact"/>
              <w:spacing w:before="20" w:after="20" w:line="240" w:lineRule="auto"/>
              <w:jc w:val="left"/>
            </w:pPr>
            <w:r>
              <w:rPr>
                <w:rFonts w:ascii="Liberation Sans Narrow" w:hAnsi="Liberation Sans Narrow"/>
                <w:b w:val="0"/>
                <w:sz w:val="17"/>
              </w:rPr>
              <w:t xml:space="preserve">Art. 889</w:t>
            </w:r>
          </w:p>
        </w:tc>
        <w:tc>
          <w:tcPr>
            <w:tcW w:type="dxa" w:w="797"/>
          </w:tcPr>
          <w:p>
            <w:pPr>
              <w:pStyle w:val="Compact"/>
              <w:spacing w:before="20" w:after="20" w:line="240" w:lineRule="auto"/>
              <w:jc w:val="right"/>
            </w:pPr>
            <w:r>
              <w:rPr>
                <w:rFonts w:ascii="Liberation Sans Narrow" w:hAnsi="Liberation Sans Narrow"/>
                <w:b/>
                <w:sz w:val="17"/>
              </w:rPr>
              <w:t xml:space="preserve">157</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323</w:t>
            </w:r>
          </w:p>
        </w:tc>
        <w:tc>
          <w:tcPr>
            <w:tcW w:type="dxa" w:w="797"/>
          </w:tcPr>
          <w:p>
            <w:pPr>
              <w:pStyle w:val="Compact"/>
              <w:spacing w:before="20" w:after="20" w:line="240" w:lineRule="auto"/>
              <w:jc w:val="right"/>
            </w:pPr>
            <w:r>
              <w:rPr>
                <w:rFonts w:ascii="Liberation Sans Narrow" w:hAnsi="Liberation Sans Narrow"/>
                <w:b/>
                <w:sz w:val="17"/>
              </w:rPr>
              <w:t xml:space="preserve">19</w:t>
            </w:r>
          </w:p>
        </w:tc>
        <w:tc>
          <w:tcPr>
            <w:tcW w:type="dxa" w:w="1754"/>
          </w:tcPr>
          <w:p>
            <w:pPr>
              <w:pStyle w:val="Compact"/>
              <w:spacing w:before="20" w:after="20" w:line="240" w:lineRule="auto"/>
              <w:jc w:val="left"/>
            </w:pPr>
            <w:r>
              <w:rPr>
                <w:rFonts w:ascii="Liberation Sans Narrow" w:hAnsi="Liberation Sans Narrow"/>
                <w:b w:val="0"/>
                <w:sz w:val="17"/>
              </w:rPr>
              <w:t xml:space="preserve">Art. 512</w:t>
            </w:r>
          </w:p>
        </w:tc>
        <w:tc>
          <w:tcPr>
            <w:tcW w:type="dxa" w:w="797"/>
          </w:tcPr>
          <w:p>
            <w:pPr>
              <w:pStyle w:val="Compact"/>
              <w:spacing w:before="20" w:after="20" w:line="240" w:lineRule="auto"/>
              <w:jc w:val="right"/>
            </w:pPr>
            <w:r>
              <w:rPr>
                <w:rFonts w:ascii="Liberation Sans Narrow" w:hAnsi="Liberation Sans Narrow"/>
                <w:b/>
                <w:sz w:val="17"/>
              </w:rPr>
              <w:t xml:space="preserve">75</w:t>
            </w:r>
          </w:p>
        </w:tc>
        <w:tc>
          <w:tcPr>
            <w:tcW w:type="dxa" w:w="1754"/>
          </w:tcPr>
          <w:p>
            <w:pPr>
              <w:pStyle w:val="Compact"/>
              <w:spacing w:before="20" w:after="20" w:line="240" w:lineRule="auto"/>
              <w:jc w:val="left"/>
            </w:pPr>
            <w:r>
              <w:rPr>
                <w:rFonts w:ascii="Liberation Sans Narrow" w:hAnsi="Liberation Sans Narrow"/>
                <w:b w:val="0"/>
                <w:sz w:val="17"/>
              </w:rPr>
              <w:t xml:space="preserve">Art. 701</w:t>
            </w:r>
          </w:p>
        </w:tc>
        <w:tc>
          <w:tcPr>
            <w:tcW w:type="dxa" w:w="797"/>
          </w:tcPr>
          <w:p>
            <w:pPr>
              <w:pStyle w:val="Compact"/>
              <w:spacing w:before="20" w:after="20" w:line="240" w:lineRule="auto"/>
              <w:jc w:val="right"/>
            </w:pPr>
            <w:r>
              <w:rPr>
                <w:rFonts w:ascii="Liberation Sans Narrow" w:hAnsi="Liberation Sans Narrow"/>
                <w:b/>
                <w:sz w:val="17"/>
              </w:rPr>
              <w:t xml:space="preserve">118</w:t>
            </w:r>
          </w:p>
        </w:tc>
        <w:tc>
          <w:tcPr>
            <w:tcW w:type="dxa" w:w="1754"/>
          </w:tcPr>
          <w:p>
            <w:pPr>
              <w:pStyle w:val="Compact"/>
              <w:spacing w:before="20" w:after="20" w:line="240" w:lineRule="auto"/>
              <w:jc w:val="left"/>
            </w:pPr>
            <w:r>
              <w:rPr>
                <w:rFonts w:ascii="Liberation Sans Narrow" w:hAnsi="Liberation Sans Narrow"/>
                <w:b w:val="0"/>
                <w:sz w:val="17"/>
              </w:rPr>
              <w:t xml:space="preserve">Art. 890</w:t>
            </w:r>
          </w:p>
        </w:tc>
        <w:tc>
          <w:tcPr>
            <w:tcW w:type="dxa" w:w="797"/>
          </w:tcPr>
          <w:p>
            <w:pPr>
              <w:pStyle w:val="Compact"/>
              <w:spacing w:before="20" w:after="20" w:line="240" w:lineRule="auto"/>
              <w:jc w:val="right"/>
            </w:pPr>
            <w:r>
              <w:rPr>
                <w:rFonts w:ascii="Liberation Sans Narrow" w:hAnsi="Liberation Sans Narrow"/>
                <w:b/>
                <w:sz w:val="17"/>
              </w:rPr>
              <w:t xml:space="preserve">157</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324</w:t>
            </w:r>
          </w:p>
        </w:tc>
        <w:tc>
          <w:tcPr>
            <w:tcW w:type="dxa" w:w="797"/>
          </w:tcPr>
          <w:p>
            <w:pPr>
              <w:pStyle w:val="Compact"/>
              <w:spacing w:before="20" w:after="20" w:line="240" w:lineRule="auto"/>
              <w:jc w:val="right"/>
            </w:pPr>
            <w:r>
              <w:rPr>
                <w:rFonts w:ascii="Liberation Sans Narrow" w:hAnsi="Liberation Sans Narrow"/>
                <w:b/>
                <w:sz w:val="17"/>
              </w:rPr>
              <w:t xml:space="preserve">20</w:t>
            </w:r>
          </w:p>
        </w:tc>
        <w:tc>
          <w:tcPr>
            <w:tcW w:type="dxa" w:w="1754"/>
          </w:tcPr>
          <w:p>
            <w:pPr>
              <w:pStyle w:val="Compact"/>
              <w:spacing w:before="20" w:after="20" w:line="240" w:lineRule="auto"/>
              <w:jc w:val="left"/>
            </w:pPr>
            <w:r>
              <w:rPr>
                <w:rFonts w:ascii="Liberation Sans Narrow" w:hAnsi="Liberation Sans Narrow"/>
                <w:b w:val="0"/>
                <w:sz w:val="17"/>
              </w:rPr>
              <w:t xml:space="preserve">Art. 513</w:t>
            </w:r>
          </w:p>
        </w:tc>
        <w:tc>
          <w:tcPr>
            <w:tcW w:type="dxa" w:w="797"/>
          </w:tcPr>
          <w:p>
            <w:pPr>
              <w:pStyle w:val="Compact"/>
              <w:spacing w:before="20" w:after="20" w:line="240" w:lineRule="auto"/>
              <w:jc w:val="right"/>
            </w:pPr>
            <w:r>
              <w:rPr>
                <w:rFonts w:ascii="Liberation Sans Narrow" w:hAnsi="Liberation Sans Narrow"/>
                <w:b/>
                <w:sz w:val="17"/>
              </w:rPr>
              <w:t xml:space="preserve">75</w:t>
            </w:r>
          </w:p>
        </w:tc>
        <w:tc>
          <w:tcPr>
            <w:tcW w:type="dxa" w:w="1754"/>
          </w:tcPr>
          <w:p>
            <w:pPr>
              <w:pStyle w:val="Compact"/>
              <w:spacing w:before="20" w:after="20" w:line="240" w:lineRule="auto"/>
              <w:jc w:val="left"/>
            </w:pPr>
            <w:r>
              <w:rPr>
                <w:rFonts w:ascii="Liberation Sans Narrow" w:hAnsi="Liberation Sans Narrow"/>
                <w:b w:val="0"/>
                <w:sz w:val="17"/>
              </w:rPr>
              <w:t xml:space="preserve">Art. 702</w:t>
            </w:r>
          </w:p>
        </w:tc>
        <w:tc>
          <w:tcPr>
            <w:tcW w:type="dxa" w:w="797"/>
          </w:tcPr>
          <w:p>
            <w:pPr>
              <w:pStyle w:val="Compact"/>
              <w:spacing w:before="20" w:after="20" w:line="240" w:lineRule="auto"/>
              <w:jc w:val="right"/>
            </w:pPr>
            <w:r>
              <w:rPr>
                <w:rFonts w:ascii="Liberation Sans Narrow" w:hAnsi="Liberation Sans Narrow"/>
                <w:b/>
                <w:sz w:val="17"/>
              </w:rPr>
              <w:t xml:space="preserve">119</w:t>
            </w:r>
          </w:p>
        </w:tc>
        <w:tc>
          <w:tcPr>
            <w:tcW w:type="dxa" w:w="1754"/>
          </w:tcPr>
          <w:p>
            <w:pPr>
              <w:pStyle w:val="Compact"/>
              <w:spacing w:before="20" w:after="20" w:line="240" w:lineRule="auto"/>
              <w:jc w:val="left"/>
            </w:pPr>
            <w:r>
              <w:rPr>
                <w:rFonts w:ascii="Liberation Sans Narrow" w:hAnsi="Liberation Sans Narrow"/>
                <w:b w:val="0"/>
                <w:sz w:val="17"/>
              </w:rPr>
              <w:t xml:space="preserve">Art. 891</w:t>
            </w:r>
          </w:p>
        </w:tc>
        <w:tc>
          <w:tcPr>
            <w:tcW w:type="dxa" w:w="797"/>
          </w:tcPr>
          <w:p>
            <w:pPr>
              <w:pStyle w:val="Compact"/>
              <w:spacing w:before="20" w:after="20" w:line="240" w:lineRule="auto"/>
              <w:jc w:val="right"/>
            </w:pPr>
            <w:r>
              <w:rPr>
                <w:rFonts w:ascii="Liberation Sans Narrow" w:hAnsi="Liberation Sans Narrow"/>
                <w:b/>
                <w:sz w:val="17"/>
              </w:rPr>
              <w:t xml:space="preserve">157</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325</w:t>
            </w:r>
          </w:p>
        </w:tc>
        <w:tc>
          <w:tcPr>
            <w:tcW w:type="dxa" w:w="797"/>
          </w:tcPr>
          <w:p>
            <w:pPr>
              <w:pStyle w:val="Compact"/>
              <w:spacing w:before="20" w:after="20" w:line="240" w:lineRule="auto"/>
              <w:jc w:val="right"/>
            </w:pPr>
            <w:r>
              <w:rPr>
                <w:rFonts w:ascii="Liberation Sans Narrow" w:hAnsi="Liberation Sans Narrow"/>
                <w:b/>
                <w:sz w:val="17"/>
              </w:rPr>
              <w:t xml:space="preserve">20</w:t>
            </w:r>
          </w:p>
        </w:tc>
        <w:tc>
          <w:tcPr>
            <w:tcW w:type="dxa" w:w="1754"/>
          </w:tcPr>
          <w:p>
            <w:pPr>
              <w:pStyle w:val="Compact"/>
              <w:spacing w:before="20" w:after="20" w:line="240" w:lineRule="auto"/>
              <w:jc w:val="left"/>
            </w:pPr>
            <w:r>
              <w:rPr>
                <w:rFonts w:ascii="Liberation Sans Narrow" w:hAnsi="Liberation Sans Narrow"/>
                <w:b w:val="0"/>
                <w:sz w:val="17"/>
              </w:rPr>
              <w:t xml:space="preserve">Art. 514</w:t>
            </w:r>
          </w:p>
        </w:tc>
        <w:tc>
          <w:tcPr>
            <w:tcW w:type="dxa" w:w="797"/>
          </w:tcPr>
          <w:p>
            <w:pPr>
              <w:pStyle w:val="Compact"/>
              <w:spacing w:before="20" w:after="20" w:line="240" w:lineRule="auto"/>
              <w:jc w:val="right"/>
            </w:pPr>
            <w:r>
              <w:rPr>
                <w:rFonts w:ascii="Liberation Sans Narrow" w:hAnsi="Liberation Sans Narrow"/>
                <w:b/>
                <w:sz w:val="17"/>
              </w:rPr>
              <w:t xml:space="preserve">76</w:t>
            </w:r>
          </w:p>
        </w:tc>
        <w:tc>
          <w:tcPr>
            <w:tcW w:type="dxa" w:w="1754"/>
          </w:tcPr>
          <w:p>
            <w:pPr>
              <w:pStyle w:val="Compact"/>
              <w:spacing w:before="20" w:after="20" w:line="240" w:lineRule="auto"/>
              <w:jc w:val="left"/>
            </w:pPr>
            <w:r>
              <w:rPr>
                <w:rFonts w:ascii="Liberation Sans Narrow" w:hAnsi="Liberation Sans Narrow"/>
                <w:b w:val="0"/>
                <w:sz w:val="17"/>
              </w:rPr>
              <w:t xml:space="preserve">Art. 703</w:t>
            </w:r>
          </w:p>
        </w:tc>
        <w:tc>
          <w:tcPr>
            <w:tcW w:type="dxa" w:w="797"/>
          </w:tcPr>
          <w:p>
            <w:pPr>
              <w:pStyle w:val="Compact"/>
              <w:spacing w:before="20" w:after="20" w:line="240" w:lineRule="auto"/>
              <w:jc w:val="right"/>
            </w:pPr>
            <w:r>
              <w:rPr>
                <w:rFonts w:ascii="Liberation Sans Narrow" w:hAnsi="Liberation Sans Narrow"/>
                <w:b/>
                <w:sz w:val="17"/>
              </w:rPr>
              <w:t xml:space="preserve">120</w:t>
            </w:r>
          </w:p>
        </w:tc>
        <w:tc>
          <w:tcPr>
            <w:tcW w:type="dxa" w:w="1754"/>
          </w:tcPr>
          <w:p>
            <w:pPr>
              <w:pStyle w:val="Compact"/>
              <w:spacing w:before="20" w:after="20" w:line="240" w:lineRule="auto"/>
              <w:jc w:val="left"/>
            </w:pPr>
            <w:r>
              <w:rPr>
                <w:rFonts w:ascii="Liberation Sans Narrow" w:hAnsi="Liberation Sans Narrow"/>
                <w:b w:val="0"/>
                <w:sz w:val="17"/>
              </w:rPr>
              <w:t xml:space="preserve">Art. 892</w:t>
            </w:r>
          </w:p>
        </w:tc>
        <w:tc>
          <w:tcPr>
            <w:tcW w:type="dxa" w:w="797"/>
          </w:tcPr>
          <w:p>
            <w:pPr>
              <w:pStyle w:val="Compact"/>
              <w:spacing w:before="20" w:after="20" w:line="240" w:lineRule="auto"/>
              <w:jc w:val="right"/>
            </w:pPr>
            <w:r>
              <w:rPr>
                <w:rFonts w:ascii="Liberation Sans Narrow" w:hAnsi="Liberation Sans Narrow"/>
                <w:b/>
                <w:sz w:val="17"/>
              </w:rPr>
              <w:t xml:space="preserve">158</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326</w:t>
            </w:r>
          </w:p>
        </w:tc>
        <w:tc>
          <w:tcPr>
            <w:tcW w:type="dxa" w:w="797"/>
          </w:tcPr>
          <w:p>
            <w:pPr>
              <w:pStyle w:val="Compact"/>
              <w:spacing w:before="20" w:after="20" w:line="240" w:lineRule="auto"/>
              <w:jc w:val="right"/>
            </w:pPr>
            <w:r>
              <w:rPr>
                <w:rFonts w:ascii="Liberation Sans Narrow" w:hAnsi="Liberation Sans Narrow"/>
                <w:b/>
                <w:sz w:val="17"/>
              </w:rPr>
              <w:t xml:space="preserve">21</w:t>
            </w:r>
          </w:p>
        </w:tc>
        <w:tc>
          <w:tcPr>
            <w:tcW w:type="dxa" w:w="1754"/>
          </w:tcPr>
          <w:p>
            <w:pPr>
              <w:pStyle w:val="Compact"/>
              <w:spacing w:before="20" w:after="20" w:line="240" w:lineRule="auto"/>
              <w:jc w:val="left"/>
            </w:pPr>
            <w:r>
              <w:rPr>
                <w:rFonts w:ascii="Liberation Sans Narrow" w:hAnsi="Liberation Sans Narrow"/>
                <w:b w:val="0"/>
                <w:sz w:val="17"/>
              </w:rPr>
              <w:t xml:space="preserve">Art. 515</w:t>
            </w:r>
          </w:p>
        </w:tc>
        <w:tc>
          <w:tcPr>
            <w:tcW w:type="dxa" w:w="797"/>
          </w:tcPr>
          <w:p>
            <w:pPr>
              <w:pStyle w:val="Compact"/>
              <w:spacing w:before="20" w:after="20" w:line="240" w:lineRule="auto"/>
              <w:jc w:val="right"/>
            </w:pPr>
            <w:r>
              <w:rPr>
                <w:rFonts w:ascii="Liberation Sans Narrow" w:hAnsi="Liberation Sans Narrow"/>
                <w:b/>
                <w:sz w:val="17"/>
              </w:rPr>
              <w:t xml:space="preserve">76</w:t>
            </w:r>
          </w:p>
        </w:tc>
        <w:tc>
          <w:tcPr>
            <w:tcW w:type="dxa" w:w="1754"/>
          </w:tcPr>
          <w:p>
            <w:pPr>
              <w:pStyle w:val="Compact"/>
              <w:spacing w:before="20" w:after="20" w:line="240" w:lineRule="auto"/>
              <w:jc w:val="left"/>
            </w:pPr>
            <w:r>
              <w:rPr>
                <w:rFonts w:ascii="Liberation Sans Narrow" w:hAnsi="Liberation Sans Narrow"/>
                <w:b w:val="0"/>
                <w:sz w:val="17"/>
              </w:rPr>
              <w:t xml:space="preserve">Art. 704</w:t>
            </w:r>
          </w:p>
        </w:tc>
        <w:tc>
          <w:tcPr>
            <w:tcW w:type="dxa" w:w="797"/>
          </w:tcPr>
          <w:p>
            <w:pPr>
              <w:pStyle w:val="Compact"/>
              <w:spacing w:before="20" w:after="20" w:line="240" w:lineRule="auto"/>
              <w:jc w:val="right"/>
            </w:pPr>
            <w:r>
              <w:rPr>
                <w:rFonts w:ascii="Liberation Sans Narrow" w:hAnsi="Liberation Sans Narrow"/>
                <w:b/>
                <w:sz w:val="17"/>
              </w:rPr>
              <w:t xml:space="preserve">120</w:t>
            </w:r>
          </w:p>
        </w:tc>
        <w:tc>
          <w:tcPr>
            <w:tcW w:type="dxa" w:w="1754"/>
          </w:tcPr>
          <w:p>
            <w:pPr>
              <w:pStyle w:val="Compact"/>
              <w:spacing w:before="20" w:after="20" w:line="240" w:lineRule="auto"/>
              <w:jc w:val="left"/>
            </w:pPr>
            <w:r>
              <w:rPr>
                <w:rFonts w:ascii="Liberation Sans Narrow" w:hAnsi="Liberation Sans Narrow"/>
                <w:b w:val="0"/>
                <w:sz w:val="17"/>
              </w:rPr>
              <w:t xml:space="preserve">Art. 893</w:t>
            </w:r>
          </w:p>
        </w:tc>
        <w:tc>
          <w:tcPr>
            <w:tcW w:type="dxa" w:w="797"/>
          </w:tcPr>
          <w:p>
            <w:pPr>
              <w:pStyle w:val="Compact"/>
              <w:spacing w:before="20" w:after="20" w:line="240" w:lineRule="auto"/>
              <w:jc w:val="right"/>
            </w:pPr>
            <w:r>
              <w:rPr>
                <w:rFonts w:ascii="Liberation Sans Narrow" w:hAnsi="Liberation Sans Narrow"/>
                <w:b/>
                <w:sz w:val="17"/>
              </w:rPr>
              <w:t xml:space="preserve">158</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327</w:t>
            </w:r>
          </w:p>
        </w:tc>
        <w:tc>
          <w:tcPr>
            <w:tcW w:type="dxa" w:w="797"/>
          </w:tcPr>
          <w:p>
            <w:pPr>
              <w:pStyle w:val="Compact"/>
              <w:spacing w:before="20" w:after="20" w:line="240" w:lineRule="auto"/>
              <w:jc w:val="right"/>
            </w:pPr>
            <w:r>
              <w:rPr>
                <w:rFonts w:ascii="Liberation Sans Narrow" w:hAnsi="Liberation Sans Narrow"/>
                <w:b/>
                <w:sz w:val="17"/>
              </w:rPr>
              <w:t xml:space="preserve">21</w:t>
            </w:r>
          </w:p>
        </w:tc>
        <w:tc>
          <w:tcPr>
            <w:tcW w:type="dxa" w:w="1754"/>
          </w:tcPr>
          <w:p>
            <w:pPr>
              <w:pStyle w:val="Compact"/>
              <w:spacing w:before="20" w:after="20" w:line="240" w:lineRule="auto"/>
              <w:jc w:val="left"/>
            </w:pPr>
            <w:r>
              <w:rPr>
                <w:rFonts w:ascii="Liberation Sans Narrow" w:hAnsi="Liberation Sans Narrow"/>
                <w:b w:val="0"/>
                <w:sz w:val="17"/>
              </w:rPr>
              <w:t xml:space="preserve">Art. 516</w:t>
            </w:r>
          </w:p>
        </w:tc>
        <w:tc>
          <w:tcPr>
            <w:tcW w:type="dxa" w:w="797"/>
          </w:tcPr>
          <w:p>
            <w:pPr>
              <w:pStyle w:val="Compact"/>
              <w:spacing w:before="20" w:after="20" w:line="240" w:lineRule="auto"/>
              <w:jc w:val="right"/>
            </w:pPr>
            <w:r>
              <w:rPr>
                <w:rFonts w:ascii="Liberation Sans Narrow" w:hAnsi="Liberation Sans Narrow"/>
                <w:b/>
                <w:sz w:val="17"/>
              </w:rPr>
              <w:t xml:space="preserve">77</w:t>
            </w:r>
          </w:p>
        </w:tc>
        <w:tc>
          <w:tcPr>
            <w:tcW w:type="dxa" w:w="1754"/>
          </w:tcPr>
          <w:p>
            <w:pPr>
              <w:pStyle w:val="Compact"/>
              <w:spacing w:before="20" w:after="20" w:line="240" w:lineRule="auto"/>
              <w:jc w:val="left"/>
            </w:pPr>
            <w:r>
              <w:rPr>
                <w:rFonts w:ascii="Liberation Sans Narrow" w:hAnsi="Liberation Sans Narrow"/>
                <w:b w:val="0"/>
                <w:sz w:val="17"/>
              </w:rPr>
              <w:t xml:space="preserve">Art. 705</w:t>
            </w:r>
          </w:p>
        </w:tc>
        <w:tc>
          <w:tcPr>
            <w:tcW w:type="dxa" w:w="797"/>
          </w:tcPr>
          <w:p>
            <w:pPr>
              <w:pStyle w:val="Compact"/>
              <w:spacing w:before="20" w:after="20" w:line="240" w:lineRule="auto"/>
              <w:jc w:val="right"/>
            </w:pPr>
            <w:r>
              <w:rPr>
                <w:rFonts w:ascii="Liberation Sans Narrow" w:hAnsi="Liberation Sans Narrow"/>
                <w:b/>
                <w:sz w:val="17"/>
              </w:rPr>
              <w:t xml:space="preserve">120</w:t>
            </w:r>
          </w:p>
        </w:tc>
        <w:tc>
          <w:tcPr>
            <w:tcW w:type="dxa" w:w="1754"/>
          </w:tcPr>
          <w:p>
            <w:pPr>
              <w:pStyle w:val="Compact"/>
              <w:spacing w:before="20" w:after="20" w:line="240" w:lineRule="auto"/>
              <w:jc w:val="left"/>
            </w:pPr>
            <w:r>
              <w:rPr>
                <w:rFonts w:ascii="Liberation Sans Narrow" w:hAnsi="Liberation Sans Narrow"/>
                <w:b w:val="0"/>
                <w:sz w:val="17"/>
              </w:rPr>
              <w:t xml:space="preserve">Art. 894</w:t>
            </w:r>
          </w:p>
        </w:tc>
        <w:tc>
          <w:tcPr>
            <w:tcW w:type="dxa" w:w="797"/>
          </w:tcPr>
          <w:p>
            <w:pPr>
              <w:pStyle w:val="Compact"/>
              <w:spacing w:before="20" w:after="20" w:line="240" w:lineRule="auto"/>
              <w:jc w:val="right"/>
            </w:pPr>
            <w:r>
              <w:rPr>
                <w:rFonts w:ascii="Liberation Sans Narrow" w:hAnsi="Liberation Sans Narrow"/>
                <w:b/>
                <w:sz w:val="17"/>
              </w:rPr>
              <w:t xml:space="preserve">158</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328</w:t>
            </w:r>
          </w:p>
        </w:tc>
        <w:tc>
          <w:tcPr>
            <w:tcW w:type="dxa" w:w="797"/>
          </w:tcPr>
          <w:p>
            <w:pPr>
              <w:pStyle w:val="Compact"/>
              <w:spacing w:before="20" w:after="20" w:line="240" w:lineRule="auto"/>
              <w:jc w:val="right"/>
            </w:pPr>
            <w:r>
              <w:rPr>
                <w:rFonts w:ascii="Liberation Sans Narrow" w:hAnsi="Liberation Sans Narrow"/>
                <w:b/>
                <w:sz w:val="17"/>
              </w:rPr>
              <w:t xml:space="preserve">21</w:t>
            </w:r>
          </w:p>
        </w:tc>
        <w:tc>
          <w:tcPr>
            <w:tcW w:type="dxa" w:w="1754"/>
          </w:tcPr>
          <w:p>
            <w:pPr>
              <w:pStyle w:val="Compact"/>
              <w:spacing w:before="20" w:after="20" w:line="240" w:lineRule="auto"/>
              <w:jc w:val="left"/>
            </w:pPr>
            <w:r>
              <w:rPr>
                <w:rFonts w:ascii="Liberation Sans Narrow" w:hAnsi="Liberation Sans Narrow"/>
                <w:b w:val="0"/>
                <w:sz w:val="17"/>
              </w:rPr>
              <w:t xml:space="preserve">Art. 517</w:t>
            </w:r>
          </w:p>
        </w:tc>
        <w:tc>
          <w:tcPr>
            <w:tcW w:type="dxa" w:w="797"/>
          </w:tcPr>
          <w:p>
            <w:pPr>
              <w:pStyle w:val="Compact"/>
              <w:spacing w:before="20" w:after="20" w:line="240" w:lineRule="auto"/>
              <w:jc w:val="right"/>
            </w:pPr>
            <w:r>
              <w:rPr>
                <w:rFonts w:ascii="Liberation Sans Narrow" w:hAnsi="Liberation Sans Narrow"/>
                <w:b/>
                <w:sz w:val="17"/>
              </w:rPr>
              <w:t xml:space="preserve">77</w:t>
            </w:r>
          </w:p>
        </w:tc>
        <w:tc>
          <w:tcPr>
            <w:tcW w:type="dxa" w:w="1754"/>
          </w:tcPr>
          <w:p>
            <w:pPr>
              <w:pStyle w:val="Compact"/>
              <w:spacing w:before="20" w:after="20" w:line="240" w:lineRule="auto"/>
              <w:jc w:val="left"/>
            </w:pPr>
            <w:r>
              <w:rPr>
                <w:rFonts w:ascii="Liberation Sans Narrow" w:hAnsi="Liberation Sans Narrow"/>
                <w:b w:val="0"/>
                <w:sz w:val="17"/>
              </w:rPr>
              <w:t xml:space="preserve">Art. 706</w:t>
            </w:r>
          </w:p>
        </w:tc>
        <w:tc>
          <w:tcPr>
            <w:tcW w:type="dxa" w:w="797"/>
          </w:tcPr>
          <w:p>
            <w:pPr>
              <w:pStyle w:val="Compact"/>
              <w:spacing w:before="20" w:after="20" w:line="240" w:lineRule="auto"/>
              <w:jc w:val="right"/>
            </w:pPr>
            <w:r>
              <w:rPr>
                <w:rFonts w:ascii="Liberation Sans Narrow" w:hAnsi="Liberation Sans Narrow"/>
                <w:b/>
                <w:sz w:val="17"/>
              </w:rPr>
              <w:t xml:space="preserve">120</w:t>
            </w:r>
          </w:p>
        </w:tc>
        <w:tc>
          <w:tcPr>
            <w:tcW w:type="dxa" w:w="1754"/>
          </w:tcPr>
          <w:p>
            <w:pPr>
              <w:pStyle w:val="Compact"/>
              <w:spacing w:before="20" w:after="20" w:line="240" w:lineRule="auto"/>
              <w:jc w:val="left"/>
            </w:pPr>
            <w:r>
              <w:rPr>
                <w:rFonts w:ascii="Liberation Sans Narrow" w:hAnsi="Liberation Sans Narrow"/>
                <w:b w:val="0"/>
                <w:sz w:val="17"/>
              </w:rPr>
              <w:t xml:space="preserve">Art. 895</w:t>
            </w:r>
          </w:p>
        </w:tc>
        <w:tc>
          <w:tcPr>
            <w:tcW w:type="dxa" w:w="797"/>
          </w:tcPr>
          <w:p>
            <w:pPr>
              <w:pStyle w:val="Compact"/>
              <w:spacing w:before="20" w:after="20" w:line="240" w:lineRule="auto"/>
              <w:jc w:val="right"/>
            </w:pPr>
            <w:r>
              <w:rPr>
                <w:rFonts w:ascii="Liberation Sans Narrow" w:hAnsi="Liberation Sans Narrow"/>
                <w:b/>
                <w:sz w:val="17"/>
              </w:rPr>
              <w:t xml:space="preserve">158</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329</w:t>
            </w:r>
          </w:p>
        </w:tc>
        <w:tc>
          <w:tcPr>
            <w:tcW w:type="dxa" w:w="797"/>
          </w:tcPr>
          <w:p>
            <w:pPr>
              <w:pStyle w:val="Compact"/>
              <w:spacing w:before="20" w:after="20" w:line="240" w:lineRule="auto"/>
              <w:jc w:val="right"/>
            </w:pPr>
            <w:r>
              <w:rPr>
                <w:rFonts w:ascii="Liberation Sans Narrow" w:hAnsi="Liberation Sans Narrow"/>
                <w:b/>
                <w:sz w:val="17"/>
              </w:rPr>
              <w:t xml:space="preserve">22</w:t>
            </w:r>
          </w:p>
        </w:tc>
        <w:tc>
          <w:tcPr>
            <w:tcW w:type="dxa" w:w="1754"/>
          </w:tcPr>
          <w:p>
            <w:pPr>
              <w:pStyle w:val="Compact"/>
              <w:spacing w:before="20" w:after="20" w:line="240" w:lineRule="auto"/>
              <w:jc w:val="left"/>
            </w:pPr>
            <w:r>
              <w:rPr>
                <w:rFonts w:ascii="Liberation Sans Narrow" w:hAnsi="Liberation Sans Narrow"/>
                <w:b w:val="0"/>
                <w:sz w:val="17"/>
              </w:rPr>
              <w:t xml:space="preserve">Art. 518</w:t>
            </w:r>
          </w:p>
        </w:tc>
        <w:tc>
          <w:tcPr>
            <w:tcW w:type="dxa" w:w="797"/>
          </w:tcPr>
          <w:p>
            <w:pPr>
              <w:pStyle w:val="Compact"/>
              <w:spacing w:before="20" w:after="20" w:line="240" w:lineRule="auto"/>
              <w:jc w:val="right"/>
            </w:pPr>
            <w:r>
              <w:rPr>
                <w:rFonts w:ascii="Liberation Sans Narrow" w:hAnsi="Liberation Sans Narrow"/>
                <w:b/>
                <w:sz w:val="17"/>
              </w:rPr>
              <w:t xml:space="preserve">77</w:t>
            </w:r>
          </w:p>
        </w:tc>
        <w:tc>
          <w:tcPr>
            <w:tcW w:type="dxa" w:w="1754"/>
          </w:tcPr>
          <w:p>
            <w:pPr>
              <w:pStyle w:val="Compact"/>
              <w:spacing w:before="20" w:after="20" w:line="240" w:lineRule="auto"/>
              <w:jc w:val="left"/>
            </w:pPr>
            <w:r>
              <w:rPr>
                <w:rFonts w:ascii="Liberation Sans Narrow" w:hAnsi="Liberation Sans Narrow"/>
                <w:b w:val="0"/>
                <w:sz w:val="17"/>
              </w:rPr>
              <w:t xml:space="preserve">Art. 707</w:t>
            </w:r>
          </w:p>
        </w:tc>
        <w:tc>
          <w:tcPr>
            <w:tcW w:type="dxa" w:w="797"/>
          </w:tcPr>
          <w:p>
            <w:pPr>
              <w:pStyle w:val="Compact"/>
              <w:spacing w:before="20" w:after="20" w:line="240" w:lineRule="auto"/>
              <w:jc w:val="right"/>
            </w:pPr>
            <w:r>
              <w:rPr>
                <w:rFonts w:ascii="Liberation Sans Narrow" w:hAnsi="Liberation Sans Narrow"/>
                <w:b/>
                <w:sz w:val="17"/>
              </w:rPr>
              <w:t xml:space="preserve">120</w:t>
            </w:r>
          </w:p>
        </w:tc>
        <w:tc>
          <w:tcPr>
            <w:tcW w:type="dxa" w:w="1754"/>
          </w:tcPr>
          <w:p>
            <w:pPr>
              <w:pStyle w:val="Compact"/>
              <w:spacing w:before="20" w:after="20" w:line="240" w:lineRule="auto"/>
              <w:jc w:val="left"/>
            </w:pPr>
            <w:r>
              <w:rPr>
                <w:rFonts w:ascii="Liberation Sans Narrow" w:hAnsi="Liberation Sans Narrow"/>
                <w:b w:val="0"/>
                <w:sz w:val="17"/>
              </w:rPr>
              <w:t xml:space="preserve">Art. 896</w:t>
            </w:r>
          </w:p>
        </w:tc>
        <w:tc>
          <w:tcPr>
            <w:tcW w:type="dxa" w:w="797"/>
          </w:tcPr>
          <w:p>
            <w:pPr>
              <w:pStyle w:val="Compact"/>
              <w:spacing w:before="20" w:after="20" w:line="240" w:lineRule="auto"/>
              <w:jc w:val="right"/>
            </w:pPr>
            <w:r>
              <w:rPr>
                <w:rFonts w:ascii="Liberation Sans Narrow" w:hAnsi="Liberation Sans Narrow"/>
                <w:b/>
                <w:sz w:val="17"/>
              </w:rPr>
              <w:t xml:space="preserve">158</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330</w:t>
            </w:r>
          </w:p>
        </w:tc>
        <w:tc>
          <w:tcPr>
            <w:tcW w:type="dxa" w:w="797"/>
          </w:tcPr>
          <w:p>
            <w:pPr>
              <w:pStyle w:val="Compact"/>
              <w:spacing w:before="20" w:after="20" w:line="240" w:lineRule="auto"/>
              <w:jc w:val="right"/>
            </w:pPr>
            <w:r>
              <w:rPr>
                <w:rFonts w:ascii="Liberation Sans Narrow" w:hAnsi="Liberation Sans Narrow"/>
                <w:b/>
                <w:sz w:val="17"/>
              </w:rPr>
              <w:t xml:space="preserve">22</w:t>
            </w:r>
          </w:p>
        </w:tc>
        <w:tc>
          <w:tcPr>
            <w:tcW w:type="dxa" w:w="1754"/>
          </w:tcPr>
          <w:p>
            <w:pPr>
              <w:pStyle w:val="Compact"/>
              <w:spacing w:before="20" w:after="20" w:line="240" w:lineRule="auto"/>
              <w:jc w:val="left"/>
            </w:pPr>
            <w:r>
              <w:rPr>
                <w:rFonts w:ascii="Liberation Sans Narrow" w:hAnsi="Liberation Sans Narrow"/>
                <w:b w:val="0"/>
                <w:sz w:val="17"/>
              </w:rPr>
              <w:t xml:space="preserve">Art. 519</w:t>
            </w:r>
          </w:p>
        </w:tc>
        <w:tc>
          <w:tcPr>
            <w:tcW w:type="dxa" w:w="797"/>
          </w:tcPr>
          <w:p>
            <w:pPr>
              <w:pStyle w:val="Compact"/>
              <w:spacing w:before="20" w:after="20" w:line="240" w:lineRule="auto"/>
              <w:jc w:val="right"/>
            </w:pPr>
            <w:r>
              <w:rPr>
                <w:rFonts w:ascii="Liberation Sans Narrow" w:hAnsi="Liberation Sans Narrow"/>
                <w:b/>
                <w:sz w:val="17"/>
              </w:rPr>
              <w:t xml:space="preserve">77</w:t>
            </w:r>
          </w:p>
        </w:tc>
        <w:tc>
          <w:tcPr>
            <w:tcW w:type="dxa" w:w="1754"/>
          </w:tcPr>
          <w:p>
            <w:pPr>
              <w:pStyle w:val="Compact"/>
              <w:spacing w:before="20" w:after="20" w:line="240" w:lineRule="auto"/>
              <w:jc w:val="left"/>
            </w:pPr>
            <w:r>
              <w:rPr>
                <w:rFonts w:ascii="Liberation Sans Narrow" w:hAnsi="Liberation Sans Narrow"/>
                <w:b w:val="0"/>
                <w:sz w:val="17"/>
              </w:rPr>
              <w:t xml:space="preserve">Art. 708</w:t>
            </w:r>
          </w:p>
        </w:tc>
        <w:tc>
          <w:tcPr>
            <w:tcW w:type="dxa" w:w="797"/>
          </w:tcPr>
          <w:p>
            <w:pPr>
              <w:pStyle w:val="Compact"/>
              <w:spacing w:before="20" w:after="20" w:line="240" w:lineRule="auto"/>
              <w:jc w:val="right"/>
            </w:pPr>
            <w:r>
              <w:rPr>
                <w:rFonts w:ascii="Liberation Sans Narrow" w:hAnsi="Liberation Sans Narrow"/>
                <w:b/>
                <w:sz w:val="17"/>
              </w:rPr>
              <w:t xml:space="preserve">120</w:t>
            </w:r>
          </w:p>
        </w:tc>
        <w:tc>
          <w:tcPr>
            <w:tcW w:type="dxa" w:w="1754"/>
          </w:tcPr>
          <w:p>
            <w:pPr>
              <w:pStyle w:val="Compact"/>
              <w:spacing w:before="20" w:after="20" w:line="240" w:lineRule="auto"/>
              <w:jc w:val="left"/>
            </w:pPr>
            <w:r>
              <w:rPr>
                <w:rFonts w:ascii="Liberation Sans Narrow" w:hAnsi="Liberation Sans Narrow"/>
                <w:b w:val="0"/>
                <w:sz w:val="17"/>
              </w:rPr>
              <w:t xml:space="preserve">Art. 897</w:t>
            </w:r>
          </w:p>
        </w:tc>
        <w:tc>
          <w:tcPr>
            <w:tcW w:type="dxa" w:w="797"/>
          </w:tcPr>
          <w:p>
            <w:pPr>
              <w:pStyle w:val="Compact"/>
              <w:spacing w:before="20" w:after="20" w:line="240" w:lineRule="auto"/>
              <w:jc w:val="right"/>
            </w:pPr>
            <w:r>
              <w:rPr>
                <w:rFonts w:ascii="Liberation Sans Narrow" w:hAnsi="Liberation Sans Narrow"/>
                <w:b/>
                <w:sz w:val="17"/>
              </w:rPr>
              <w:t xml:space="preserve">159</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331</w:t>
            </w:r>
          </w:p>
        </w:tc>
        <w:tc>
          <w:tcPr>
            <w:tcW w:type="dxa" w:w="797"/>
          </w:tcPr>
          <w:p>
            <w:pPr>
              <w:pStyle w:val="Compact"/>
              <w:spacing w:before="20" w:after="20" w:line="240" w:lineRule="auto"/>
              <w:jc w:val="right"/>
            </w:pPr>
            <w:r>
              <w:rPr>
                <w:rFonts w:ascii="Liberation Sans Narrow" w:hAnsi="Liberation Sans Narrow"/>
                <w:b/>
                <w:sz w:val="17"/>
              </w:rPr>
              <w:t xml:space="preserve">23</w:t>
            </w:r>
          </w:p>
        </w:tc>
        <w:tc>
          <w:tcPr>
            <w:tcW w:type="dxa" w:w="1754"/>
          </w:tcPr>
          <w:p>
            <w:pPr>
              <w:pStyle w:val="Compact"/>
              <w:spacing w:before="20" w:after="20" w:line="240" w:lineRule="auto"/>
              <w:jc w:val="left"/>
            </w:pPr>
            <w:r>
              <w:rPr>
                <w:rFonts w:ascii="Liberation Sans Narrow" w:hAnsi="Liberation Sans Narrow"/>
                <w:b w:val="0"/>
                <w:sz w:val="17"/>
              </w:rPr>
              <w:t xml:space="preserve">Art. 520</w:t>
            </w:r>
          </w:p>
        </w:tc>
        <w:tc>
          <w:tcPr>
            <w:tcW w:type="dxa" w:w="797"/>
          </w:tcPr>
          <w:p>
            <w:pPr>
              <w:pStyle w:val="Compact"/>
              <w:spacing w:before="20" w:after="20" w:line="240" w:lineRule="auto"/>
              <w:jc w:val="right"/>
            </w:pPr>
            <w:r>
              <w:rPr>
                <w:rFonts w:ascii="Liberation Sans Narrow" w:hAnsi="Liberation Sans Narrow"/>
                <w:b/>
                <w:sz w:val="17"/>
              </w:rPr>
              <w:t xml:space="preserve">78</w:t>
            </w:r>
          </w:p>
        </w:tc>
        <w:tc>
          <w:tcPr>
            <w:tcW w:type="dxa" w:w="1754"/>
          </w:tcPr>
          <w:p>
            <w:pPr>
              <w:pStyle w:val="Compact"/>
              <w:spacing w:before="20" w:after="20" w:line="240" w:lineRule="auto"/>
              <w:jc w:val="left"/>
            </w:pPr>
            <w:r>
              <w:rPr>
                <w:rFonts w:ascii="Liberation Sans Narrow" w:hAnsi="Liberation Sans Narrow"/>
                <w:b w:val="0"/>
                <w:sz w:val="17"/>
              </w:rPr>
              <w:t xml:space="preserve">Art. 709</w:t>
            </w:r>
          </w:p>
        </w:tc>
        <w:tc>
          <w:tcPr>
            <w:tcW w:type="dxa" w:w="797"/>
          </w:tcPr>
          <w:p>
            <w:pPr>
              <w:pStyle w:val="Compact"/>
              <w:spacing w:before="20" w:after="20" w:line="240" w:lineRule="auto"/>
              <w:jc w:val="right"/>
            </w:pPr>
            <w:r>
              <w:rPr>
                <w:rFonts w:ascii="Liberation Sans Narrow" w:hAnsi="Liberation Sans Narrow"/>
                <w:b/>
                <w:sz w:val="17"/>
              </w:rPr>
              <w:t xml:space="preserve">121</w:t>
            </w:r>
          </w:p>
        </w:tc>
        <w:tc>
          <w:tcPr>
            <w:tcW w:type="dxa" w:w="1754"/>
          </w:tcPr>
          <w:p>
            <w:pPr>
              <w:pStyle w:val="Compact"/>
              <w:spacing w:before="20" w:after="20" w:line="240" w:lineRule="auto"/>
              <w:jc w:val="left"/>
            </w:pPr>
            <w:r>
              <w:rPr>
                <w:rFonts w:ascii="Liberation Sans Narrow" w:hAnsi="Liberation Sans Narrow"/>
                <w:b w:val="0"/>
                <w:sz w:val="17"/>
              </w:rPr>
              <w:t xml:space="preserve">Art. 898</w:t>
            </w:r>
          </w:p>
        </w:tc>
        <w:tc>
          <w:tcPr>
            <w:tcW w:type="dxa" w:w="797"/>
          </w:tcPr>
          <w:p>
            <w:pPr>
              <w:pStyle w:val="Compact"/>
              <w:spacing w:before="20" w:after="20" w:line="240" w:lineRule="auto"/>
              <w:jc w:val="right"/>
            </w:pPr>
            <w:r>
              <w:rPr>
                <w:rFonts w:ascii="Liberation Sans Narrow" w:hAnsi="Liberation Sans Narrow"/>
                <w:b/>
                <w:sz w:val="17"/>
              </w:rPr>
              <w:t xml:space="preserve">159</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332</w:t>
            </w:r>
          </w:p>
        </w:tc>
        <w:tc>
          <w:tcPr>
            <w:tcW w:type="dxa" w:w="797"/>
          </w:tcPr>
          <w:p>
            <w:pPr>
              <w:pStyle w:val="Compact"/>
              <w:spacing w:before="20" w:after="20" w:line="240" w:lineRule="auto"/>
              <w:jc w:val="right"/>
            </w:pPr>
            <w:r>
              <w:rPr>
                <w:rFonts w:ascii="Liberation Sans Narrow" w:hAnsi="Liberation Sans Narrow"/>
                <w:b/>
                <w:sz w:val="17"/>
              </w:rPr>
              <w:t xml:space="preserve">23</w:t>
            </w:r>
          </w:p>
        </w:tc>
        <w:tc>
          <w:tcPr>
            <w:tcW w:type="dxa" w:w="1754"/>
          </w:tcPr>
          <w:p>
            <w:pPr>
              <w:pStyle w:val="Compact"/>
              <w:spacing w:before="20" w:after="20" w:line="240" w:lineRule="auto"/>
              <w:jc w:val="left"/>
            </w:pPr>
            <w:r>
              <w:rPr>
                <w:rFonts w:ascii="Liberation Sans Narrow" w:hAnsi="Liberation Sans Narrow"/>
                <w:b w:val="0"/>
                <w:sz w:val="17"/>
              </w:rPr>
              <w:t xml:space="preserve">Art. 521</w:t>
            </w:r>
          </w:p>
        </w:tc>
        <w:tc>
          <w:tcPr>
            <w:tcW w:type="dxa" w:w="797"/>
          </w:tcPr>
          <w:p>
            <w:pPr>
              <w:pStyle w:val="Compact"/>
              <w:spacing w:before="20" w:after="20" w:line="240" w:lineRule="auto"/>
              <w:jc w:val="right"/>
            </w:pPr>
            <w:r>
              <w:rPr>
                <w:rFonts w:ascii="Liberation Sans Narrow" w:hAnsi="Liberation Sans Narrow"/>
                <w:b/>
                <w:sz w:val="17"/>
              </w:rPr>
              <w:t xml:space="preserve">78</w:t>
            </w:r>
          </w:p>
        </w:tc>
        <w:tc>
          <w:tcPr>
            <w:tcW w:type="dxa" w:w="1754"/>
          </w:tcPr>
          <w:p>
            <w:pPr>
              <w:pStyle w:val="Compact"/>
              <w:spacing w:before="20" w:after="20" w:line="240" w:lineRule="auto"/>
              <w:jc w:val="left"/>
            </w:pPr>
            <w:r>
              <w:rPr>
                <w:rFonts w:ascii="Liberation Sans Narrow" w:hAnsi="Liberation Sans Narrow"/>
                <w:b w:val="0"/>
                <w:sz w:val="17"/>
              </w:rPr>
              <w:t xml:space="preserve">Art. 710</w:t>
            </w:r>
          </w:p>
        </w:tc>
        <w:tc>
          <w:tcPr>
            <w:tcW w:type="dxa" w:w="797"/>
          </w:tcPr>
          <w:p>
            <w:pPr>
              <w:pStyle w:val="Compact"/>
              <w:spacing w:before="20" w:after="20" w:line="240" w:lineRule="auto"/>
              <w:jc w:val="right"/>
            </w:pPr>
            <w:r>
              <w:rPr>
                <w:rFonts w:ascii="Liberation Sans Narrow" w:hAnsi="Liberation Sans Narrow"/>
                <w:b/>
                <w:sz w:val="17"/>
              </w:rPr>
              <w:t xml:space="preserve">121</w:t>
            </w:r>
          </w:p>
        </w:tc>
        <w:tc>
          <w:tcPr>
            <w:tcW w:type="dxa" w:w="1754"/>
          </w:tcPr>
          <w:p>
            <w:pPr>
              <w:pStyle w:val="Compact"/>
              <w:spacing w:before="20" w:after="20" w:line="240" w:lineRule="auto"/>
              <w:jc w:val="left"/>
            </w:pPr>
            <w:r>
              <w:rPr>
                <w:rFonts w:ascii="Liberation Sans Narrow" w:hAnsi="Liberation Sans Narrow"/>
                <w:b w:val="0"/>
                <w:sz w:val="17"/>
              </w:rPr>
              <w:t xml:space="preserve">Art. 899</w:t>
            </w:r>
          </w:p>
        </w:tc>
        <w:tc>
          <w:tcPr>
            <w:tcW w:type="dxa" w:w="797"/>
          </w:tcPr>
          <w:p>
            <w:pPr>
              <w:pStyle w:val="Compact"/>
              <w:spacing w:before="20" w:after="20" w:line="240" w:lineRule="auto"/>
              <w:jc w:val="right"/>
            </w:pPr>
            <w:r>
              <w:rPr>
                <w:rFonts w:ascii="Liberation Sans Narrow" w:hAnsi="Liberation Sans Narrow"/>
                <w:b/>
                <w:sz w:val="17"/>
              </w:rPr>
              <w:t xml:space="preserve">159</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333</w:t>
            </w:r>
          </w:p>
        </w:tc>
        <w:tc>
          <w:tcPr>
            <w:tcW w:type="dxa" w:w="797"/>
          </w:tcPr>
          <w:p>
            <w:pPr>
              <w:pStyle w:val="Compact"/>
              <w:spacing w:before="20" w:after="20" w:line="240" w:lineRule="auto"/>
              <w:jc w:val="right"/>
            </w:pPr>
            <w:r>
              <w:rPr>
                <w:rFonts w:ascii="Liberation Sans Narrow" w:hAnsi="Liberation Sans Narrow"/>
                <w:b/>
                <w:sz w:val="17"/>
              </w:rPr>
              <w:t xml:space="preserve">24</w:t>
            </w:r>
          </w:p>
        </w:tc>
        <w:tc>
          <w:tcPr>
            <w:tcW w:type="dxa" w:w="1754"/>
          </w:tcPr>
          <w:p>
            <w:pPr>
              <w:pStyle w:val="Compact"/>
              <w:spacing w:before="20" w:after="20" w:line="240" w:lineRule="auto"/>
              <w:jc w:val="left"/>
            </w:pPr>
            <w:r>
              <w:rPr>
                <w:rFonts w:ascii="Liberation Sans Narrow" w:hAnsi="Liberation Sans Narrow"/>
                <w:b w:val="0"/>
                <w:sz w:val="17"/>
              </w:rPr>
              <w:t xml:space="preserve">Art. 522</w:t>
            </w:r>
          </w:p>
        </w:tc>
        <w:tc>
          <w:tcPr>
            <w:tcW w:type="dxa" w:w="797"/>
          </w:tcPr>
          <w:p>
            <w:pPr>
              <w:pStyle w:val="Compact"/>
              <w:spacing w:before="20" w:after="20" w:line="240" w:lineRule="auto"/>
              <w:jc w:val="right"/>
            </w:pPr>
            <w:r>
              <w:rPr>
                <w:rFonts w:ascii="Liberation Sans Narrow" w:hAnsi="Liberation Sans Narrow"/>
                <w:b/>
                <w:sz w:val="17"/>
              </w:rPr>
              <w:t xml:space="preserve">78</w:t>
            </w:r>
          </w:p>
        </w:tc>
        <w:tc>
          <w:tcPr>
            <w:tcW w:type="dxa" w:w="1754"/>
          </w:tcPr>
          <w:p>
            <w:pPr>
              <w:pStyle w:val="Compact"/>
              <w:spacing w:before="20" w:after="20" w:line="240" w:lineRule="auto"/>
              <w:jc w:val="left"/>
            </w:pPr>
            <w:r>
              <w:rPr>
                <w:rFonts w:ascii="Liberation Sans Narrow" w:hAnsi="Liberation Sans Narrow"/>
                <w:b w:val="0"/>
                <w:sz w:val="17"/>
              </w:rPr>
              <w:t xml:space="preserve">Art. 711</w:t>
            </w:r>
          </w:p>
        </w:tc>
        <w:tc>
          <w:tcPr>
            <w:tcW w:type="dxa" w:w="797"/>
          </w:tcPr>
          <w:p>
            <w:pPr>
              <w:pStyle w:val="Compact"/>
              <w:spacing w:before="20" w:after="20" w:line="240" w:lineRule="auto"/>
              <w:jc w:val="right"/>
            </w:pPr>
            <w:r>
              <w:rPr>
                <w:rFonts w:ascii="Liberation Sans Narrow" w:hAnsi="Liberation Sans Narrow"/>
                <w:b/>
                <w:sz w:val="17"/>
              </w:rPr>
              <w:t xml:space="preserve">121</w:t>
            </w:r>
          </w:p>
        </w:tc>
        <w:tc>
          <w:tcPr>
            <w:tcW w:type="dxa" w:w="1754"/>
          </w:tcPr>
          <w:p>
            <w:pPr>
              <w:pStyle w:val="Compact"/>
              <w:spacing w:before="20" w:after="20" w:line="240" w:lineRule="auto"/>
              <w:jc w:val="left"/>
            </w:pPr>
            <w:r>
              <w:rPr>
                <w:rFonts w:ascii="Liberation Sans Narrow" w:hAnsi="Liberation Sans Narrow"/>
                <w:b w:val="0"/>
                <w:sz w:val="17"/>
              </w:rPr>
              <w:t xml:space="preserve">Art. 900</w:t>
            </w:r>
          </w:p>
        </w:tc>
        <w:tc>
          <w:tcPr>
            <w:tcW w:type="dxa" w:w="797"/>
          </w:tcPr>
          <w:p>
            <w:pPr>
              <w:pStyle w:val="Compact"/>
              <w:spacing w:before="20" w:after="20" w:line="240" w:lineRule="auto"/>
              <w:jc w:val="right"/>
            </w:pPr>
            <w:r>
              <w:rPr>
                <w:rFonts w:ascii="Liberation Sans Narrow" w:hAnsi="Liberation Sans Narrow"/>
                <w:b/>
                <w:sz w:val="17"/>
              </w:rPr>
              <w:t xml:space="preserve">159</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334</w:t>
            </w:r>
          </w:p>
        </w:tc>
        <w:tc>
          <w:tcPr>
            <w:tcW w:type="dxa" w:w="797"/>
          </w:tcPr>
          <w:p>
            <w:pPr>
              <w:pStyle w:val="Compact"/>
              <w:spacing w:before="20" w:after="20" w:line="240" w:lineRule="auto"/>
              <w:jc w:val="right"/>
            </w:pPr>
            <w:r>
              <w:rPr>
                <w:rFonts w:ascii="Liberation Sans Narrow" w:hAnsi="Liberation Sans Narrow"/>
                <w:b/>
                <w:sz w:val="17"/>
              </w:rPr>
              <w:t xml:space="preserve">24</w:t>
            </w:r>
          </w:p>
        </w:tc>
        <w:tc>
          <w:tcPr>
            <w:tcW w:type="dxa" w:w="1754"/>
          </w:tcPr>
          <w:p>
            <w:pPr>
              <w:pStyle w:val="Compact"/>
              <w:spacing w:before="20" w:after="20" w:line="240" w:lineRule="auto"/>
              <w:jc w:val="left"/>
            </w:pPr>
            <w:r>
              <w:rPr>
                <w:rFonts w:ascii="Liberation Sans Narrow" w:hAnsi="Liberation Sans Narrow"/>
                <w:b w:val="0"/>
                <w:sz w:val="17"/>
              </w:rPr>
              <w:t xml:space="preserve">Art. 523</w:t>
            </w:r>
          </w:p>
        </w:tc>
        <w:tc>
          <w:tcPr>
            <w:tcW w:type="dxa" w:w="797"/>
          </w:tcPr>
          <w:p>
            <w:pPr>
              <w:pStyle w:val="Compact"/>
              <w:spacing w:before="20" w:after="20" w:line="240" w:lineRule="auto"/>
              <w:jc w:val="right"/>
            </w:pPr>
            <w:r>
              <w:rPr>
                <w:rFonts w:ascii="Liberation Sans Narrow" w:hAnsi="Liberation Sans Narrow"/>
                <w:b/>
                <w:sz w:val="17"/>
              </w:rPr>
              <w:t xml:space="preserve">79</w:t>
            </w:r>
          </w:p>
        </w:tc>
        <w:tc>
          <w:tcPr>
            <w:tcW w:type="dxa" w:w="1754"/>
          </w:tcPr>
          <w:p>
            <w:pPr>
              <w:pStyle w:val="Compact"/>
              <w:spacing w:before="20" w:after="20" w:line="240" w:lineRule="auto"/>
              <w:jc w:val="left"/>
            </w:pPr>
            <w:r>
              <w:rPr>
                <w:rFonts w:ascii="Liberation Sans Narrow" w:hAnsi="Liberation Sans Narrow"/>
                <w:b w:val="0"/>
                <w:sz w:val="17"/>
              </w:rPr>
              <w:t xml:space="preserve">Art. 712</w:t>
            </w:r>
          </w:p>
        </w:tc>
        <w:tc>
          <w:tcPr>
            <w:tcW w:type="dxa" w:w="797"/>
          </w:tcPr>
          <w:p>
            <w:pPr>
              <w:pStyle w:val="Compact"/>
              <w:spacing w:before="20" w:after="20" w:line="240" w:lineRule="auto"/>
              <w:jc w:val="right"/>
            </w:pPr>
            <w:r>
              <w:rPr>
                <w:rFonts w:ascii="Liberation Sans Narrow" w:hAnsi="Liberation Sans Narrow"/>
                <w:b/>
                <w:sz w:val="17"/>
              </w:rPr>
              <w:t xml:space="preserve">121</w:t>
            </w:r>
          </w:p>
        </w:tc>
        <w:tc>
          <w:tcPr>
            <w:tcW w:type="dxa" w:w="1754"/>
          </w:tcPr>
          <w:p>
            <w:pPr>
              <w:pStyle w:val="Compact"/>
              <w:spacing w:before="20" w:after="20" w:line="240" w:lineRule="auto"/>
              <w:jc w:val="left"/>
            </w:pPr>
            <w:r>
              <w:rPr>
                <w:rFonts w:ascii="Liberation Sans Narrow" w:hAnsi="Liberation Sans Narrow"/>
                <w:b w:val="0"/>
                <w:sz w:val="17"/>
              </w:rPr>
              <w:t xml:space="preserve">Art. 901</w:t>
            </w:r>
          </w:p>
        </w:tc>
        <w:tc>
          <w:tcPr>
            <w:tcW w:type="dxa" w:w="797"/>
          </w:tcPr>
          <w:p>
            <w:pPr>
              <w:pStyle w:val="Compact"/>
              <w:spacing w:before="20" w:after="20" w:line="240" w:lineRule="auto"/>
              <w:jc w:val="right"/>
            </w:pPr>
            <w:r>
              <w:rPr>
                <w:rFonts w:ascii="Liberation Sans Narrow" w:hAnsi="Liberation Sans Narrow"/>
                <w:b/>
                <w:sz w:val="17"/>
              </w:rPr>
              <w:t xml:space="preserve">159</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335</w:t>
            </w:r>
          </w:p>
        </w:tc>
        <w:tc>
          <w:tcPr>
            <w:tcW w:type="dxa" w:w="797"/>
          </w:tcPr>
          <w:p>
            <w:pPr>
              <w:pStyle w:val="Compact"/>
              <w:spacing w:before="20" w:after="20" w:line="240" w:lineRule="auto"/>
              <w:jc w:val="right"/>
            </w:pPr>
            <w:r>
              <w:rPr>
                <w:rFonts w:ascii="Liberation Sans Narrow" w:hAnsi="Liberation Sans Narrow"/>
                <w:b/>
                <w:sz w:val="17"/>
              </w:rPr>
              <w:t xml:space="preserve">25</w:t>
            </w:r>
          </w:p>
        </w:tc>
        <w:tc>
          <w:tcPr>
            <w:tcW w:type="dxa" w:w="1754"/>
          </w:tcPr>
          <w:p>
            <w:pPr>
              <w:pStyle w:val="Compact"/>
              <w:spacing w:before="20" w:after="20" w:line="240" w:lineRule="auto"/>
              <w:jc w:val="left"/>
            </w:pPr>
            <w:r>
              <w:rPr>
                <w:rFonts w:ascii="Liberation Sans Narrow" w:hAnsi="Liberation Sans Narrow"/>
                <w:b w:val="0"/>
                <w:sz w:val="17"/>
              </w:rPr>
              <w:t xml:space="preserve">Art. 524</w:t>
            </w:r>
          </w:p>
        </w:tc>
        <w:tc>
          <w:tcPr>
            <w:tcW w:type="dxa" w:w="797"/>
          </w:tcPr>
          <w:p>
            <w:pPr>
              <w:pStyle w:val="Compact"/>
              <w:spacing w:before="20" w:after="20" w:line="240" w:lineRule="auto"/>
              <w:jc w:val="right"/>
            </w:pPr>
            <w:r>
              <w:rPr>
                <w:rFonts w:ascii="Liberation Sans Narrow" w:hAnsi="Liberation Sans Narrow"/>
                <w:b/>
                <w:sz w:val="17"/>
              </w:rPr>
              <w:t xml:space="preserve">79</w:t>
            </w:r>
          </w:p>
        </w:tc>
        <w:tc>
          <w:tcPr>
            <w:tcW w:type="dxa" w:w="1754"/>
          </w:tcPr>
          <w:p>
            <w:pPr>
              <w:pStyle w:val="Compact"/>
              <w:spacing w:before="20" w:after="20" w:line="240" w:lineRule="auto"/>
              <w:jc w:val="left"/>
            </w:pPr>
            <w:r>
              <w:rPr>
                <w:rFonts w:ascii="Liberation Sans Narrow" w:hAnsi="Liberation Sans Narrow"/>
                <w:b w:val="0"/>
                <w:sz w:val="17"/>
              </w:rPr>
              <w:t xml:space="preserve">Art. 713</w:t>
            </w:r>
          </w:p>
        </w:tc>
        <w:tc>
          <w:tcPr>
            <w:tcW w:type="dxa" w:w="797"/>
          </w:tcPr>
          <w:p>
            <w:pPr>
              <w:pStyle w:val="Compact"/>
              <w:spacing w:before="20" w:after="20" w:line="240" w:lineRule="auto"/>
              <w:jc w:val="right"/>
            </w:pPr>
            <w:r>
              <w:rPr>
                <w:rFonts w:ascii="Liberation Sans Narrow" w:hAnsi="Liberation Sans Narrow"/>
                <w:b/>
                <w:sz w:val="17"/>
              </w:rPr>
              <w:t xml:space="preserve">121</w:t>
            </w:r>
          </w:p>
        </w:tc>
        <w:tc>
          <w:tcPr>
            <w:tcW w:type="dxa" w:w="1754"/>
          </w:tcPr>
          <w:p>
            <w:pPr>
              <w:pStyle w:val="Compact"/>
              <w:spacing w:before="20" w:after="20" w:line="240" w:lineRule="auto"/>
              <w:jc w:val="left"/>
            </w:pPr>
            <w:r>
              <w:rPr>
                <w:rFonts w:ascii="Liberation Sans Narrow" w:hAnsi="Liberation Sans Narrow"/>
                <w:b w:val="0"/>
                <w:sz w:val="17"/>
              </w:rPr>
              <w:t xml:space="preserve">Art. 902</w:t>
            </w:r>
          </w:p>
        </w:tc>
        <w:tc>
          <w:tcPr>
            <w:tcW w:type="dxa" w:w="797"/>
          </w:tcPr>
          <w:p>
            <w:pPr>
              <w:pStyle w:val="Compact"/>
              <w:spacing w:before="20" w:after="20" w:line="240" w:lineRule="auto"/>
              <w:jc w:val="right"/>
            </w:pPr>
            <w:r>
              <w:rPr>
                <w:rFonts w:ascii="Liberation Sans Narrow" w:hAnsi="Liberation Sans Narrow"/>
                <w:b/>
                <w:sz w:val="17"/>
              </w:rPr>
              <w:t xml:space="preserve">159</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336</w:t>
            </w:r>
          </w:p>
        </w:tc>
        <w:tc>
          <w:tcPr>
            <w:tcW w:type="dxa" w:w="797"/>
          </w:tcPr>
          <w:p>
            <w:pPr>
              <w:pStyle w:val="Compact"/>
              <w:spacing w:before="20" w:after="20" w:line="240" w:lineRule="auto"/>
              <w:jc w:val="right"/>
            </w:pPr>
            <w:r>
              <w:rPr>
                <w:rFonts w:ascii="Liberation Sans Narrow" w:hAnsi="Liberation Sans Narrow"/>
                <w:b/>
                <w:sz w:val="17"/>
              </w:rPr>
              <w:t xml:space="preserve">26</w:t>
            </w:r>
          </w:p>
        </w:tc>
        <w:tc>
          <w:tcPr>
            <w:tcW w:type="dxa" w:w="1754"/>
          </w:tcPr>
          <w:p>
            <w:pPr>
              <w:pStyle w:val="Compact"/>
              <w:spacing w:before="20" w:after="20" w:line="240" w:lineRule="auto"/>
              <w:jc w:val="left"/>
            </w:pPr>
            <w:r>
              <w:rPr>
                <w:rFonts w:ascii="Liberation Sans Narrow" w:hAnsi="Liberation Sans Narrow"/>
                <w:b w:val="0"/>
                <w:sz w:val="17"/>
              </w:rPr>
              <w:t xml:space="preserve">Art. 525</w:t>
            </w:r>
          </w:p>
        </w:tc>
        <w:tc>
          <w:tcPr>
            <w:tcW w:type="dxa" w:w="797"/>
          </w:tcPr>
          <w:p>
            <w:pPr>
              <w:pStyle w:val="Compact"/>
              <w:spacing w:before="20" w:after="20" w:line="240" w:lineRule="auto"/>
              <w:jc w:val="right"/>
            </w:pPr>
            <w:r>
              <w:rPr>
                <w:rFonts w:ascii="Liberation Sans Narrow" w:hAnsi="Liberation Sans Narrow"/>
                <w:b/>
                <w:sz w:val="17"/>
              </w:rPr>
              <w:t xml:space="preserve">80</w:t>
            </w:r>
          </w:p>
        </w:tc>
        <w:tc>
          <w:tcPr>
            <w:tcW w:type="dxa" w:w="1754"/>
          </w:tcPr>
          <w:p>
            <w:pPr>
              <w:pStyle w:val="Compact"/>
              <w:spacing w:before="20" w:after="20" w:line="240" w:lineRule="auto"/>
              <w:jc w:val="left"/>
            </w:pPr>
            <w:r>
              <w:rPr>
                <w:rFonts w:ascii="Liberation Sans Narrow" w:hAnsi="Liberation Sans Narrow"/>
                <w:b w:val="0"/>
                <w:sz w:val="17"/>
              </w:rPr>
              <w:t xml:space="preserve">Art. 714</w:t>
            </w:r>
          </w:p>
        </w:tc>
        <w:tc>
          <w:tcPr>
            <w:tcW w:type="dxa" w:w="797"/>
          </w:tcPr>
          <w:p>
            <w:pPr>
              <w:pStyle w:val="Compact"/>
              <w:spacing w:before="20" w:after="20" w:line="240" w:lineRule="auto"/>
              <w:jc w:val="right"/>
            </w:pPr>
            <w:r>
              <w:rPr>
                <w:rFonts w:ascii="Liberation Sans Narrow" w:hAnsi="Liberation Sans Narrow"/>
                <w:b/>
                <w:sz w:val="17"/>
              </w:rPr>
              <w:t xml:space="preserve">121</w:t>
            </w:r>
          </w:p>
        </w:tc>
        <w:tc>
          <w:tcPr>
            <w:tcW w:type="dxa" w:w="1754"/>
          </w:tcPr>
          <w:p>
            <w:pPr>
              <w:pStyle w:val="Compact"/>
              <w:spacing w:before="20" w:after="20" w:line="240" w:lineRule="auto"/>
              <w:jc w:val="left"/>
            </w:pPr>
            <w:r>
              <w:rPr>
                <w:rFonts w:ascii="Liberation Sans Narrow" w:hAnsi="Liberation Sans Narrow"/>
                <w:b w:val="0"/>
                <w:sz w:val="17"/>
              </w:rPr>
              <w:t xml:space="preserve">Art. 903</w:t>
            </w:r>
          </w:p>
        </w:tc>
        <w:tc>
          <w:tcPr>
            <w:tcW w:type="dxa" w:w="797"/>
          </w:tcPr>
          <w:p>
            <w:pPr>
              <w:pStyle w:val="Compact"/>
              <w:spacing w:before="20" w:after="20" w:line="240" w:lineRule="auto"/>
              <w:jc w:val="right"/>
            </w:pPr>
            <w:r>
              <w:rPr>
                <w:rFonts w:ascii="Liberation Sans Narrow" w:hAnsi="Liberation Sans Narrow"/>
                <w:b/>
                <w:sz w:val="17"/>
              </w:rPr>
              <w:t xml:space="preserve">159</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337</w:t>
            </w:r>
          </w:p>
        </w:tc>
        <w:tc>
          <w:tcPr>
            <w:tcW w:type="dxa" w:w="797"/>
          </w:tcPr>
          <w:p>
            <w:pPr>
              <w:pStyle w:val="Compact"/>
              <w:spacing w:before="20" w:after="20" w:line="240" w:lineRule="auto"/>
              <w:jc w:val="right"/>
            </w:pPr>
            <w:r>
              <w:rPr>
                <w:rFonts w:ascii="Liberation Sans Narrow" w:hAnsi="Liberation Sans Narrow"/>
                <w:b/>
                <w:sz w:val="17"/>
              </w:rPr>
              <w:t xml:space="preserve">26</w:t>
            </w:r>
          </w:p>
        </w:tc>
        <w:tc>
          <w:tcPr>
            <w:tcW w:type="dxa" w:w="1754"/>
          </w:tcPr>
          <w:p>
            <w:pPr>
              <w:pStyle w:val="Compact"/>
              <w:spacing w:before="20" w:after="20" w:line="240" w:lineRule="auto"/>
              <w:jc w:val="left"/>
            </w:pPr>
            <w:r>
              <w:rPr>
                <w:rFonts w:ascii="Liberation Sans Narrow" w:hAnsi="Liberation Sans Narrow"/>
                <w:b w:val="0"/>
                <w:sz w:val="17"/>
              </w:rPr>
              <w:t xml:space="preserve">Art. 526</w:t>
            </w:r>
          </w:p>
        </w:tc>
        <w:tc>
          <w:tcPr>
            <w:tcW w:type="dxa" w:w="797"/>
          </w:tcPr>
          <w:p>
            <w:pPr>
              <w:pStyle w:val="Compact"/>
              <w:spacing w:before="20" w:after="20" w:line="240" w:lineRule="auto"/>
              <w:jc w:val="right"/>
            </w:pPr>
            <w:r>
              <w:rPr>
                <w:rFonts w:ascii="Liberation Sans Narrow" w:hAnsi="Liberation Sans Narrow"/>
                <w:b/>
                <w:sz w:val="17"/>
              </w:rPr>
              <w:t xml:space="preserve">82</w:t>
            </w:r>
          </w:p>
        </w:tc>
        <w:tc>
          <w:tcPr>
            <w:tcW w:type="dxa" w:w="1754"/>
          </w:tcPr>
          <w:p>
            <w:pPr>
              <w:pStyle w:val="Compact"/>
              <w:spacing w:before="20" w:after="20" w:line="240" w:lineRule="auto"/>
              <w:jc w:val="left"/>
            </w:pPr>
            <w:r>
              <w:rPr>
                <w:rFonts w:ascii="Liberation Sans Narrow" w:hAnsi="Liberation Sans Narrow"/>
                <w:b w:val="0"/>
                <w:sz w:val="17"/>
              </w:rPr>
              <w:t xml:space="preserve">Art. 715</w:t>
            </w:r>
          </w:p>
        </w:tc>
        <w:tc>
          <w:tcPr>
            <w:tcW w:type="dxa" w:w="797"/>
          </w:tcPr>
          <w:p>
            <w:pPr>
              <w:pStyle w:val="Compact"/>
              <w:spacing w:before="20" w:after="20" w:line="240" w:lineRule="auto"/>
              <w:jc w:val="right"/>
            </w:pPr>
            <w:r>
              <w:rPr>
                <w:rFonts w:ascii="Liberation Sans Narrow" w:hAnsi="Liberation Sans Narrow"/>
                <w:b/>
                <w:sz w:val="17"/>
              </w:rPr>
              <w:t xml:space="preserve">121</w:t>
            </w:r>
          </w:p>
        </w:tc>
        <w:tc>
          <w:tcPr>
            <w:tcW w:type="dxa" w:w="1754"/>
          </w:tcPr>
          <w:p>
            <w:pPr>
              <w:pStyle w:val="Compact"/>
              <w:spacing w:before="20" w:after="20" w:line="240" w:lineRule="auto"/>
              <w:jc w:val="left"/>
            </w:pPr>
            <w:r>
              <w:rPr>
                <w:rFonts w:ascii="Liberation Sans Narrow" w:hAnsi="Liberation Sans Narrow"/>
                <w:b w:val="0"/>
                <w:sz w:val="17"/>
              </w:rPr>
              <w:t xml:space="preserve">Art. 904</w:t>
            </w:r>
          </w:p>
        </w:tc>
        <w:tc>
          <w:tcPr>
            <w:tcW w:type="dxa" w:w="797"/>
          </w:tcPr>
          <w:p>
            <w:pPr>
              <w:pStyle w:val="Compact"/>
              <w:spacing w:before="20" w:after="20" w:line="240" w:lineRule="auto"/>
              <w:jc w:val="right"/>
            </w:pPr>
            <w:r>
              <w:rPr>
                <w:rFonts w:ascii="Liberation Sans Narrow" w:hAnsi="Liberation Sans Narrow"/>
                <w:b/>
                <w:sz w:val="17"/>
              </w:rPr>
              <w:t xml:space="preserve">160</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338</w:t>
            </w:r>
          </w:p>
        </w:tc>
        <w:tc>
          <w:tcPr>
            <w:tcW w:type="dxa" w:w="797"/>
          </w:tcPr>
          <w:p>
            <w:pPr>
              <w:pStyle w:val="Compact"/>
              <w:spacing w:before="20" w:after="20" w:line="240" w:lineRule="auto"/>
              <w:jc w:val="right"/>
            </w:pPr>
            <w:r>
              <w:rPr>
                <w:rFonts w:ascii="Liberation Sans Narrow" w:hAnsi="Liberation Sans Narrow"/>
                <w:b/>
                <w:sz w:val="17"/>
              </w:rPr>
              <w:t xml:space="preserve">27</w:t>
            </w:r>
          </w:p>
        </w:tc>
        <w:tc>
          <w:tcPr>
            <w:tcW w:type="dxa" w:w="1754"/>
          </w:tcPr>
          <w:p>
            <w:pPr>
              <w:pStyle w:val="Compact"/>
              <w:spacing w:before="20" w:after="20" w:line="240" w:lineRule="auto"/>
              <w:jc w:val="left"/>
            </w:pPr>
            <w:r>
              <w:rPr>
                <w:rFonts w:ascii="Liberation Sans Narrow" w:hAnsi="Liberation Sans Narrow"/>
                <w:b w:val="0"/>
                <w:sz w:val="17"/>
              </w:rPr>
              <w:t xml:space="preserve">Art. 527</w:t>
            </w:r>
          </w:p>
        </w:tc>
        <w:tc>
          <w:tcPr>
            <w:tcW w:type="dxa" w:w="797"/>
          </w:tcPr>
          <w:p>
            <w:pPr>
              <w:pStyle w:val="Compact"/>
              <w:spacing w:before="20" w:after="20" w:line="240" w:lineRule="auto"/>
              <w:jc w:val="right"/>
            </w:pPr>
            <w:r>
              <w:rPr>
                <w:rFonts w:ascii="Liberation Sans Narrow" w:hAnsi="Liberation Sans Narrow"/>
                <w:b/>
                <w:sz w:val="17"/>
              </w:rPr>
              <w:t xml:space="preserve">82</w:t>
            </w:r>
          </w:p>
        </w:tc>
        <w:tc>
          <w:tcPr>
            <w:tcW w:type="dxa" w:w="1754"/>
          </w:tcPr>
          <w:p>
            <w:pPr>
              <w:pStyle w:val="Compact"/>
              <w:spacing w:before="20" w:after="20" w:line="240" w:lineRule="auto"/>
              <w:jc w:val="left"/>
            </w:pPr>
            <w:r>
              <w:rPr>
                <w:rFonts w:ascii="Liberation Sans Narrow" w:hAnsi="Liberation Sans Narrow"/>
                <w:b w:val="0"/>
                <w:sz w:val="17"/>
              </w:rPr>
              <w:t xml:space="preserve">Art. 716</w:t>
            </w:r>
          </w:p>
        </w:tc>
        <w:tc>
          <w:tcPr>
            <w:tcW w:type="dxa" w:w="797"/>
          </w:tcPr>
          <w:p>
            <w:pPr>
              <w:pStyle w:val="Compact"/>
              <w:spacing w:before="20" w:after="20" w:line="240" w:lineRule="auto"/>
              <w:jc w:val="right"/>
            </w:pPr>
            <w:r>
              <w:rPr>
                <w:rFonts w:ascii="Liberation Sans Narrow" w:hAnsi="Liberation Sans Narrow"/>
                <w:b/>
                <w:sz w:val="17"/>
              </w:rPr>
              <w:t xml:space="preserve">122</w:t>
            </w:r>
          </w:p>
        </w:tc>
        <w:tc>
          <w:tcPr>
            <w:tcW w:type="dxa" w:w="1754"/>
          </w:tcPr>
          <w:p>
            <w:pPr>
              <w:pStyle w:val="Compact"/>
              <w:spacing w:before="20" w:after="20" w:line="240" w:lineRule="auto"/>
              <w:jc w:val="left"/>
            </w:pPr>
            <w:r>
              <w:rPr>
                <w:rFonts w:ascii="Liberation Sans Narrow" w:hAnsi="Liberation Sans Narrow"/>
                <w:b w:val="0"/>
                <w:sz w:val="17"/>
              </w:rPr>
              <w:t xml:space="preserve">Art. 905</w:t>
            </w:r>
          </w:p>
        </w:tc>
        <w:tc>
          <w:tcPr>
            <w:tcW w:type="dxa" w:w="797"/>
          </w:tcPr>
          <w:p>
            <w:pPr>
              <w:pStyle w:val="Compact"/>
              <w:spacing w:before="20" w:after="20" w:line="240" w:lineRule="auto"/>
              <w:jc w:val="right"/>
            </w:pPr>
            <w:r>
              <w:rPr>
                <w:rFonts w:ascii="Liberation Sans Narrow" w:hAnsi="Liberation Sans Narrow"/>
                <w:b/>
                <w:sz w:val="17"/>
              </w:rPr>
              <w:t xml:space="preserve">160</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339</w:t>
            </w:r>
          </w:p>
        </w:tc>
        <w:tc>
          <w:tcPr>
            <w:tcW w:type="dxa" w:w="797"/>
          </w:tcPr>
          <w:p>
            <w:pPr>
              <w:pStyle w:val="Compact"/>
              <w:spacing w:before="20" w:after="20" w:line="240" w:lineRule="auto"/>
              <w:jc w:val="right"/>
            </w:pPr>
            <w:r>
              <w:rPr>
                <w:rFonts w:ascii="Liberation Sans Narrow" w:hAnsi="Liberation Sans Narrow"/>
                <w:b/>
                <w:sz w:val="17"/>
              </w:rPr>
              <w:t xml:space="preserve">28</w:t>
            </w:r>
          </w:p>
        </w:tc>
        <w:tc>
          <w:tcPr>
            <w:tcW w:type="dxa" w:w="1754"/>
          </w:tcPr>
          <w:p>
            <w:pPr>
              <w:pStyle w:val="Compact"/>
              <w:spacing w:before="20" w:after="20" w:line="240" w:lineRule="auto"/>
              <w:jc w:val="left"/>
            </w:pPr>
            <w:r>
              <w:rPr>
                <w:rFonts w:ascii="Liberation Sans Narrow" w:hAnsi="Liberation Sans Narrow"/>
                <w:b w:val="0"/>
                <w:sz w:val="17"/>
              </w:rPr>
              <w:t xml:space="preserve">Art. 528</w:t>
            </w:r>
          </w:p>
        </w:tc>
        <w:tc>
          <w:tcPr>
            <w:tcW w:type="dxa" w:w="797"/>
          </w:tcPr>
          <w:p>
            <w:pPr>
              <w:pStyle w:val="Compact"/>
              <w:spacing w:before="20" w:after="20" w:line="240" w:lineRule="auto"/>
              <w:jc w:val="right"/>
            </w:pPr>
            <w:r>
              <w:rPr>
                <w:rFonts w:ascii="Liberation Sans Narrow" w:hAnsi="Liberation Sans Narrow"/>
                <w:b/>
                <w:sz w:val="17"/>
              </w:rPr>
              <w:t xml:space="preserve">82</w:t>
            </w:r>
          </w:p>
        </w:tc>
        <w:tc>
          <w:tcPr>
            <w:tcW w:type="dxa" w:w="1754"/>
          </w:tcPr>
          <w:p>
            <w:pPr>
              <w:pStyle w:val="Compact"/>
              <w:spacing w:before="20" w:after="20" w:line="240" w:lineRule="auto"/>
              <w:jc w:val="left"/>
            </w:pPr>
            <w:r>
              <w:rPr>
                <w:rFonts w:ascii="Liberation Sans Narrow" w:hAnsi="Liberation Sans Narrow"/>
                <w:b w:val="0"/>
                <w:sz w:val="17"/>
              </w:rPr>
              <w:t xml:space="preserve">Art. 717</w:t>
            </w:r>
          </w:p>
        </w:tc>
        <w:tc>
          <w:tcPr>
            <w:tcW w:type="dxa" w:w="797"/>
          </w:tcPr>
          <w:p>
            <w:pPr>
              <w:pStyle w:val="Compact"/>
              <w:spacing w:before="20" w:after="20" w:line="240" w:lineRule="auto"/>
              <w:jc w:val="right"/>
            </w:pPr>
            <w:r>
              <w:rPr>
                <w:rFonts w:ascii="Liberation Sans Narrow" w:hAnsi="Liberation Sans Narrow"/>
                <w:b/>
                <w:sz w:val="17"/>
              </w:rPr>
              <w:t xml:space="preserve">122</w:t>
            </w:r>
          </w:p>
        </w:tc>
        <w:tc>
          <w:tcPr>
            <w:tcW w:type="dxa" w:w="1754"/>
          </w:tcPr>
          <w:p>
            <w:pPr>
              <w:pStyle w:val="Compact"/>
              <w:spacing w:before="20" w:after="20" w:line="240" w:lineRule="auto"/>
              <w:jc w:val="left"/>
            </w:pPr>
            <w:r>
              <w:rPr>
                <w:rFonts w:ascii="Liberation Sans Narrow" w:hAnsi="Liberation Sans Narrow"/>
                <w:b w:val="0"/>
                <w:sz w:val="17"/>
              </w:rPr>
              <w:t xml:space="preserve">Art. 906</w:t>
            </w:r>
          </w:p>
        </w:tc>
        <w:tc>
          <w:tcPr>
            <w:tcW w:type="dxa" w:w="797"/>
          </w:tcPr>
          <w:p>
            <w:pPr>
              <w:pStyle w:val="Compact"/>
              <w:spacing w:before="20" w:after="20" w:line="240" w:lineRule="auto"/>
              <w:jc w:val="right"/>
            </w:pPr>
            <w:r>
              <w:rPr>
                <w:rFonts w:ascii="Liberation Sans Narrow" w:hAnsi="Liberation Sans Narrow"/>
                <w:b/>
                <w:sz w:val="17"/>
              </w:rPr>
              <w:t xml:space="preserve">160</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340</w:t>
            </w:r>
          </w:p>
        </w:tc>
        <w:tc>
          <w:tcPr>
            <w:tcW w:type="dxa" w:w="797"/>
          </w:tcPr>
          <w:p>
            <w:pPr>
              <w:pStyle w:val="Compact"/>
              <w:spacing w:before="20" w:after="20" w:line="240" w:lineRule="auto"/>
              <w:jc w:val="right"/>
            </w:pPr>
            <w:r>
              <w:rPr>
                <w:rFonts w:ascii="Liberation Sans Narrow" w:hAnsi="Liberation Sans Narrow"/>
                <w:b/>
                <w:sz w:val="17"/>
              </w:rPr>
              <w:t xml:space="preserve">28</w:t>
            </w:r>
          </w:p>
        </w:tc>
        <w:tc>
          <w:tcPr>
            <w:tcW w:type="dxa" w:w="1754"/>
          </w:tcPr>
          <w:p>
            <w:pPr>
              <w:pStyle w:val="Compact"/>
              <w:spacing w:before="20" w:after="20" w:line="240" w:lineRule="auto"/>
              <w:jc w:val="left"/>
            </w:pPr>
            <w:r>
              <w:rPr>
                <w:rFonts w:ascii="Liberation Sans Narrow" w:hAnsi="Liberation Sans Narrow"/>
                <w:b w:val="0"/>
                <w:sz w:val="17"/>
              </w:rPr>
              <w:t xml:space="preserve">Art. 529</w:t>
            </w:r>
          </w:p>
        </w:tc>
        <w:tc>
          <w:tcPr>
            <w:tcW w:type="dxa" w:w="797"/>
          </w:tcPr>
          <w:p>
            <w:pPr>
              <w:pStyle w:val="Compact"/>
              <w:spacing w:before="20" w:after="20" w:line="240" w:lineRule="auto"/>
              <w:jc w:val="right"/>
            </w:pPr>
            <w:r>
              <w:rPr>
                <w:rFonts w:ascii="Liberation Sans Narrow" w:hAnsi="Liberation Sans Narrow"/>
                <w:b/>
                <w:sz w:val="17"/>
              </w:rPr>
              <w:t xml:space="preserve">83</w:t>
            </w:r>
          </w:p>
        </w:tc>
        <w:tc>
          <w:tcPr>
            <w:tcW w:type="dxa" w:w="1754"/>
          </w:tcPr>
          <w:p>
            <w:pPr>
              <w:pStyle w:val="Compact"/>
              <w:spacing w:before="20" w:after="20" w:line="240" w:lineRule="auto"/>
              <w:jc w:val="left"/>
            </w:pPr>
            <w:r>
              <w:rPr>
                <w:rFonts w:ascii="Liberation Sans Narrow" w:hAnsi="Liberation Sans Narrow"/>
                <w:b w:val="0"/>
                <w:sz w:val="17"/>
              </w:rPr>
              <w:t xml:space="preserve">Art. 718</w:t>
            </w:r>
          </w:p>
        </w:tc>
        <w:tc>
          <w:tcPr>
            <w:tcW w:type="dxa" w:w="797"/>
          </w:tcPr>
          <w:p>
            <w:pPr>
              <w:pStyle w:val="Compact"/>
              <w:spacing w:before="20" w:after="20" w:line="240" w:lineRule="auto"/>
              <w:jc w:val="right"/>
            </w:pPr>
            <w:r>
              <w:rPr>
                <w:rFonts w:ascii="Liberation Sans Narrow" w:hAnsi="Liberation Sans Narrow"/>
                <w:b/>
                <w:sz w:val="17"/>
              </w:rPr>
              <w:t xml:space="preserve">122</w:t>
            </w:r>
          </w:p>
        </w:tc>
        <w:tc>
          <w:tcPr>
            <w:tcW w:type="dxa" w:w="1754"/>
          </w:tcPr>
          <w:p>
            <w:pPr>
              <w:pStyle w:val="Compact"/>
              <w:spacing w:before="20" w:after="20" w:line="240" w:lineRule="auto"/>
              <w:jc w:val="left"/>
            </w:pPr>
            <w:r>
              <w:rPr>
                <w:rFonts w:ascii="Liberation Sans Narrow" w:hAnsi="Liberation Sans Narrow"/>
                <w:b w:val="0"/>
                <w:sz w:val="17"/>
              </w:rPr>
              <w:t xml:space="preserve">Art. 907</w:t>
            </w:r>
          </w:p>
        </w:tc>
        <w:tc>
          <w:tcPr>
            <w:tcW w:type="dxa" w:w="797"/>
          </w:tcPr>
          <w:p>
            <w:pPr>
              <w:pStyle w:val="Compact"/>
              <w:spacing w:before="20" w:after="20" w:line="240" w:lineRule="auto"/>
              <w:jc w:val="right"/>
            </w:pPr>
            <w:r>
              <w:rPr>
                <w:rFonts w:ascii="Liberation Sans Narrow" w:hAnsi="Liberation Sans Narrow"/>
                <w:b/>
                <w:sz w:val="17"/>
              </w:rPr>
              <w:t xml:space="preserve">160</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341</w:t>
            </w:r>
          </w:p>
        </w:tc>
        <w:tc>
          <w:tcPr>
            <w:tcW w:type="dxa" w:w="797"/>
          </w:tcPr>
          <w:p>
            <w:pPr>
              <w:pStyle w:val="Compact"/>
              <w:spacing w:before="20" w:after="20" w:line="240" w:lineRule="auto"/>
              <w:jc w:val="right"/>
            </w:pPr>
            <w:r>
              <w:rPr>
                <w:rFonts w:ascii="Liberation Sans Narrow" w:hAnsi="Liberation Sans Narrow"/>
                <w:b/>
                <w:sz w:val="17"/>
              </w:rPr>
              <w:t xml:space="preserve">28</w:t>
            </w:r>
          </w:p>
        </w:tc>
        <w:tc>
          <w:tcPr>
            <w:tcW w:type="dxa" w:w="1754"/>
          </w:tcPr>
          <w:p>
            <w:pPr>
              <w:pStyle w:val="Compact"/>
              <w:spacing w:before="20" w:after="20" w:line="240" w:lineRule="auto"/>
              <w:jc w:val="left"/>
            </w:pPr>
            <w:r>
              <w:rPr>
                <w:rFonts w:ascii="Liberation Sans Narrow" w:hAnsi="Liberation Sans Narrow"/>
                <w:b w:val="0"/>
                <w:sz w:val="17"/>
              </w:rPr>
              <w:t xml:space="preserve">Art. 530</w:t>
            </w:r>
          </w:p>
        </w:tc>
        <w:tc>
          <w:tcPr>
            <w:tcW w:type="dxa" w:w="797"/>
          </w:tcPr>
          <w:p>
            <w:pPr>
              <w:pStyle w:val="Compact"/>
              <w:spacing w:before="20" w:after="20" w:line="240" w:lineRule="auto"/>
              <w:jc w:val="right"/>
            </w:pPr>
            <w:r>
              <w:rPr>
                <w:rFonts w:ascii="Liberation Sans Narrow" w:hAnsi="Liberation Sans Narrow"/>
                <w:b/>
                <w:sz w:val="17"/>
              </w:rPr>
              <w:t xml:space="preserve">83</w:t>
            </w:r>
          </w:p>
        </w:tc>
        <w:tc>
          <w:tcPr>
            <w:tcW w:type="dxa" w:w="1754"/>
          </w:tcPr>
          <w:p>
            <w:pPr>
              <w:pStyle w:val="Compact"/>
              <w:spacing w:before="20" w:after="20" w:line="240" w:lineRule="auto"/>
              <w:jc w:val="left"/>
            </w:pPr>
            <w:r>
              <w:rPr>
                <w:rFonts w:ascii="Liberation Sans Narrow" w:hAnsi="Liberation Sans Narrow"/>
                <w:b w:val="0"/>
                <w:sz w:val="17"/>
              </w:rPr>
              <w:t xml:space="preserve">Art. 719</w:t>
            </w:r>
          </w:p>
        </w:tc>
        <w:tc>
          <w:tcPr>
            <w:tcW w:type="dxa" w:w="797"/>
          </w:tcPr>
          <w:p>
            <w:pPr>
              <w:pStyle w:val="Compact"/>
              <w:spacing w:before="20" w:after="20" w:line="240" w:lineRule="auto"/>
              <w:jc w:val="right"/>
            </w:pPr>
            <w:r>
              <w:rPr>
                <w:rFonts w:ascii="Liberation Sans Narrow" w:hAnsi="Liberation Sans Narrow"/>
                <w:b/>
                <w:sz w:val="17"/>
              </w:rPr>
              <w:t xml:space="preserve">122</w:t>
            </w:r>
          </w:p>
        </w:tc>
        <w:tc>
          <w:tcPr>
            <w:tcW w:type="dxa" w:w="1754"/>
          </w:tcPr>
          <w:p>
            <w:pPr>
              <w:pStyle w:val="Compact"/>
              <w:spacing w:before="20" w:after="20" w:line="240" w:lineRule="auto"/>
              <w:jc w:val="left"/>
            </w:pPr>
            <w:r>
              <w:rPr>
                <w:rFonts w:ascii="Liberation Sans Narrow" w:hAnsi="Liberation Sans Narrow"/>
                <w:b w:val="0"/>
                <w:sz w:val="17"/>
              </w:rPr>
              <w:t xml:space="preserve">Art. 908</w:t>
            </w:r>
          </w:p>
        </w:tc>
        <w:tc>
          <w:tcPr>
            <w:tcW w:type="dxa" w:w="797"/>
          </w:tcPr>
          <w:p>
            <w:pPr>
              <w:pStyle w:val="Compact"/>
              <w:spacing w:before="20" w:after="20" w:line="240" w:lineRule="auto"/>
              <w:jc w:val="right"/>
            </w:pPr>
            <w:r>
              <w:rPr>
                <w:rFonts w:ascii="Liberation Sans Narrow" w:hAnsi="Liberation Sans Narrow"/>
                <w:b/>
                <w:sz w:val="17"/>
              </w:rPr>
              <w:t xml:space="preserve">160</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342</w:t>
            </w:r>
          </w:p>
        </w:tc>
        <w:tc>
          <w:tcPr>
            <w:tcW w:type="dxa" w:w="797"/>
          </w:tcPr>
          <w:p>
            <w:pPr>
              <w:pStyle w:val="Compact"/>
              <w:spacing w:before="20" w:after="20" w:line="240" w:lineRule="auto"/>
              <w:jc w:val="right"/>
            </w:pPr>
            <w:r>
              <w:rPr>
                <w:rFonts w:ascii="Liberation Sans Narrow" w:hAnsi="Liberation Sans Narrow"/>
                <w:b/>
                <w:sz w:val="17"/>
              </w:rPr>
              <w:t xml:space="preserve">29</w:t>
            </w:r>
          </w:p>
        </w:tc>
        <w:tc>
          <w:tcPr>
            <w:tcW w:type="dxa" w:w="1754"/>
          </w:tcPr>
          <w:p>
            <w:pPr>
              <w:pStyle w:val="Compact"/>
              <w:spacing w:before="20" w:after="20" w:line="240" w:lineRule="auto"/>
              <w:jc w:val="left"/>
            </w:pPr>
            <w:r>
              <w:rPr>
                <w:rFonts w:ascii="Liberation Sans Narrow" w:hAnsi="Liberation Sans Narrow"/>
                <w:b w:val="0"/>
                <w:sz w:val="17"/>
              </w:rPr>
              <w:t xml:space="preserve">Art. 531</w:t>
            </w:r>
          </w:p>
        </w:tc>
        <w:tc>
          <w:tcPr>
            <w:tcW w:type="dxa" w:w="797"/>
          </w:tcPr>
          <w:p>
            <w:pPr>
              <w:pStyle w:val="Compact"/>
              <w:spacing w:before="20" w:after="20" w:line="240" w:lineRule="auto"/>
              <w:jc w:val="right"/>
            </w:pPr>
            <w:r>
              <w:rPr>
                <w:rFonts w:ascii="Liberation Sans Narrow" w:hAnsi="Liberation Sans Narrow"/>
                <w:b/>
                <w:sz w:val="17"/>
              </w:rPr>
              <w:t xml:space="preserve">83</w:t>
            </w:r>
          </w:p>
        </w:tc>
        <w:tc>
          <w:tcPr>
            <w:tcW w:type="dxa" w:w="1754"/>
          </w:tcPr>
          <w:p>
            <w:pPr>
              <w:pStyle w:val="Compact"/>
              <w:spacing w:before="20" w:after="20" w:line="240" w:lineRule="auto"/>
              <w:jc w:val="left"/>
            </w:pPr>
            <w:r>
              <w:rPr>
                <w:rFonts w:ascii="Liberation Sans Narrow" w:hAnsi="Liberation Sans Narrow"/>
                <w:b w:val="0"/>
                <w:sz w:val="17"/>
              </w:rPr>
              <w:t xml:space="preserve">Art. 720</w:t>
            </w:r>
          </w:p>
        </w:tc>
        <w:tc>
          <w:tcPr>
            <w:tcW w:type="dxa" w:w="797"/>
          </w:tcPr>
          <w:p>
            <w:pPr>
              <w:pStyle w:val="Compact"/>
              <w:spacing w:before="20" w:after="20" w:line="240" w:lineRule="auto"/>
              <w:jc w:val="right"/>
            </w:pPr>
            <w:r>
              <w:rPr>
                <w:rFonts w:ascii="Liberation Sans Narrow" w:hAnsi="Liberation Sans Narrow"/>
                <w:b/>
                <w:sz w:val="17"/>
              </w:rPr>
              <w:t xml:space="preserve">122</w:t>
            </w:r>
          </w:p>
        </w:tc>
        <w:tc>
          <w:tcPr>
            <w:tcW w:type="dxa" w:w="1754"/>
          </w:tcPr>
          <w:p>
            <w:pPr>
              <w:pStyle w:val="Compact"/>
              <w:spacing w:before="20" w:after="20" w:line="240" w:lineRule="auto"/>
              <w:jc w:val="left"/>
            </w:pPr>
            <w:r>
              <w:rPr>
                <w:rFonts w:ascii="Liberation Sans Narrow" w:hAnsi="Liberation Sans Narrow"/>
                <w:b w:val="0"/>
                <w:sz w:val="17"/>
              </w:rPr>
              <w:t xml:space="preserve">Art. 909</w:t>
            </w:r>
          </w:p>
        </w:tc>
        <w:tc>
          <w:tcPr>
            <w:tcW w:type="dxa" w:w="797"/>
          </w:tcPr>
          <w:p>
            <w:pPr>
              <w:pStyle w:val="Compact"/>
              <w:spacing w:before="20" w:after="20" w:line="240" w:lineRule="auto"/>
              <w:jc w:val="right"/>
            </w:pPr>
            <w:r>
              <w:rPr>
                <w:rFonts w:ascii="Liberation Sans Narrow" w:hAnsi="Liberation Sans Narrow"/>
                <w:b/>
                <w:sz w:val="17"/>
              </w:rPr>
              <w:t xml:space="preserve">161</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343</w:t>
            </w:r>
          </w:p>
        </w:tc>
        <w:tc>
          <w:tcPr>
            <w:tcW w:type="dxa" w:w="797"/>
          </w:tcPr>
          <w:p>
            <w:pPr>
              <w:pStyle w:val="Compact"/>
              <w:spacing w:before="20" w:after="20" w:line="240" w:lineRule="auto"/>
              <w:jc w:val="right"/>
            </w:pPr>
            <w:r>
              <w:rPr>
                <w:rFonts w:ascii="Liberation Sans Narrow" w:hAnsi="Liberation Sans Narrow"/>
                <w:b/>
                <w:sz w:val="17"/>
              </w:rPr>
              <w:t xml:space="preserve">29</w:t>
            </w:r>
          </w:p>
        </w:tc>
        <w:tc>
          <w:tcPr>
            <w:tcW w:type="dxa" w:w="1754"/>
          </w:tcPr>
          <w:p>
            <w:pPr>
              <w:pStyle w:val="Compact"/>
              <w:spacing w:before="20" w:after="20" w:line="240" w:lineRule="auto"/>
              <w:jc w:val="left"/>
            </w:pPr>
            <w:r>
              <w:rPr>
                <w:rFonts w:ascii="Liberation Sans Narrow" w:hAnsi="Liberation Sans Narrow"/>
                <w:b w:val="0"/>
                <w:sz w:val="17"/>
              </w:rPr>
              <w:t xml:space="preserve">Art. 532</w:t>
            </w:r>
          </w:p>
        </w:tc>
        <w:tc>
          <w:tcPr>
            <w:tcW w:type="dxa" w:w="797"/>
          </w:tcPr>
          <w:p>
            <w:pPr>
              <w:pStyle w:val="Compact"/>
              <w:spacing w:before="20" w:after="20" w:line="240" w:lineRule="auto"/>
              <w:jc w:val="right"/>
            </w:pPr>
            <w:r>
              <w:rPr>
                <w:rFonts w:ascii="Liberation Sans Narrow" w:hAnsi="Liberation Sans Narrow"/>
                <w:b/>
                <w:sz w:val="17"/>
              </w:rPr>
              <w:t xml:space="preserve">83</w:t>
            </w:r>
          </w:p>
        </w:tc>
        <w:tc>
          <w:tcPr>
            <w:tcW w:type="dxa" w:w="1754"/>
          </w:tcPr>
          <w:p>
            <w:pPr>
              <w:pStyle w:val="Compact"/>
              <w:spacing w:before="20" w:after="20" w:line="240" w:lineRule="auto"/>
              <w:jc w:val="left"/>
            </w:pPr>
            <w:r>
              <w:rPr>
                <w:rFonts w:ascii="Liberation Sans Narrow" w:hAnsi="Liberation Sans Narrow"/>
                <w:b w:val="0"/>
                <w:sz w:val="17"/>
              </w:rPr>
              <w:t xml:space="preserve">Art. 721</w:t>
            </w:r>
          </w:p>
        </w:tc>
        <w:tc>
          <w:tcPr>
            <w:tcW w:type="dxa" w:w="797"/>
          </w:tcPr>
          <w:p>
            <w:pPr>
              <w:pStyle w:val="Compact"/>
              <w:spacing w:before="20" w:after="20" w:line="240" w:lineRule="auto"/>
              <w:jc w:val="right"/>
            </w:pPr>
            <w:r>
              <w:rPr>
                <w:rFonts w:ascii="Liberation Sans Narrow" w:hAnsi="Liberation Sans Narrow"/>
                <w:b/>
                <w:sz w:val="17"/>
              </w:rPr>
              <w:t xml:space="preserve">123</w:t>
            </w:r>
          </w:p>
        </w:tc>
        <w:tc>
          <w:tcPr>
            <w:tcW w:type="dxa" w:w="1754"/>
          </w:tcPr>
          <w:p>
            <w:pPr>
              <w:pStyle w:val="Compact"/>
              <w:spacing w:before="20" w:after="20" w:line="240" w:lineRule="auto"/>
              <w:jc w:val="left"/>
            </w:pPr>
            <w:r>
              <w:rPr>
                <w:rFonts w:ascii="Liberation Sans Narrow" w:hAnsi="Liberation Sans Narrow"/>
                <w:b w:val="0"/>
                <w:sz w:val="17"/>
              </w:rPr>
              <w:t xml:space="preserve">Art. 910</w:t>
            </w:r>
          </w:p>
        </w:tc>
        <w:tc>
          <w:tcPr>
            <w:tcW w:type="dxa" w:w="797"/>
          </w:tcPr>
          <w:p>
            <w:pPr>
              <w:pStyle w:val="Compact"/>
              <w:spacing w:before="20" w:after="20" w:line="240" w:lineRule="auto"/>
              <w:jc w:val="right"/>
            </w:pPr>
            <w:r>
              <w:rPr>
                <w:rFonts w:ascii="Liberation Sans Narrow" w:hAnsi="Liberation Sans Narrow"/>
                <w:b/>
                <w:sz w:val="17"/>
              </w:rPr>
              <w:t xml:space="preserve">161</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344</w:t>
            </w:r>
          </w:p>
        </w:tc>
        <w:tc>
          <w:tcPr>
            <w:tcW w:type="dxa" w:w="797"/>
          </w:tcPr>
          <w:p>
            <w:pPr>
              <w:pStyle w:val="Compact"/>
              <w:spacing w:before="20" w:after="20" w:line="240" w:lineRule="auto"/>
              <w:jc w:val="right"/>
            </w:pPr>
            <w:r>
              <w:rPr>
                <w:rFonts w:ascii="Liberation Sans Narrow" w:hAnsi="Liberation Sans Narrow"/>
                <w:b/>
                <w:sz w:val="17"/>
              </w:rPr>
              <w:t xml:space="preserve">30</w:t>
            </w:r>
          </w:p>
        </w:tc>
        <w:tc>
          <w:tcPr>
            <w:tcW w:type="dxa" w:w="1754"/>
          </w:tcPr>
          <w:p>
            <w:pPr>
              <w:pStyle w:val="Compact"/>
              <w:spacing w:before="20" w:after="20" w:line="240" w:lineRule="auto"/>
              <w:jc w:val="left"/>
            </w:pPr>
            <w:r>
              <w:rPr>
                <w:rFonts w:ascii="Liberation Sans Narrow" w:hAnsi="Liberation Sans Narrow"/>
                <w:b w:val="0"/>
                <w:sz w:val="17"/>
              </w:rPr>
              <w:t xml:space="preserve">Art. 533</w:t>
            </w:r>
          </w:p>
        </w:tc>
        <w:tc>
          <w:tcPr>
            <w:tcW w:type="dxa" w:w="797"/>
          </w:tcPr>
          <w:p>
            <w:pPr>
              <w:pStyle w:val="Compact"/>
              <w:spacing w:before="20" w:after="20" w:line="240" w:lineRule="auto"/>
              <w:jc w:val="right"/>
            </w:pPr>
            <w:r>
              <w:rPr>
                <w:rFonts w:ascii="Liberation Sans Narrow" w:hAnsi="Liberation Sans Narrow"/>
                <w:b/>
                <w:sz w:val="17"/>
              </w:rPr>
              <w:t xml:space="preserve">84</w:t>
            </w:r>
          </w:p>
        </w:tc>
        <w:tc>
          <w:tcPr>
            <w:tcW w:type="dxa" w:w="1754"/>
          </w:tcPr>
          <w:p>
            <w:pPr>
              <w:pStyle w:val="Compact"/>
              <w:spacing w:before="20" w:after="20" w:line="240" w:lineRule="auto"/>
              <w:jc w:val="left"/>
            </w:pPr>
            <w:r>
              <w:rPr>
                <w:rFonts w:ascii="Liberation Sans Narrow" w:hAnsi="Liberation Sans Narrow"/>
                <w:b w:val="0"/>
                <w:sz w:val="17"/>
              </w:rPr>
              <w:t xml:space="preserve">Art. 722</w:t>
            </w:r>
          </w:p>
        </w:tc>
        <w:tc>
          <w:tcPr>
            <w:tcW w:type="dxa" w:w="797"/>
          </w:tcPr>
          <w:p>
            <w:pPr>
              <w:pStyle w:val="Compact"/>
              <w:spacing w:before="20" w:after="20" w:line="240" w:lineRule="auto"/>
              <w:jc w:val="right"/>
            </w:pPr>
            <w:r>
              <w:rPr>
                <w:rFonts w:ascii="Liberation Sans Narrow" w:hAnsi="Liberation Sans Narrow"/>
                <w:b/>
                <w:sz w:val="17"/>
              </w:rPr>
              <w:t xml:space="preserve">123</w:t>
            </w:r>
          </w:p>
        </w:tc>
        <w:tc>
          <w:tcPr>
            <w:tcW w:type="dxa" w:w="1754"/>
          </w:tcPr>
          <w:p>
            <w:pPr>
              <w:pStyle w:val="Compact"/>
              <w:spacing w:before="20" w:after="20" w:line="240" w:lineRule="auto"/>
              <w:jc w:val="left"/>
            </w:pPr>
            <w:r>
              <w:rPr>
                <w:rFonts w:ascii="Liberation Sans Narrow" w:hAnsi="Liberation Sans Narrow"/>
                <w:b w:val="0"/>
                <w:sz w:val="17"/>
              </w:rPr>
              <w:t xml:space="preserve">Art. 911</w:t>
            </w:r>
          </w:p>
        </w:tc>
        <w:tc>
          <w:tcPr>
            <w:tcW w:type="dxa" w:w="797"/>
          </w:tcPr>
          <w:p>
            <w:pPr>
              <w:pStyle w:val="Compact"/>
              <w:spacing w:before="20" w:after="20" w:line="240" w:lineRule="auto"/>
              <w:jc w:val="right"/>
            </w:pPr>
            <w:r>
              <w:rPr>
                <w:rFonts w:ascii="Liberation Sans Narrow" w:hAnsi="Liberation Sans Narrow"/>
                <w:b/>
                <w:sz w:val="17"/>
              </w:rPr>
              <w:t xml:space="preserve">161</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345</w:t>
            </w:r>
          </w:p>
        </w:tc>
        <w:tc>
          <w:tcPr>
            <w:tcW w:type="dxa" w:w="797"/>
          </w:tcPr>
          <w:p>
            <w:pPr>
              <w:pStyle w:val="Compact"/>
              <w:spacing w:before="20" w:after="20" w:line="240" w:lineRule="auto"/>
              <w:jc w:val="right"/>
            </w:pPr>
            <w:r>
              <w:rPr>
                <w:rFonts w:ascii="Liberation Sans Narrow" w:hAnsi="Liberation Sans Narrow"/>
                <w:b/>
                <w:sz w:val="17"/>
              </w:rPr>
              <w:t xml:space="preserve">30</w:t>
            </w:r>
          </w:p>
        </w:tc>
        <w:tc>
          <w:tcPr>
            <w:tcW w:type="dxa" w:w="1754"/>
          </w:tcPr>
          <w:p>
            <w:pPr>
              <w:pStyle w:val="Compact"/>
              <w:spacing w:before="20" w:after="20" w:line="240" w:lineRule="auto"/>
              <w:jc w:val="left"/>
            </w:pPr>
            <w:r>
              <w:rPr>
                <w:rFonts w:ascii="Liberation Sans Narrow" w:hAnsi="Liberation Sans Narrow"/>
                <w:b w:val="0"/>
                <w:sz w:val="17"/>
              </w:rPr>
              <w:t xml:space="preserve">Art. 534</w:t>
            </w:r>
          </w:p>
        </w:tc>
        <w:tc>
          <w:tcPr>
            <w:tcW w:type="dxa" w:w="797"/>
          </w:tcPr>
          <w:p>
            <w:pPr>
              <w:pStyle w:val="Compact"/>
              <w:spacing w:before="20" w:after="20" w:line="240" w:lineRule="auto"/>
              <w:jc w:val="right"/>
            </w:pPr>
            <w:r>
              <w:rPr>
                <w:rFonts w:ascii="Liberation Sans Narrow" w:hAnsi="Liberation Sans Narrow"/>
                <w:b/>
                <w:sz w:val="17"/>
              </w:rPr>
              <w:t xml:space="preserve">84</w:t>
            </w:r>
          </w:p>
        </w:tc>
        <w:tc>
          <w:tcPr>
            <w:tcW w:type="dxa" w:w="1754"/>
          </w:tcPr>
          <w:p>
            <w:pPr>
              <w:pStyle w:val="Compact"/>
              <w:spacing w:before="20" w:after="20" w:line="240" w:lineRule="auto"/>
              <w:jc w:val="left"/>
            </w:pPr>
            <w:r>
              <w:rPr>
                <w:rFonts w:ascii="Liberation Sans Narrow" w:hAnsi="Liberation Sans Narrow"/>
                <w:b w:val="0"/>
                <w:sz w:val="17"/>
              </w:rPr>
              <w:t xml:space="preserve">Art. 723</w:t>
            </w:r>
          </w:p>
        </w:tc>
        <w:tc>
          <w:tcPr>
            <w:tcW w:type="dxa" w:w="797"/>
          </w:tcPr>
          <w:p>
            <w:pPr>
              <w:pStyle w:val="Compact"/>
              <w:spacing w:before="20" w:after="20" w:line="240" w:lineRule="auto"/>
              <w:jc w:val="right"/>
            </w:pPr>
            <w:r>
              <w:rPr>
                <w:rFonts w:ascii="Liberation Sans Narrow" w:hAnsi="Liberation Sans Narrow"/>
                <w:b/>
                <w:sz w:val="17"/>
              </w:rPr>
              <w:t xml:space="preserve">123</w:t>
            </w:r>
          </w:p>
        </w:tc>
        <w:tc>
          <w:tcPr>
            <w:tcW w:type="dxa" w:w="1754"/>
          </w:tcPr>
          <w:p>
            <w:pPr>
              <w:pStyle w:val="Compact"/>
              <w:spacing w:before="20" w:after="20" w:line="240" w:lineRule="auto"/>
              <w:jc w:val="left"/>
            </w:pPr>
            <w:r>
              <w:rPr>
                <w:rFonts w:ascii="Liberation Sans Narrow" w:hAnsi="Liberation Sans Narrow"/>
                <w:b w:val="0"/>
                <w:sz w:val="17"/>
              </w:rPr>
              <w:t xml:space="preserve">Art. 912</w:t>
            </w:r>
          </w:p>
        </w:tc>
        <w:tc>
          <w:tcPr>
            <w:tcW w:type="dxa" w:w="797"/>
          </w:tcPr>
          <w:p>
            <w:pPr>
              <w:pStyle w:val="Compact"/>
              <w:spacing w:before="20" w:after="20" w:line="240" w:lineRule="auto"/>
              <w:jc w:val="right"/>
            </w:pPr>
            <w:r>
              <w:rPr>
                <w:rFonts w:ascii="Liberation Sans Narrow" w:hAnsi="Liberation Sans Narrow"/>
                <w:b/>
                <w:sz w:val="17"/>
              </w:rPr>
              <w:t xml:space="preserve">161</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346</w:t>
            </w:r>
          </w:p>
        </w:tc>
        <w:tc>
          <w:tcPr>
            <w:tcW w:type="dxa" w:w="797"/>
          </w:tcPr>
          <w:p>
            <w:pPr>
              <w:pStyle w:val="Compact"/>
              <w:spacing w:before="20" w:after="20" w:line="240" w:lineRule="auto"/>
              <w:jc w:val="right"/>
            </w:pPr>
            <w:r>
              <w:rPr>
                <w:rFonts w:ascii="Liberation Sans Narrow" w:hAnsi="Liberation Sans Narrow"/>
                <w:b/>
                <w:sz w:val="17"/>
              </w:rPr>
              <w:t xml:space="preserve">31</w:t>
            </w:r>
          </w:p>
        </w:tc>
        <w:tc>
          <w:tcPr>
            <w:tcW w:type="dxa" w:w="1754"/>
          </w:tcPr>
          <w:p>
            <w:pPr>
              <w:pStyle w:val="Compact"/>
              <w:spacing w:before="20" w:after="20" w:line="240" w:lineRule="auto"/>
              <w:jc w:val="left"/>
            </w:pPr>
            <w:r>
              <w:rPr>
                <w:rFonts w:ascii="Liberation Sans Narrow" w:hAnsi="Liberation Sans Narrow"/>
                <w:b w:val="0"/>
                <w:sz w:val="17"/>
              </w:rPr>
              <w:t xml:space="preserve">Art. 535</w:t>
            </w:r>
          </w:p>
        </w:tc>
        <w:tc>
          <w:tcPr>
            <w:tcW w:type="dxa" w:w="797"/>
          </w:tcPr>
          <w:p>
            <w:pPr>
              <w:pStyle w:val="Compact"/>
              <w:spacing w:before="20" w:after="20" w:line="240" w:lineRule="auto"/>
              <w:jc w:val="right"/>
            </w:pPr>
            <w:r>
              <w:rPr>
                <w:rFonts w:ascii="Liberation Sans Narrow" w:hAnsi="Liberation Sans Narrow"/>
                <w:b/>
                <w:sz w:val="17"/>
              </w:rPr>
              <w:t xml:space="preserve">85</w:t>
            </w:r>
          </w:p>
        </w:tc>
        <w:tc>
          <w:tcPr>
            <w:tcW w:type="dxa" w:w="1754"/>
          </w:tcPr>
          <w:p>
            <w:pPr>
              <w:pStyle w:val="Compact"/>
              <w:spacing w:before="20" w:after="20" w:line="240" w:lineRule="auto"/>
              <w:jc w:val="left"/>
            </w:pPr>
            <w:r>
              <w:rPr>
                <w:rFonts w:ascii="Liberation Sans Narrow" w:hAnsi="Liberation Sans Narrow"/>
                <w:b w:val="0"/>
                <w:sz w:val="17"/>
              </w:rPr>
              <w:t xml:space="preserve">Art. 724</w:t>
            </w:r>
          </w:p>
        </w:tc>
        <w:tc>
          <w:tcPr>
            <w:tcW w:type="dxa" w:w="797"/>
          </w:tcPr>
          <w:p>
            <w:pPr>
              <w:pStyle w:val="Compact"/>
              <w:spacing w:before="20" w:after="20" w:line="240" w:lineRule="auto"/>
              <w:jc w:val="right"/>
            </w:pPr>
            <w:r>
              <w:rPr>
                <w:rFonts w:ascii="Liberation Sans Narrow" w:hAnsi="Liberation Sans Narrow"/>
                <w:b/>
                <w:sz w:val="17"/>
              </w:rPr>
              <w:t xml:space="preserve">123</w:t>
            </w:r>
          </w:p>
        </w:tc>
        <w:tc>
          <w:tcPr>
            <w:tcW w:type="dxa" w:w="1754"/>
          </w:tcPr>
          <w:p>
            <w:pPr>
              <w:pStyle w:val="Compact"/>
              <w:spacing w:before="20" w:after="20" w:line="240" w:lineRule="auto"/>
              <w:jc w:val="left"/>
            </w:pPr>
            <w:r>
              <w:rPr>
                <w:rFonts w:ascii="Liberation Sans Narrow" w:hAnsi="Liberation Sans Narrow"/>
                <w:b w:val="0"/>
                <w:sz w:val="17"/>
              </w:rPr>
              <w:t xml:space="preserve">Art. 913</w:t>
            </w:r>
          </w:p>
        </w:tc>
        <w:tc>
          <w:tcPr>
            <w:tcW w:type="dxa" w:w="797"/>
          </w:tcPr>
          <w:p>
            <w:pPr>
              <w:pStyle w:val="Compact"/>
              <w:spacing w:before="20" w:after="20" w:line="240" w:lineRule="auto"/>
              <w:jc w:val="right"/>
            </w:pPr>
            <w:r>
              <w:rPr>
                <w:rFonts w:ascii="Liberation Sans Narrow" w:hAnsi="Liberation Sans Narrow"/>
                <w:b/>
                <w:sz w:val="17"/>
              </w:rPr>
              <w:t xml:space="preserve">162</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347</w:t>
            </w:r>
          </w:p>
        </w:tc>
        <w:tc>
          <w:tcPr>
            <w:tcW w:type="dxa" w:w="797"/>
          </w:tcPr>
          <w:p>
            <w:pPr>
              <w:pStyle w:val="Compact"/>
              <w:spacing w:before="20" w:after="20" w:line="240" w:lineRule="auto"/>
              <w:jc w:val="right"/>
            </w:pPr>
            <w:r>
              <w:rPr>
                <w:rFonts w:ascii="Liberation Sans Narrow" w:hAnsi="Liberation Sans Narrow"/>
                <w:b/>
                <w:sz w:val="17"/>
              </w:rPr>
              <w:t xml:space="preserve">32</w:t>
            </w:r>
          </w:p>
        </w:tc>
        <w:tc>
          <w:tcPr>
            <w:tcW w:type="dxa" w:w="1754"/>
          </w:tcPr>
          <w:p>
            <w:pPr>
              <w:pStyle w:val="Compact"/>
              <w:spacing w:before="20" w:after="20" w:line="240" w:lineRule="auto"/>
              <w:jc w:val="left"/>
            </w:pPr>
            <w:r>
              <w:rPr>
                <w:rFonts w:ascii="Liberation Sans Narrow" w:hAnsi="Liberation Sans Narrow"/>
                <w:b w:val="0"/>
                <w:sz w:val="17"/>
              </w:rPr>
              <w:t xml:space="preserve">Art. 536</w:t>
            </w:r>
          </w:p>
        </w:tc>
        <w:tc>
          <w:tcPr>
            <w:tcW w:type="dxa" w:w="797"/>
          </w:tcPr>
          <w:p>
            <w:pPr>
              <w:pStyle w:val="Compact"/>
              <w:spacing w:before="20" w:after="20" w:line="240" w:lineRule="auto"/>
              <w:jc w:val="right"/>
            </w:pPr>
            <w:r>
              <w:rPr>
                <w:rFonts w:ascii="Liberation Sans Narrow" w:hAnsi="Liberation Sans Narrow"/>
                <w:b/>
                <w:sz w:val="17"/>
              </w:rPr>
              <w:t xml:space="preserve">86</w:t>
            </w:r>
          </w:p>
        </w:tc>
        <w:tc>
          <w:tcPr>
            <w:tcW w:type="dxa" w:w="1754"/>
          </w:tcPr>
          <w:p>
            <w:pPr>
              <w:pStyle w:val="Compact"/>
              <w:spacing w:before="20" w:after="20" w:line="240" w:lineRule="auto"/>
              <w:jc w:val="left"/>
            </w:pPr>
            <w:r>
              <w:rPr>
                <w:rFonts w:ascii="Liberation Sans Narrow" w:hAnsi="Liberation Sans Narrow"/>
                <w:b w:val="0"/>
                <w:sz w:val="17"/>
              </w:rPr>
              <w:t xml:space="preserve">Art. 725</w:t>
            </w:r>
          </w:p>
        </w:tc>
        <w:tc>
          <w:tcPr>
            <w:tcW w:type="dxa" w:w="797"/>
          </w:tcPr>
          <w:p>
            <w:pPr>
              <w:pStyle w:val="Compact"/>
              <w:spacing w:before="20" w:after="20" w:line="240" w:lineRule="auto"/>
              <w:jc w:val="right"/>
            </w:pPr>
            <w:r>
              <w:rPr>
                <w:rFonts w:ascii="Liberation Sans Narrow" w:hAnsi="Liberation Sans Narrow"/>
                <w:b/>
                <w:sz w:val="17"/>
              </w:rPr>
              <w:t xml:space="preserve">123</w:t>
            </w:r>
          </w:p>
        </w:tc>
        <w:tc>
          <w:tcPr>
            <w:tcW w:type="dxa" w:w="1754"/>
          </w:tcPr>
          <w:p>
            <w:pPr>
              <w:pStyle w:val="Compact"/>
              <w:spacing w:before="20" w:after="20" w:line="240" w:lineRule="auto"/>
              <w:jc w:val="left"/>
            </w:pPr>
            <w:r>
              <w:rPr>
                <w:rFonts w:ascii="Liberation Sans Narrow" w:hAnsi="Liberation Sans Narrow"/>
                <w:b w:val="0"/>
                <w:sz w:val="17"/>
              </w:rPr>
              <w:t xml:space="preserve">Art. 914</w:t>
            </w:r>
          </w:p>
        </w:tc>
        <w:tc>
          <w:tcPr>
            <w:tcW w:type="dxa" w:w="797"/>
          </w:tcPr>
          <w:p>
            <w:pPr>
              <w:pStyle w:val="Compact"/>
              <w:spacing w:before="20" w:after="20" w:line="240" w:lineRule="auto"/>
              <w:jc w:val="right"/>
            </w:pPr>
            <w:r>
              <w:rPr>
                <w:rFonts w:ascii="Liberation Sans Narrow" w:hAnsi="Liberation Sans Narrow"/>
                <w:b/>
                <w:sz w:val="17"/>
              </w:rPr>
              <w:t xml:space="preserve">162</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348</w:t>
            </w:r>
          </w:p>
        </w:tc>
        <w:tc>
          <w:tcPr>
            <w:tcW w:type="dxa" w:w="797"/>
          </w:tcPr>
          <w:p>
            <w:pPr>
              <w:pStyle w:val="Compact"/>
              <w:spacing w:before="20" w:after="20" w:line="240" w:lineRule="auto"/>
              <w:jc w:val="right"/>
            </w:pPr>
            <w:r>
              <w:rPr>
                <w:rFonts w:ascii="Liberation Sans Narrow" w:hAnsi="Liberation Sans Narrow"/>
                <w:b/>
                <w:sz w:val="17"/>
              </w:rPr>
              <w:t xml:space="preserve">32</w:t>
            </w:r>
          </w:p>
        </w:tc>
        <w:tc>
          <w:tcPr>
            <w:tcW w:type="dxa" w:w="1754"/>
          </w:tcPr>
          <w:p>
            <w:pPr>
              <w:pStyle w:val="Compact"/>
              <w:spacing w:before="20" w:after="20" w:line="240" w:lineRule="auto"/>
              <w:jc w:val="left"/>
            </w:pPr>
            <w:r>
              <w:rPr>
                <w:rFonts w:ascii="Liberation Sans Narrow" w:hAnsi="Liberation Sans Narrow"/>
                <w:b w:val="0"/>
                <w:sz w:val="17"/>
              </w:rPr>
              <w:t xml:space="preserve">Art. 537</w:t>
            </w:r>
          </w:p>
        </w:tc>
        <w:tc>
          <w:tcPr>
            <w:tcW w:type="dxa" w:w="797"/>
          </w:tcPr>
          <w:p>
            <w:pPr>
              <w:pStyle w:val="Compact"/>
              <w:spacing w:before="20" w:after="20" w:line="240" w:lineRule="auto"/>
              <w:jc w:val="right"/>
            </w:pPr>
            <w:r>
              <w:rPr>
                <w:rFonts w:ascii="Liberation Sans Narrow" w:hAnsi="Liberation Sans Narrow"/>
                <w:b/>
                <w:sz w:val="17"/>
              </w:rPr>
              <w:t xml:space="preserve">87</w:t>
            </w:r>
          </w:p>
        </w:tc>
        <w:tc>
          <w:tcPr>
            <w:tcW w:type="dxa" w:w="1754"/>
          </w:tcPr>
          <w:p>
            <w:pPr>
              <w:pStyle w:val="Compact"/>
              <w:spacing w:before="20" w:after="20" w:line="240" w:lineRule="auto"/>
              <w:jc w:val="left"/>
            </w:pPr>
            <w:r>
              <w:rPr>
                <w:rFonts w:ascii="Liberation Sans Narrow" w:hAnsi="Liberation Sans Narrow"/>
                <w:b w:val="0"/>
                <w:sz w:val="17"/>
              </w:rPr>
              <w:t xml:space="preserve">Art. 726</w:t>
            </w:r>
          </w:p>
        </w:tc>
        <w:tc>
          <w:tcPr>
            <w:tcW w:type="dxa" w:w="797"/>
          </w:tcPr>
          <w:p>
            <w:pPr>
              <w:pStyle w:val="Compact"/>
              <w:spacing w:before="20" w:after="20" w:line="240" w:lineRule="auto"/>
              <w:jc w:val="right"/>
            </w:pPr>
            <w:r>
              <w:rPr>
                <w:rFonts w:ascii="Liberation Sans Narrow" w:hAnsi="Liberation Sans Narrow"/>
                <w:b/>
                <w:sz w:val="17"/>
              </w:rPr>
              <w:t xml:space="preserve">123</w:t>
            </w:r>
          </w:p>
        </w:tc>
        <w:tc>
          <w:tcPr>
            <w:tcW w:type="dxa" w:w="1754"/>
          </w:tcPr>
          <w:p>
            <w:pPr>
              <w:pStyle w:val="Compact"/>
              <w:spacing w:before="20" w:after="20" w:line="240" w:lineRule="auto"/>
              <w:jc w:val="left"/>
            </w:pPr>
            <w:r>
              <w:rPr>
                <w:rFonts w:ascii="Liberation Sans Narrow" w:hAnsi="Liberation Sans Narrow"/>
                <w:b w:val="0"/>
                <w:sz w:val="17"/>
              </w:rPr>
              <w:t xml:space="preserve">Art. 915</w:t>
            </w:r>
          </w:p>
        </w:tc>
        <w:tc>
          <w:tcPr>
            <w:tcW w:type="dxa" w:w="797"/>
          </w:tcPr>
          <w:p>
            <w:pPr>
              <w:pStyle w:val="Compact"/>
              <w:spacing w:before="20" w:after="20" w:line="240" w:lineRule="auto"/>
              <w:jc w:val="right"/>
            </w:pPr>
            <w:r>
              <w:rPr>
                <w:rFonts w:ascii="Liberation Sans Narrow" w:hAnsi="Liberation Sans Narrow"/>
                <w:b/>
                <w:sz w:val="17"/>
              </w:rPr>
              <w:t xml:space="preserve">162</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349</w:t>
            </w:r>
          </w:p>
        </w:tc>
        <w:tc>
          <w:tcPr>
            <w:tcW w:type="dxa" w:w="797"/>
          </w:tcPr>
          <w:p>
            <w:pPr>
              <w:pStyle w:val="Compact"/>
              <w:spacing w:before="20" w:after="20" w:line="240" w:lineRule="auto"/>
              <w:jc w:val="right"/>
            </w:pPr>
            <w:r>
              <w:rPr>
                <w:rFonts w:ascii="Liberation Sans Narrow" w:hAnsi="Liberation Sans Narrow"/>
                <w:b/>
                <w:sz w:val="17"/>
              </w:rPr>
              <w:t xml:space="preserve">32</w:t>
            </w:r>
          </w:p>
        </w:tc>
        <w:tc>
          <w:tcPr>
            <w:tcW w:type="dxa" w:w="1754"/>
          </w:tcPr>
          <w:p>
            <w:pPr>
              <w:pStyle w:val="Compact"/>
              <w:spacing w:before="20" w:after="20" w:line="240" w:lineRule="auto"/>
              <w:jc w:val="left"/>
            </w:pPr>
            <w:r>
              <w:rPr>
                <w:rFonts w:ascii="Liberation Sans Narrow" w:hAnsi="Liberation Sans Narrow"/>
                <w:b w:val="0"/>
                <w:sz w:val="17"/>
              </w:rPr>
              <w:t xml:space="preserve">Art. 538</w:t>
            </w:r>
          </w:p>
        </w:tc>
        <w:tc>
          <w:tcPr>
            <w:tcW w:type="dxa" w:w="797"/>
          </w:tcPr>
          <w:p>
            <w:pPr>
              <w:pStyle w:val="Compact"/>
              <w:spacing w:before="20" w:after="20" w:line="240" w:lineRule="auto"/>
              <w:jc w:val="right"/>
            </w:pPr>
            <w:r>
              <w:rPr>
                <w:rFonts w:ascii="Liberation Sans Narrow" w:hAnsi="Liberation Sans Narrow"/>
                <w:b/>
                <w:sz w:val="17"/>
              </w:rPr>
              <w:t xml:space="preserve">88</w:t>
            </w:r>
          </w:p>
        </w:tc>
        <w:tc>
          <w:tcPr>
            <w:tcW w:type="dxa" w:w="1754"/>
          </w:tcPr>
          <w:p>
            <w:pPr>
              <w:pStyle w:val="Compact"/>
              <w:spacing w:before="20" w:after="20" w:line="240" w:lineRule="auto"/>
              <w:jc w:val="left"/>
            </w:pPr>
            <w:r>
              <w:rPr>
                <w:rFonts w:ascii="Liberation Sans Narrow" w:hAnsi="Liberation Sans Narrow"/>
                <w:b w:val="0"/>
                <w:sz w:val="17"/>
              </w:rPr>
              <w:t xml:space="preserve">Art. 727</w:t>
            </w:r>
          </w:p>
        </w:tc>
        <w:tc>
          <w:tcPr>
            <w:tcW w:type="dxa" w:w="797"/>
          </w:tcPr>
          <w:p>
            <w:pPr>
              <w:pStyle w:val="Compact"/>
              <w:spacing w:before="20" w:after="20" w:line="240" w:lineRule="auto"/>
              <w:jc w:val="right"/>
            </w:pPr>
            <w:r>
              <w:rPr>
                <w:rFonts w:ascii="Liberation Sans Narrow" w:hAnsi="Liberation Sans Narrow"/>
                <w:b/>
                <w:sz w:val="17"/>
              </w:rPr>
              <w:t xml:space="preserve">123</w:t>
            </w:r>
          </w:p>
        </w:tc>
        <w:tc>
          <w:tcPr>
            <w:tcW w:type="dxa" w:w="1754"/>
          </w:tcPr>
          <w:p>
            <w:pPr>
              <w:pStyle w:val="Compact"/>
              <w:spacing w:before="20" w:after="20" w:line="240" w:lineRule="auto"/>
              <w:jc w:val="left"/>
            </w:pPr>
            <w:r>
              <w:rPr>
                <w:rFonts w:ascii="Liberation Sans Narrow" w:hAnsi="Liberation Sans Narrow"/>
                <w:b w:val="0"/>
                <w:sz w:val="17"/>
              </w:rPr>
              <w:t xml:space="preserve">Art. 916</w:t>
            </w:r>
          </w:p>
        </w:tc>
        <w:tc>
          <w:tcPr>
            <w:tcW w:type="dxa" w:w="797"/>
          </w:tcPr>
          <w:p>
            <w:pPr>
              <w:pStyle w:val="Compact"/>
              <w:spacing w:before="20" w:after="20" w:line="240" w:lineRule="auto"/>
              <w:jc w:val="right"/>
            </w:pPr>
            <w:r>
              <w:rPr>
                <w:rFonts w:ascii="Liberation Sans Narrow" w:hAnsi="Liberation Sans Narrow"/>
                <w:b/>
                <w:sz w:val="17"/>
              </w:rPr>
              <w:t xml:space="preserve">162</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350</w:t>
            </w:r>
          </w:p>
        </w:tc>
        <w:tc>
          <w:tcPr>
            <w:tcW w:type="dxa" w:w="797"/>
          </w:tcPr>
          <w:p>
            <w:pPr>
              <w:pStyle w:val="Compact"/>
              <w:spacing w:before="20" w:after="20" w:line="240" w:lineRule="auto"/>
              <w:jc w:val="right"/>
            </w:pPr>
            <w:r>
              <w:rPr>
                <w:rFonts w:ascii="Liberation Sans Narrow" w:hAnsi="Liberation Sans Narrow"/>
                <w:b/>
                <w:sz w:val="17"/>
              </w:rPr>
              <w:t xml:space="preserve">32</w:t>
            </w:r>
          </w:p>
        </w:tc>
        <w:tc>
          <w:tcPr>
            <w:tcW w:type="dxa" w:w="1754"/>
          </w:tcPr>
          <w:p>
            <w:pPr>
              <w:pStyle w:val="Compact"/>
              <w:spacing w:before="20" w:after="20" w:line="240" w:lineRule="auto"/>
              <w:jc w:val="left"/>
            </w:pPr>
            <w:r>
              <w:rPr>
                <w:rFonts w:ascii="Liberation Sans Narrow" w:hAnsi="Liberation Sans Narrow"/>
                <w:b w:val="0"/>
                <w:sz w:val="17"/>
              </w:rPr>
              <w:t xml:space="preserve">Art. 539</w:t>
            </w:r>
          </w:p>
        </w:tc>
        <w:tc>
          <w:tcPr>
            <w:tcW w:type="dxa" w:w="797"/>
          </w:tcPr>
          <w:p>
            <w:pPr>
              <w:pStyle w:val="Compact"/>
              <w:spacing w:before="20" w:after="20" w:line="240" w:lineRule="auto"/>
              <w:jc w:val="right"/>
            </w:pPr>
            <w:r>
              <w:rPr>
                <w:rFonts w:ascii="Liberation Sans Narrow" w:hAnsi="Liberation Sans Narrow"/>
                <w:b/>
                <w:sz w:val="17"/>
              </w:rPr>
              <w:t xml:space="preserve">88</w:t>
            </w:r>
          </w:p>
        </w:tc>
        <w:tc>
          <w:tcPr>
            <w:tcW w:type="dxa" w:w="1754"/>
          </w:tcPr>
          <w:p>
            <w:pPr>
              <w:pStyle w:val="Compact"/>
              <w:spacing w:before="20" w:after="20" w:line="240" w:lineRule="auto"/>
              <w:jc w:val="left"/>
            </w:pPr>
            <w:r>
              <w:rPr>
                <w:rFonts w:ascii="Liberation Sans Narrow" w:hAnsi="Liberation Sans Narrow"/>
                <w:b w:val="0"/>
                <w:sz w:val="17"/>
              </w:rPr>
              <w:t xml:space="preserve">Art. 728</w:t>
            </w:r>
          </w:p>
        </w:tc>
        <w:tc>
          <w:tcPr>
            <w:tcW w:type="dxa" w:w="797"/>
          </w:tcPr>
          <w:p>
            <w:pPr>
              <w:pStyle w:val="Compact"/>
              <w:spacing w:before="20" w:after="20" w:line="240" w:lineRule="auto"/>
              <w:jc w:val="right"/>
            </w:pPr>
            <w:r>
              <w:rPr>
                <w:rFonts w:ascii="Liberation Sans Narrow" w:hAnsi="Liberation Sans Narrow"/>
                <w:b/>
                <w:sz w:val="17"/>
              </w:rPr>
              <w:t xml:space="preserve">123</w:t>
            </w:r>
          </w:p>
        </w:tc>
        <w:tc>
          <w:tcPr>
            <w:tcW w:type="dxa" w:w="1754"/>
          </w:tcPr>
          <w:p>
            <w:pPr>
              <w:pStyle w:val="Compact"/>
              <w:spacing w:before="20" w:after="20" w:line="240" w:lineRule="auto"/>
              <w:jc w:val="left"/>
            </w:pPr>
            <w:r>
              <w:rPr>
                <w:rFonts w:ascii="Liberation Sans Narrow" w:hAnsi="Liberation Sans Narrow"/>
                <w:b w:val="0"/>
                <w:sz w:val="17"/>
              </w:rPr>
              <w:t xml:space="preserve">Art. 917</w:t>
            </w:r>
          </w:p>
        </w:tc>
        <w:tc>
          <w:tcPr>
            <w:tcW w:type="dxa" w:w="797"/>
          </w:tcPr>
          <w:p>
            <w:pPr>
              <w:pStyle w:val="Compact"/>
              <w:spacing w:before="20" w:after="20" w:line="240" w:lineRule="auto"/>
              <w:jc w:val="right"/>
            </w:pPr>
            <w:r>
              <w:rPr>
                <w:rFonts w:ascii="Liberation Sans Narrow" w:hAnsi="Liberation Sans Narrow"/>
                <w:b/>
                <w:sz w:val="17"/>
              </w:rPr>
              <w:t xml:space="preserve">162</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351</w:t>
            </w:r>
          </w:p>
        </w:tc>
        <w:tc>
          <w:tcPr>
            <w:tcW w:type="dxa" w:w="797"/>
          </w:tcPr>
          <w:p>
            <w:pPr>
              <w:pStyle w:val="Compact"/>
              <w:spacing w:before="20" w:after="20" w:line="240" w:lineRule="auto"/>
              <w:jc w:val="right"/>
            </w:pPr>
            <w:r>
              <w:rPr>
                <w:rFonts w:ascii="Liberation Sans Narrow" w:hAnsi="Liberation Sans Narrow"/>
                <w:b/>
                <w:sz w:val="17"/>
              </w:rPr>
              <w:t xml:space="preserve">32</w:t>
            </w:r>
          </w:p>
        </w:tc>
        <w:tc>
          <w:tcPr>
            <w:tcW w:type="dxa" w:w="1754"/>
          </w:tcPr>
          <w:p>
            <w:pPr>
              <w:pStyle w:val="Compact"/>
              <w:spacing w:before="20" w:after="20" w:line="240" w:lineRule="auto"/>
              <w:jc w:val="left"/>
            </w:pPr>
            <w:r>
              <w:rPr>
                <w:rFonts w:ascii="Liberation Sans Narrow" w:hAnsi="Liberation Sans Narrow"/>
                <w:b w:val="0"/>
                <w:sz w:val="17"/>
              </w:rPr>
              <w:t xml:space="preserve">Art. 540</w:t>
            </w:r>
          </w:p>
        </w:tc>
        <w:tc>
          <w:tcPr>
            <w:tcW w:type="dxa" w:w="797"/>
          </w:tcPr>
          <w:p>
            <w:pPr>
              <w:pStyle w:val="Compact"/>
              <w:spacing w:before="20" w:after="20" w:line="240" w:lineRule="auto"/>
              <w:jc w:val="right"/>
            </w:pPr>
            <w:r>
              <w:rPr>
                <w:rFonts w:ascii="Liberation Sans Narrow" w:hAnsi="Liberation Sans Narrow"/>
                <w:b/>
                <w:sz w:val="17"/>
              </w:rPr>
              <w:t xml:space="preserve">88</w:t>
            </w:r>
          </w:p>
        </w:tc>
        <w:tc>
          <w:tcPr>
            <w:tcW w:type="dxa" w:w="1754"/>
          </w:tcPr>
          <w:p>
            <w:pPr>
              <w:pStyle w:val="Compact"/>
              <w:spacing w:before="20" w:after="20" w:line="240" w:lineRule="auto"/>
              <w:jc w:val="left"/>
            </w:pPr>
            <w:r>
              <w:rPr>
                <w:rFonts w:ascii="Liberation Sans Narrow" w:hAnsi="Liberation Sans Narrow"/>
                <w:b w:val="0"/>
                <w:sz w:val="17"/>
              </w:rPr>
              <w:t xml:space="preserve">Art. 729</w:t>
            </w:r>
          </w:p>
        </w:tc>
        <w:tc>
          <w:tcPr>
            <w:tcW w:type="dxa" w:w="797"/>
          </w:tcPr>
          <w:p>
            <w:pPr>
              <w:pStyle w:val="Compact"/>
              <w:spacing w:before="20" w:after="20" w:line="240" w:lineRule="auto"/>
              <w:jc w:val="right"/>
            </w:pPr>
            <w:r>
              <w:rPr>
                <w:rFonts w:ascii="Liberation Sans Narrow" w:hAnsi="Liberation Sans Narrow"/>
                <w:b/>
                <w:sz w:val="17"/>
              </w:rPr>
              <w:t xml:space="preserve">123</w:t>
            </w:r>
          </w:p>
        </w:tc>
        <w:tc>
          <w:tcPr>
            <w:tcW w:type="dxa" w:w="1754"/>
          </w:tcPr>
          <w:p>
            <w:pPr>
              <w:pStyle w:val="Compact"/>
              <w:spacing w:before="20" w:after="20" w:line="240" w:lineRule="auto"/>
              <w:jc w:val="left"/>
            </w:pPr>
            <w:r>
              <w:rPr>
                <w:rFonts w:ascii="Liberation Sans Narrow" w:hAnsi="Liberation Sans Narrow"/>
                <w:b w:val="0"/>
                <w:sz w:val="17"/>
              </w:rPr>
              <w:t xml:space="preserve">Art. 918</w:t>
            </w:r>
          </w:p>
        </w:tc>
        <w:tc>
          <w:tcPr>
            <w:tcW w:type="dxa" w:w="797"/>
          </w:tcPr>
          <w:p>
            <w:pPr>
              <w:pStyle w:val="Compact"/>
              <w:spacing w:before="20" w:after="20" w:line="240" w:lineRule="auto"/>
              <w:jc w:val="right"/>
            </w:pPr>
            <w:r>
              <w:rPr>
                <w:rFonts w:ascii="Liberation Sans Narrow" w:hAnsi="Liberation Sans Narrow"/>
                <w:b/>
                <w:sz w:val="17"/>
              </w:rPr>
              <w:t xml:space="preserve">163</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352</w:t>
            </w:r>
          </w:p>
        </w:tc>
        <w:tc>
          <w:tcPr>
            <w:tcW w:type="dxa" w:w="797"/>
          </w:tcPr>
          <w:p>
            <w:pPr>
              <w:pStyle w:val="Compact"/>
              <w:spacing w:before="20" w:after="20" w:line="240" w:lineRule="auto"/>
              <w:jc w:val="right"/>
            </w:pPr>
            <w:r>
              <w:rPr>
                <w:rFonts w:ascii="Liberation Sans Narrow" w:hAnsi="Liberation Sans Narrow"/>
                <w:b/>
                <w:sz w:val="17"/>
              </w:rPr>
              <w:t xml:space="preserve">33</w:t>
            </w:r>
          </w:p>
        </w:tc>
        <w:tc>
          <w:tcPr>
            <w:tcW w:type="dxa" w:w="1754"/>
          </w:tcPr>
          <w:p>
            <w:pPr>
              <w:pStyle w:val="Compact"/>
              <w:spacing w:before="20" w:after="20" w:line="240" w:lineRule="auto"/>
              <w:jc w:val="left"/>
            </w:pPr>
            <w:r>
              <w:rPr>
                <w:rFonts w:ascii="Liberation Sans Narrow" w:hAnsi="Liberation Sans Narrow"/>
                <w:b w:val="0"/>
                <w:sz w:val="17"/>
              </w:rPr>
              <w:t xml:space="preserve">Art. 541</w:t>
            </w:r>
          </w:p>
        </w:tc>
        <w:tc>
          <w:tcPr>
            <w:tcW w:type="dxa" w:w="797"/>
          </w:tcPr>
          <w:p>
            <w:pPr>
              <w:pStyle w:val="Compact"/>
              <w:spacing w:before="20" w:after="20" w:line="240" w:lineRule="auto"/>
              <w:jc w:val="right"/>
            </w:pPr>
            <w:r>
              <w:rPr>
                <w:rFonts w:ascii="Liberation Sans Narrow" w:hAnsi="Liberation Sans Narrow"/>
                <w:b/>
                <w:sz w:val="17"/>
              </w:rPr>
              <w:t xml:space="preserve">88</w:t>
            </w:r>
          </w:p>
        </w:tc>
        <w:tc>
          <w:tcPr>
            <w:tcW w:type="dxa" w:w="1754"/>
          </w:tcPr>
          <w:p>
            <w:pPr>
              <w:pStyle w:val="Compact"/>
              <w:spacing w:before="20" w:after="20" w:line="240" w:lineRule="auto"/>
              <w:jc w:val="left"/>
            </w:pPr>
            <w:r>
              <w:rPr>
                <w:rFonts w:ascii="Liberation Sans Narrow" w:hAnsi="Liberation Sans Narrow"/>
                <w:b w:val="0"/>
                <w:sz w:val="17"/>
              </w:rPr>
              <w:t xml:space="preserve">Art. 730</w:t>
            </w:r>
          </w:p>
        </w:tc>
        <w:tc>
          <w:tcPr>
            <w:tcW w:type="dxa" w:w="797"/>
          </w:tcPr>
          <w:p>
            <w:pPr>
              <w:pStyle w:val="Compact"/>
              <w:spacing w:before="20" w:after="20" w:line="240" w:lineRule="auto"/>
              <w:jc w:val="right"/>
            </w:pPr>
            <w:r>
              <w:rPr>
                <w:rFonts w:ascii="Liberation Sans Narrow" w:hAnsi="Liberation Sans Narrow"/>
                <w:b/>
                <w:sz w:val="17"/>
              </w:rPr>
              <w:t xml:space="preserve">124</w:t>
            </w:r>
          </w:p>
        </w:tc>
        <w:tc>
          <w:tcPr>
            <w:tcW w:type="dxa" w:w="1754"/>
          </w:tcPr>
          <w:p>
            <w:pPr>
              <w:pStyle w:val="Compact"/>
              <w:spacing w:before="20" w:after="20" w:line="240" w:lineRule="auto"/>
              <w:jc w:val="left"/>
            </w:pPr>
            <w:r>
              <w:rPr>
                <w:rFonts w:ascii="Liberation Sans Narrow" w:hAnsi="Liberation Sans Narrow"/>
                <w:b w:val="0"/>
                <w:sz w:val="17"/>
              </w:rPr>
              <w:t xml:space="preserve">Art. 919</w:t>
            </w:r>
          </w:p>
        </w:tc>
        <w:tc>
          <w:tcPr>
            <w:tcW w:type="dxa" w:w="797"/>
          </w:tcPr>
          <w:p>
            <w:pPr>
              <w:pStyle w:val="Compact"/>
              <w:spacing w:before="20" w:after="20" w:line="240" w:lineRule="auto"/>
              <w:jc w:val="right"/>
            </w:pPr>
            <w:r>
              <w:rPr>
                <w:rFonts w:ascii="Liberation Sans Narrow" w:hAnsi="Liberation Sans Narrow"/>
                <w:b/>
                <w:sz w:val="17"/>
              </w:rPr>
              <w:t xml:space="preserve">163</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353</w:t>
            </w:r>
          </w:p>
        </w:tc>
        <w:tc>
          <w:tcPr>
            <w:tcW w:type="dxa" w:w="797"/>
          </w:tcPr>
          <w:p>
            <w:pPr>
              <w:pStyle w:val="Compact"/>
              <w:spacing w:before="20" w:after="20" w:line="240" w:lineRule="auto"/>
              <w:jc w:val="right"/>
            </w:pPr>
            <w:r>
              <w:rPr>
                <w:rFonts w:ascii="Liberation Sans Narrow" w:hAnsi="Liberation Sans Narrow"/>
                <w:b/>
                <w:sz w:val="17"/>
              </w:rPr>
              <w:t xml:space="preserve">33</w:t>
            </w:r>
          </w:p>
        </w:tc>
        <w:tc>
          <w:tcPr>
            <w:tcW w:type="dxa" w:w="1754"/>
          </w:tcPr>
          <w:p>
            <w:pPr>
              <w:pStyle w:val="Compact"/>
              <w:spacing w:before="20" w:after="20" w:line="240" w:lineRule="auto"/>
              <w:jc w:val="left"/>
            </w:pPr>
            <w:r>
              <w:rPr>
                <w:rFonts w:ascii="Liberation Sans Narrow" w:hAnsi="Liberation Sans Narrow"/>
                <w:b w:val="0"/>
                <w:sz w:val="17"/>
              </w:rPr>
              <w:t xml:space="preserve">Art. 542</w:t>
            </w:r>
          </w:p>
        </w:tc>
        <w:tc>
          <w:tcPr>
            <w:tcW w:type="dxa" w:w="797"/>
          </w:tcPr>
          <w:p>
            <w:pPr>
              <w:pStyle w:val="Compact"/>
              <w:spacing w:before="20" w:after="20" w:line="240" w:lineRule="auto"/>
              <w:jc w:val="right"/>
            </w:pPr>
            <w:r>
              <w:rPr>
                <w:rFonts w:ascii="Liberation Sans Narrow" w:hAnsi="Liberation Sans Narrow"/>
                <w:b/>
                <w:sz w:val="17"/>
              </w:rPr>
              <w:t xml:space="preserve">88</w:t>
            </w:r>
          </w:p>
        </w:tc>
        <w:tc>
          <w:tcPr>
            <w:tcW w:type="dxa" w:w="1754"/>
          </w:tcPr>
          <w:p>
            <w:pPr>
              <w:pStyle w:val="Compact"/>
              <w:spacing w:before="20" w:after="20" w:line="240" w:lineRule="auto"/>
              <w:jc w:val="left"/>
            </w:pPr>
            <w:r>
              <w:rPr>
                <w:rFonts w:ascii="Liberation Sans Narrow" w:hAnsi="Liberation Sans Narrow"/>
                <w:b w:val="0"/>
                <w:sz w:val="17"/>
              </w:rPr>
              <w:t xml:space="preserve">Art. 731</w:t>
            </w:r>
          </w:p>
        </w:tc>
        <w:tc>
          <w:tcPr>
            <w:tcW w:type="dxa" w:w="797"/>
          </w:tcPr>
          <w:p>
            <w:pPr>
              <w:pStyle w:val="Compact"/>
              <w:spacing w:before="20" w:after="20" w:line="240" w:lineRule="auto"/>
              <w:jc w:val="right"/>
            </w:pPr>
            <w:r>
              <w:rPr>
                <w:rFonts w:ascii="Liberation Sans Narrow" w:hAnsi="Liberation Sans Narrow"/>
                <w:b/>
                <w:sz w:val="17"/>
              </w:rPr>
              <w:t xml:space="preserve">124</w:t>
            </w:r>
          </w:p>
        </w:tc>
        <w:tc>
          <w:tcPr>
            <w:tcW w:type="dxa" w:w="1754"/>
          </w:tcPr>
          <w:p>
            <w:pPr>
              <w:pStyle w:val="Compact"/>
              <w:spacing w:before="20" w:after="20" w:line="240" w:lineRule="auto"/>
              <w:jc w:val="left"/>
            </w:pPr>
            <w:r>
              <w:rPr>
                <w:rFonts w:ascii="Liberation Sans Narrow" w:hAnsi="Liberation Sans Narrow"/>
                <w:b w:val="0"/>
                <w:sz w:val="17"/>
              </w:rPr>
              <w:t xml:space="preserve">Art. 920</w:t>
            </w:r>
          </w:p>
        </w:tc>
        <w:tc>
          <w:tcPr>
            <w:tcW w:type="dxa" w:w="797"/>
          </w:tcPr>
          <w:p>
            <w:pPr>
              <w:pStyle w:val="Compact"/>
              <w:spacing w:before="20" w:after="20" w:line="240" w:lineRule="auto"/>
              <w:jc w:val="right"/>
            </w:pPr>
            <w:r>
              <w:rPr>
                <w:rFonts w:ascii="Liberation Sans Narrow" w:hAnsi="Liberation Sans Narrow"/>
                <w:b/>
                <w:sz w:val="17"/>
              </w:rPr>
              <w:t xml:space="preserve">164</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354</w:t>
            </w:r>
          </w:p>
        </w:tc>
        <w:tc>
          <w:tcPr>
            <w:tcW w:type="dxa" w:w="797"/>
          </w:tcPr>
          <w:p>
            <w:pPr>
              <w:pStyle w:val="Compact"/>
              <w:spacing w:before="20" w:after="20" w:line="240" w:lineRule="auto"/>
              <w:jc w:val="right"/>
            </w:pPr>
            <w:r>
              <w:rPr>
                <w:rFonts w:ascii="Liberation Sans Narrow" w:hAnsi="Liberation Sans Narrow"/>
                <w:b/>
                <w:sz w:val="17"/>
              </w:rPr>
              <w:t xml:space="preserve">33</w:t>
            </w:r>
          </w:p>
        </w:tc>
        <w:tc>
          <w:tcPr>
            <w:tcW w:type="dxa" w:w="1754"/>
          </w:tcPr>
          <w:p>
            <w:pPr>
              <w:pStyle w:val="Compact"/>
              <w:spacing w:before="20" w:after="20" w:line="240" w:lineRule="auto"/>
              <w:jc w:val="left"/>
            </w:pPr>
            <w:r>
              <w:rPr>
                <w:rFonts w:ascii="Liberation Sans Narrow" w:hAnsi="Liberation Sans Narrow"/>
                <w:b w:val="0"/>
                <w:sz w:val="17"/>
              </w:rPr>
              <w:t xml:space="preserve">Art. 543</w:t>
            </w:r>
          </w:p>
        </w:tc>
        <w:tc>
          <w:tcPr>
            <w:tcW w:type="dxa" w:w="797"/>
          </w:tcPr>
          <w:p>
            <w:pPr>
              <w:pStyle w:val="Compact"/>
              <w:spacing w:before="20" w:after="20" w:line="240" w:lineRule="auto"/>
              <w:jc w:val="right"/>
            </w:pPr>
            <w:r>
              <w:rPr>
                <w:rFonts w:ascii="Liberation Sans Narrow" w:hAnsi="Liberation Sans Narrow"/>
                <w:b/>
                <w:sz w:val="17"/>
              </w:rPr>
              <w:t xml:space="preserve">89</w:t>
            </w:r>
          </w:p>
        </w:tc>
        <w:tc>
          <w:tcPr>
            <w:tcW w:type="dxa" w:w="1754"/>
          </w:tcPr>
          <w:p>
            <w:pPr>
              <w:pStyle w:val="Compact"/>
              <w:spacing w:before="20" w:after="20" w:line="240" w:lineRule="auto"/>
              <w:jc w:val="left"/>
            </w:pPr>
            <w:r>
              <w:rPr>
                <w:rFonts w:ascii="Liberation Sans Narrow" w:hAnsi="Liberation Sans Narrow"/>
                <w:b w:val="0"/>
                <w:sz w:val="17"/>
              </w:rPr>
              <w:t xml:space="preserve">Art. 732</w:t>
            </w:r>
          </w:p>
        </w:tc>
        <w:tc>
          <w:tcPr>
            <w:tcW w:type="dxa" w:w="797"/>
          </w:tcPr>
          <w:p>
            <w:pPr>
              <w:pStyle w:val="Compact"/>
              <w:spacing w:before="20" w:after="20" w:line="240" w:lineRule="auto"/>
              <w:jc w:val="right"/>
            </w:pPr>
            <w:r>
              <w:rPr>
                <w:rFonts w:ascii="Liberation Sans Narrow" w:hAnsi="Liberation Sans Narrow"/>
                <w:b/>
                <w:sz w:val="17"/>
              </w:rPr>
              <w:t xml:space="preserve">124</w:t>
            </w:r>
          </w:p>
        </w:tc>
        <w:tc>
          <w:tcPr>
            <w:tcW w:type="dxa" w:w="1754"/>
          </w:tcPr>
          <w:p>
            <w:pPr>
              <w:pStyle w:val="Compact"/>
              <w:spacing w:before="20" w:after="20" w:line="240" w:lineRule="auto"/>
              <w:jc w:val="left"/>
            </w:pPr>
            <w:r>
              <w:rPr>
                <w:rFonts w:ascii="Liberation Sans Narrow" w:hAnsi="Liberation Sans Narrow"/>
                <w:b w:val="0"/>
                <w:sz w:val="17"/>
              </w:rPr>
              <w:t xml:space="preserve">Art. 921</w:t>
            </w:r>
          </w:p>
        </w:tc>
        <w:tc>
          <w:tcPr>
            <w:tcW w:type="dxa" w:w="797"/>
          </w:tcPr>
          <w:p>
            <w:pPr>
              <w:pStyle w:val="Compact"/>
              <w:spacing w:before="20" w:after="20" w:line="240" w:lineRule="auto"/>
              <w:jc w:val="right"/>
            </w:pPr>
            <w:r>
              <w:rPr>
                <w:rFonts w:ascii="Liberation Sans Narrow" w:hAnsi="Liberation Sans Narrow"/>
                <w:b/>
                <w:sz w:val="17"/>
              </w:rPr>
              <w:t xml:space="preserve">164</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355</w:t>
            </w:r>
          </w:p>
        </w:tc>
        <w:tc>
          <w:tcPr>
            <w:tcW w:type="dxa" w:w="797"/>
          </w:tcPr>
          <w:p>
            <w:pPr>
              <w:pStyle w:val="Compact"/>
              <w:spacing w:before="20" w:after="20" w:line="240" w:lineRule="auto"/>
              <w:jc w:val="right"/>
            </w:pPr>
            <w:r>
              <w:rPr>
                <w:rFonts w:ascii="Liberation Sans Narrow" w:hAnsi="Liberation Sans Narrow"/>
                <w:b/>
                <w:sz w:val="17"/>
              </w:rPr>
              <w:t xml:space="preserve">34</w:t>
            </w:r>
          </w:p>
        </w:tc>
        <w:tc>
          <w:tcPr>
            <w:tcW w:type="dxa" w:w="1754"/>
          </w:tcPr>
          <w:p>
            <w:pPr>
              <w:pStyle w:val="Compact"/>
              <w:spacing w:before="20" w:after="20" w:line="240" w:lineRule="auto"/>
              <w:jc w:val="left"/>
            </w:pPr>
            <w:r>
              <w:rPr>
                <w:rFonts w:ascii="Liberation Sans Narrow" w:hAnsi="Liberation Sans Narrow"/>
                <w:b w:val="0"/>
                <w:sz w:val="17"/>
              </w:rPr>
              <w:t xml:space="preserve">Art. 544</w:t>
            </w:r>
          </w:p>
        </w:tc>
        <w:tc>
          <w:tcPr>
            <w:tcW w:type="dxa" w:w="797"/>
          </w:tcPr>
          <w:p>
            <w:pPr>
              <w:pStyle w:val="Compact"/>
              <w:spacing w:before="20" w:after="20" w:line="240" w:lineRule="auto"/>
              <w:jc w:val="right"/>
            </w:pPr>
            <w:r>
              <w:rPr>
                <w:rFonts w:ascii="Liberation Sans Narrow" w:hAnsi="Liberation Sans Narrow"/>
                <w:b/>
                <w:sz w:val="17"/>
              </w:rPr>
              <w:t xml:space="preserve">89</w:t>
            </w:r>
          </w:p>
        </w:tc>
        <w:tc>
          <w:tcPr>
            <w:tcW w:type="dxa" w:w="1754"/>
          </w:tcPr>
          <w:p>
            <w:pPr>
              <w:pStyle w:val="Compact"/>
              <w:spacing w:before="20" w:after="20" w:line="240" w:lineRule="auto"/>
              <w:jc w:val="left"/>
            </w:pPr>
            <w:r>
              <w:rPr>
                <w:rFonts w:ascii="Liberation Sans Narrow" w:hAnsi="Liberation Sans Narrow"/>
                <w:b w:val="0"/>
                <w:sz w:val="17"/>
              </w:rPr>
              <w:t xml:space="preserve">Art. 733</w:t>
            </w:r>
          </w:p>
        </w:tc>
        <w:tc>
          <w:tcPr>
            <w:tcW w:type="dxa" w:w="797"/>
          </w:tcPr>
          <w:p>
            <w:pPr>
              <w:pStyle w:val="Compact"/>
              <w:spacing w:before="20" w:after="20" w:line="240" w:lineRule="auto"/>
              <w:jc w:val="right"/>
            </w:pPr>
            <w:r>
              <w:rPr>
                <w:rFonts w:ascii="Liberation Sans Narrow" w:hAnsi="Liberation Sans Narrow"/>
                <w:b/>
                <w:sz w:val="17"/>
              </w:rPr>
              <w:t xml:space="preserve">124</w:t>
            </w:r>
          </w:p>
        </w:tc>
        <w:tc>
          <w:tcPr>
            <w:tcW w:type="dxa" w:w="1754"/>
          </w:tcPr>
          <w:p>
            <w:pPr>
              <w:pStyle w:val="Compact"/>
              <w:spacing w:before="20" w:after="20" w:line="240" w:lineRule="auto"/>
              <w:jc w:val="left"/>
            </w:pPr>
            <w:r>
              <w:rPr>
                <w:rFonts w:ascii="Liberation Sans Narrow" w:hAnsi="Liberation Sans Narrow"/>
                <w:b w:val="0"/>
                <w:sz w:val="17"/>
              </w:rPr>
              <w:t xml:space="preserve">Art. 922</w:t>
            </w:r>
          </w:p>
        </w:tc>
        <w:tc>
          <w:tcPr>
            <w:tcW w:type="dxa" w:w="797"/>
          </w:tcPr>
          <w:p>
            <w:pPr>
              <w:pStyle w:val="Compact"/>
              <w:spacing w:before="20" w:after="20" w:line="240" w:lineRule="auto"/>
              <w:jc w:val="right"/>
            </w:pPr>
            <w:r>
              <w:rPr>
                <w:rFonts w:ascii="Liberation Sans Narrow" w:hAnsi="Liberation Sans Narrow"/>
                <w:b/>
                <w:sz w:val="17"/>
              </w:rPr>
              <w:t xml:space="preserve">165</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356</w:t>
            </w:r>
          </w:p>
        </w:tc>
        <w:tc>
          <w:tcPr>
            <w:tcW w:type="dxa" w:w="797"/>
          </w:tcPr>
          <w:p>
            <w:pPr>
              <w:pStyle w:val="Compact"/>
              <w:spacing w:before="20" w:after="20" w:line="240" w:lineRule="auto"/>
              <w:jc w:val="right"/>
            </w:pPr>
            <w:r>
              <w:rPr>
                <w:rFonts w:ascii="Liberation Sans Narrow" w:hAnsi="Liberation Sans Narrow"/>
                <w:b/>
                <w:sz w:val="17"/>
              </w:rPr>
              <w:t xml:space="preserve">34</w:t>
            </w:r>
          </w:p>
        </w:tc>
        <w:tc>
          <w:tcPr>
            <w:tcW w:type="dxa" w:w="1754"/>
          </w:tcPr>
          <w:p>
            <w:pPr>
              <w:pStyle w:val="Compact"/>
              <w:spacing w:before="20" w:after="20" w:line="240" w:lineRule="auto"/>
              <w:jc w:val="left"/>
            </w:pPr>
            <w:r>
              <w:rPr>
                <w:rFonts w:ascii="Liberation Sans Narrow" w:hAnsi="Liberation Sans Narrow"/>
                <w:b w:val="0"/>
                <w:sz w:val="17"/>
              </w:rPr>
              <w:t xml:space="preserve">Art. 545</w:t>
            </w:r>
          </w:p>
        </w:tc>
        <w:tc>
          <w:tcPr>
            <w:tcW w:type="dxa" w:w="797"/>
          </w:tcPr>
          <w:p>
            <w:pPr>
              <w:pStyle w:val="Compact"/>
              <w:spacing w:before="20" w:after="20" w:line="240" w:lineRule="auto"/>
              <w:jc w:val="right"/>
            </w:pPr>
            <w:r>
              <w:rPr>
                <w:rFonts w:ascii="Liberation Sans Narrow" w:hAnsi="Liberation Sans Narrow"/>
                <w:b/>
                <w:sz w:val="17"/>
              </w:rPr>
              <w:t xml:space="preserve">89</w:t>
            </w:r>
          </w:p>
        </w:tc>
        <w:tc>
          <w:tcPr>
            <w:tcW w:type="dxa" w:w="1754"/>
          </w:tcPr>
          <w:p>
            <w:pPr>
              <w:pStyle w:val="Compact"/>
              <w:spacing w:before="20" w:after="20" w:line="240" w:lineRule="auto"/>
              <w:jc w:val="left"/>
            </w:pPr>
            <w:r>
              <w:rPr>
                <w:rFonts w:ascii="Liberation Sans Narrow" w:hAnsi="Liberation Sans Narrow"/>
                <w:b w:val="0"/>
                <w:sz w:val="17"/>
              </w:rPr>
              <w:t xml:space="preserve">Art. 734</w:t>
            </w:r>
          </w:p>
        </w:tc>
        <w:tc>
          <w:tcPr>
            <w:tcW w:type="dxa" w:w="797"/>
          </w:tcPr>
          <w:p>
            <w:pPr>
              <w:pStyle w:val="Compact"/>
              <w:spacing w:before="20" w:after="20" w:line="240" w:lineRule="auto"/>
              <w:jc w:val="right"/>
            </w:pPr>
            <w:r>
              <w:rPr>
                <w:rFonts w:ascii="Liberation Sans Narrow" w:hAnsi="Liberation Sans Narrow"/>
                <w:b/>
                <w:sz w:val="17"/>
              </w:rPr>
              <w:t xml:space="preserve">125</w:t>
            </w:r>
          </w:p>
        </w:tc>
        <w:tc>
          <w:tcPr>
            <w:tcW w:type="dxa" w:w="1754"/>
          </w:tcPr>
          <w:p>
            <w:pPr>
              <w:pStyle w:val="Compact"/>
              <w:spacing w:before="20" w:after="20" w:line="240" w:lineRule="auto"/>
              <w:jc w:val="left"/>
            </w:pPr>
            <w:r>
              <w:rPr>
                <w:rFonts w:ascii="Liberation Sans Narrow" w:hAnsi="Liberation Sans Narrow"/>
                <w:b w:val="0"/>
                <w:sz w:val="17"/>
              </w:rPr>
              <w:t xml:space="preserve">Art. 923</w:t>
            </w:r>
          </w:p>
        </w:tc>
        <w:tc>
          <w:tcPr>
            <w:tcW w:type="dxa" w:w="797"/>
          </w:tcPr>
          <w:p>
            <w:pPr>
              <w:pStyle w:val="Compact"/>
              <w:spacing w:before="20" w:after="20" w:line="240" w:lineRule="auto"/>
              <w:jc w:val="right"/>
            </w:pPr>
            <w:r>
              <w:rPr>
                <w:rFonts w:ascii="Liberation Sans Narrow" w:hAnsi="Liberation Sans Narrow"/>
                <w:b/>
                <w:sz w:val="17"/>
              </w:rPr>
              <w:t xml:space="preserve">165</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357</w:t>
            </w:r>
          </w:p>
        </w:tc>
        <w:tc>
          <w:tcPr>
            <w:tcW w:type="dxa" w:w="797"/>
          </w:tcPr>
          <w:p>
            <w:pPr>
              <w:pStyle w:val="Compact"/>
              <w:spacing w:before="20" w:after="20" w:line="240" w:lineRule="auto"/>
              <w:jc w:val="right"/>
            </w:pPr>
            <w:r>
              <w:rPr>
                <w:rFonts w:ascii="Liberation Sans Narrow" w:hAnsi="Liberation Sans Narrow"/>
                <w:b/>
                <w:sz w:val="17"/>
              </w:rPr>
              <w:t xml:space="preserve">34</w:t>
            </w:r>
          </w:p>
        </w:tc>
        <w:tc>
          <w:tcPr>
            <w:tcW w:type="dxa" w:w="1754"/>
          </w:tcPr>
          <w:p>
            <w:pPr>
              <w:pStyle w:val="Compact"/>
              <w:spacing w:before="20" w:after="20" w:line="240" w:lineRule="auto"/>
              <w:jc w:val="left"/>
            </w:pPr>
            <w:r>
              <w:rPr>
                <w:rFonts w:ascii="Liberation Sans Narrow" w:hAnsi="Liberation Sans Narrow"/>
                <w:b w:val="0"/>
                <w:sz w:val="17"/>
              </w:rPr>
              <w:t xml:space="preserve">Art. 546</w:t>
            </w:r>
          </w:p>
        </w:tc>
        <w:tc>
          <w:tcPr>
            <w:tcW w:type="dxa" w:w="797"/>
          </w:tcPr>
          <w:p>
            <w:pPr>
              <w:pStyle w:val="Compact"/>
              <w:spacing w:before="20" w:after="20" w:line="240" w:lineRule="auto"/>
              <w:jc w:val="right"/>
            </w:pPr>
            <w:r>
              <w:rPr>
                <w:rFonts w:ascii="Liberation Sans Narrow" w:hAnsi="Liberation Sans Narrow"/>
                <w:b/>
                <w:sz w:val="17"/>
              </w:rPr>
              <w:t xml:space="preserve">90</w:t>
            </w:r>
          </w:p>
        </w:tc>
        <w:tc>
          <w:tcPr>
            <w:tcW w:type="dxa" w:w="1754"/>
          </w:tcPr>
          <w:p>
            <w:pPr>
              <w:pStyle w:val="Compact"/>
              <w:spacing w:before="20" w:after="20" w:line="240" w:lineRule="auto"/>
              <w:jc w:val="left"/>
            </w:pPr>
            <w:r>
              <w:rPr>
                <w:rFonts w:ascii="Liberation Sans Narrow" w:hAnsi="Liberation Sans Narrow"/>
                <w:b w:val="0"/>
                <w:sz w:val="17"/>
              </w:rPr>
              <w:t xml:space="preserve">Art. 735</w:t>
            </w:r>
          </w:p>
        </w:tc>
        <w:tc>
          <w:tcPr>
            <w:tcW w:type="dxa" w:w="797"/>
          </w:tcPr>
          <w:p>
            <w:pPr>
              <w:pStyle w:val="Compact"/>
              <w:spacing w:before="20" w:after="20" w:line="240" w:lineRule="auto"/>
              <w:jc w:val="right"/>
            </w:pPr>
            <w:r>
              <w:rPr>
                <w:rFonts w:ascii="Liberation Sans Narrow" w:hAnsi="Liberation Sans Narrow"/>
                <w:b/>
                <w:sz w:val="17"/>
              </w:rPr>
              <w:t xml:space="preserve">125</w:t>
            </w:r>
          </w:p>
        </w:tc>
        <w:tc>
          <w:tcPr>
            <w:tcW w:type="dxa" w:w="1754"/>
          </w:tcPr>
          <w:p>
            <w:pPr>
              <w:pStyle w:val="Compact"/>
              <w:spacing w:before="20" w:after="20" w:line="240" w:lineRule="auto"/>
              <w:jc w:val="left"/>
            </w:pPr>
            <w:r>
              <w:rPr>
                <w:rFonts w:ascii="Liberation Sans Narrow" w:hAnsi="Liberation Sans Narrow"/>
                <w:b w:val="0"/>
                <w:sz w:val="17"/>
              </w:rPr>
              <w:t xml:space="preserve">Art. 924</w:t>
            </w:r>
          </w:p>
        </w:tc>
        <w:tc>
          <w:tcPr>
            <w:tcW w:type="dxa" w:w="797"/>
          </w:tcPr>
          <w:p>
            <w:pPr>
              <w:pStyle w:val="Compact"/>
              <w:spacing w:before="20" w:after="20" w:line="240" w:lineRule="auto"/>
              <w:jc w:val="right"/>
            </w:pPr>
            <w:r>
              <w:rPr>
                <w:rFonts w:ascii="Liberation Sans Narrow" w:hAnsi="Liberation Sans Narrow"/>
                <w:b/>
                <w:sz w:val="17"/>
              </w:rPr>
              <w:t xml:space="preserve">165</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358</w:t>
            </w:r>
          </w:p>
        </w:tc>
        <w:tc>
          <w:tcPr>
            <w:tcW w:type="dxa" w:w="797"/>
          </w:tcPr>
          <w:p>
            <w:pPr>
              <w:pStyle w:val="Compact"/>
              <w:spacing w:before="20" w:after="20" w:line="240" w:lineRule="auto"/>
              <w:jc w:val="right"/>
            </w:pPr>
            <w:r>
              <w:rPr>
                <w:rFonts w:ascii="Liberation Sans Narrow" w:hAnsi="Liberation Sans Narrow"/>
                <w:b/>
                <w:sz w:val="17"/>
              </w:rPr>
              <w:t xml:space="preserve">35</w:t>
            </w:r>
          </w:p>
        </w:tc>
        <w:tc>
          <w:tcPr>
            <w:tcW w:type="dxa" w:w="1754"/>
          </w:tcPr>
          <w:p>
            <w:pPr>
              <w:pStyle w:val="Compact"/>
              <w:spacing w:before="20" w:after="20" w:line="240" w:lineRule="auto"/>
              <w:jc w:val="left"/>
            </w:pPr>
            <w:r>
              <w:rPr>
                <w:rFonts w:ascii="Liberation Sans Narrow" w:hAnsi="Liberation Sans Narrow"/>
                <w:b w:val="0"/>
                <w:sz w:val="17"/>
              </w:rPr>
              <w:t xml:space="preserve">Art. 547</w:t>
            </w:r>
          </w:p>
        </w:tc>
        <w:tc>
          <w:tcPr>
            <w:tcW w:type="dxa" w:w="797"/>
          </w:tcPr>
          <w:p>
            <w:pPr>
              <w:pStyle w:val="Compact"/>
              <w:spacing w:before="20" w:after="20" w:line="240" w:lineRule="auto"/>
              <w:jc w:val="right"/>
            </w:pPr>
            <w:r>
              <w:rPr>
                <w:rFonts w:ascii="Liberation Sans Narrow" w:hAnsi="Liberation Sans Narrow"/>
                <w:b/>
                <w:sz w:val="17"/>
              </w:rPr>
              <w:t xml:space="preserve">90</w:t>
            </w:r>
          </w:p>
        </w:tc>
        <w:tc>
          <w:tcPr>
            <w:tcW w:type="dxa" w:w="1754"/>
          </w:tcPr>
          <w:p>
            <w:pPr>
              <w:pStyle w:val="Compact"/>
              <w:spacing w:before="20" w:after="20" w:line="240" w:lineRule="auto"/>
              <w:jc w:val="left"/>
            </w:pPr>
            <w:r>
              <w:rPr>
                <w:rFonts w:ascii="Liberation Sans Narrow" w:hAnsi="Liberation Sans Narrow"/>
                <w:b w:val="0"/>
                <w:sz w:val="17"/>
              </w:rPr>
              <w:t xml:space="preserve">Art. 736</w:t>
            </w:r>
          </w:p>
        </w:tc>
        <w:tc>
          <w:tcPr>
            <w:tcW w:type="dxa" w:w="797"/>
          </w:tcPr>
          <w:p>
            <w:pPr>
              <w:pStyle w:val="Compact"/>
              <w:spacing w:before="20" w:after="20" w:line="240" w:lineRule="auto"/>
              <w:jc w:val="right"/>
            </w:pPr>
            <w:r>
              <w:rPr>
                <w:rFonts w:ascii="Liberation Sans Narrow" w:hAnsi="Liberation Sans Narrow"/>
                <w:b/>
                <w:sz w:val="17"/>
              </w:rPr>
              <w:t xml:space="preserve">125</w:t>
            </w:r>
          </w:p>
        </w:tc>
        <w:tc>
          <w:tcPr>
            <w:tcW w:type="dxa" w:w="1754"/>
          </w:tcPr>
          <w:p>
            <w:pPr>
              <w:pStyle w:val="Compact"/>
              <w:spacing w:before="20" w:after="20" w:line="240" w:lineRule="auto"/>
              <w:jc w:val="left"/>
            </w:pPr>
            <w:r>
              <w:rPr>
                <w:rFonts w:ascii="Liberation Sans Narrow" w:hAnsi="Liberation Sans Narrow"/>
                <w:b w:val="0"/>
                <w:sz w:val="17"/>
              </w:rPr>
              <w:t xml:space="preserve">Art. 925</w:t>
            </w:r>
          </w:p>
        </w:tc>
        <w:tc>
          <w:tcPr>
            <w:tcW w:type="dxa" w:w="797"/>
          </w:tcPr>
          <w:p>
            <w:pPr>
              <w:pStyle w:val="Compact"/>
              <w:spacing w:before="20" w:after="20" w:line="240" w:lineRule="auto"/>
              <w:jc w:val="right"/>
            </w:pPr>
            <w:r>
              <w:rPr>
                <w:rFonts w:ascii="Liberation Sans Narrow" w:hAnsi="Liberation Sans Narrow"/>
                <w:b/>
                <w:sz w:val="17"/>
              </w:rPr>
              <w:t xml:space="preserve">165</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359</w:t>
            </w:r>
          </w:p>
        </w:tc>
        <w:tc>
          <w:tcPr>
            <w:tcW w:type="dxa" w:w="797"/>
          </w:tcPr>
          <w:p>
            <w:pPr>
              <w:pStyle w:val="Compact"/>
              <w:spacing w:before="20" w:after="20" w:line="240" w:lineRule="auto"/>
              <w:jc w:val="right"/>
            </w:pPr>
            <w:r>
              <w:rPr>
                <w:rFonts w:ascii="Liberation Sans Narrow" w:hAnsi="Liberation Sans Narrow"/>
                <w:b/>
                <w:sz w:val="17"/>
              </w:rPr>
              <w:t xml:space="preserve">35</w:t>
            </w:r>
          </w:p>
        </w:tc>
        <w:tc>
          <w:tcPr>
            <w:tcW w:type="dxa" w:w="1754"/>
          </w:tcPr>
          <w:p>
            <w:pPr>
              <w:pStyle w:val="Compact"/>
              <w:spacing w:before="20" w:after="20" w:line="240" w:lineRule="auto"/>
              <w:jc w:val="left"/>
            </w:pPr>
            <w:r>
              <w:rPr>
                <w:rFonts w:ascii="Liberation Sans Narrow" w:hAnsi="Liberation Sans Narrow"/>
                <w:b w:val="0"/>
                <w:sz w:val="17"/>
              </w:rPr>
              <w:t xml:space="preserve">Art. 548</w:t>
            </w:r>
          </w:p>
        </w:tc>
        <w:tc>
          <w:tcPr>
            <w:tcW w:type="dxa" w:w="797"/>
          </w:tcPr>
          <w:p>
            <w:pPr>
              <w:pStyle w:val="Compact"/>
              <w:spacing w:before="20" w:after="20" w:line="240" w:lineRule="auto"/>
              <w:jc w:val="right"/>
            </w:pPr>
            <w:r>
              <w:rPr>
                <w:rFonts w:ascii="Liberation Sans Narrow" w:hAnsi="Liberation Sans Narrow"/>
                <w:b/>
                <w:sz w:val="17"/>
              </w:rPr>
              <w:t xml:space="preserve">90</w:t>
            </w:r>
          </w:p>
        </w:tc>
        <w:tc>
          <w:tcPr>
            <w:tcW w:type="dxa" w:w="1754"/>
          </w:tcPr>
          <w:p>
            <w:pPr>
              <w:pStyle w:val="Compact"/>
              <w:spacing w:before="20" w:after="20" w:line="240" w:lineRule="auto"/>
              <w:jc w:val="left"/>
            </w:pPr>
            <w:r>
              <w:rPr>
                <w:rFonts w:ascii="Liberation Sans Narrow" w:hAnsi="Liberation Sans Narrow"/>
                <w:b w:val="0"/>
                <w:sz w:val="17"/>
              </w:rPr>
              <w:t xml:space="preserve">Art. 737</w:t>
            </w:r>
          </w:p>
        </w:tc>
        <w:tc>
          <w:tcPr>
            <w:tcW w:type="dxa" w:w="797"/>
          </w:tcPr>
          <w:p>
            <w:pPr>
              <w:pStyle w:val="Compact"/>
              <w:spacing w:before="20" w:after="20" w:line="240" w:lineRule="auto"/>
              <w:jc w:val="right"/>
            </w:pPr>
            <w:r>
              <w:rPr>
                <w:rFonts w:ascii="Liberation Sans Narrow" w:hAnsi="Liberation Sans Narrow"/>
                <w:b/>
                <w:sz w:val="17"/>
              </w:rPr>
              <w:t xml:space="preserve">125</w:t>
            </w:r>
          </w:p>
        </w:tc>
        <w:tc>
          <w:tcPr>
            <w:tcW w:type="dxa" w:w="1754"/>
          </w:tcPr>
          <w:p>
            <w:pPr>
              <w:pStyle w:val="Compact"/>
              <w:spacing w:before="20" w:after="20" w:line="240" w:lineRule="auto"/>
              <w:jc w:val="left"/>
            </w:pPr>
            <w:r>
              <w:rPr>
                <w:rFonts w:ascii="Liberation Sans Narrow" w:hAnsi="Liberation Sans Narrow"/>
                <w:b w:val="0"/>
                <w:sz w:val="17"/>
              </w:rPr>
              <w:t xml:space="preserve">Art. 926</w:t>
            </w:r>
          </w:p>
        </w:tc>
        <w:tc>
          <w:tcPr>
            <w:tcW w:type="dxa" w:w="797"/>
          </w:tcPr>
          <w:p>
            <w:pPr>
              <w:pStyle w:val="Compact"/>
              <w:spacing w:before="20" w:after="20" w:line="240" w:lineRule="auto"/>
              <w:jc w:val="right"/>
            </w:pPr>
            <w:r>
              <w:rPr>
                <w:rFonts w:ascii="Liberation Sans Narrow" w:hAnsi="Liberation Sans Narrow"/>
                <w:b/>
                <w:sz w:val="17"/>
              </w:rPr>
              <w:t xml:space="preserve">166</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360</w:t>
            </w:r>
          </w:p>
        </w:tc>
        <w:tc>
          <w:tcPr>
            <w:tcW w:type="dxa" w:w="797"/>
          </w:tcPr>
          <w:p>
            <w:pPr>
              <w:pStyle w:val="Compact"/>
              <w:spacing w:before="20" w:after="20" w:line="240" w:lineRule="auto"/>
              <w:jc w:val="right"/>
            </w:pPr>
            <w:r>
              <w:rPr>
                <w:rFonts w:ascii="Liberation Sans Narrow" w:hAnsi="Liberation Sans Narrow"/>
                <w:b/>
                <w:sz w:val="17"/>
              </w:rPr>
              <w:t xml:space="preserve">35</w:t>
            </w:r>
          </w:p>
        </w:tc>
        <w:tc>
          <w:tcPr>
            <w:tcW w:type="dxa" w:w="1754"/>
          </w:tcPr>
          <w:p>
            <w:pPr>
              <w:pStyle w:val="Compact"/>
              <w:spacing w:before="20" w:after="20" w:line="240" w:lineRule="auto"/>
              <w:jc w:val="left"/>
            </w:pPr>
            <w:r>
              <w:rPr>
                <w:rFonts w:ascii="Liberation Sans Narrow" w:hAnsi="Liberation Sans Narrow"/>
                <w:b w:val="0"/>
                <w:sz w:val="17"/>
              </w:rPr>
              <w:t xml:space="preserve">Art. 549</w:t>
            </w:r>
          </w:p>
        </w:tc>
        <w:tc>
          <w:tcPr>
            <w:tcW w:type="dxa" w:w="797"/>
          </w:tcPr>
          <w:p>
            <w:pPr>
              <w:pStyle w:val="Compact"/>
              <w:spacing w:before="20" w:after="20" w:line="240" w:lineRule="auto"/>
              <w:jc w:val="right"/>
            </w:pPr>
            <w:r>
              <w:rPr>
                <w:rFonts w:ascii="Liberation Sans Narrow" w:hAnsi="Liberation Sans Narrow"/>
                <w:b/>
                <w:sz w:val="17"/>
              </w:rPr>
              <w:t xml:space="preserve">90</w:t>
            </w:r>
          </w:p>
        </w:tc>
        <w:tc>
          <w:tcPr>
            <w:tcW w:type="dxa" w:w="1754"/>
          </w:tcPr>
          <w:p>
            <w:pPr>
              <w:pStyle w:val="Compact"/>
              <w:spacing w:before="20" w:after="20" w:line="240" w:lineRule="auto"/>
              <w:jc w:val="left"/>
            </w:pPr>
            <w:r>
              <w:rPr>
                <w:rFonts w:ascii="Liberation Sans Narrow" w:hAnsi="Liberation Sans Narrow"/>
                <w:b w:val="0"/>
                <w:sz w:val="17"/>
              </w:rPr>
              <w:t xml:space="preserve">Art. 738</w:t>
            </w:r>
          </w:p>
        </w:tc>
        <w:tc>
          <w:tcPr>
            <w:tcW w:type="dxa" w:w="797"/>
          </w:tcPr>
          <w:p>
            <w:pPr>
              <w:pStyle w:val="Compact"/>
              <w:spacing w:before="20" w:after="20" w:line="240" w:lineRule="auto"/>
              <w:jc w:val="right"/>
            </w:pPr>
            <w:r>
              <w:rPr>
                <w:rFonts w:ascii="Liberation Sans Narrow" w:hAnsi="Liberation Sans Narrow"/>
                <w:b/>
                <w:sz w:val="17"/>
              </w:rPr>
              <w:t xml:space="preserve">126</w:t>
            </w:r>
          </w:p>
        </w:tc>
        <w:tc>
          <w:tcPr>
            <w:tcW w:type="dxa" w:w="1754"/>
          </w:tcPr>
          <w:p>
            <w:pPr>
              <w:pStyle w:val="Compact"/>
              <w:spacing w:before="20" w:after="20" w:line="240" w:lineRule="auto"/>
              <w:jc w:val="left"/>
            </w:pPr>
            <w:r>
              <w:rPr>
                <w:rFonts w:ascii="Liberation Sans Narrow" w:hAnsi="Liberation Sans Narrow"/>
                <w:b w:val="0"/>
                <w:sz w:val="17"/>
              </w:rPr>
              <w:t xml:space="preserve">Art. 927</w:t>
            </w:r>
          </w:p>
        </w:tc>
        <w:tc>
          <w:tcPr>
            <w:tcW w:type="dxa" w:w="797"/>
          </w:tcPr>
          <w:p>
            <w:pPr>
              <w:pStyle w:val="Compact"/>
              <w:spacing w:before="20" w:after="20" w:line="240" w:lineRule="auto"/>
              <w:jc w:val="right"/>
            </w:pPr>
            <w:r>
              <w:rPr>
                <w:rFonts w:ascii="Liberation Sans Narrow" w:hAnsi="Liberation Sans Narrow"/>
                <w:b/>
                <w:sz w:val="17"/>
              </w:rPr>
              <w:t xml:space="preserve">166</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361</w:t>
            </w:r>
          </w:p>
        </w:tc>
        <w:tc>
          <w:tcPr>
            <w:tcW w:type="dxa" w:w="797"/>
          </w:tcPr>
          <w:p>
            <w:pPr>
              <w:pStyle w:val="Compact"/>
              <w:spacing w:before="20" w:after="20" w:line="240" w:lineRule="auto"/>
              <w:jc w:val="right"/>
            </w:pPr>
            <w:r>
              <w:rPr>
                <w:rFonts w:ascii="Liberation Sans Narrow" w:hAnsi="Liberation Sans Narrow"/>
                <w:b/>
                <w:sz w:val="17"/>
              </w:rPr>
              <w:t xml:space="preserve">35</w:t>
            </w:r>
          </w:p>
        </w:tc>
        <w:tc>
          <w:tcPr>
            <w:tcW w:type="dxa" w:w="1754"/>
          </w:tcPr>
          <w:p>
            <w:pPr>
              <w:pStyle w:val="Compact"/>
              <w:spacing w:before="20" w:after="20" w:line="240" w:lineRule="auto"/>
              <w:jc w:val="left"/>
            </w:pPr>
            <w:r>
              <w:rPr>
                <w:rFonts w:ascii="Liberation Sans Narrow" w:hAnsi="Liberation Sans Narrow"/>
                <w:b w:val="0"/>
                <w:sz w:val="17"/>
              </w:rPr>
              <w:t xml:space="preserve">Art. 550</w:t>
            </w:r>
          </w:p>
        </w:tc>
        <w:tc>
          <w:tcPr>
            <w:tcW w:type="dxa" w:w="797"/>
          </w:tcPr>
          <w:p>
            <w:pPr>
              <w:pStyle w:val="Compact"/>
              <w:spacing w:before="20" w:after="20" w:line="240" w:lineRule="auto"/>
              <w:jc w:val="right"/>
            </w:pPr>
            <w:r>
              <w:rPr>
                <w:rFonts w:ascii="Liberation Sans Narrow" w:hAnsi="Liberation Sans Narrow"/>
                <w:b/>
                <w:sz w:val="17"/>
              </w:rPr>
              <w:t xml:space="preserve">90</w:t>
            </w:r>
          </w:p>
        </w:tc>
        <w:tc>
          <w:tcPr>
            <w:tcW w:type="dxa" w:w="1754"/>
          </w:tcPr>
          <w:p>
            <w:pPr>
              <w:pStyle w:val="Compact"/>
              <w:spacing w:before="20" w:after="20" w:line="240" w:lineRule="auto"/>
              <w:jc w:val="left"/>
            </w:pPr>
            <w:r>
              <w:rPr>
                <w:rFonts w:ascii="Liberation Sans Narrow" w:hAnsi="Liberation Sans Narrow"/>
                <w:b w:val="0"/>
                <w:sz w:val="17"/>
              </w:rPr>
              <w:t xml:space="preserve">Art. 739</w:t>
            </w:r>
          </w:p>
        </w:tc>
        <w:tc>
          <w:tcPr>
            <w:tcW w:type="dxa" w:w="797"/>
          </w:tcPr>
          <w:p>
            <w:pPr>
              <w:pStyle w:val="Compact"/>
              <w:spacing w:before="20" w:after="20" w:line="240" w:lineRule="auto"/>
              <w:jc w:val="right"/>
            </w:pPr>
            <w:r>
              <w:rPr>
                <w:rFonts w:ascii="Liberation Sans Narrow" w:hAnsi="Liberation Sans Narrow"/>
                <w:b/>
                <w:sz w:val="17"/>
              </w:rPr>
              <w:t xml:space="preserve">126</w:t>
            </w:r>
          </w:p>
        </w:tc>
        <w:tc>
          <w:tcPr>
            <w:tcW w:type="dxa" w:w="1754"/>
          </w:tcPr>
          <w:p>
            <w:pPr>
              <w:pStyle w:val="Compact"/>
              <w:spacing w:before="20" w:after="20" w:line="240" w:lineRule="auto"/>
              <w:jc w:val="left"/>
            </w:pPr>
            <w:r>
              <w:rPr>
                <w:rFonts w:ascii="Liberation Sans Narrow" w:hAnsi="Liberation Sans Narrow"/>
                <w:b w:val="0"/>
                <w:sz w:val="17"/>
              </w:rPr>
              <w:t xml:space="preserve">Art. 928</w:t>
            </w:r>
          </w:p>
        </w:tc>
        <w:tc>
          <w:tcPr>
            <w:tcW w:type="dxa" w:w="797"/>
          </w:tcPr>
          <w:p>
            <w:pPr>
              <w:pStyle w:val="Compact"/>
              <w:spacing w:before="20" w:after="20" w:line="240" w:lineRule="auto"/>
              <w:jc w:val="right"/>
            </w:pPr>
            <w:r>
              <w:rPr>
                <w:rFonts w:ascii="Liberation Sans Narrow" w:hAnsi="Liberation Sans Narrow"/>
                <w:b/>
                <w:sz w:val="17"/>
              </w:rPr>
              <w:t xml:space="preserve">166</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362</w:t>
            </w:r>
          </w:p>
        </w:tc>
        <w:tc>
          <w:tcPr>
            <w:tcW w:type="dxa" w:w="797"/>
          </w:tcPr>
          <w:p>
            <w:pPr>
              <w:pStyle w:val="Compact"/>
              <w:spacing w:before="20" w:after="20" w:line="240" w:lineRule="auto"/>
              <w:jc w:val="right"/>
            </w:pPr>
            <w:r>
              <w:rPr>
                <w:rFonts w:ascii="Liberation Sans Narrow" w:hAnsi="Liberation Sans Narrow"/>
                <w:b/>
                <w:sz w:val="17"/>
              </w:rPr>
              <w:t xml:space="preserve">36</w:t>
            </w:r>
          </w:p>
        </w:tc>
        <w:tc>
          <w:tcPr>
            <w:tcW w:type="dxa" w:w="1754"/>
          </w:tcPr>
          <w:p>
            <w:pPr>
              <w:pStyle w:val="Compact"/>
              <w:spacing w:before="20" w:after="20" w:line="240" w:lineRule="auto"/>
              <w:jc w:val="left"/>
            </w:pPr>
            <w:r>
              <w:rPr>
                <w:rFonts w:ascii="Liberation Sans Narrow" w:hAnsi="Liberation Sans Narrow"/>
                <w:b w:val="0"/>
                <w:sz w:val="17"/>
              </w:rPr>
              <w:t xml:space="preserve">Art. 551</w:t>
            </w:r>
          </w:p>
        </w:tc>
        <w:tc>
          <w:tcPr>
            <w:tcW w:type="dxa" w:w="797"/>
          </w:tcPr>
          <w:p>
            <w:pPr>
              <w:pStyle w:val="Compact"/>
              <w:spacing w:before="20" w:after="20" w:line="240" w:lineRule="auto"/>
              <w:jc w:val="right"/>
            </w:pPr>
            <w:r>
              <w:rPr>
                <w:rFonts w:ascii="Liberation Sans Narrow" w:hAnsi="Liberation Sans Narrow"/>
                <w:b/>
                <w:sz w:val="17"/>
              </w:rPr>
              <w:t xml:space="preserve">91</w:t>
            </w:r>
          </w:p>
        </w:tc>
        <w:tc>
          <w:tcPr>
            <w:tcW w:type="dxa" w:w="1754"/>
          </w:tcPr>
          <w:p>
            <w:pPr>
              <w:pStyle w:val="Compact"/>
              <w:spacing w:before="20" w:after="20" w:line="240" w:lineRule="auto"/>
              <w:jc w:val="left"/>
            </w:pPr>
            <w:r>
              <w:rPr>
                <w:rFonts w:ascii="Liberation Sans Narrow" w:hAnsi="Liberation Sans Narrow"/>
                <w:b w:val="0"/>
                <w:sz w:val="17"/>
              </w:rPr>
              <w:t xml:space="preserve">Art. 740</w:t>
            </w:r>
          </w:p>
        </w:tc>
        <w:tc>
          <w:tcPr>
            <w:tcW w:type="dxa" w:w="797"/>
          </w:tcPr>
          <w:p>
            <w:pPr>
              <w:pStyle w:val="Compact"/>
              <w:spacing w:before="20" w:after="20" w:line="240" w:lineRule="auto"/>
              <w:jc w:val="right"/>
            </w:pPr>
            <w:r>
              <w:rPr>
                <w:rFonts w:ascii="Liberation Sans Narrow" w:hAnsi="Liberation Sans Narrow"/>
                <w:b/>
                <w:sz w:val="17"/>
              </w:rPr>
              <w:t xml:space="preserve">126</w:t>
            </w:r>
          </w:p>
        </w:tc>
        <w:tc>
          <w:tcPr>
            <w:tcW w:type="dxa" w:w="1754"/>
          </w:tcPr>
          <w:p>
            <w:pPr>
              <w:pStyle w:val="Compact"/>
              <w:spacing w:before="20" w:after="20" w:line="240" w:lineRule="auto"/>
              <w:jc w:val="left"/>
            </w:pPr>
            <w:r>
              <w:rPr>
                <w:rFonts w:ascii="Liberation Sans Narrow" w:hAnsi="Liberation Sans Narrow"/>
                <w:b w:val="0"/>
                <w:sz w:val="17"/>
              </w:rPr>
              <w:t xml:space="preserve">Art. 929</w:t>
            </w:r>
          </w:p>
        </w:tc>
        <w:tc>
          <w:tcPr>
            <w:tcW w:type="dxa" w:w="797"/>
          </w:tcPr>
          <w:p>
            <w:pPr>
              <w:pStyle w:val="Compact"/>
              <w:spacing w:before="20" w:after="20" w:line="240" w:lineRule="auto"/>
              <w:jc w:val="right"/>
            </w:pPr>
            <w:r>
              <w:rPr>
                <w:rFonts w:ascii="Liberation Sans Narrow" w:hAnsi="Liberation Sans Narrow"/>
                <w:b/>
                <w:sz w:val="17"/>
              </w:rPr>
              <w:t xml:space="preserve">167</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363</w:t>
            </w:r>
          </w:p>
        </w:tc>
        <w:tc>
          <w:tcPr>
            <w:tcW w:type="dxa" w:w="797"/>
          </w:tcPr>
          <w:p>
            <w:pPr>
              <w:pStyle w:val="Compact"/>
              <w:spacing w:before="20" w:after="20" w:line="240" w:lineRule="auto"/>
              <w:jc w:val="right"/>
            </w:pPr>
            <w:r>
              <w:rPr>
                <w:rFonts w:ascii="Liberation Sans Narrow" w:hAnsi="Liberation Sans Narrow"/>
                <w:b/>
                <w:sz w:val="17"/>
              </w:rPr>
              <w:t xml:space="preserve">36</w:t>
            </w:r>
          </w:p>
        </w:tc>
        <w:tc>
          <w:tcPr>
            <w:tcW w:type="dxa" w:w="1754"/>
          </w:tcPr>
          <w:p>
            <w:pPr>
              <w:pStyle w:val="Compact"/>
              <w:spacing w:before="20" w:after="20" w:line="240" w:lineRule="auto"/>
              <w:jc w:val="left"/>
            </w:pPr>
            <w:r>
              <w:rPr>
                <w:rFonts w:ascii="Liberation Sans Narrow" w:hAnsi="Liberation Sans Narrow"/>
                <w:b w:val="0"/>
                <w:sz w:val="17"/>
              </w:rPr>
              <w:t xml:space="preserve">Art. 552</w:t>
            </w:r>
          </w:p>
        </w:tc>
        <w:tc>
          <w:tcPr>
            <w:tcW w:type="dxa" w:w="797"/>
          </w:tcPr>
          <w:p>
            <w:pPr>
              <w:pStyle w:val="Compact"/>
              <w:spacing w:before="20" w:after="20" w:line="240" w:lineRule="auto"/>
              <w:jc w:val="right"/>
            </w:pPr>
            <w:r>
              <w:rPr>
                <w:rFonts w:ascii="Liberation Sans Narrow" w:hAnsi="Liberation Sans Narrow"/>
                <w:b/>
                <w:sz w:val="17"/>
              </w:rPr>
              <w:t xml:space="preserve">91</w:t>
            </w:r>
          </w:p>
        </w:tc>
        <w:tc>
          <w:tcPr>
            <w:tcW w:type="dxa" w:w="1754"/>
          </w:tcPr>
          <w:p>
            <w:pPr>
              <w:pStyle w:val="Compact"/>
              <w:spacing w:before="20" w:after="20" w:line="240" w:lineRule="auto"/>
              <w:jc w:val="left"/>
            </w:pPr>
            <w:r>
              <w:rPr>
                <w:rFonts w:ascii="Liberation Sans Narrow" w:hAnsi="Liberation Sans Narrow"/>
                <w:b w:val="0"/>
                <w:sz w:val="17"/>
              </w:rPr>
              <w:t xml:space="preserve">Art. 741</w:t>
            </w:r>
          </w:p>
        </w:tc>
        <w:tc>
          <w:tcPr>
            <w:tcW w:type="dxa" w:w="797"/>
          </w:tcPr>
          <w:p>
            <w:pPr>
              <w:pStyle w:val="Compact"/>
              <w:spacing w:before="20" w:after="20" w:line="240" w:lineRule="auto"/>
              <w:jc w:val="right"/>
            </w:pPr>
            <w:r>
              <w:rPr>
                <w:rFonts w:ascii="Liberation Sans Narrow" w:hAnsi="Liberation Sans Narrow"/>
                <w:b/>
                <w:sz w:val="17"/>
              </w:rPr>
              <w:t xml:space="preserve">127</w:t>
            </w:r>
          </w:p>
        </w:tc>
        <w:tc>
          <w:tcPr>
            <w:tcW w:type="dxa" w:w="1754"/>
          </w:tcPr>
          <w:p>
            <w:pPr>
              <w:pStyle w:val="Compact"/>
              <w:spacing w:before="20" w:after="20" w:line="240" w:lineRule="auto"/>
              <w:jc w:val="left"/>
            </w:pPr>
            <w:r>
              <w:rPr>
                <w:rFonts w:ascii="Liberation Sans Narrow" w:hAnsi="Liberation Sans Narrow"/>
                <w:b w:val="0"/>
                <w:sz w:val="17"/>
              </w:rPr>
              <w:t xml:space="preserve">Art. 930</w:t>
            </w:r>
          </w:p>
        </w:tc>
        <w:tc>
          <w:tcPr>
            <w:tcW w:type="dxa" w:w="797"/>
          </w:tcPr>
          <w:p>
            <w:pPr>
              <w:pStyle w:val="Compact"/>
              <w:spacing w:before="20" w:after="20" w:line="240" w:lineRule="auto"/>
              <w:jc w:val="right"/>
            </w:pPr>
            <w:r>
              <w:rPr>
                <w:rFonts w:ascii="Liberation Sans Narrow" w:hAnsi="Liberation Sans Narrow"/>
                <w:b/>
                <w:sz w:val="17"/>
              </w:rPr>
              <w:t xml:space="preserve">167</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364</w:t>
            </w:r>
          </w:p>
        </w:tc>
        <w:tc>
          <w:tcPr>
            <w:tcW w:type="dxa" w:w="797"/>
          </w:tcPr>
          <w:p>
            <w:pPr>
              <w:pStyle w:val="Compact"/>
              <w:spacing w:before="20" w:after="20" w:line="240" w:lineRule="auto"/>
              <w:jc w:val="right"/>
            </w:pPr>
            <w:r>
              <w:rPr>
                <w:rFonts w:ascii="Liberation Sans Narrow" w:hAnsi="Liberation Sans Narrow"/>
                <w:b/>
                <w:sz w:val="17"/>
              </w:rPr>
              <w:t xml:space="preserve">37</w:t>
            </w:r>
          </w:p>
        </w:tc>
        <w:tc>
          <w:tcPr>
            <w:tcW w:type="dxa" w:w="1754"/>
          </w:tcPr>
          <w:p>
            <w:pPr>
              <w:pStyle w:val="Compact"/>
              <w:spacing w:before="20" w:after="20" w:line="240" w:lineRule="auto"/>
              <w:jc w:val="left"/>
            </w:pPr>
            <w:r>
              <w:rPr>
                <w:rFonts w:ascii="Liberation Sans Narrow" w:hAnsi="Liberation Sans Narrow"/>
                <w:b w:val="0"/>
                <w:sz w:val="17"/>
              </w:rPr>
              <w:t xml:space="preserve">Art. 553</w:t>
            </w:r>
          </w:p>
        </w:tc>
        <w:tc>
          <w:tcPr>
            <w:tcW w:type="dxa" w:w="797"/>
          </w:tcPr>
          <w:p>
            <w:pPr>
              <w:pStyle w:val="Compact"/>
              <w:spacing w:before="20" w:after="20" w:line="240" w:lineRule="auto"/>
              <w:jc w:val="right"/>
            </w:pPr>
            <w:r>
              <w:rPr>
                <w:rFonts w:ascii="Liberation Sans Narrow" w:hAnsi="Liberation Sans Narrow"/>
                <w:b/>
                <w:sz w:val="17"/>
              </w:rPr>
              <w:t xml:space="preserve">91</w:t>
            </w:r>
          </w:p>
        </w:tc>
        <w:tc>
          <w:tcPr>
            <w:tcW w:type="dxa" w:w="1754"/>
          </w:tcPr>
          <w:p>
            <w:pPr>
              <w:pStyle w:val="Compact"/>
              <w:spacing w:before="20" w:after="20" w:line="240" w:lineRule="auto"/>
              <w:jc w:val="left"/>
            </w:pPr>
            <w:r>
              <w:rPr>
                <w:rFonts w:ascii="Liberation Sans Narrow" w:hAnsi="Liberation Sans Narrow"/>
                <w:b w:val="0"/>
                <w:sz w:val="17"/>
              </w:rPr>
              <w:t xml:space="preserve">Art. 742</w:t>
            </w:r>
          </w:p>
        </w:tc>
        <w:tc>
          <w:tcPr>
            <w:tcW w:type="dxa" w:w="797"/>
          </w:tcPr>
          <w:p>
            <w:pPr>
              <w:pStyle w:val="Compact"/>
              <w:spacing w:before="20" w:after="20" w:line="240" w:lineRule="auto"/>
              <w:jc w:val="right"/>
            </w:pPr>
            <w:r>
              <w:rPr>
                <w:rFonts w:ascii="Liberation Sans Narrow" w:hAnsi="Liberation Sans Narrow"/>
                <w:b/>
                <w:sz w:val="17"/>
              </w:rPr>
              <w:t xml:space="preserve">127</w:t>
            </w:r>
          </w:p>
        </w:tc>
        <w:tc>
          <w:tcPr>
            <w:tcW w:type="dxa" w:w="1754"/>
          </w:tcPr>
          <w:p>
            <w:pPr>
              <w:pStyle w:val="Compact"/>
              <w:spacing w:before="20" w:after="20" w:line="240" w:lineRule="auto"/>
              <w:jc w:val="left"/>
            </w:pPr>
            <w:r>
              <w:rPr>
                <w:rFonts w:ascii="Liberation Sans Narrow" w:hAnsi="Liberation Sans Narrow"/>
                <w:b w:val="0"/>
                <w:sz w:val="17"/>
              </w:rPr>
              <w:t xml:space="preserve">Art. 931</w:t>
            </w:r>
          </w:p>
        </w:tc>
        <w:tc>
          <w:tcPr>
            <w:tcW w:type="dxa" w:w="797"/>
          </w:tcPr>
          <w:p>
            <w:pPr>
              <w:pStyle w:val="Compact"/>
              <w:spacing w:before="20" w:after="20" w:line="240" w:lineRule="auto"/>
              <w:jc w:val="right"/>
            </w:pPr>
            <w:r>
              <w:rPr>
                <w:rFonts w:ascii="Liberation Sans Narrow" w:hAnsi="Liberation Sans Narrow"/>
                <w:b/>
                <w:sz w:val="17"/>
              </w:rPr>
              <w:t xml:space="preserve">167</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365</w:t>
            </w:r>
          </w:p>
        </w:tc>
        <w:tc>
          <w:tcPr>
            <w:tcW w:type="dxa" w:w="797"/>
          </w:tcPr>
          <w:p>
            <w:pPr>
              <w:pStyle w:val="Compact"/>
              <w:spacing w:before="20" w:after="20" w:line="240" w:lineRule="auto"/>
              <w:jc w:val="right"/>
            </w:pPr>
            <w:r>
              <w:rPr>
                <w:rFonts w:ascii="Liberation Sans Narrow" w:hAnsi="Liberation Sans Narrow"/>
                <w:b/>
                <w:sz w:val="17"/>
              </w:rPr>
              <w:t xml:space="preserve">37</w:t>
            </w:r>
          </w:p>
        </w:tc>
        <w:tc>
          <w:tcPr>
            <w:tcW w:type="dxa" w:w="1754"/>
          </w:tcPr>
          <w:p>
            <w:pPr>
              <w:pStyle w:val="Compact"/>
              <w:spacing w:before="20" w:after="20" w:line="240" w:lineRule="auto"/>
              <w:jc w:val="left"/>
            </w:pPr>
            <w:r>
              <w:rPr>
                <w:rFonts w:ascii="Liberation Sans Narrow" w:hAnsi="Liberation Sans Narrow"/>
                <w:b w:val="0"/>
                <w:sz w:val="17"/>
              </w:rPr>
              <w:t xml:space="preserve">Art. 554</w:t>
            </w:r>
          </w:p>
        </w:tc>
        <w:tc>
          <w:tcPr>
            <w:tcW w:type="dxa" w:w="797"/>
          </w:tcPr>
          <w:p>
            <w:pPr>
              <w:pStyle w:val="Compact"/>
              <w:spacing w:before="20" w:after="20" w:line="240" w:lineRule="auto"/>
              <w:jc w:val="right"/>
            </w:pPr>
            <w:r>
              <w:rPr>
                <w:rFonts w:ascii="Liberation Sans Narrow" w:hAnsi="Liberation Sans Narrow"/>
                <w:b/>
                <w:sz w:val="17"/>
              </w:rPr>
              <w:t xml:space="preserve">91</w:t>
            </w:r>
          </w:p>
        </w:tc>
        <w:tc>
          <w:tcPr>
            <w:tcW w:type="dxa" w:w="1754"/>
          </w:tcPr>
          <w:p>
            <w:pPr>
              <w:pStyle w:val="Compact"/>
              <w:spacing w:before="20" w:after="20" w:line="240" w:lineRule="auto"/>
              <w:jc w:val="left"/>
            </w:pPr>
            <w:r>
              <w:rPr>
                <w:rFonts w:ascii="Liberation Sans Narrow" w:hAnsi="Liberation Sans Narrow"/>
                <w:b w:val="0"/>
                <w:sz w:val="17"/>
              </w:rPr>
              <w:t xml:space="preserve">Art. 743</w:t>
            </w:r>
          </w:p>
        </w:tc>
        <w:tc>
          <w:tcPr>
            <w:tcW w:type="dxa" w:w="797"/>
          </w:tcPr>
          <w:p>
            <w:pPr>
              <w:pStyle w:val="Compact"/>
              <w:spacing w:before="20" w:after="20" w:line="240" w:lineRule="auto"/>
              <w:jc w:val="right"/>
            </w:pPr>
            <w:r>
              <w:rPr>
                <w:rFonts w:ascii="Liberation Sans Narrow" w:hAnsi="Liberation Sans Narrow"/>
                <w:b/>
                <w:sz w:val="17"/>
              </w:rPr>
              <w:t xml:space="preserve">127</w:t>
            </w:r>
          </w:p>
        </w:tc>
        <w:tc>
          <w:tcPr>
            <w:tcW w:type="dxa" w:w="1754"/>
          </w:tcPr>
          <w:p>
            <w:pPr>
              <w:pStyle w:val="Compact"/>
              <w:spacing w:before="20" w:after="20" w:line="240" w:lineRule="auto"/>
              <w:jc w:val="left"/>
            </w:pPr>
            <w:r>
              <w:rPr>
                <w:rFonts w:ascii="Liberation Sans Narrow" w:hAnsi="Liberation Sans Narrow"/>
                <w:b w:val="0"/>
                <w:sz w:val="17"/>
              </w:rPr>
              <w:t xml:space="preserve">Art. 932</w:t>
            </w:r>
          </w:p>
        </w:tc>
        <w:tc>
          <w:tcPr>
            <w:tcW w:type="dxa" w:w="797"/>
          </w:tcPr>
          <w:p>
            <w:pPr>
              <w:pStyle w:val="Compact"/>
              <w:spacing w:before="20" w:after="20" w:line="240" w:lineRule="auto"/>
              <w:jc w:val="right"/>
            </w:pPr>
            <w:r>
              <w:rPr>
                <w:rFonts w:ascii="Liberation Sans Narrow" w:hAnsi="Liberation Sans Narrow"/>
                <w:b/>
                <w:sz w:val="17"/>
              </w:rPr>
              <w:t xml:space="preserve">167</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366</w:t>
            </w:r>
          </w:p>
        </w:tc>
        <w:tc>
          <w:tcPr>
            <w:tcW w:type="dxa" w:w="797"/>
          </w:tcPr>
          <w:p>
            <w:pPr>
              <w:pStyle w:val="Compact"/>
              <w:spacing w:before="20" w:after="20" w:line="240" w:lineRule="auto"/>
              <w:jc w:val="right"/>
            </w:pPr>
            <w:r>
              <w:rPr>
                <w:rFonts w:ascii="Liberation Sans Narrow" w:hAnsi="Liberation Sans Narrow"/>
                <w:b/>
                <w:sz w:val="17"/>
              </w:rPr>
              <w:t xml:space="preserve">37</w:t>
            </w:r>
          </w:p>
        </w:tc>
        <w:tc>
          <w:tcPr>
            <w:tcW w:type="dxa" w:w="1754"/>
          </w:tcPr>
          <w:p>
            <w:pPr>
              <w:pStyle w:val="Compact"/>
              <w:spacing w:before="20" w:after="20" w:line="240" w:lineRule="auto"/>
              <w:jc w:val="left"/>
            </w:pPr>
            <w:r>
              <w:rPr>
                <w:rFonts w:ascii="Liberation Sans Narrow" w:hAnsi="Liberation Sans Narrow"/>
                <w:b w:val="0"/>
                <w:sz w:val="17"/>
              </w:rPr>
              <w:t xml:space="preserve">Art. 555</w:t>
            </w:r>
          </w:p>
        </w:tc>
        <w:tc>
          <w:tcPr>
            <w:tcW w:type="dxa" w:w="797"/>
          </w:tcPr>
          <w:p>
            <w:pPr>
              <w:pStyle w:val="Compact"/>
              <w:spacing w:before="20" w:after="20" w:line="240" w:lineRule="auto"/>
              <w:jc w:val="right"/>
            </w:pPr>
            <w:r>
              <w:rPr>
                <w:rFonts w:ascii="Liberation Sans Narrow" w:hAnsi="Liberation Sans Narrow"/>
                <w:b/>
                <w:sz w:val="17"/>
              </w:rPr>
              <w:t xml:space="preserve">92</w:t>
            </w:r>
          </w:p>
        </w:tc>
        <w:tc>
          <w:tcPr>
            <w:tcW w:type="dxa" w:w="1754"/>
          </w:tcPr>
          <w:p>
            <w:pPr>
              <w:pStyle w:val="Compact"/>
              <w:spacing w:before="20" w:after="20" w:line="240" w:lineRule="auto"/>
              <w:jc w:val="left"/>
            </w:pPr>
            <w:r>
              <w:rPr>
                <w:rFonts w:ascii="Liberation Sans Narrow" w:hAnsi="Liberation Sans Narrow"/>
                <w:b w:val="0"/>
                <w:sz w:val="17"/>
              </w:rPr>
              <w:t xml:space="preserve">Art. 744</w:t>
            </w:r>
          </w:p>
        </w:tc>
        <w:tc>
          <w:tcPr>
            <w:tcW w:type="dxa" w:w="797"/>
          </w:tcPr>
          <w:p>
            <w:pPr>
              <w:pStyle w:val="Compact"/>
              <w:spacing w:before="20" w:after="20" w:line="240" w:lineRule="auto"/>
              <w:jc w:val="right"/>
            </w:pPr>
            <w:r>
              <w:rPr>
                <w:rFonts w:ascii="Liberation Sans Narrow" w:hAnsi="Liberation Sans Narrow"/>
                <w:b/>
                <w:sz w:val="17"/>
              </w:rPr>
              <w:t xml:space="preserve">127</w:t>
            </w:r>
          </w:p>
        </w:tc>
        <w:tc>
          <w:tcPr>
            <w:tcW w:type="dxa" w:w="1754"/>
          </w:tcPr>
          <w:p>
            <w:pPr>
              <w:pStyle w:val="Compact"/>
              <w:spacing w:before="20" w:after="20" w:line="240" w:lineRule="auto"/>
              <w:jc w:val="left"/>
            </w:pPr>
            <w:r>
              <w:rPr>
                <w:rFonts w:ascii="Liberation Sans Narrow" w:hAnsi="Liberation Sans Narrow"/>
                <w:b w:val="0"/>
                <w:sz w:val="17"/>
              </w:rPr>
              <w:t xml:space="preserve">Art. 933</w:t>
            </w:r>
          </w:p>
        </w:tc>
        <w:tc>
          <w:tcPr>
            <w:tcW w:type="dxa" w:w="797"/>
          </w:tcPr>
          <w:p>
            <w:pPr>
              <w:pStyle w:val="Compact"/>
              <w:spacing w:before="20" w:after="20" w:line="240" w:lineRule="auto"/>
              <w:jc w:val="right"/>
            </w:pPr>
            <w:r>
              <w:rPr>
                <w:rFonts w:ascii="Liberation Sans Narrow" w:hAnsi="Liberation Sans Narrow"/>
                <w:b/>
                <w:sz w:val="17"/>
              </w:rPr>
              <w:t xml:space="preserve">168</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367</w:t>
            </w:r>
          </w:p>
        </w:tc>
        <w:tc>
          <w:tcPr>
            <w:tcW w:type="dxa" w:w="797"/>
          </w:tcPr>
          <w:p>
            <w:pPr>
              <w:pStyle w:val="Compact"/>
              <w:spacing w:before="20" w:after="20" w:line="240" w:lineRule="auto"/>
              <w:jc w:val="right"/>
            </w:pPr>
            <w:r>
              <w:rPr>
                <w:rFonts w:ascii="Liberation Sans Narrow" w:hAnsi="Liberation Sans Narrow"/>
                <w:b/>
                <w:sz w:val="17"/>
              </w:rPr>
              <w:t xml:space="preserve">37</w:t>
            </w:r>
          </w:p>
        </w:tc>
        <w:tc>
          <w:tcPr>
            <w:tcW w:type="dxa" w:w="1754"/>
          </w:tcPr>
          <w:p>
            <w:pPr>
              <w:pStyle w:val="Compact"/>
              <w:spacing w:before="20" w:after="20" w:line="240" w:lineRule="auto"/>
              <w:jc w:val="left"/>
            </w:pPr>
            <w:r>
              <w:rPr>
                <w:rFonts w:ascii="Liberation Sans Narrow" w:hAnsi="Liberation Sans Narrow"/>
                <w:b w:val="0"/>
                <w:sz w:val="17"/>
              </w:rPr>
              <w:t xml:space="preserve">Art. 556</w:t>
            </w:r>
          </w:p>
        </w:tc>
        <w:tc>
          <w:tcPr>
            <w:tcW w:type="dxa" w:w="797"/>
          </w:tcPr>
          <w:p>
            <w:pPr>
              <w:pStyle w:val="Compact"/>
              <w:spacing w:before="20" w:after="20" w:line="240" w:lineRule="auto"/>
              <w:jc w:val="right"/>
            </w:pPr>
            <w:r>
              <w:rPr>
                <w:rFonts w:ascii="Liberation Sans Narrow" w:hAnsi="Liberation Sans Narrow"/>
                <w:b/>
                <w:sz w:val="17"/>
              </w:rPr>
              <w:t xml:space="preserve">92</w:t>
            </w:r>
          </w:p>
        </w:tc>
        <w:tc>
          <w:tcPr>
            <w:tcW w:type="dxa" w:w="1754"/>
          </w:tcPr>
          <w:p>
            <w:pPr>
              <w:pStyle w:val="Compact"/>
              <w:spacing w:before="20" w:after="20" w:line="240" w:lineRule="auto"/>
              <w:jc w:val="left"/>
            </w:pPr>
            <w:r>
              <w:rPr>
                <w:rFonts w:ascii="Liberation Sans Narrow" w:hAnsi="Liberation Sans Narrow"/>
                <w:b w:val="0"/>
                <w:sz w:val="17"/>
              </w:rPr>
              <w:t xml:space="preserve">Art. 745</w:t>
            </w:r>
          </w:p>
        </w:tc>
        <w:tc>
          <w:tcPr>
            <w:tcW w:type="dxa" w:w="797"/>
          </w:tcPr>
          <w:p>
            <w:pPr>
              <w:pStyle w:val="Compact"/>
              <w:spacing w:before="20" w:after="20" w:line="240" w:lineRule="auto"/>
              <w:jc w:val="right"/>
            </w:pPr>
            <w:r>
              <w:rPr>
                <w:rFonts w:ascii="Liberation Sans Narrow" w:hAnsi="Liberation Sans Narrow"/>
                <w:b/>
                <w:sz w:val="17"/>
              </w:rPr>
              <w:t xml:space="preserve">127</w:t>
            </w:r>
          </w:p>
        </w:tc>
        <w:tc>
          <w:tcPr>
            <w:tcW w:type="dxa" w:w="1754"/>
          </w:tcPr>
          <w:p>
            <w:pPr>
              <w:pStyle w:val="Compact"/>
              <w:spacing w:before="20" w:after="20" w:line="240" w:lineRule="auto"/>
              <w:jc w:val="left"/>
            </w:pPr>
            <w:r>
              <w:rPr>
                <w:rFonts w:ascii="Liberation Sans Narrow" w:hAnsi="Liberation Sans Narrow"/>
                <w:b w:val="0"/>
                <w:sz w:val="17"/>
              </w:rPr>
              <w:t xml:space="preserve">Art. 934</w:t>
            </w:r>
          </w:p>
        </w:tc>
        <w:tc>
          <w:tcPr>
            <w:tcW w:type="dxa" w:w="797"/>
          </w:tcPr>
          <w:p>
            <w:pPr>
              <w:pStyle w:val="Compact"/>
              <w:spacing w:before="20" w:after="20" w:line="240" w:lineRule="auto"/>
              <w:jc w:val="right"/>
            </w:pPr>
            <w:r>
              <w:rPr>
                <w:rFonts w:ascii="Liberation Sans Narrow" w:hAnsi="Liberation Sans Narrow"/>
                <w:b/>
                <w:sz w:val="17"/>
              </w:rPr>
              <w:t xml:space="preserve">168</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368</w:t>
            </w:r>
          </w:p>
        </w:tc>
        <w:tc>
          <w:tcPr>
            <w:tcW w:type="dxa" w:w="797"/>
          </w:tcPr>
          <w:p>
            <w:pPr>
              <w:pStyle w:val="Compact"/>
              <w:spacing w:before="20" w:after="20" w:line="240" w:lineRule="auto"/>
              <w:jc w:val="right"/>
            </w:pPr>
            <w:r>
              <w:rPr>
                <w:rFonts w:ascii="Liberation Sans Narrow" w:hAnsi="Liberation Sans Narrow"/>
                <w:b/>
                <w:sz w:val="17"/>
              </w:rPr>
              <w:t xml:space="preserve">37</w:t>
            </w:r>
          </w:p>
        </w:tc>
        <w:tc>
          <w:tcPr>
            <w:tcW w:type="dxa" w:w="1754"/>
          </w:tcPr>
          <w:p>
            <w:pPr>
              <w:pStyle w:val="Compact"/>
              <w:spacing w:before="20" w:after="20" w:line="240" w:lineRule="auto"/>
              <w:jc w:val="left"/>
            </w:pPr>
            <w:r>
              <w:rPr>
                <w:rFonts w:ascii="Liberation Sans Narrow" w:hAnsi="Liberation Sans Narrow"/>
                <w:b w:val="0"/>
                <w:sz w:val="17"/>
              </w:rPr>
              <w:t xml:space="preserve">Art. 557</w:t>
            </w:r>
          </w:p>
        </w:tc>
        <w:tc>
          <w:tcPr>
            <w:tcW w:type="dxa" w:w="797"/>
          </w:tcPr>
          <w:p>
            <w:pPr>
              <w:pStyle w:val="Compact"/>
              <w:spacing w:before="20" w:after="20" w:line="240" w:lineRule="auto"/>
              <w:jc w:val="right"/>
            </w:pPr>
            <w:r>
              <w:rPr>
                <w:rFonts w:ascii="Liberation Sans Narrow" w:hAnsi="Liberation Sans Narrow"/>
                <w:b/>
                <w:sz w:val="17"/>
              </w:rPr>
              <w:t xml:space="preserve">92</w:t>
            </w:r>
          </w:p>
        </w:tc>
        <w:tc>
          <w:tcPr>
            <w:tcW w:type="dxa" w:w="1754"/>
          </w:tcPr>
          <w:p>
            <w:pPr>
              <w:pStyle w:val="Compact"/>
              <w:spacing w:before="20" w:after="20" w:line="240" w:lineRule="auto"/>
              <w:jc w:val="left"/>
            </w:pPr>
            <w:r>
              <w:rPr>
                <w:rFonts w:ascii="Liberation Sans Narrow" w:hAnsi="Liberation Sans Narrow"/>
                <w:b w:val="0"/>
                <w:sz w:val="17"/>
              </w:rPr>
              <w:t xml:space="preserve">Art. 746</w:t>
            </w:r>
          </w:p>
        </w:tc>
        <w:tc>
          <w:tcPr>
            <w:tcW w:type="dxa" w:w="797"/>
          </w:tcPr>
          <w:p>
            <w:pPr>
              <w:pStyle w:val="Compact"/>
              <w:spacing w:before="20" w:after="20" w:line="240" w:lineRule="auto"/>
              <w:jc w:val="right"/>
            </w:pPr>
            <w:r>
              <w:rPr>
                <w:rFonts w:ascii="Liberation Sans Narrow" w:hAnsi="Liberation Sans Narrow"/>
                <w:b/>
                <w:sz w:val="17"/>
              </w:rPr>
              <w:t xml:space="preserve">127</w:t>
            </w:r>
          </w:p>
        </w:tc>
        <w:tc>
          <w:tcPr>
            <w:tcW w:type="dxa" w:w="1754"/>
          </w:tcPr>
          <w:p>
            <w:pPr>
              <w:pStyle w:val="Compact"/>
              <w:spacing w:before="20" w:after="20" w:line="240" w:lineRule="auto"/>
              <w:jc w:val="left"/>
            </w:pPr>
            <w:r>
              <w:rPr>
                <w:rFonts w:ascii="Liberation Sans Narrow" w:hAnsi="Liberation Sans Narrow"/>
                <w:b w:val="0"/>
                <w:sz w:val="17"/>
              </w:rPr>
              <w:t xml:space="preserve">Art. 935</w:t>
            </w:r>
          </w:p>
        </w:tc>
        <w:tc>
          <w:tcPr>
            <w:tcW w:type="dxa" w:w="797"/>
          </w:tcPr>
          <w:p>
            <w:pPr>
              <w:pStyle w:val="Compact"/>
              <w:spacing w:before="20" w:after="20" w:line="240" w:lineRule="auto"/>
              <w:jc w:val="right"/>
            </w:pPr>
            <w:r>
              <w:rPr>
                <w:rFonts w:ascii="Liberation Sans Narrow" w:hAnsi="Liberation Sans Narrow"/>
                <w:b/>
                <w:sz w:val="17"/>
              </w:rPr>
              <w:t xml:space="preserve">168</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369</w:t>
            </w:r>
          </w:p>
        </w:tc>
        <w:tc>
          <w:tcPr>
            <w:tcW w:type="dxa" w:w="797"/>
          </w:tcPr>
          <w:p>
            <w:pPr>
              <w:pStyle w:val="Compact"/>
              <w:spacing w:before="20" w:after="20" w:line="240" w:lineRule="auto"/>
              <w:jc w:val="right"/>
            </w:pPr>
            <w:r>
              <w:rPr>
                <w:rFonts w:ascii="Liberation Sans Narrow" w:hAnsi="Liberation Sans Narrow"/>
                <w:b/>
                <w:sz w:val="17"/>
              </w:rPr>
              <w:t xml:space="preserve">37</w:t>
            </w:r>
          </w:p>
        </w:tc>
        <w:tc>
          <w:tcPr>
            <w:tcW w:type="dxa" w:w="1754"/>
          </w:tcPr>
          <w:p>
            <w:pPr>
              <w:pStyle w:val="Compact"/>
              <w:spacing w:before="20" w:after="20" w:line="240" w:lineRule="auto"/>
              <w:jc w:val="left"/>
            </w:pPr>
            <w:r>
              <w:rPr>
                <w:rFonts w:ascii="Liberation Sans Narrow" w:hAnsi="Liberation Sans Narrow"/>
                <w:b w:val="0"/>
                <w:sz w:val="17"/>
              </w:rPr>
              <w:t xml:space="preserve">Art. 558</w:t>
            </w:r>
          </w:p>
        </w:tc>
        <w:tc>
          <w:tcPr>
            <w:tcW w:type="dxa" w:w="797"/>
          </w:tcPr>
          <w:p>
            <w:pPr>
              <w:pStyle w:val="Compact"/>
              <w:spacing w:before="20" w:after="20" w:line="240" w:lineRule="auto"/>
              <w:jc w:val="right"/>
            </w:pPr>
            <w:r>
              <w:rPr>
                <w:rFonts w:ascii="Liberation Sans Narrow" w:hAnsi="Liberation Sans Narrow"/>
                <w:b/>
                <w:sz w:val="17"/>
              </w:rPr>
              <w:t xml:space="preserve">93</w:t>
            </w:r>
          </w:p>
        </w:tc>
        <w:tc>
          <w:tcPr>
            <w:tcW w:type="dxa" w:w="1754"/>
          </w:tcPr>
          <w:p>
            <w:pPr>
              <w:pStyle w:val="Compact"/>
              <w:spacing w:before="20" w:after="20" w:line="240" w:lineRule="auto"/>
              <w:jc w:val="left"/>
            </w:pPr>
            <w:r>
              <w:rPr>
                <w:rFonts w:ascii="Liberation Sans Narrow" w:hAnsi="Liberation Sans Narrow"/>
                <w:b w:val="0"/>
                <w:sz w:val="17"/>
              </w:rPr>
              <w:t xml:space="preserve">Art. 747</w:t>
            </w:r>
          </w:p>
        </w:tc>
        <w:tc>
          <w:tcPr>
            <w:tcW w:type="dxa" w:w="797"/>
          </w:tcPr>
          <w:p>
            <w:pPr>
              <w:pStyle w:val="Compact"/>
              <w:spacing w:before="20" w:after="20" w:line="240" w:lineRule="auto"/>
              <w:jc w:val="right"/>
            </w:pPr>
            <w:r>
              <w:rPr>
                <w:rFonts w:ascii="Liberation Sans Narrow" w:hAnsi="Liberation Sans Narrow"/>
                <w:b/>
                <w:sz w:val="17"/>
              </w:rPr>
              <w:t xml:space="preserve">128</w:t>
            </w:r>
          </w:p>
        </w:tc>
        <w:tc>
          <w:tcPr>
            <w:tcW w:type="dxa" w:w="1754"/>
          </w:tcPr>
          <w:p>
            <w:pPr>
              <w:pStyle w:val="Compact"/>
              <w:spacing w:before="20" w:after="20" w:line="240" w:lineRule="auto"/>
              <w:jc w:val="left"/>
            </w:pPr>
            <w:r>
              <w:rPr>
                <w:rFonts w:ascii="Liberation Sans Narrow" w:hAnsi="Liberation Sans Narrow"/>
                <w:b w:val="0"/>
                <w:sz w:val="17"/>
              </w:rPr>
              <w:t xml:space="preserve">Art. 936</w:t>
            </w:r>
          </w:p>
        </w:tc>
        <w:tc>
          <w:tcPr>
            <w:tcW w:type="dxa" w:w="797"/>
          </w:tcPr>
          <w:p>
            <w:pPr>
              <w:pStyle w:val="Compact"/>
              <w:spacing w:before="20" w:after="20" w:line="240" w:lineRule="auto"/>
              <w:jc w:val="right"/>
            </w:pPr>
            <w:r>
              <w:rPr>
                <w:rFonts w:ascii="Liberation Sans Narrow" w:hAnsi="Liberation Sans Narrow"/>
                <w:b/>
                <w:sz w:val="17"/>
              </w:rPr>
              <w:t xml:space="preserve">168</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370</w:t>
            </w:r>
          </w:p>
        </w:tc>
        <w:tc>
          <w:tcPr>
            <w:tcW w:type="dxa" w:w="797"/>
          </w:tcPr>
          <w:p>
            <w:pPr>
              <w:pStyle w:val="Compact"/>
              <w:spacing w:before="20" w:after="20" w:line="240" w:lineRule="auto"/>
              <w:jc w:val="right"/>
            </w:pPr>
            <w:r>
              <w:rPr>
                <w:rFonts w:ascii="Liberation Sans Narrow" w:hAnsi="Liberation Sans Narrow"/>
                <w:b/>
                <w:sz w:val="17"/>
              </w:rPr>
              <w:t xml:space="preserve">38</w:t>
            </w:r>
          </w:p>
        </w:tc>
        <w:tc>
          <w:tcPr>
            <w:tcW w:type="dxa" w:w="1754"/>
          </w:tcPr>
          <w:p>
            <w:pPr>
              <w:pStyle w:val="Compact"/>
              <w:spacing w:before="20" w:after="20" w:line="240" w:lineRule="auto"/>
              <w:jc w:val="left"/>
            </w:pPr>
            <w:r>
              <w:rPr>
                <w:rFonts w:ascii="Liberation Sans Narrow" w:hAnsi="Liberation Sans Narrow"/>
                <w:b w:val="0"/>
                <w:sz w:val="17"/>
              </w:rPr>
              <w:t xml:space="preserve">Art. 559</w:t>
            </w:r>
          </w:p>
        </w:tc>
        <w:tc>
          <w:tcPr>
            <w:tcW w:type="dxa" w:w="797"/>
          </w:tcPr>
          <w:p>
            <w:pPr>
              <w:pStyle w:val="Compact"/>
              <w:spacing w:before="20" w:after="20" w:line="240" w:lineRule="auto"/>
              <w:jc w:val="right"/>
            </w:pPr>
            <w:r>
              <w:rPr>
                <w:rFonts w:ascii="Liberation Sans Narrow" w:hAnsi="Liberation Sans Narrow"/>
                <w:b/>
                <w:sz w:val="17"/>
              </w:rPr>
              <w:t xml:space="preserve">93</w:t>
            </w:r>
          </w:p>
        </w:tc>
        <w:tc>
          <w:tcPr>
            <w:tcW w:type="dxa" w:w="1754"/>
          </w:tcPr>
          <w:p>
            <w:pPr>
              <w:pStyle w:val="Compact"/>
              <w:spacing w:before="20" w:after="20" w:line="240" w:lineRule="auto"/>
              <w:jc w:val="left"/>
            </w:pPr>
            <w:r>
              <w:rPr>
                <w:rFonts w:ascii="Liberation Sans Narrow" w:hAnsi="Liberation Sans Narrow"/>
                <w:b w:val="0"/>
                <w:sz w:val="17"/>
              </w:rPr>
              <w:t xml:space="preserve">Art. 748</w:t>
            </w:r>
          </w:p>
        </w:tc>
        <w:tc>
          <w:tcPr>
            <w:tcW w:type="dxa" w:w="797"/>
          </w:tcPr>
          <w:p>
            <w:pPr>
              <w:pStyle w:val="Compact"/>
              <w:spacing w:before="20" w:after="20" w:line="240" w:lineRule="auto"/>
              <w:jc w:val="right"/>
            </w:pPr>
            <w:r>
              <w:rPr>
                <w:rFonts w:ascii="Liberation Sans Narrow" w:hAnsi="Liberation Sans Narrow"/>
                <w:b/>
                <w:sz w:val="17"/>
              </w:rPr>
              <w:t xml:space="preserve">128</w:t>
            </w:r>
          </w:p>
        </w:tc>
        <w:tc>
          <w:tcPr>
            <w:tcW w:type="dxa" w:w="1754"/>
          </w:tcPr>
          <w:p>
            <w:pPr>
              <w:pStyle w:val="Compact"/>
              <w:spacing w:before="20" w:after="20" w:line="240" w:lineRule="auto"/>
              <w:jc w:val="left"/>
            </w:pPr>
            <w:r>
              <w:rPr>
                <w:rFonts w:ascii="Liberation Sans Narrow" w:hAnsi="Liberation Sans Narrow"/>
                <w:b w:val="0"/>
                <w:sz w:val="17"/>
              </w:rPr>
              <w:t xml:space="preserve">Art. 937</w:t>
            </w:r>
          </w:p>
        </w:tc>
        <w:tc>
          <w:tcPr>
            <w:tcW w:type="dxa" w:w="797"/>
          </w:tcPr>
          <w:p>
            <w:pPr>
              <w:pStyle w:val="Compact"/>
              <w:spacing w:before="20" w:after="20" w:line="240" w:lineRule="auto"/>
              <w:jc w:val="right"/>
            </w:pPr>
            <w:r>
              <w:rPr>
                <w:rFonts w:ascii="Liberation Sans Narrow" w:hAnsi="Liberation Sans Narrow"/>
                <w:b/>
                <w:sz w:val="17"/>
              </w:rPr>
              <w:t xml:space="preserve">168</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371</w:t>
            </w:r>
          </w:p>
        </w:tc>
        <w:tc>
          <w:tcPr>
            <w:tcW w:type="dxa" w:w="797"/>
          </w:tcPr>
          <w:p>
            <w:pPr>
              <w:pStyle w:val="Compact"/>
              <w:spacing w:before="20" w:after="20" w:line="240" w:lineRule="auto"/>
              <w:jc w:val="right"/>
            </w:pPr>
            <w:r>
              <w:rPr>
                <w:rFonts w:ascii="Liberation Sans Narrow" w:hAnsi="Liberation Sans Narrow"/>
                <w:b/>
                <w:sz w:val="17"/>
              </w:rPr>
              <w:t xml:space="preserve">39</w:t>
            </w:r>
          </w:p>
        </w:tc>
        <w:tc>
          <w:tcPr>
            <w:tcW w:type="dxa" w:w="1754"/>
          </w:tcPr>
          <w:p>
            <w:pPr>
              <w:pStyle w:val="Compact"/>
              <w:spacing w:before="20" w:after="20" w:line="240" w:lineRule="auto"/>
              <w:jc w:val="left"/>
            </w:pPr>
            <w:r>
              <w:rPr>
                <w:rFonts w:ascii="Liberation Sans Narrow" w:hAnsi="Liberation Sans Narrow"/>
                <w:b w:val="0"/>
                <w:sz w:val="17"/>
              </w:rPr>
              <w:t xml:space="preserve">Art. 560</w:t>
            </w:r>
          </w:p>
        </w:tc>
        <w:tc>
          <w:tcPr>
            <w:tcW w:type="dxa" w:w="797"/>
          </w:tcPr>
          <w:p>
            <w:pPr>
              <w:pStyle w:val="Compact"/>
              <w:spacing w:before="20" w:after="20" w:line="240" w:lineRule="auto"/>
              <w:jc w:val="right"/>
            </w:pPr>
            <w:r>
              <w:rPr>
                <w:rFonts w:ascii="Liberation Sans Narrow" w:hAnsi="Liberation Sans Narrow"/>
                <w:b/>
                <w:sz w:val="17"/>
              </w:rPr>
              <w:t xml:space="preserve">93</w:t>
            </w:r>
          </w:p>
        </w:tc>
        <w:tc>
          <w:tcPr>
            <w:tcW w:type="dxa" w:w="1754"/>
          </w:tcPr>
          <w:p>
            <w:pPr>
              <w:pStyle w:val="Compact"/>
              <w:spacing w:before="20" w:after="20" w:line="240" w:lineRule="auto"/>
              <w:jc w:val="left"/>
            </w:pPr>
            <w:r>
              <w:rPr>
                <w:rFonts w:ascii="Liberation Sans Narrow" w:hAnsi="Liberation Sans Narrow"/>
                <w:b w:val="0"/>
                <w:sz w:val="17"/>
              </w:rPr>
              <w:t xml:space="preserve">Art. 749</w:t>
            </w:r>
          </w:p>
        </w:tc>
        <w:tc>
          <w:tcPr>
            <w:tcW w:type="dxa" w:w="797"/>
          </w:tcPr>
          <w:p>
            <w:pPr>
              <w:pStyle w:val="Compact"/>
              <w:spacing w:before="20" w:after="20" w:line="240" w:lineRule="auto"/>
              <w:jc w:val="right"/>
            </w:pPr>
            <w:r>
              <w:rPr>
                <w:rFonts w:ascii="Liberation Sans Narrow" w:hAnsi="Liberation Sans Narrow"/>
                <w:b/>
                <w:sz w:val="17"/>
              </w:rPr>
              <w:t xml:space="preserve">128</w:t>
            </w:r>
          </w:p>
        </w:tc>
        <w:tc>
          <w:tcPr>
            <w:tcW w:type="dxa" w:w="1754"/>
          </w:tcPr>
          <w:p>
            <w:pPr>
              <w:pStyle w:val="Compact"/>
              <w:spacing w:before="20" w:after="20" w:line="240" w:lineRule="auto"/>
              <w:jc w:val="left"/>
            </w:pPr>
            <w:r>
              <w:rPr>
                <w:rFonts w:ascii="Liberation Sans Narrow" w:hAnsi="Liberation Sans Narrow"/>
                <w:b w:val="0"/>
                <w:sz w:val="17"/>
              </w:rPr>
              <w:t xml:space="preserve">Art. 938</w:t>
            </w:r>
          </w:p>
        </w:tc>
        <w:tc>
          <w:tcPr>
            <w:tcW w:type="dxa" w:w="797"/>
          </w:tcPr>
          <w:p>
            <w:pPr>
              <w:pStyle w:val="Compact"/>
              <w:spacing w:before="20" w:after="20" w:line="240" w:lineRule="auto"/>
              <w:jc w:val="right"/>
            </w:pPr>
            <w:r>
              <w:rPr>
                <w:rFonts w:ascii="Liberation Sans Narrow" w:hAnsi="Liberation Sans Narrow"/>
                <w:b/>
                <w:sz w:val="17"/>
              </w:rPr>
              <w:t xml:space="preserve">169</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372</w:t>
            </w:r>
          </w:p>
        </w:tc>
        <w:tc>
          <w:tcPr>
            <w:tcW w:type="dxa" w:w="797"/>
          </w:tcPr>
          <w:p>
            <w:pPr>
              <w:pStyle w:val="Compact"/>
              <w:spacing w:before="20" w:after="20" w:line="240" w:lineRule="auto"/>
              <w:jc w:val="right"/>
            </w:pPr>
            <w:r>
              <w:rPr>
                <w:rFonts w:ascii="Liberation Sans Narrow" w:hAnsi="Liberation Sans Narrow"/>
                <w:b/>
                <w:sz w:val="17"/>
              </w:rPr>
              <w:t xml:space="preserve">39</w:t>
            </w:r>
          </w:p>
        </w:tc>
        <w:tc>
          <w:tcPr>
            <w:tcW w:type="dxa" w:w="1754"/>
          </w:tcPr>
          <w:p>
            <w:pPr>
              <w:pStyle w:val="Compact"/>
              <w:spacing w:before="20" w:after="20" w:line="240" w:lineRule="auto"/>
              <w:jc w:val="left"/>
            </w:pPr>
            <w:r>
              <w:rPr>
                <w:rFonts w:ascii="Liberation Sans Narrow" w:hAnsi="Liberation Sans Narrow"/>
                <w:b w:val="0"/>
                <w:sz w:val="17"/>
              </w:rPr>
              <w:t xml:space="preserve">Art. 561</w:t>
            </w:r>
          </w:p>
        </w:tc>
        <w:tc>
          <w:tcPr>
            <w:tcW w:type="dxa" w:w="797"/>
          </w:tcPr>
          <w:p>
            <w:pPr>
              <w:pStyle w:val="Compact"/>
              <w:spacing w:before="20" w:after="20" w:line="240" w:lineRule="auto"/>
              <w:jc w:val="right"/>
            </w:pPr>
            <w:r>
              <w:rPr>
                <w:rFonts w:ascii="Liberation Sans Narrow" w:hAnsi="Liberation Sans Narrow"/>
                <w:b/>
                <w:sz w:val="17"/>
              </w:rPr>
              <w:t xml:space="preserve">93</w:t>
            </w:r>
          </w:p>
        </w:tc>
        <w:tc>
          <w:tcPr>
            <w:tcW w:type="dxa" w:w="1754"/>
          </w:tcPr>
          <w:p>
            <w:pPr>
              <w:pStyle w:val="Compact"/>
              <w:spacing w:before="20" w:after="20" w:line="240" w:lineRule="auto"/>
              <w:jc w:val="left"/>
            </w:pPr>
            <w:r>
              <w:rPr>
                <w:rFonts w:ascii="Liberation Sans Narrow" w:hAnsi="Liberation Sans Narrow"/>
                <w:b w:val="0"/>
                <w:sz w:val="17"/>
              </w:rPr>
              <w:t xml:space="preserve">Art. 750</w:t>
            </w:r>
          </w:p>
        </w:tc>
        <w:tc>
          <w:tcPr>
            <w:tcW w:type="dxa" w:w="797"/>
          </w:tcPr>
          <w:p>
            <w:pPr>
              <w:pStyle w:val="Compact"/>
              <w:spacing w:before="20" w:after="20" w:line="240" w:lineRule="auto"/>
              <w:jc w:val="right"/>
            </w:pPr>
            <w:r>
              <w:rPr>
                <w:rFonts w:ascii="Liberation Sans Narrow" w:hAnsi="Liberation Sans Narrow"/>
                <w:b/>
                <w:sz w:val="17"/>
              </w:rPr>
              <w:t xml:space="preserve">128</w:t>
            </w:r>
          </w:p>
        </w:tc>
        <w:tc>
          <w:tcPr>
            <w:tcW w:type="dxa" w:w="1754"/>
          </w:tcPr>
          <w:p>
            <w:pPr>
              <w:pStyle w:val="Compact"/>
              <w:spacing w:before="20" w:after="20" w:line="240" w:lineRule="auto"/>
              <w:jc w:val="left"/>
            </w:pPr>
            <w:r>
              <w:rPr>
                <w:rFonts w:ascii="Liberation Sans Narrow" w:hAnsi="Liberation Sans Narrow"/>
                <w:b w:val="0"/>
                <w:sz w:val="17"/>
              </w:rPr>
              <w:t xml:space="preserve">Art. 939</w:t>
            </w:r>
          </w:p>
        </w:tc>
        <w:tc>
          <w:tcPr>
            <w:tcW w:type="dxa" w:w="797"/>
          </w:tcPr>
          <w:p>
            <w:pPr>
              <w:pStyle w:val="Compact"/>
              <w:spacing w:before="20" w:after="20" w:line="240" w:lineRule="auto"/>
              <w:jc w:val="right"/>
            </w:pPr>
            <w:r>
              <w:rPr>
                <w:rFonts w:ascii="Liberation Sans Narrow" w:hAnsi="Liberation Sans Narrow"/>
                <w:b/>
                <w:sz w:val="17"/>
              </w:rPr>
              <w:t xml:space="preserve">169</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373</w:t>
            </w:r>
          </w:p>
        </w:tc>
        <w:tc>
          <w:tcPr>
            <w:tcW w:type="dxa" w:w="797"/>
          </w:tcPr>
          <w:p>
            <w:pPr>
              <w:pStyle w:val="Compact"/>
              <w:spacing w:before="20" w:after="20" w:line="240" w:lineRule="auto"/>
              <w:jc w:val="right"/>
            </w:pPr>
            <w:r>
              <w:rPr>
                <w:rFonts w:ascii="Liberation Sans Narrow" w:hAnsi="Liberation Sans Narrow"/>
                <w:b/>
                <w:sz w:val="17"/>
              </w:rPr>
              <w:t xml:space="preserve">40</w:t>
            </w:r>
          </w:p>
        </w:tc>
        <w:tc>
          <w:tcPr>
            <w:tcW w:type="dxa" w:w="1754"/>
          </w:tcPr>
          <w:p>
            <w:pPr>
              <w:pStyle w:val="Compact"/>
              <w:spacing w:before="20" w:after="20" w:line="240" w:lineRule="auto"/>
              <w:jc w:val="left"/>
            </w:pPr>
            <w:r>
              <w:rPr>
                <w:rFonts w:ascii="Liberation Sans Narrow" w:hAnsi="Liberation Sans Narrow"/>
                <w:b w:val="0"/>
                <w:sz w:val="17"/>
              </w:rPr>
              <w:t xml:space="preserve">Art. 562</w:t>
            </w:r>
          </w:p>
        </w:tc>
        <w:tc>
          <w:tcPr>
            <w:tcW w:type="dxa" w:w="797"/>
          </w:tcPr>
          <w:p>
            <w:pPr>
              <w:pStyle w:val="Compact"/>
              <w:spacing w:before="20" w:after="20" w:line="240" w:lineRule="auto"/>
              <w:jc w:val="right"/>
            </w:pPr>
            <w:r>
              <w:rPr>
                <w:rFonts w:ascii="Liberation Sans Narrow" w:hAnsi="Liberation Sans Narrow"/>
                <w:b/>
                <w:sz w:val="17"/>
              </w:rPr>
              <w:t xml:space="preserve">93</w:t>
            </w:r>
          </w:p>
        </w:tc>
        <w:tc>
          <w:tcPr>
            <w:tcW w:type="dxa" w:w="1754"/>
          </w:tcPr>
          <w:p>
            <w:pPr>
              <w:pStyle w:val="Compact"/>
              <w:spacing w:before="20" w:after="20" w:line="240" w:lineRule="auto"/>
              <w:jc w:val="left"/>
            </w:pPr>
            <w:r>
              <w:rPr>
                <w:rFonts w:ascii="Liberation Sans Narrow" w:hAnsi="Liberation Sans Narrow"/>
                <w:b w:val="0"/>
                <w:sz w:val="17"/>
              </w:rPr>
              <w:t xml:space="preserve">Art. 751</w:t>
            </w:r>
          </w:p>
        </w:tc>
        <w:tc>
          <w:tcPr>
            <w:tcW w:type="dxa" w:w="797"/>
          </w:tcPr>
          <w:p>
            <w:pPr>
              <w:pStyle w:val="Compact"/>
              <w:spacing w:before="20" w:after="20" w:line="240" w:lineRule="auto"/>
              <w:jc w:val="right"/>
            </w:pPr>
            <w:r>
              <w:rPr>
                <w:rFonts w:ascii="Liberation Sans Narrow" w:hAnsi="Liberation Sans Narrow"/>
                <w:b/>
                <w:sz w:val="17"/>
              </w:rPr>
              <w:t xml:space="preserve">128</w:t>
            </w:r>
          </w:p>
        </w:tc>
        <w:tc>
          <w:tcPr>
            <w:tcW w:type="dxa" w:w="1754"/>
          </w:tcPr>
          <w:p>
            <w:pPr>
              <w:pStyle w:val="Compact"/>
              <w:spacing w:before="20" w:after="20" w:line="240" w:lineRule="auto"/>
              <w:jc w:val="left"/>
            </w:pPr>
            <w:r>
              <w:rPr>
                <w:rFonts w:ascii="Liberation Sans Narrow" w:hAnsi="Liberation Sans Narrow"/>
                <w:b w:val="0"/>
                <w:sz w:val="17"/>
              </w:rPr>
              <w:t xml:space="preserve">Art. 940</w:t>
            </w:r>
          </w:p>
        </w:tc>
        <w:tc>
          <w:tcPr>
            <w:tcW w:type="dxa" w:w="797"/>
          </w:tcPr>
          <w:p>
            <w:pPr>
              <w:pStyle w:val="Compact"/>
              <w:spacing w:before="20" w:after="20" w:line="240" w:lineRule="auto"/>
              <w:jc w:val="right"/>
            </w:pPr>
            <w:r>
              <w:rPr>
                <w:rFonts w:ascii="Liberation Sans Narrow" w:hAnsi="Liberation Sans Narrow"/>
                <w:b/>
                <w:sz w:val="17"/>
              </w:rPr>
              <w:t xml:space="preserve">169</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374</w:t>
            </w:r>
          </w:p>
        </w:tc>
        <w:tc>
          <w:tcPr>
            <w:tcW w:type="dxa" w:w="797"/>
          </w:tcPr>
          <w:p>
            <w:pPr>
              <w:pStyle w:val="Compact"/>
              <w:spacing w:before="20" w:after="20" w:line="240" w:lineRule="auto"/>
              <w:jc w:val="right"/>
            </w:pPr>
            <w:r>
              <w:rPr>
                <w:rFonts w:ascii="Liberation Sans Narrow" w:hAnsi="Liberation Sans Narrow"/>
                <w:b/>
                <w:sz w:val="17"/>
              </w:rPr>
              <w:t xml:space="preserve">40</w:t>
            </w:r>
          </w:p>
        </w:tc>
        <w:tc>
          <w:tcPr>
            <w:tcW w:type="dxa" w:w="1754"/>
          </w:tcPr>
          <w:p>
            <w:pPr>
              <w:pStyle w:val="Compact"/>
              <w:spacing w:before="20" w:after="20" w:line="240" w:lineRule="auto"/>
              <w:jc w:val="left"/>
            </w:pPr>
            <w:r>
              <w:rPr>
                <w:rFonts w:ascii="Liberation Sans Narrow" w:hAnsi="Liberation Sans Narrow"/>
                <w:b w:val="0"/>
                <w:sz w:val="17"/>
              </w:rPr>
              <w:t xml:space="preserve">Art. 563</w:t>
            </w:r>
          </w:p>
        </w:tc>
        <w:tc>
          <w:tcPr>
            <w:tcW w:type="dxa" w:w="797"/>
          </w:tcPr>
          <w:p>
            <w:pPr>
              <w:pStyle w:val="Compact"/>
              <w:spacing w:before="20" w:after="20" w:line="240" w:lineRule="auto"/>
              <w:jc w:val="right"/>
            </w:pPr>
            <w:r>
              <w:rPr>
                <w:rFonts w:ascii="Liberation Sans Narrow" w:hAnsi="Liberation Sans Narrow"/>
                <w:b/>
                <w:sz w:val="17"/>
              </w:rPr>
              <w:t xml:space="preserve">94</w:t>
            </w:r>
          </w:p>
        </w:tc>
        <w:tc>
          <w:tcPr>
            <w:tcW w:type="dxa" w:w="1754"/>
          </w:tcPr>
          <w:p>
            <w:pPr>
              <w:pStyle w:val="Compact"/>
              <w:spacing w:before="20" w:after="20" w:line="240" w:lineRule="auto"/>
              <w:jc w:val="left"/>
            </w:pPr>
            <w:r>
              <w:rPr>
                <w:rFonts w:ascii="Liberation Sans Narrow" w:hAnsi="Liberation Sans Narrow"/>
                <w:b w:val="0"/>
                <w:sz w:val="17"/>
              </w:rPr>
              <w:t xml:space="preserve">Art. 752</w:t>
            </w:r>
          </w:p>
        </w:tc>
        <w:tc>
          <w:tcPr>
            <w:tcW w:type="dxa" w:w="797"/>
          </w:tcPr>
          <w:p>
            <w:pPr>
              <w:pStyle w:val="Compact"/>
              <w:spacing w:before="20" w:after="20" w:line="240" w:lineRule="auto"/>
              <w:jc w:val="right"/>
            </w:pPr>
            <w:r>
              <w:rPr>
                <w:rFonts w:ascii="Liberation Sans Narrow" w:hAnsi="Liberation Sans Narrow"/>
                <w:b/>
                <w:sz w:val="17"/>
              </w:rPr>
              <w:t xml:space="preserve">128</w:t>
            </w:r>
          </w:p>
        </w:tc>
        <w:tc>
          <w:tcPr>
            <w:tcW w:type="dxa" w:w="1754"/>
          </w:tcPr>
          <w:p>
            <w:pPr>
              <w:pStyle w:val="Compact"/>
              <w:spacing w:before="20" w:after="20" w:line="240" w:lineRule="auto"/>
              <w:jc w:val="left"/>
            </w:pPr>
            <w:r>
              <w:rPr>
                <w:rFonts w:ascii="Liberation Sans Narrow" w:hAnsi="Liberation Sans Narrow"/>
                <w:b w:val="0"/>
                <w:sz w:val="17"/>
              </w:rPr>
              <w:t xml:space="preserve">Art. 941</w:t>
            </w:r>
          </w:p>
        </w:tc>
        <w:tc>
          <w:tcPr>
            <w:tcW w:type="dxa" w:w="797"/>
          </w:tcPr>
          <w:p>
            <w:pPr>
              <w:pStyle w:val="Compact"/>
              <w:spacing w:before="20" w:after="20" w:line="240" w:lineRule="auto"/>
              <w:jc w:val="right"/>
            </w:pPr>
            <w:r>
              <w:rPr>
                <w:rFonts w:ascii="Liberation Sans Narrow" w:hAnsi="Liberation Sans Narrow"/>
                <w:b/>
                <w:sz w:val="17"/>
              </w:rPr>
              <w:t xml:space="preserve">169</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375</w:t>
            </w:r>
          </w:p>
        </w:tc>
        <w:tc>
          <w:tcPr>
            <w:tcW w:type="dxa" w:w="797"/>
          </w:tcPr>
          <w:p>
            <w:pPr>
              <w:pStyle w:val="Compact"/>
              <w:spacing w:before="20" w:after="20" w:line="240" w:lineRule="auto"/>
              <w:jc w:val="right"/>
            </w:pPr>
            <w:r>
              <w:rPr>
                <w:rFonts w:ascii="Liberation Sans Narrow" w:hAnsi="Liberation Sans Narrow"/>
                <w:b/>
                <w:sz w:val="17"/>
              </w:rPr>
              <w:t xml:space="preserve">41</w:t>
            </w:r>
          </w:p>
        </w:tc>
        <w:tc>
          <w:tcPr>
            <w:tcW w:type="dxa" w:w="1754"/>
          </w:tcPr>
          <w:p>
            <w:pPr>
              <w:pStyle w:val="Compact"/>
              <w:spacing w:before="20" w:after="20" w:line="240" w:lineRule="auto"/>
              <w:jc w:val="left"/>
            </w:pPr>
            <w:r>
              <w:rPr>
                <w:rFonts w:ascii="Liberation Sans Narrow" w:hAnsi="Liberation Sans Narrow"/>
                <w:b w:val="0"/>
                <w:sz w:val="17"/>
              </w:rPr>
              <w:t xml:space="preserve">Art. 564</w:t>
            </w:r>
          </w:p>
        </w:tc>
        <w:tc>
          <w:tcPr>
            <w:tcW w:type="dxa" w:w="797"/>
          </w:tcPr>
          <w:p>
            <w:pPr>
              <w:pStyle w:val="Compact"/>
              <w:spacing w:before="20" w:after="20" w:line="240" w:lineRule="auto"/>
              <w:jc w:val="right"/>
            </w:pPr>
            <w:r>
              <w:rPr>
                <w:rFonts w:ascii="Liberation Sans Narrow" w:hAnsi="Liberation Sans Narrow"/>
                <w:b/>
                <w:sz w:val="17"/>
              </w:rPr>
              <w:t xml:space="preserve">94</w:t>
            </w:r>
          </w:p>
        </w:tc>
        <w:tc>
          <w:tcPr>
            <w:tcW w:type="dxa" w:w="1754"/>
          </w:tcPr>
          <w:p>
            <w:pPr>
              <w:pStyle w:val="Compact"/>
              <w:spacing w:before="20" w:after="20" w:line="240" w:lineRule="auto"/>
              <w:jc w:val="left"/>
            </w:pPr>
            <w:r>
              <w:rPr>
                <w:rFonts w:ascii="Liberation Sans Narrow" w:hAnsi="Liberation Sans Narrow"/>
                <w:b w:val="0"/>
                <w:sz w:val="17"/>
              </w:rPr>
              <w:t xml:space="preserve">Art. 753</w:t>
            </w:r>
          </w:p>
        </w:tc>
        <w:tc>
          <w:tcPr>
            <w:tcW w:type="dxa" w:w="797"/>
          </w:tcPr>
          <w:p>
            <w:pPr>
              <w:pStyle w:val="Compact"/>
              <w:spacing w:before="20" w:after="20" w:line="240" w:lineRule="auto"/>
              <w:jc w:val="right"/>
            </w:pPr>
            <w:r>
              <w:rPr>
                <w:rFonts w:ascii="Liberation Sans Narrow" w:hAnsi="Liberation Sans Narrow"/>
                <w:b/>
                <w:sz w:val="17"/>
              </w:rPr>
              <w:t xml:space="preserve">129</w:t>
            </w:r>
          </w:p>
        </w:tc>
        <w:tc>
          <w:tcPr>
            <w:tcW w:type="dxa" w:w="1754"/>
          </w:tcPr>
          <w:p>
            <w:pPr>
              <w:pStyle w:val="Compact"/>
              <w:spacing w:before="20" w:after="20" w:line="240" w:lineRule="auto"/>
              <w:jc w:val="left"/>
            </w:pPr>
            <w:r>
              <w:rPr>
                <w:rFonts w:ascii="Liberation Sans Narrow" w:hAnsi="Liberation Sans Narrow"/>
                <w:b w:val="0"/>
                <w:sz w:val="17"/>
              </w:rPr>
              <w:t xml:space="preserve">Art. 942</w:t>
            </w:r>
          </w:p>
        </w:tc>
        <w:tc>
          <w:tcPr>
            <w:tcW w:type="dxa" w:w="797"/>
          </w:tcPr>
          <w:p>
            <w:pPr>
              <w:pStyle w:val="Compact"/>
              <w:spacing w:before="20" w:after="20" w:line="240" w:lineRule="auto"/>
              <w:jc w:val="right"/>
            </w:pPr>
            <w:r>
              <w:rPr>
                <w:rFonts w:ascii="Liberation Sans Narrow" w:hAnsi="Liberation Sans Narrow"/>
                <w:b/>
                <w:sz w:val="17"/>
              </w:rPr>
              <w:t xml:space="preserve">169</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376</w:t>
            </w:r>
          </w:p>
        </w:tc>
        <w:tc>
          <w:tcPr>
            <w:tcW w:type="dxa" w:w="797"/>
          </w:tcPr>
          <w:p>
            <w:pPr>
              <w:pStyle w:val="Compact"/>
              <w:spacing w:before="20" w:after="20" w:line="240" w:lineRule="auto"/>
              <w:jc w:val="right"/>
            </w:pPr>
            <w:r>
              <w:rPr>
                <w:rFonts w:ascii="Liberation Sans Narrow" w:hAnsi="Liberation Sans Narrow"/>
                <w:b/>
                <w:sz w:val="17"/>
              </w:rPr>
              <w:t xml:space="preserve">42</w:t>
            </w:r>
          </w:p>
        </w:tc>
        <w:tc>
          <w:tcPr>
            <w:tcW w:type="dxa" w:w="1754"/>
          </w:tcPr>
          <w:p>
            <w:pPr>
              <w:pStyle w:val="Compact"/>
              <w:spacing w:before="20" w:after="20" w:line="240" w:lineRule="auto"/>
              <w:jc w:val="left"/>
            </w:pPr>
            <w:r>
              <w:rPr>
                <w:rFonts w:ascii="Liberation Sans Narrow" w:hAnsi="Liberation Sans Narrow"/>
                <w:b w:val="0"/>
                <w:sz w:val="17"/>
              </w:rPr>
              <w:t xml:space="preserve">Art. 565</w:t>
            </w:r>
          </w:p>
        </w:tc>
        <w:tc>
          <w:tcPr>
            <w:tcW w:type="dxa" w:w="797"/>
          </w:tcPr>
          <w:p>
            <w:pPr>
              <w:pStyle w:val="Compact"/>
              <w:spacing w:before="20" w:after="20" w:line="240" w:lineRule="auto"/>
              <w:jc w:val="right"/>
            </w:pPr>
            <w:r>
              <w:rPr>
                <w:rFonts w:ascii="Liberation Sans Narrow" w:hAnsi="Liberation Sans Narrow"/>
                <w:b/>
                <w:sz w:val="17"/>
              </w:rPr>
              <w:t xml:space="preserve">94</w:t>
            </w:r>
          </w:p>
        </w:tc>
        <w:tc>
          <w:tcPr>
            <w:tcW w:type="dxa" w:w="1754"/>
          </w:tcPr>
          <w:p>
            <w:pPr>
              <w:pStyle w:val="Compact"/>
              <w:spacing w:before="20" w:after="20" w:line="240" w:lineRule="auto"/>
              <w:jc w:val="left"/>
            </w:pPr>
            <w:r>
              <w:rPr>
                <w:rFonts w:ascii="Liberation Sans Narrow" w:hAnsi="Liberation Sans Narrow"/>
                <w:b w:val="0"/>
                <w:sz w:val="17"/>
              </w:rPr>
              <w:t xml:space="preserve">Art. 754</w:t>
            </w:r>
          </w:p>
        </w:tc>
        <w:tc>
          <w:tcPr>
            <w:tcW w:type="dxa" w:w="797"/>
          </w:tcPr>
          <w:p>
            <w:pPr>
              <w:pStyle w:val="Compact"/>
              <w:spacing w:before="20" w:after="20" w:line="240" w:lineRule="auto"/>
              <w:jc w:val="right"/>
            </w:pPr>
            <w:r>
              <w:rPr>
                <w:rFonts w:ascii="Liberation Sans Narrow" w:hAnsi="Liberation Sans Narrow"/>
                <w:b/>
                <w:sz w:val="17"/>
              </w:rPr>
              <w:t xml:space="preserve">129</w:t>
            </w:r>
          </w:p>
        </w:tc>
        <w:tc>
          <w:tcPr>
            <w:tcW w:type="dxa" w:w="1754"/>
          </w:tcPr>
          <w:p>
            <w:pPr>
              <w:pStyle w:val="Compact"/>
              <w:spacing w:before="20" w:after="20" w:line="240" w:lineRule="auto"/>
              <w:jc w:val="left"/>
            </w:pPr>
            <w:r>
              <w:rPr>
                <w:rFonts w:ascii="Liberation Sans Narrow" w:hAnsi="Liberation Sans Narrow"/>
                <w:b w:val="0"/>
                <w:sz w:val="17"/>
              </w:rPr>
              <w:t xml:space="preserve">Art. 943</w:t>
            </w:r>
          </w:p>
        </w:tc>
        <w:tc>
          <w:tcPr>
            <w:tcW w:type="dxa" w:w="797"/>
          </w:tcPr>
          <w:p>
            <w:pPr>
              <w:pStyle w:val="Compact"/>
              <w:spacing w:before="20" w:after="20" w:line="240" w:lineRule="auto"/>
              <w:jc w:val="right"/>
            </w:pPr>
            <w:r>
              <w:rPr>
                <w:rFonts w:ascii="Liberation Sans Narrow" w:hAnsi="Liberation Sans Narrow"/>
                <w:b/>
                <w:sz w:val="17"/>
              </w:rPr>
              <w:t xml:space="preserve">170</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377</w:t>
            </w:r>
          </w:p>
        </w:tc>
        <w:tc>
          <w:tcPr>
            <w:tcW w:type="dxa" w:w="797"/>
          </w:tcPr>
          <w:p>
            <w:pPr>
              <w:pStyle w:val="Compact"/>
              <w:spacing w:before="20" w:after="20" w:line="240" w:lineRule="auto"/>
              <w:jc w:val="right"/>
            </w:pPr>
            <w:r>
              <w:rPr>
                <w:rFonts w:ascii="Liberation Sans Narrow" w:hAnsi="Liberation Sans Narrow"/>
                <w:b/>
                <w:sz w:val="17"/>
              </w:rPr>
              <w:t xml:space="preserve">42</w:t>
            </w:r>
          </w:p>
        </w:tc>
        <w:tc>
          <w:tcPr>
            <w:tcW w:type="dxa" w:w="1754"/>
          </w:tcPr>
          <w:p>
            <w:pPr>
              <w:pStyle w:val="Compact"/>
              <w:spacing w:before="20" w:after="20" w:line="240" w:lineRule="auto"/>
              <w:jc w:val="left"/>
            </w:pPr>
            <w:r>
              <w:rPr>
                <w:rFonts w:ascii="Liberation Sans Narrow" w:hAnsi="Liberation Sans Narrow"/>
                <w:b w:val="0"/>
                <w:sz w:val="17"/>
              </w:rPr>
              <w:t xml:space="preserve">Art. 566</w:t>
            </w:r>
          </w:p>
        </w:tc>
        <w:tc>
          <w:tcPr>
            <w:tcW w:type="dxa" w:w="797"/>
          </w:tcPr>
          <w:p>
            <w:pPr>
              <w:pStyle w:val="Compact"/>
              <w:spacing w:before="20" w:after="20" w:line="240" w:lineRule="auto"/>
              <w:jc w:val="right"/>
            </w:pPr>
            <w:r>
              <w:rPr>
                <w:rFonts w:ascii="Liberation Sans Narrow" w:hAnsi="Liberation Sans Narrow"/>
                <w:b/>
                <w:sz w:val="17"/>
              </w:rPr>
              <w:t xml:space="preserve">94</w:t>
            </w:r>
          </w:p>
        </w:tc>
        <w:tc>
          <w:tcPr>
            <w:tcW w:type="dxa" w:w="1754"/>
          </w:tcPr>
          <w:p>
            <w:pPr>
              <w:pStyle w:val="Compact"/>
              <w:spacing w:before="20" w:after="20" w:line="240" w:lineRule="auto"/>
              <w:jc w:val="left"/>
            </w:pPr>
            <w:r>
              <w:rPr>
                <w:rFonts w:ascii="Liberation Sans Narrow" w:hAnsi="Liberation Sans Narrow"/>
                <w:b w:val="0"/>
                <w:sz w:val="17"/>
              </w:rPr>
              <w:t xml:space="preserve">Art. 755</w:t>
            </w:r>
          </w:p>
        </w:tc>
        <w:tc>
          <w:tcPr>
            <w:tcW w:type="dxa" w:w="797"/>
          </w:tcPr>
          <w:p>
            <w:pPr>
              <w:pStyle w:val="Compact"/>
              <w:spacing w:before="20" w:after="20" w:line="240" w:lineRule="auto"/>
              <w:jc w:val="right"/>
            </w:pPr>
            <w:r>
              <w:rPr>
                <w:rFonts w:ascii="Liberation Sans Narrow" w:hAnsi="Liberation Sans Narrow"/>
                <w:b/>
                <w:sz w:val="17"/>
              </w:rPr>
              <w:t xml:space="preserve">129</w:t>
            </w:r>
          </w:p>
        </w:tc>
        <w:tc>
          <w:tcPr>
            <w:tcW w:type="dxa" w:w="1754"/>
          </w:tcPr>
          <w:p>
            <w:pPr>
              <w:pStyle w:val="Compact"/>
              <w:spacing w:before="20" w:after="20" w:line="240" w:lineRule="auto"/>
              <w:jc w:val="left"/>
            </w:pPr>
            <w:r>
              <w:rPr>
                <w:rFonts w:ascii="Liberation Sans Narrow" w:hAnsi="Liberation Sans Narrow"/>
                <w:b w:val="0"/>
                <w:sz w:val="17"/>
              </w:rPr>
              <w:t xml:space="preserve">Art. 944</w:t>
            </w:r>
          </w:p>
        </w:tc>
        <w:tc>
          <w:tcPr>
            <w:tcW w:type="dxa" w:w="797"/>
          </w:tcPr>
          <w:p>
            <w:pPr>
              <w:pStyle w:val="Compact"/>
              <w:spacing w:before="20" w:after="20" w:line="240" w:lineRule="auto"/>
              <w:jc w:val="right"/>
            </w:pPr>
            <w:r>
              <w:rPr>
                <w:rFonts w:ascii="Liberation Sans Narrow" w:hAnsi="Liberation Sans Narrow"/>
                <w:b/>
                <w:sz w:val="17"/>
              </w:rPr>
              <w:t xml:space="preserve">170</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378</w:t>
            </w:r>
          </w:p>
        </w:tc>
        <w:tc>
          <w:tcPr>
            <w:tcW w:type="dxa" w:w="797"/>
          </w:tcPr>
          <w:p>
            <w:pPr>
              <w:pStyle w:val="Compact"/>
              <w:spacing w:before="20" w:after="20" w:line="240" w:lineRule="auto"/>
              <w:jc w:val="right"/>
            </w:pPr>
            <w:r>
              <w:rPr>
                <w:rFonts w:ascii="Liberation Sans Narrow" w:hAnsi="Liberation Sans Narrow"/>
                <w:b/>
                <w:sz w:val="17"/>
              </w:rPr>
              <w:t xml:space="preserve">42</w:t>
            </w:r>
          </w:p>
        </w:tc>
        <w:tc>
          <w:tcPr>
            <w:tcW w:type="dxa" w:w="1754"/>
          </w:tcPr>
          <w:p>
            <w:pPr>
              <w:pStyle w:val="Compact"/>
              <w:spacing w:before="20" w:after="20" w:line="240" w:lineRule="auto"/>
              <w:jc w:val="left"/>
            </w:pPr>
            <w:r>
              <w:rPr>
                <w:rFonts w:ascii="Liberation Sans Narrow" w:hAnsi="Liberation Sans Narrow"/>
                <w:b w:val="0"/>
                <w:sz w:val="17"/>
              </w:rPr>
              <w:t xml:space="preserve">Art. 567</w:t>
            </w:r>
          </w:p>
        </w:tc>
        <w:tc>
          <w:tcPr>
            <w:tcW w:type="dxa" w:w="797"/>
          </w:tcPr>
          <w:p>
            <w:pPr>
              <w:pStyle w:val="Compact"/>
              <w:spacing w:before="20" w:after="20" w:line="240" w:lineRule="auto"/>
              <w:jc w:val="right"/>
            </w:pPr>
            <w:r>
              <w:rPr>
                <w:rFonts w:ascii="Liberation Sans Narrow" w:hAnsi="Liberation Sans Narrow"/>
                <w:b/>
                <w:sz w:val="17"/>
              </w:rPr>
              <w:t xml:space="preserve">94</w:t>
            </w:r>
          </w:p>
        </w:tc>
        <w:tc>
          <w:tcPr>
            <w:tcW w:type="dxa" w:w="1754"/>
          </w:tcPr>
          <w:p>
            <w:pPr>
              <w:pStyle w:val="Compact"/>
              <w:spacing w:before="20" w:after="20" w:line="240" w:lineRule="auto"/>
              <w:jc w:val="left"/>
            </w:pPr>
            <w:r>
              <w:rPr>
                <w:rFonts w:ascii="Liberation Sans Narrow" w:hAnsi="Liberation Sans Narrow"/>
                <w:b w:val="0"/>
                <w:sz w:val="17"/>
              </w:rPr>
              <w:t xml:space="preserve">Art. 756</w:t>
            </w:r>
          </w:p>
        </w:tc>
        <w:tc>
          <w:tcPr>
            <w:tcW w:type="dxa" w:w="797"/>
          </w:tcPr>
          <w:p>
            <w:pPr>
              <w:pStyle w:val="Compact"/>
              <w:spacing w:before="20" w:after="20" w:line="240" w:lineRule="auto"/>
              <w:jc w:val="right"/>
            </w:pPr>
            <w:r>
              <w:rPr>
                <w:rFonts w:ascii="Liberation Sans Narrow" w:hAnsi="Liberation Sans Narrow"/>
                <w:b/>
                <w:sz w:val="17"/>
              </w:rPr>
              <w:t xml:space="preserve">129</w:t>
            </w:r>
          </w:p>
        </w:tc>
        <w:tc>
          <w:tcPr>
            <w:tcW w:type="dxa" w:w="1754"/>
          </w:tcPr>
          <w:p>
            <w:pPr>
              <w:pStyle w:val="Compact"/>
              <w:spacing w:before="20" w:after="20" w:line="240" w:lineRule="auto"/>
              <w:jc w:val="left"/>
            </w:pPr>
            <w:r>
              <w:rPr>
                <w:rFonts w:ascii="Liberation Sans Narrow" w:hAnsi="Liberation Sans Narrow"/>
                <w:b w:val="0"/>
                <w:sz w:val="17"/>
              </w:rPr>
              <w:t xml:space="preserve">Art. 945</w:t>
            </w:r>
          </w:p>
        </w:tc>
        <w:tc>
          <w:tcPr>
            <w:tcW w:type="dxa" w:w="797"/>
          </w:tcPr>
          <w:p>
            <w:pPr>
              <w:pStyle w:val="Compact"/>
              <w:spacing w:before="20" w:after="20" w:line="240" w:lineRule="auto"/>
              <w:jc w:val="right"/>
            </w:pPr>
            <w:r>
              <w:rPr>
                <w:rFonts w:ascii="Liberation Sans Narrow" w:hAnsi="Liberation Sans Narrow"/>
                <w:b/>
                <w:sz w:val="17"/>
              </w:rPr>
              <w:t xml:space="preserve">170</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379</w:t>
            </w:r>
          </w:p>
        </w:tc>
        <w:tc>
          <w:tcPr>
            <w:tcW w:type="dxa" w:w="797"/>
          </w:tcPr>
          <w:p>
            <w:pPr>
              <w:pStyle w:val="Compact"/>
              <w:spacing w:before="20" w:after="20" w:line="240" w:lineRule="auto"/>
              <w:jc w:val="right"/>
            </w:pPr>
            <w:r>
              <w:rPr>
                <w:rFonts w:ascii="Liberation Sans Narrow" w:hAnsi="Liberation Sans Narrow"/>
                <w:b/>
                <w:sz w:val="17"/>
              </w:rPr>
              <w:t xml:space="preserve">42</w:t>
            </w:r>
          </w:p>
        </w:tc>
        <w:tc>
          <w:tcPr>
            <w:tcW w:type="dxa" w:w="1754"/>
          </w:tcPr>
          <w:p>
            <w:pPr>
              <w:pStyle w:val="Compact"/>
              <w:spacing w:before="20" w:after="20" w:line="240" w:lineRule="auto"/>
              <w:jc w:val="left"/>
            </w:pPr>
            <w:r>
              <w:rPr>
                <w:rFonts w:ascii="Liberation Sans Narrow" w:hAnsi="Liberation Sans Narrow"/>
                <w:b w:val="0"/>
                <w:sz w:val="17"/>
              </w:rPr>
              <w:t xml:space="preserve">Art. 568</w:t>
            </w:r>
          </w:p>
        </w:tc>
        <w:tc>
          <w:tcPr>
            <w:tcW w:type="dxa" w:w="797"/>
          </w:tcPr>
          <w:p>
            <w:pPr>
              <w:pStyle w:val="Compact"/>
              <w:spacing w:before="20" w:after="20" w:line="240" w:lineRule="auto"/>
              <w:jc w:val="right"/>
            </w:pPr>
            <w:r>
              <w:rPr>
                <w:rFonts w:ascii="Liberation Sans Narrow" w:hAnsi="Liberation Sans Narrow"/>
                <w:b/>
                <w:sz w:val="17"/>
              </w:rPr>
              <w:t xml:space="preserve">95</w:t>
            </w:r>
          </w:p>
        </w:tc>
        <w:tc>
          <w:tcPr>
            <w:tcW w:type="dxa" w:w="1754"/>
          </w:tcPr>
          <w:p>
            <w:pPr>
              <w:pStyle w:val="Compact"/>
              <w:spacing w:before="20" w:after="20" w:line="240" w:lineRule="auto"/>
              <w:jc w:val="left"/>
            </w:pPr>
            <w:r>
              <w:rPr>
                <w:rFonts w:ascii="Liberation Sans Narrow" w:hAnsi="Liberation Sans Narrow"/>
                <w:b w:val="0"/>
                <w:sz w:val="17"/>
              </w:rPr>
              <w:t xml:space="preserve">Art. 757</w:t>
            </w:r>
          </w:p>
        </w:tc>
        <w:tc>
          <w:tcPr>
            <w:tcW w:type="dxa" w:w="797"/>
          </w:tcPr>
          <w:p>
            <w:pPr>
              <w:pStyle w:val="Compact"/>
              <w:spacing w:before="20" w:after="20" w:line="240" w:lineRule="auto"/>
              <w:jc w:val="right"/>
            </w:pPr>
            <w:r>
              <w:rPr>
                <w:rFonts w:ascii="Liberation Sans Narrow" w:hAnsi="Liberation Sans Narrow"/>
                <w:b/>
                <w:sz w:val="17"/>
              </w:rPr>
              <w:t xml:space="preserve">130</w:t>
            </w:r>
          </w:p>
        </w:tc>
        <w:tc>
          <w:tcPr>
            <w:tcW w:type="dxa" w:w="1754"/>
          </w:tcPr>
          <w:p>
            <w:pPr>
              <w:pStyle w:val="Compact"/>
              <w:spacing w:before="20" w:after="20" w:line="240" w:lineRule="auto"/>
              <w:jc w:val="left"/>
            </w:pPr>
            <w:r>
              <w:rPr>
                <w:rFonts w:ascii="Liberation Sans Narrow" w:hAnsi="Liberation Sans Narrow"/>
                <w:b w:val="0"/>
                <w:sz w:val="17"/>
              </w:rPr>
              <w:t xml:space="preserve">Art. 946</w:t>
            </w:r>
          </w:p>
        </w:tc>
        <w:tc>
          <w:tcPr>
            <w:tcW w:type="dxa" w:w="797"/>
          </w:tcPr>
          <w:p>
            <w:pPr>
              <w:pStyle w:val="Compact"/>
              <w:spacing w:before="20" w:after="20" w:line="240" w:lineRule="auto"/>
              <w:jc w:val="right"/>
            </w:pPr>
            <w:r>
              <w:rPr>
                <w:rFonts w:ascii="Liberation Sans Narrow" w:hAnsi="Liberation Sans Narrow"/>
                <w:b/>
                <w:sz w:val="17"/>
              </w:rPr>
              <w:t xml:space="preserve">170</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380</w:t>
            </w:r>
          </w:p>
        </w:tc>
        <w:tc>
          <w:tcPr>
            <w:tcW w:type="dxa" w:w="797"/>
          </w:tcPr>
          <w:p>
            <w:pPr>
              <w:pStyle w:val="Compact"/>
              <w:spacing w:before="20" w:after="20" w:line="240" w:lineRule="auto"/>
              <w:jc w:val="right"/>
            </w:pPr>
            <w:r>
              <w:rPr>
                <w:rFonts w:ascii="Liberation Sans Narrow" w:hAnsi="Liberation Sans Narrow"/>
                <w:b/>
                <w:sz w:val="17"/>
              </w:rPr>
              <w:t xml:space="preserve">42</w:t>
            </w:r>
          </w:p>
        </w:tc>
        <w:tc>
          <w:tcPr>
            <w:tcW w:type="dxa" w:w="1754"/>
          </w:tcPr>
          <w:p>
            <w:pPr>
              <w:pStyle w:val="Compact"/>
              <w:spacing w:before="20" w:after="20" w:line="240" w:lineRule="auto"/>
              <w:jc w:val="left"/>
            </w:pPr>
            <w:r>
              <w:rPr>
                <w:rFonts w:ascii="Liberation Sans Narrow" w:hAnsi="Liberation Sans Narrow"/>
                <w:b w:val="0"/>
                <w:sz w:val="17"/>
              </w:rPr>
              <w:t xml:space="preserve">Art. 569</w:t>
            </w:r>
          </w:p>
        </w:tc>
        <w:tc>
          <w:tcPr>
            <w:tcW w:type="dxa" w:w="797"/>
          </w:tcPr>
          <w:p>
            <w:pPr>
              <w:pStyle w:val="Compact"/>
              <w:spacing w:before="20" w:after="20" w:line="240" w:lineRule="auto"/>
              <w:jc w:val="right"/>
            </w:pPr>
            <w:r>
              <w:rPr>
                <w:rFonts w:ascii="Liberation Sans Narrow" w:hAnsi="Liberation Sans Narrow"/>
                <w:b/>
                <w:sz w:val="17"/>
              </w:rPr>
              <w:t xml:space="preserve">95</w:t>
            </w:r>
          </w:p>
        </w:tc>
        <w:tc>
          <w:tcPr>
            <w:tcW w:type="dxa" w:w="1754"/>
          </w:tcPr>
          <w:p>
            <w:pPr>
              <w:pStyle w:val="Compact"/>
              <w:spacing w:before="20" w:after="20" w:line="240" w:lineRule="auto"/>
              <w:jc w:val="left"/>
            </w:pPr>
            <w:r>
              <w:rPr>
                <w:rFonts w:ascii="Liberation Sans Narrow" w:hAnsi="Liberation Sans Narrow"/>
                <w:b w:val="0"/>
                <w:sz w:val="17"/>
              </w:rPr>
              <w:t xml:space="preserve">Art. 758</w:t>
            </w:r>
          </w:p>
        </w:tc>
        <w:tc>
          <w:tcPr>
            <w:tcW w:type="dxa" w:w="797"/>
          </w:tcPr>
          <w:p>
            <w:pPr>
              <w:pStyle w:val="Compact"/>
              <w:spacing w:before="20" w:after="20" w:line="240" w:lineRule="auto"/>
              <w:jc w:val="right"/>
            </w:pPr>
            <w:r>
              <w:rPr>
                <w:rFonts w:ascii="Liberation Sans Narrow" w:hAnsi="Liberation Sans Narrow"/>
                <w:b/>
                <w:sz w:val="17"/>
              </w:rPr>
              <w:t xml:space="preserve">130</w:t>
            </w:r>
          </w:p>
        </w:tc>
        <w:tc>
          <w:tcPr>
            <w:tcW w:type="dxa" w:w="1754"/>
          </w:tcPr>
          <w:p>
            <w:pPr>
              <w:pStyle w:val="Compact"/>
              <w:spacing w:before="20" w:after="20" w:line="240" w:lineRule="auto"/>
              <w:jc w:val="left"/>
            </w:pPr>
            <w:r>
              <w:rPr>
                <w:rFonts w:ascii="Liberation Sans Narrow" w:hAnsi="Liberation Sans Narrow"/>
                <w:b w:val="0"/>
                <w:sz w:val="17"/>
              </w:rPr>
              <w:t xml:space="preserve">Art. 947</w:t>
            </w:r>
          </w:p>
        </w:tc>
        <w:tc>
          <w:tcPr>
            <w:tcW w:type="dxa" w:w="797"/>
          </w:tcPr>
          <w:p>
            <w:pPr>
              <w:pStyle w:val="Compact"/>
              <w:spacing w:before="20" w:after="20" w:line="240" w:lineRule="auto"/>
              <w:jc w:val="right"/>
            </w:pPr>
            <w:r>
              <w:rPr>
                <w:rFonts w:ascii="Liberation Sans Narrow" w:hAnsi="Liberation Sans Narrow"/>
                <w:b/>
                <w:sz w:val="17"/>
              </w:rPr>
              <w:t xml:space="preserve">170</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381</w:t>
            </w:r>
          </w:p>
        </w:tc>
        <w:tc>
          <w:tcPr>
            <w:tcW w:type="dxa" w:w="797"/>
          </w:tcPr>
          <w:p>
            <w:pPr>
              <w:pStyle w:val="Compact"/>
              <w:spacing w:before="20" w:after="20" w:line="240" w:lineRule="auto"/>
              <w:jc w:val="right"/>
            </w:pPr>
            <w:r>
              <w:rPr>
                <w:rFonts w:ascii="Liberation Sans Narrow" w:hAnsi="Liberation Sans Narrow"/>
                <w:b/>
                <w:sz w:val="17"/>
              </w:rPr>
              <w:t xml:space="preserve">43</w:t>
            </w:r>
          </w:p>
        </w:tc>
        <w:tc>
          <w:tcPr>
            <w:tcW w:type="dxa" w:w="1754"/>
          </w:tcPr>
          <w:p>
            <w:pPr>
              <w:pStyle w:val="Compact"/>
              <w:spacing w:before="20" w:after="20" w:line="240" w:lineRule="auto"/>
              <w:jc w:val="left"/>
            </w:pPr>
            <w:r>
              <w:rPr>
                <w:rFonts w:ascii="Liberation Sans Narrow" w:hAnsi="Liberation Sans Narrow"/>
                <w:b w:val="0"/>
                <w:sz w:val="17"/>
              </w:rPr>
              <w:t xml:space="preserve">Art. 570</w:t>
            </w:r>
          </w:p>
        </w:tc>
        <w:tc>
          <w:tcPr>
            <w:tcW w:type="dxa" w:w="797"/>
          </w:tcPr>
          <w:p>
            <w:pPr>
              <w:pStyle w:val="Compact"/>
              <w:spacing w:before="20" w:after="20" w:line="240" w:lineRule="auto"/>
              <w:jc w:val="right"/>
            </w:pPr>
            <w:r>
              <w:rPr>
                <w:rFonts w:ascii="Liberation Sans Narrow" w:hAnsi="Liberation Sans Narrow"/>
                <w:b/>
                <w:sz w:val="17"/>
              </w:rPr>
              <w:t xml:space="preserve">95</w:t>
            </w:r>
          </w:p>
        </w:tc>
        <w:tc>
          <w:tcPr>
            <w:tcW w:type="dxa" w:w="1754"/>
          </w:tcPr>
          <w:p>
            <w:pPr>
              <w:pStyle w:val="Compact"/>
              <w:spacing w:before="20" w:after="20" w:line="240" w:lineRule="auto"/>
              <w:jc w:val="left"/>
            </w:pPr>
            <w:r>
              <w:rPr>
                <w:rFonts w:ascii="Liberation Sans Narrow" w:hAnsi="Liberation Sans Narrow"/>
                <w:b w:val="0"/>
                <w:sz w:val="17"/>
              </w:rPr>
              <w:t xml:space="preserve">Art. 759</w:t>
            </w:r>
          </w:p>
        </w:tc>
        <w:tc>
          <w:tcPr>
            <w:tcW w:type="dxa" w:w="797"/>
          </w:tcPr>
          <w:p>
            <w:pPr>
              <w:pStyle w:val="Compact"/>
              <w:spacing w:before="20" w:after="20" w:line="240" w:lineRule="auto"/>
              <w:jc w:val="right"/>
            </w:pPr>
            <w:r>
              <w:rPr>
                <w:rFonts w:ascii="Liberation Sans Narrow" w:hAnsi="Liberation Sans Narrow"/>
                <w:b/>
                <w:sz w:val="17"/>
              </w:rPr>
              <w:t xml:space="preserve">130</w:t>
            </w:r>
          </w:p>
        </w:tc>
        <w:tc>
          <w:tcPr>
            <w:tcW w:type="dxa" w:w="1754"/>
          </w:tcPr>
          <w:p>
            <w:pPr>
              <w:pStyle w:val="Compact"/>
              <w:spacing w:before="20" w:after="20" w:line="240" w:lineRule="auto"/>
              <w:jc w:val="left"/>
            </w:pPr>
            <w:r>
              <w:rPr>
                <w:rFonts w:ascii="Liberation Sans Narrow" w:hAnsi="Liberation Sans Narrow"/>
                <w:b w:val="0"/>
                <w:sz w:val="17"/>
              </w:rPr>
              <w:t xml:space="preserve">Art. 948</w:t>
            </w:r>
          </w:p>
        </w:tc>
        <w:tc>
          <w:tcPr>
            <w:tcW w:type="dxa" w:w="797"/>
          </w:tcPr>
          <w:p>
            <w:pPr>
              <w:pStyle w:val="Compact"/>
              <w:spacing w:before="20" w:after="20" w:line="240" w:lineRule="auto"/>
              <w:jc w:val="right"/>
            </w:pPr>
            <w:r>
              <w:rPr>
                <w:rFonts w:ascii="Liberation Sans Narrow" w:hAnsi="Liberation Sans Narrow"/>
                <w:b/>
                <w:sz w:val="17"/>
              </w:rPr>
              <w:t xml:space="preserve">171</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382</w:t>
            </w:r>
          </w:p>
        </w:tc>
        <w:tc>
          <w:tcPr>
            <w:tcW w:type="dxa" w:w="797"/>
          </w:tcPr>
          <w:p>
            <w:pPr>
              <w:pStyle w:val="Compact"/>
              <w:spacing w:before="20" w:after="20" w:line="240" w:lineRule="auto"/>
              <w:jc w:val="right"/>
            </w:pPr>
            <w:r>
              <w:rPr>
                <w:rFonts w:ascii="Liberation Sans Narrow" w:hAnsi="Liberation Sans Narrow"/>
                <w:b/>
                <w:sz w:val="17"/>
              </w:rPr>
              <w:t xml:space="preserve">44</w:t>
            </w:r>
          </w:p>
        </w:tc>
        <w:tc>
          <w:tcPr>
            <w:tcW w:type="dxa" w:w="1754"/>
          </w:tcPr>
          <w:p>
            <w:pPr>
              <w:pStyle w:val="Compact"/>
              <w:spacing w:before="20" w:after="20" w:line="240" w:lineRule="auto"/>
              <w:jc w:val="left"/>
            </w:pPr>
            <w:r>
              <w:rPr>
                <w:rFonts w:ascii="Liberation Sans Narrow" w:hAnsi="Liberation Sans Narrow"/>
                <w:b w:val="0"/>
                <w:sz w:val="17"/>
              </w:rPr>
              <w:t xml:space="preserve">Art. 571</w:t>
            </w:r>
          </w:p>
        </w:tc>
        <w:tc>
          <w:tcPr>
            <w:tcW w:type="dxa" w:w="797"/>
          </w:tcPr>
          <w:p>
            <w:pPr>
              <w:pStyle w:val="Compact"/>
              <w:spacing w:before="20" w:after="20" w:line="240" w:lineRule="auto"/>
              <w:jc w:val="right"/>
            </w:pPr>
            <w:r>
              <w:rPr>
                <w:rFonts w:ascii="Liberation Sans Narrow" w:hAnsi="Liberation Sans Narrow"/>
                <w:b/>
                <w:sz w:val="17"/>
              </w:rPr>
              <w:t xml:space="preserve">95</w:t>
            </w:r>
          </w:p>
        </w:tc>
        <w:tc>
          <w:tcPr>
            <w:tcW w:type="dxa" w:w="1754"/>
          </w:tcPr>
          <w:p>
            <w:pPr>
              <w:pStyle w:val="Compact"/>
              <w:spacing w:before="20" w:after="20" w:line="240" w:lineRule="auto"/>
              <w:jc w:val="left"/>
            </w:pPr>
            <w:r>
              <w:rPr>
                <w:rFonts w:ascii="Liberation Sans Narrow" w:hAnsi="Liberation Sans Narrow"/>
                <w:b w:val="0"/>
                <w:sz w:val="17"/>
              </w:rPr>
              <w:t xml:space="preserve">Art. 760</w:t>
            </w:r>
          </w:p>
        </w:tc>
        <w:tc>
          <w:tcPr>
            <w:tcW w:type="dxa" w:w="797"/>
          </w:tcPr>
          <w:p>
            <w:pPr>
              <w:pStyle w:val="Compact"/>
              <w:spacing w:before="20" w:after="20" w:line="240" w:lineRule="auto"/>
              <w:jc w:val="right"/>
            </w:pPr>
            <w:r>
              <w:rPr>
                <w:rFonts w:ascii="Liberation Sans Narrow" w:hAnsi="Liberation Sans Narrow"/>
                <w:b/>
                <w:sz w:val="17"/>
              </w:rPr>
              <w:t xml:space="preserve">130</w:t>
            </w:r>
          </w:p>
        </w:tc>
        <w:tc>
          <w:tcPr>
            <w:tcW w:type="dxa" w:w="1754"/>
          </w:tcPr>
          <w:p>
            <w:pPr>
              <w:pStyle w:val="Compact"/>
              <w:spacing w:before="20" w:after="20" w:line="240" w:lineRule="auto"/>
              <w:jc w:val="left"/>
            </w:pPr>
            <w:r>
              <w:rPr>
                <w:rFonts w:ascii="Liberation Sans Narrow" w:hAnsi="Liberation Sans Narrow"/>
                <w:b w:val="0"/>
                <w:sz w:val="17"/>
              </w:rPr>
              <w:t xml:space="preserve">Art. 949</w:t>
            </w:r>
          </w:p>
        </w:tc>
        <w:tc>
          <w:tcPr>
            <w:tcW w:type="dxa" w:w="797"/>
          </w:tcPr>
          <w:p>
            <w:pPr>
              <w:pStyle w:val="Compact"/>
              <w:spacing w:before="20" w:after="20" w:line="240" w:lineRule="auto"/>
              <w:jc w:val="right"/>
            </w:pPr>
            <w:r>
              <w:rPr>
                <w:rFonts w:ascii="Liberation Sans Narrow" w:hAnsi="Liberation Sans Narrow"/>
                <w:b/>
                <w:sz w:val="17"/>
              </w:rPr>
              <w:t xml:space="preserve">171</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383</w:t>
            </w:r>
          </w:p>
        </w:tc>
        <w:tc>
          <w:tcPr>
            <w:tcW w:type="dxa" w:w="797"/>
          </w:tcPr>
          <w:p>
            <w:pPr>
              <w:pStyle w:val="Compact"/>
              <w:spacing w:before="20" w:after="20" w:line="240" w:lineRule="auto"/>
              <w:jc w:val="right"/>
            </w:pPr>
            <w:r>
              <w:rPr>
                <w:rFonts w:ascii="Liberation Sans Narrow" w:hAnsi="Liberation Sans Narrow"/>
                <w:b/>
                <w:sz w:val="17"/>
              </w:rPr>
              <w:t xml:space="preserve">44</w:t>
            </w:r>
          </w:p>
        </w:tc>
        <w:tc>
          <w:tcPr>
            <w:tcW w:type="dxa" w:w="1754"/>
          </w:tcPr>
          <w:p>
            <w:pPr>
              <w:pStyle w:val="Compact"/>
              <w:spacing w:before="20" w:after="20" w:line="240" w:lineRule="auto"/>
              <w:jc w:val="left"/>
            </w:pPr>
            <w:r>
              <w:rPr>
                <w:rFonts w:ascii="Liberation Sans Narrow" w:hAnsi="Liberation Sans Narrow"/>
                <w:b w:val="0"/>
                <w:sz w:val="17"/>
              </w:rPr>
              <w:t xml:space="preserve">Art. 572</w:t>
            </w:r>
          </w:p>
        </w:tc>
        <w:tc>
          <w:tcPr>
            <w:tcW w:type="dxa" w:w="797"/>
          </w:tcPr>
          <w:p>
            <w:pPr>
              <w:pStyle w:val="Compact"/>
              <w:spacing w:before="20" w:after="20" w:line="240" w:lineRule="auto"/>
              <w:jc w:val="right"/>
            </w:pPr>
            <w:r>
              <w:rPr>
                <w:rFonts w:ascii="Liberation Sans Narrow" w:hAnsi="Liberation Sans Narrow"/>
                <w:b/>
                <w:sz w:val="17"/>
              </w:rPr>
              <w:t xml:space="preserve">95</w:t>
            </w:r>
          </w:p>
        </w:tc>
        <w:tc>
          <w:tcPr>
            <w:tcW w:type="dxa" w:w="1754"/>
          </w:tcPr>
          <w:p>
            <w:pPr>
              <w:pStyle w:val="Compact"/>
              <w:spacing w:before="20" w:after="20" w:line="240" w:lineRule="auto"/>
              <w:jc w:val="left"/>
            </w:pPr>
            <w:r>
              <w:rPr>
                <w:rFonts w:ascii="Liberation Sans Narrow" w:hAnsi="Liberation Sans Narrow"/>
                <w:b w:val="0"/>
                <w:sz w:val="17"/>
              </w:rPr>
              <w:t xml:space="preserve">Art. 761</w:t>
            </w:r>
          </w:p>
        </w:tc>
        <w:tc>
          <w:tcPr>
            <w:tcW w:type="dxa" w:w="797"/>
          </w:tcPr>
          <w:p>
            <w:pPr>
              <w:pStyle w:val="Compact"/>
              <w:spacing w:before="20" w:after="20" w:line="240" w:lineRule="auto"/>
              <w:jc w:val="right"/>
            </w:pPr>
            <w:r>
              <w:rPr>
                <w:rFonts w:ascii="Liberation Sans Narrow" w:hAnsi="Liberation Sans Narrow"/>
                <w:b/>
                <w:sz w:val="17"/>
              </w:rPr>
              <w:t xml:space="preserve">130</w:t>
            </w:r>
          </w:p>
        </w:tc>
        <w:tc>
          <w:tcPr>
            <w:tcW w:type="dxa" w:w="1754"/>
          </w:tcPr>
          <w:p>
            <w:pPr>
              <w:pStyle w:val="Compact"/>
              <w:spacing w:before="20" w:after="20" w:line="240" w:lineRule="auto"/>
              <w:jc w:val="left"/>
            </w:pPr>
            <w:r>
              <w:rPr>
                <w:rFonts w:ascii="Liberation Sans Narrow" w:hAnsi="Liberation Sans Narrow"/>
                <w:b w:val="0"/>
                <w:sz w:val="17"/>
              </w:rPr>
              <w:t xml:space="preserve">Art. 950</w:t>
            </w:r>
          </w:p>
        </w:tc>
        <w:tc>
          <w:tcPr>
            <w:tcW w:type="dxa" w:w="797"/>
          </w:tcPr>
          <w:p>
            <w:pPr>
              <w:pStyle w:val="Compact"/>
              <w:spacing w:before="20" w:after="20" w:line="240" w:lineRule="auto"/>
              <w:jc w:val="right"/>
            </w:pPr>
            <w:r>
              <w:rPr>
                <w:rFonts w:ascii="Liberation Sans Narrow" w:hAnsi="Liberation Sans Narrow"/>
                <w:b/>
                <w:sz w:val="17"/>
              </w:rPr>
              <w:t xml:space="preserve">171</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384</w:t>
            </w:r>
          </w:p>
        </w:tc>
        <w:tc>
          <w:tcPr>
            <w:tcW w:type="dxa" w:w="797"/>
          </w:tcPr>
          <w:p>
            <w:pPr>
              <w:pStyle w:val="Compact"/>
              <w:spacing w:before="20" w:after="20" w:line="240" w:lineRule="auto"/>
              <w:jc w:val="right"/>
            </w:pPr>
            <w:r>
              <w:rPr>
                <w:rFonts w:ascii="Liberation Sans Narrow" w:hAnsi="Liberation Sans Narrow"/>
                <w:b/>
                <w:sz w:val="17"/>
              </w:rPr>
              <w:t xml:space="preserve">44</w:t>
            </w:r>
          </w:p>
        </w:tc>
        <w:tc>
          <w:tcPr>
            <w:tcW w:type="dxa" w:w="1754"/>
          </w:tcPr>
          <w:p>
            <w:pPr>
              <w:pStyle w:val="Compact"/>
              <w:spacing w:before="20" w:after="20" w:line="240" w:lineRule="auto"/>
              <w:jc w:val="left"/>
            </w:pPr>
            <w:r>
              <w:rPr>
                <w:rFonts w:ascii="Liberation Sans Narrow" w:hAnsi="Liberation Sans Narrow"/>
                <w:b w:val="0"/>
                <w:sz w:val="17"/>
              </w:rPr>
              <w:t xml:space="preserve">Art. 573</w:t>
            </w:r>
          </w:p>
        </w:tc>
        <w:tc>
          <w:tcPr>
            <w:tcW w:type="dxa" w:w="797"/>
          </w:tcPr>
          <w:p>
            <w:pPr>
              <w:pStyle w:val="Compact"/>
              <w:spacing w:before="20" w:after="20" w:line="240" w:lineRule="auto"/>
              <w:jc w:val="right"/>
            </w:pPr>
            <w:r>
              <w:rPr>
                <w:rFonts w:ascii="Liberation Sans Narrow" w:hAnsi="Liberation Sans Narrow"/>
                <w:b/>
                <w:sz w:val="17"/>
              </w:rPr>
              <w:t xml:space="preserve">95</w:t>
            </w:r>
          </w:p>
        </w:tc>
        <w:tc>
          <w:tcPr>
            <w:tcW w:type="dxa" w:w="1754"/>
          </w:tcPr>
          <w:p>
            <w:pPr>
              <w:pStyle w:val="Compact"/>
              <w:spacing w:before="20" w:after="20" w:line="240" w:lineRule="auto"/>
              <w:jc w:val="left"/>
            </w:pPr>
            <w:r>
              <w:rPr>
                <w:rFonts w:ascii="Liberation Sans Narrow" w:hAnsi="Liberation Sans Narrow"/>
                <w:b w:val="0"/>
                <w:sz w:val="17"/>
              </w:rPr>
              <w:t xml:space="preserve">Art. 762</w:t>
            </w:r>
          </w:p>
        </w:tc>
        <w:tc>
          <w:tcPr>
            <w:tcW w:type="dxa" w:w="797"/>
          </w:tcPr>
          <w:p>
            <w:pPr>
              <w:pStyle w:val="Compact"/>
              <w:spacing w:before="20" w:after="20" w:line="240" w:lineRule="auto"/>
              <w:jc w:val="right"/>
            </w:pPr>
            <w:r>
              <w:rPr>
                <w:rFonts w:ascii="Liberation Sans Narrow" w:hAnsi="Liberation Sans Narrow"/>
                <w:b/>
                <w:sz w:val="17"/>
              </w:rPr>
              <w:t xml:space="preserve">130</w:t>
            </w:r>
          </w:p>
        </w:tc>
        <w:tc>
          <w:tcPr>
            <w:tcW w:type="dxa" w:w="1754"/>
          </w:tcPr>
          <w:p>
            <w:pPr>
              <w:pStyle w:val="Compact"/>
              <w:spacing w:before="20" w:after="20" w:line="240" w:lineRule="auto"/>
              <w:jc w:val="left"/>
            </w:pPr>
            <w:r>
              <w:rPr>
                <w:rFonts w:ascii="Liberation Sans Narrow" w:hAnsi="Liberation Sans Narrow"/>
                <w:b w:val="0"/>
                <w:sz w:val="17"/>
              </w:rPr>
              <w:t xml:space="preserve">Art. 951</w:t>
            </w:r>
          </w:p>
        </w:tc>
        <w:tc>
          <w:tcPr>
            <w:tcW w:type="dxa" w:w="797"/>
          </w:tcPr>
          <w:p>
            <w:pPr>
              <w:pStyle w:val="Compact"/>
              <w:spacing w:before="20" w:after="20" w:line="240" w:lineRule="auto"/>
              <w:jc w:val="right"/>
            </w:pPr>
            <w:r>
              <w:rPr>
                <w:rFonts w:ascii="Liberation Sans Narrow" w:hAnsi="Liberation Sans Narrow"/>
                <w:b/>
                <w:sz w:val="17"/>
              </w:rPr>
              <w:t xml:space="preserve">171</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385</w:t>
            </w:r>
          </w:p>
        </w:tc>
        <w:tc>
          <w:tcPr>
            <w:tcW w:type="dxa" w:w="797"/>
          </w:tcPr>
          <w:p>
            <w:pPr>
              <w:pStyle w:val="Compact"/>
              <w:spacing w:before="20" w:after="20" w:line="240" w:lineRule="auto"/>
              <w:jc w:val="right"/>
            </w:pPr>
            <w:r>
              <w:rPr>
                <w:rFonts w:ascii="Liberation Sans Narrow" w:hAnsi="Liberation Sans Narrow"/>
                <w:b/>
                <w:sz w:val="17"/>
              </w:rPr>
              <w:t xml:space="preserve">44</w:t>
            </w:r>
          </w:p>
        </w:tc>
        <w:tc>
          <w:tcPr>
            <w:tcW w:type="dxa" w:w="1754"/>
          </w:tcPr>
          <w:p>
            <w:pPr>
              <w:pStyle w:val="Compact"/>
              <w:spacing w:before="20" w:after="20" w:line="240" w:lineRule="auto"/>
              <w:jc w:val="left"/>
            </w:pPr>
            <w:r>
              <w:rPr>
                <w:rFonts w:ascii="Liberation Sans Narrow" w:hAnsi="Liberation Sans Narrow"/>
                <w:b w:val="0"/>
                <w:sz w:val="17"/>
              </w:rPr>
              <w:t xml:space="preserve">Art. 574</w:t>
            </w:r>
          </w:p>
        </w:tc>
        <w:tc>
          <w:tcPr>
            <w:tcW w:type="dxa" w:w="797"/>
          </w:tcPr>
          <w:p>
            <w:pPr>
              <w:pStyle w:val="Compact"/>
              <w:spacing w:before="20" w:after="20" w:line="240" w:lineRule="auto"/>
              <w:jc w:val="right"/>
            </w:pPr>
            <w:r>
              <w:rPr>
                <w:rFonts w:ascii="Liberation Sans Narrow" w:hAnsi="Liberation Sans Narrow"/>
                <w:b/>
                <w:sz w:val="17"/>
              </w:rPr>
              <w:t xml:space="preserve">95</w:t>
            </w:r>
          </w:p>
        </w:tc>
        <w:tc>
          <w:tcPr>
            <w:tcW w:type="dxa" w:w="1754"/>
          </w:tcPr>
          <w:p>
            <w:pPr>
              <w:pStyle w:val="Compact"/>
              <w:spacing w:before="20" w:after="20" w:line="240" w:lineRule="auto"/>
              <w:jc w:val="left"/>
            </w:pPr>
            <w:r>
              <w:rPr>
                <w:rFonts w:ascii="Liberation Sans Narrow" w:hAnsi="Liberation Sans Narrow"/>
                <w:b w:val="0"/>
                <w:sz w:val="17"/>
              </w:rPr>
              <w:t xml:space="preserve">Art. 763</w:t>
            </w:r>
          </w:p>
        </w:tc>
        <w:tc>
          <w:tcPr>
            <w:tcW w:type="dxa" w:w="797"/>
          </w:tcPr>
          <w:p>
            <w:pPr>
              <w:pStyle w:val="Compact"/>
              <w:spacing w:before="20" w:after="20" w:line="240" w:lineRule="auto"/>
              <w:jc w:val="right"/>
            </w:pPr>
            <w:r>
              <w:rPr>
                <w:rFonts w:ascii="Liberation Sans Narrow" w:hAnsi="Liberation Sans Narrow"/>
                <w:b/>
                <w:sz w:val="17"/>
              </w:rPr>
              <w:t xml:space="preserve">130</w:t>
            </w:r>
          </w:p>
        </w:tc>
        <w:tc>
          <w:tcPr>
            <w:tcW w:type="dxa" w:w="1754"/>
          </w:tcPr>
          <w:p>
            <w:pPr>
              <w:pStyle w:val="Compact"/>
              <w:spacing w:before="20" w:after="20" w:line="240" w:lineRule="auto"/>
              <w:jc w:val="left"/>
            </w:pPr>
            <w:r>
              <w:rPr>
                <w:rFonts w:ascii="Liberation Sans Narrow" w:hAnsi="Liberation Sans Narrow"/>
                <w:b w:val="0"/>
                <w:sz w:val="17"/>
              </w:rPr>
              <w:t xml:space="preserve">Art. 952</w:t>
            </w:r>
          </w:p>
        </w:tc>
        <w:tc>
          <w:tcPr>
            <w:tcW w:type="dxa" w:w="797"/>
          </w:tcPr>
          <w:p>
            <w:pPr>
              <w:pStyle w:val="Compact"/>
              <w:spacing w:before="20" w:after="20" w:line="240" w:lineRule="auto"/>
              <w:jc w:val="right"/>
            </w:pPr>
            <w:r>
              <w:rPr>
                <w:rFonts w:ascii="Liberation Sans Narrow" w:hAnsi="Liberation Sans Narrow"/>
                <w:b/>
                <w:sz w:val="17"/>
              </w:rPr>
              <w:t xml:space="preserve">171</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386</w:t>
            </w:r>
          </w:p>
        </w:tc>
        <w:tc>
          <w:tcPr>
            <w:tcW w:type="dxa" w:w="797"/>
          </w:tcPr>
          <w:p>
            <w:pPr>
              <w:pStyle w:val="Compact"/>
              <w:spacing w:before="20" w:after="20" w:line="240" w:lineRule="auto"/>
              <w:jc w:val="right"/>
            </w:pPr>
            <w:r>
              <w:rPr>
                <w:rFonts w:ascii="Liberation Sans Narrow" w:hAnsi="Liberation Sans Narrow"/>
                <w:b/>
                <w:sz w:val="17"/>
              </w:rPr>
              <w:t xml:space="preserve">45</w:t>
            </w:r>
          </w:p>
        </w:tc>
        <w:tc>
          <w:tcPr>
            <w:tcW w:type="dxa" w:w="1754"/>
          </w:tcPr>
          <w:p>
            <w:pPr>
              <w:pStyle w:val="Compact"/>
              <w:spacing w:before="20" w:after="20" w:line="240" w:lineRule="auto"/>
              <w:jc w:val="left"/>
            </w:pPr>
            <w:r>
              <w:rPr>
                <w:rFonts w:ascii="Liberation Sans Narrow" w:hAnsi="Liberation Sans Narrow"/>
                <w:b w:val="0"/>
                <w:sz w:val="17"/>
              </w:rPr>
              <w:t xml:space="preserve">Art. 575</w:t>
            </w:r>
          </w:p>
        </w:tc>
        <w:tc>
          <w:tcPr>
            <w:tcW w:type="dxa" w:w="797"/>
          </w:tcPr>
          <w:p>
            <w:pPr>
              <w:pStyle w:val="Compact"/>
              <w:spacing w:before="20" w:after="20" w:line="240" w:lineRule="auto"/>
              <w:jc w:val="right"/>
            </w:pPr>
            <w:r>
              <w:rPr>
                <w:rFonts w:ascii="Liberation Sans Narrow" w:hAnsi="Liberation Sans Narrow"/>
                <w:b/>
                <w:sz w:val="17"/>
              </w:rPr>
              <w:t xml:space="preserve">95</w:t>
            </w:r>
          </w:p>
        </w:tc>
        <w:tc>
          <w:tcPr>
            <w:tcW w:type="dxa" w:w="1754"/>
          </w:tcPr>
          <w:p>
            <w:pPr>
              <w:pStyle w:val="Compact"/>
              <w:spacing w:before="20" w:after="20" w:line="240" w:lineRule="auto"/>
              <w:jc w:val="left"/>
            </w:pPr>
            <w:r>
              <w:rPr>
                <w:rFonts w:ascii="Liberation Sans Narrow" w:hAnsi="Liberation Sans Narrow"/>
                <w:b w:val="0"/>
                <w:sz w:val="17"/>
              </w:rPr>
              <w:t xml:space="preserve">Art. 764</w:t>
            </w:r>
          </w:p>
        </w:tc>
        <w:tc>
          <w:tcPr>
            <w:tcW w:type="dxa" w:w="797"/>
          </w:tcPr>
          <w:p>
            <w:pPr>
              <w:pStyle w:val="Compact"/>
              <w:spacing w:before="20" w:after="20" w:line="240" w:lineRule="auto"/>
              <w:jc w:val="right"/>
            </w:pPr>
            <w:r>
              <w:rPr>
                <w:rFonts w:ascii="Liberation Sans Narrow" w:hAnsi="Liberation Sans Narrow"/>
                <w:b/>
                <w:sz w:val="17"/>
              </w:rPr>
              <w:t xml:space="preserve">130</w:t>
            </w:r>
          </w:p>
        </w:tc>
        <w:tc>
          <w:tcPr>
            <w:tcW w:type="dxa" w:w="1754"/>
          </w:tcPr>
          <w:p>
            <w:pPr>
              <w:pStyle w:val="Compact"/>
              <w:spacing w:before="20" w:after="20" w:line="240" w:lineRule="auto"/>
              <w:jc w:val="left"/>
            </w:pPr>
            <w:r>
              <w:rPr>
                <w:rFonts w:ascii="Liberation Sans Narrow" w:hAnsi="Liberation Sans Narrow"/>
                <w:b w:val="0"/>
                <w:sz w:val="17"/>
              </w:rPr>
              <w:t xml:space="preserve">Art. 953</w:t>
            </w:r>
          </w:p>
        </w:tc>
        <w:tc>
          <w:tcPr>
            <w:tcW w:type="dxa" w:w="797"/>
          </w:tcPr>
          <w:p>
            <w:pPr>
              <w:pStyle w:val="Compact"/>
              <w:spacing w:before="20" w:after="20" w:line="240" w:lineRule="auto"/>
              <w:jc w:val="right"/>
            </w:pPr>
            <w:r>
              <w:rPr>
                <w:rFonts w:ascii="Liberation Sans Narrow" w:hAnsi="Liberation Sans Narrow"/>
                <w:b/>
                <w:sz w:val="17"/>
              </w:rPr>
              <w:t xml:space="preserve">171</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387</w:t>
            </w:r>
          </w:p>
        </w:tc>
        <w:tc>
          <w:tcPr>
            <w:tcW w:type="dxa" w:w="797"/>
          </w:tcPr>
          <w:p>
            <w:pPr>
              <w:pStyle w:val="Compact"/>
              <w:spacing w:before="20" w:after="20" w:line="240" w:lineRule="auto"/>
              <w:jc w:val="right"/>
            </w:pPr>
            <w:r>
              <w:rPr>
                <w:rFonts w:ascii="Liberation Sans Narrow" w:hAnsi="Liberation Sans Narrow"/>
                <w:b/>
                <w:sz w:val="17"/>
              </w:rPr>
              <w:t xml:space="preserve">45</w:t>
            </w:r>
          </w:p>
        </w:tc>
        <w:tc>
          <w:tcPr>
            <w:tcW w:type="dxa" w:w="1754"/>
          </w:tcPr>
          <w:p>
            <w:pPr>
              <w:pStyle w:val="Compact"/>
              <w:spacing w:before="20" w:after="20" w:line="240" w:lineRule="auto"/>
              <w:jc w:val="left"/>
            </w:pPr>
            <w:r>
              <w:rPr>
                <w:rFonts w:ascii="Liberation Sans Narrow" w:hAnsi="Liberation Sans Narrow"/>
                <w:b w:val="0"/>
                <w:sz w:val="17"/>
              </w:rPr>
              <w:t xml:space="preserve">Art. 576</w:t>
            </w:r>
          </w:p>
        </w:tc>
        <w:tc>
          <w:tcPr>
            <w:tcW w:type="dxa" w:w="797"/>
          </w:tcPr>
          <w:p>
            <w:pPr>
              <w:pStyle w:val="Compact"/>
              <w:spacing w:before="20" w:after="20" w:line="240" w:lineRule="auto"/>
              <w:jc w:val="right"/>
            </w:pPr>
            <w:r>
              <w:rPr>
                <w:rFonts w:ascii="Liberation Sans Narrow" w:hAnsi="Liberation Sans Narrow"/>
                <w:b/>
                <w:sz w:val="17"/>
              </w:rPr>
              <w:t xml:space="preserve">95</w:t>
            </w:r>
          </w:p>
        </w:tc>
        <w:tc>
          <w:tcPr>
            <w:tcW w:type="dxa" w:w="1754"/>
          </w:tcPr>
          <w:p>
            <w:pPr>
              <w:pStyle w:val="Compact"/>
              <w:spacing w:before="20" w:after="20" w:line="240" w:lineRule="auto"/>
              <w:jc w:val="left"/>
            </w:pPr>
            <w:r>
              <w:rPr>
                <w:rFonts w:ascii="Liberation Sans Narrow" w:hAnsi="Liberation Sans Narrow"/>
                <w:b w:val="0"/>
                <w:sz w:val="17"/>
              </w:rPr>
              <w:t xml:space="preserve">Art. 765</w:t>
            </w:r>
          </w:p>
        </w:tc>
        <w:tc>
          <w:tcPr>
            <w:tcW w:type="dxa" w:w="797"/>
          </w:tcPr>
          <w:p>
            <w:pPr>
              <w:pStyle w:val="Compact"/>
              <w:spacing w:before="20" w:after="20" w:line="240" w:lineRule="auto"/>
              <w:jc w:val="right"/>
            </w:pPr>
            <w:r>
              <w:rPr>
                <w:rFonts w:ascii="Liberation Sans Narrow" w:hAnsi="Liberation Sans Narrow"/>
                <w:b/>
                <w:sz w:val="17"/>
              </w:rPr>
              <w:t xml:space="preserve">131</w:t>
            </w:r>
          </w:p>
        </w:tc>
        <w:tc>
          <w:tcPr>
            <w:tcW w:type="dxa" w:w="1754"/>
          </w:tcPr>
          <w:p>
            <w:pPr>
              <w:pStyle w:val="Compact"/>
              <w:spacing w:before="20" w:after="20" w:line="240" w:lineRule="auto"/>
              <w:jc w:val="left"/>
            </w:pPr>
            <w:r>
              <w:rPr>
                <w:rFonts w:ascii="Liberation Sans Narrow" w:hAnsi="Liberation Sans Narrow"/>
                <w:b w:val="0"/>
                <w:sz w:val="17"/>
              </w:rPr>
              <w:t xml:space="preserve">Art. 954</w:t>
            </w:r>
          </w:p>
        </w:tc>
        <w:tc>
          <w:tcPr>
            <w:tcW w:type="dxa" w:w="797"/>
          </w:tcPr>
          <w:p>
            <w:pPr>
              <w:pStyle w:val="Compact"/>
              <w:spacing w:before="20" w:after="20" w:line="240" w:lineRule="auto"/>
              <w:jc w:val="right"/>
            </w:pPr>
            <w:r>
              <w:rPr>
                <w:rFonts w:ascii="Liberation Sans Narrow" w:hAnsi="Liberation Sans Narrow"/>
                <w:b/>
                <w:sz w:val="17"/>
              </w:rPr>
              <w:t xml:space="preserve">172</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388</w:t>
            </w:r>
          </w:p>
        </w:tc>
        <w:tc>
          <w:tcPr>
            <w:tcW w:type="dxa" w:w="797"/>
          </w:tcPr>
          <w:p>
            <w:pPr>
              <w:pStyle w:val="Compact"/>
              <w:spacing w:before="20" w:after="20" w:line="240" w:lineRule="auto"/>
              <w:jc w:val="right"/>
            </w:pPr>
            <w:r>
              <w:rPr>
                <w:rFonts w:ascii="Liberation Sans Narrow" w:hAnsi="Liberation Sans Narrow"/>
                <w:b/>
                <w:sz w:val="17"/>
              </w:rPr>
              <w:t xml:space="preserve">45</w:t>
            </w:r>
          </w:p>
        </w:tc>
        <w:tc>
          <w:tcPr>
            <w:tcW w:type="dxa" w:w="1754"/>
          </w:tcPr>
          <w:p>
            <w:pPr>
              <w:pStyle w:val="Compact"/>
              <w:spacing w:before="20" w:after="20" w:line="240" w:lineRule="auto"/>
              <w:jc w:val="left"/>
            </w:pPr>
            <w:r>
              <w:rPr>
                <w:rFonts w:ascii="Liberation Sans Narrow" w:hAnsi="Liberation Sans Narrow"/>
                <w:b w:val="0"/>
                <w:sz w:val="17"/>
              </w:rPr>
              <w:t xml:space="preserve">Art. 577</w:t>
            </w:r>
          </w:p>
        </w:tc>
        <w:tc>
          <w:tcPr>
            <w:tcW w:type="dxa" w:w="797"/>
          </w:tcPr>
          <w:p>
            <w:pPr>
              <w:pStyle w:val="Compact"/>
              <w:spacing w:before="20" w:after="20" w:line="240" w:lineRule="auto"/>
              <w:jc w:val="right"/>
            </w:pPr>
            <w:r>
              <w:rPr>
                <w:rFonts w:ascii="Liberation Sans Narrow" w:hAnsi="Liberation Sans Narrow"/>
                <w:b/>
                <w:sz w:val="17"/>
              </w:rPr>
              <w:t xml:space="preserve">96</w:t>
            </w:r>
          </w:p>
        </w:tc>
        <w:tc>
          <w:tcPr>
            <w:tcW w:type="dxa" w:w="1754"/>
          </w:tcPr>
          <w:p>
            <w:pPr>
              <w:pStyle w:val="Compact"/>
              <w:spacing w:before="20" w:after="20" w:line="240" w:lineRule="auto"/>
              <w:jc w:val="left"/>
            </w:pPr>
            <w:r>
              <w:rPr>
                <w:rFonts w:ascii="Liberation Sans Narrow" w:hAnsi="Liberation Sans Narrow"/>
                <w:b w:val="0"/>
                <w:sz w:val="17"/>
              </w:rPr>
              <w:t xml:space="preserve">Art. 766</w:t>
            </w:r>
          </w:p>
        </w:tc>
        <w:tc>
          <w:tcPr>
            <w:tcW w:type="dxa" w:w="797"/>
          </w:tcPr>
          <w:p>
            <w:pPr>
              <w:pStyle w:val="Compact"/>
              <w:spacing w:before="20" w:after="20" w:line="240" w:lineRule="auto"/>
              <w:jc w:val="right"/>
            </w:pPr>
            <w:r>
              <w:rPr>
                <w:rFonts w:ascii="Liberation Sans Narrow" w:hAnsi="Liberation Sans Narrow"/>
                <w:b/>
                <w:sz w:val="17"/>
              </w:rPr>
              <w:t xml:space="preserve">131</w:t>
            </w:r>
          </w:p>
        </w:tc>
        <w:tc>
          <w:tcPr>
            <w:tcW w:type="dxa" w:w="1754"/>
          </w:tcPr>
          <w:p>
            <w:pPr>
              <w:pStyle w:val="Compact"/>
              <w:spacing w:before="20" w:after="20" w:line="240" w:lineRule="auto"/>
              <w:jc w:val="left"/>
            </w:pPr>
            <w:r>
              <w:rPr>
                <w:rFonts w:ascii="Liberation Sans Narrow" w:hAnsi="Liberation Sans Narrow"/>
                <w:b w:val="0"/>
                <w:sz w:val="17"/>
              </w:rPr>
              <w:t xml:space="preserve">Art. 955</w:t>
            </w:r>
          </w:p>
        </w:tc>
        <w:tc>
          <w:tcPr>
            <w:tcW w:type="dxa" w:w="797"/>
          </w:tcPr>
          <w:p>
            <w:pPr>
              <w:pStyle w:val="Compact"/>
              <w:spacing w:before="20" w:after="20" w:line="240" w:lineRule="auto"/>
              <w:jc w:val="right"/>
            </w:pPr>
            <w:r>
              <w:rPr>
                <w:rFonts w:ascii="Liberation Sans Narrow" w:hAnsi="Liberation Sans Narrow"/>
                <w:b/>
                <w:sz w:val="17"/>
              </w:rPr>
              <w:t xml:space="preserve">172</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389</w:t>
            </w:r>
          </w:p>
        </w:tc>
        <w:tc>
          <w:tcPr>
            <w:tcW w:type="dxa" w:w="797"/>
          </w:tcPr>
          <w:p>
            <w:pPr>
              <w:pStyle w:val="Compact"/>
              <w:spacing w:before="20" w:after="20" w:line="240" w:lineRule="auto"/>
              <w:jc w:val="right"/>
            </w:pPr>
            <w:r>
              <w:rPr>
                <w:rFonts w:ascii="Liberation Sans Narrow" w:hAnsi="Liberation Sans Narrow"/>
                <w:b/>
                <w:sz w:val="17"/>
              </w:rPr>
              <w:t xml:space="preserve">45</w:t>
            </w:r>
          </w:p>
        </w:tc>
        <w:tc>
          <w:tcPr>
            <w:tcW w:type="dxa" w:w="1754"/>
          </w:tcPr>
          <w:p>
            <w:pPr>
              <w:pStyle w:val="Compact"/>
              <w:spacing w:before="20" w:after="20" w:line="240" w:lineRule="auto"/>
              <w:jc w:val="left"/>
            </w:pPr>
            <w:r>
              <w:rPr>
                <w:rFonts w:ascii="Liberation Sans Narrow" w:hAnsi="Liberation Sans Narrow"/>
                <w:b w:val="0"/>
                <w:sz w:val="17"/>
              </w:rPr>
              <w:t xml:space="preserve">Art. 578</w:t>
            </w:r>
          </w:p>
        </w:tc>
        <w:tc>
          <w:tcPr>
            <w:tcW w:type="dxa" w:w="797"/>
          </w:tcPr>
          <w:p>
            <w:pPr>
              <w:pStyle w:val="Compact"/>
              <w:spacing w:before="20" w:after="20" w:line="240" w:lineRule="auto"/>
              <w:jc w:val="right"/>
            </w:pPr>
            <w:r>
              <w:rPr>
                <w:rFonts w:ascii="Liberation Sans Narrow" w:hAnsi="Liberation Sans Narrow"/>
                <w:b/>
                <w:sz w:val="17"/>
              </w:rPr>
              <w:t xml:space="preserve">96</w:t>
            </w:r>
          </w:p>
        </w:tc>
        <w:tc>
          <w:tcPr>
            <w:tcW w:type="dxa" w:w="1754"/>
          </w:tcPr>
          <w:p>
            <w:pPr>
              <w:pStyle w:val="Compact"/>
              <w:spacing w:before="20" w:after="20" w:line="240" w:lineRule="auto"/>
              <w:jc w:val="left"/>
            </w:pPr>
            <w:r>
              <w:rPr>
                <w:rFonts w:ascii="Liberation Sans Narrow" w:hAnsi="Liberation Sans Narrow"/>
                <w:b w:val="0"/>
                <w:sz w:val="17"/>
              </w:rPr>
              <w:t xml:space="preserve">Art. 767</w:t>
            </w:r>
          </w:p>
        </w:tc>
        <w:tc>
          <w:tcPr>
            <w:tcW w:type="dxa" w:w="797"/>
          </w:tcPr>
          <w:p>
            <w:pPr>
              <w:pStyle w:val="Compact"/>
              <w:spacing w:before="20" w:after="20" w:line="240" w:lineRule="auto"/>
              <w:jc w:val="right"/>
            </w:pPr>
            <w:r>
              <w:rPr>
                <w:rFonts w:ascii="Liberation Sans Narrow" w:hAnsi="Liberation Sans Narrow"/>
                <w:b/>
                <w:sz w:val="17"/>
              </w:rPr>
              <w:t xml:space="preserve">131</w:t>
            </w:r>
          </w:p>
        </w:tc>
        <w:tc>
          <w:tcPr>
            <w:tcW w:type="dxa" w:w="1754"/>
          </w:tcPr>
          <w:p>
            <w:pPr>
              <w:pStyle w:val="Compact"/>
              <w:spacing w:before="20" w:after="20" w:line="240" w:lineRule="auto"/>
              <w:jc w:val="left"/>
            </w:pPr>
            <w:r>
              <w:rPr>
                <w:rFonts w:ascii="Liberation Sans Narrow" w:hAnsi="Liberation Sans Narrow"/>
                <w:b w:val="0"/>
                <w:sz w:val="17"/>
              </w:rPr>
              <w:t xml:space="preserve">Art. 956</w:t>
            </w:r>
          </w:p>
        </w:tc>
        <w:tc>
          <w:tcPr>
            <w:tcW w:type="dxa" w:w="797"/>
          </w:tcPr>
          <w:p>
            <w:pPr>
              <w:pStyle w:val="Compact"/>
              <w:spacing w:before="20" w:after="20" w:line="240" w:lineRule="auto"/>
              <w:jc w:val="right"/>
            </w:pPr>
            <w:r>
              <w:rPr>
                <w:rFonts w:ascii="Liberation Sans Narrow" w:hAnsi="Liberation Sans Narrow"/>
                <w:b/>
                <w:sz w:val="17"/>
              </w:rPr>
              <w:t xml:space="preserve">172</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390</w:t>
            </w:r>
          </w:p>
        </w:tc>
        <w:tc>
          <w:tcPr>
            <w:tcW w:type="dxa" w:w="797"/>
          </w:tcPr>
          <w:p>
            <w:pPr>
              <w:pStyle w:val="Compact"/>
              <w:spacing w:before="20" w:after="20" w:line="240" w:lineRule="auto"/>
              <w:jc w:val="right"/>
            </w:pPr>
            <w:r>
              <w:rPr>
                <w:rFonts w:ascii="Liberation Sans Narrow" w:hAnsi="Liberation Sans Narrow"/>
                <w:b/>
                <w:sz w:val="17"/>
              </w:rPr>
              <w:t xml:space="preserve">45</w:t>
            </w:r>
          </w:p>
        </w:tc>
        <w:tc>
          <w:tcPr>
            <w:tcW w:type="dxa" w:w="1754"/>
          </w:tcPr>
          <w:p>
            <w:pPr>
              <w:pStyle w:val="Compact"/>
              <w:spacing w:before="20" w:after="20" w:line="240" w:lineRule="auto"/>
              <w:jc w:val="left"/>
            </w:pPr>
            <w:r>
              <w:rPr>
                <w:rFonts w:ascii="Liberation Sans Narrow" w:hAnsi="Liberation Sans Narrow"/>
                <w:b w:val="0"/>
                <w:sz w:val="17"/>
              </w:rPr>
              <w:t xml:space="preserve">Art. 579</w:t>
            </w:r>
          </w:p>
        </w:tc>
        <w:tc>
          <w:tcPr>
            <w:tcW w:type="dxa" w:w="797"/>
          </w:tcPr>
          <w:p>
            <w:pPr>
              <w:pStyle w:val="Compact"/>
              <w:spacing w:before="20" w:after="20" w:line="240" w:lineRule="auto"/>
              <w:jc w:val="right"/>
            </w:pPr>
            <w:r>
              <w:rPr>
                <w:rFonts w:ascii="Liberation Sans Narrow" w:hAnsi="Liberation Sans Narrow"/>
                <w:b/>
                <w:sz w:val="17"/>
              </w:rPr>
              <w:t xml:space="preserve">96</w:t>
            </w:r>
          </w:p>
        </w:tc>
        <w:tc>
          <w:tcPr>
            <w:tcW w:type="dxa" w:w="1754"/>
          </w:tcPr>
          <w:p>
            <w:pPr>
              <w:pStyle w:val="Compact"/>
              <w:spacing w:before="20" w:after="20" w:line="240" w:lineRule="auto"/>
              <w:jc w:val="left"/>
            </w:pPr>
            <w:r>
              <w:rPr>
                <w:rFonts w:ascii="Liberation Sans Narrow" w:hAnsi="Liberation Sans Narrow"/>
                <w:b w:val="0"/>
                <w:sz w:val="17"/>
              </w:rPr>
              <w:t xml:space="preserve">Art. 768</w:t>
            </w:r>
          </w:p>
        </w:tc>
        <w:tc>
          <w:tcPr>
            <w:tcW w:type="dxa" w:w="797"/>
          </w:tcPr>
          <w:p>
            <w:pPr>
              <w:pStyle w:val="Compact"/>
              <w:spacing w:before="20" w:after="20" w:line="240" w:lineRule="auto"/>
              <w:jc w:val="right"/>
            </w:pPr>
            <w:r>
              <w:rPr>
                <w:rFonts w:ascii="Liberation Sans Narrow" w:hAnsi="Liberation Sans Narrow"/>
                <w:b/>
                <w:sz w:val="17"/>
              </w:rPr>
              <w:t xml:space="preserve">131</w:t>
            </w:r>
          </w:p>
        </w:tc>
        <w:tc>
          <w:tcPr>
            <w:tcW w:type="dxa" w:w="1754"/>
          </w:tcPr>
          <w:p>
            <w:pPr>
              <w:pStyle w:val="Compact"/>
              <w:spacing w:before="20" w:after="20" w:line="240" w:lineRule="auto"/>
              <w:jc w:val="left"/>
            </w:pPr>
            <w:r>
              <w:rPr>
                <w:rFonts w:ascii="Liberation Sans Narrow" w:hAnsi="Liberation Sans Narrow"/>
                <w:b w:val="0"/>
                <w:sz w:val="17"/>
              </w:rPr>
              <w:t xml:space="preserve">Art. 957</w:t>
            </w:r>
          </w:p>
        </w:tc>
        <w:tc>
          <w:tcPr>
            <w:tcW w:type="dxa" w:w="797"/>
          </w:tcPr>
          <w:p>
            <w:pPr>
              <w:pStyle w:val="Compact"/>
              <w:spacing w:before="20" w:after="20" w:line="240" w:lineRule="auto"/>
              <w:jc w:val="right"/>
            </w:pPr>
            <w:r>
              <w:rPr>
                <w:rFonts w:ascii="Liberation Sans Narrow" w:hAnsi="Liberation Sans Narrow"/>
                <w:b/>
                <w:sz w:val="17"/>
              </w:rPr>
              <w:t xml:space="preserve">172</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391</w:t>
            </w:r>
          </w:p>
        </w:tc>
        <w:tc>
          <w:tcPr>
            <w:tcW w:type="dxa" w:w="797"/>
          </w:tcPr>
          <w:p>
            <w:pPr>
              <w:pStyle w:val="Compact"/>
              <w:spacing w:before="20" w:after="20" w:line="240" w:lineRule="auto"/>
              <w:jc w:val="right"/>
            </w:pPr>
            <w:r>
              <w:rPr>
                <w:rFonts w:ascii="Liberation Sans Narrow" w:hAnsi="Liberation Sans Narrow"/>
                <w:b/>
                <w:sz w:val="17"/>
              </w:rPr>
              <w:t xml:space="preserve">46</w:t>
            </w:r>
          </w:p>
        </w:tc>
        <w:tc>
          <w:tcPr>
            <w:tcW w:type="dxa" w:w="1754"/>
          </w:tcPr>
          <w:p>
            <w:pPr>
              <w:pStyle w:val="Compact"/>
              <w:spacing w:before="20" w:after="20" w:line="240" w:lineRule="auto"/>
              <w:jc w:val="left"/>
            </w:pPr>
            <w:r>
              <w:rPr>
                <w:rFonts w:ascii="Liberation Sans Narrow" w:hAnsi="Liberation Sans Narrow"/>
                <w:b w:val="0"/>
                <w:sz w:val="17"/>
              </w:rPr>
              <w:t xml:space="preserve">Art. 580</w:t>
            </w:r>
          </w:p>
        </w:tc>
        <w:tc>
          <w:tcPr>
            <w:tcW w:type="dxa" w:w="797"/>
          </w:tcPr>
          <w:p>
            <w:pPr>
              <w:pStyle w:val="Compact"/>
              <w:spacing w:before="20" w:after="20" w:line="240" w:lineRule="auto"/>
              <w:jc w:val="right"/>
            </w:pPr>
            <w:r>
              <w:rPr>
                <w:rFonts w:ascii="Liberation Sans Narrow" w:hAnsi="Liberation Sans Narrow"/>
                <w:b/>
                <w:sz w:val="17"/>
              </w:rPr>
              <w:t xml:space="preserve">96</w:t>
            </w:r>
          </w:p>
        </w:tc>
        <w:tc>
          <w:tcPr>
            <w:tcW w:type="dxa" w:w="1754"/>
          </w:tcPr>
          <w:p>
            <w:pPr>
              <w:pStyle w:val="Compact"/>
              <w:spacing w:before="20" w:after="20" w:line="240" w:lineRule="auto"/>
              <w:jc w:val="left"/>
            </w:pPr>
            <w:r>
              <w:rPr>
                <w:rFonts w:ascii="Liberation Sans Narrow" w:hAnsi="Liberation Sans Narrow"/>
                <w:b w:val="0"/>
                <w:sz w:val="17"/>
              </w:rPr>
              <w:t xml:space="preserve">Art. 769</w:t>
            </w:r>
          </w:p>
        </w:tc>
        <w:tc>
          <w:tcPr>
            <w:tcW w:type="dxa" w:w="797"/>
          </w:tcPr>
          <w:p>
            <w:pPr>
              <w:pStyle w:val="Compact"/>
              <w:spacing w:before="20" w:after="20" w:line="240" w:lineRule="auto"/>
              <w:jc w:val="right"/>
            </w:pPr>
            <w:r>
              <w:rPr>
                <w:rFonts w:ascii="Liberation Sans Narrow" w:hAnsi="Liberation Sans Narrow"/>
                <w:b/>
                <w:sz w:val="17"/>
              </w:rPr>
              <w:t xml:space="preserve">131</w:t>
            </w:r>
          </w:p>
        </w:tc>
        <w:tc>
          <w:tcPr>
            <w:tcW w:type="dxa" w:w="1754"/>
          </w:tcPr>
          <w:p>
            <w:pPr>
              <w:pStyle w:val="Compact"/>
              <w:spacing w:before="20" w:after="20" w:line="240" w:lineRule="auto"/>
              <w:jc w:val="left"/>
            </w:pPr>
            <w:r>
              <w:rPr>
                <w:rFonts w:ascii="Liberation Sans Narrow" w:hAnsi="Liberation Sans Narrow"/>
                <w:b w:val="0"/>
                <w:sz w:val="17"/>
              </w:rPr>
              <w:t xml:space="preserve">Art. 958</w:t>
            </w:r>
          </w:p>
        </w:tc>
        <w:tc>
          <w:tcPr>
            <w:tcW w:type="dxa" w:w="797"/>
          </w:tcPr>
          <w:p>
            <w:pPr>
              <w:pStyle w:val="Compact"/>
              <w:spacing w:before="20" w:after="20" w:line="240" w:lineRule="auto"/>
              <w:jc w:val="right"/>
            </w:pPr>
            <w:r>
              <w:rPr>
                <w:rFonts w:ascii="Liberation Sans Narrow" w:hAnsi="Liberation Sans Narrow"/>
                <w:b/>
                <w:sz w:val="17"/>
              </w:rPr>
              <w:t xml:space="preserve">172</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392</w:t>
            </w:r>
          </w:p>
        </w:tc>
        <w:tc>
          <w:tcPr>
            <w:tcW w:type="dxa" w:w="797"/>
          </w:tcPr>
          <w:p>
            <w:pPr>
              <w:pStyle w:val="Compact"/>
              <w:spacing w:before="20" w:after="20" w:line="240" w:lineRule="auto"/>
              <w:jc w:val="right"/>
            </w:pPr>
            <w:r>
              <w:rPr>
                <w:rFonts w:ascii="Liberation Sans Narrow" w:hAnsi="Liberation Sans Narrow"/>
                <w:b/>
                <w:sz w:val="17"/>
              </w:rPr>
              <w:t xml:space="preserve">46</w:t>
            </w:r>
          </w:p>
        </w:tc>
        <w:tc>
          <w:tcPr>
            <w:tcW w:type="dxa" w:w="1754"/>
          </w:tcPr>
          <w:p>
            <w:pPr>
              <w:pStyle w:val="Compact"/>
              <w:spacing w:before="20" w:after="20" w:line="240" w:lineRule="auto"/>
              <w:jc w:val="left"/>
            </w:pPr>
            <w:r>
              <w:rPr>
                <w:rFonts w:ascii="Liberation Sans Narrow" w:hAnsi="Liberation Sans Narrow"/>
                <w:b w:val="0"/>
                <w:sz w:val="17"/>
              </w:rPr>
              <w:t xml:space="preserve">Art. 581</w:t>
            </w:r>
          </w:p>
        </w:tc>
        <w:tc>
          <w:tcPr>
            <w:tcW w:type="dxa" w:w="797"/>
          </w:tcPr>
          <w:p>
            <w:pPr>
              <w:pStyle w:val="Compact"/>
              <w:spacing w:before="20" w:after="20" w:line="240" w:lineRule="auto"/>
              <w:jc w:val="right"/>
            </w:pPr>
            <w:r>
              <w:rPr>
                <w:rFonts w:ascii="Liberation Sans Narrow" w:hAnsi="Liberation Sans Narrow"/>
                <w:b/>
                <w:sz w:val="17"/>
              </w:rPr>
              <w:t xml:space="preserve">96</w:t>
            </w:r>
          </w:p>
        </w:tc>
        <w:tc>
          <w:tcPr>
            <w:tcW w:type="dxa" w:w="1754"/>
          </w:tcPr>
          <w:p>
            <w:pPr>
              <w:pStyle w:val="Compact"/>
              <w:spacing w:before="20" w:after="20" w:line="240" w:lineRule="auto"/>
              <w:jc w:val="left"/>
            </w:pPr>
            <w:r>
              <w:rPr>
                <w:rFonts w:ascii="Liberation Sans Narrow" w:hAnsi="Liberation Sans Narrow"/>
                <w:b w:val="0"/>
                <w:sz w:val="17"/>
              </w:rPr>
              <w:t xml:space="preserve">Art. 770</w:t>
            </w:r>
          </w:p>
        </w:tc>
        <w:tc>
          <w:tcPr>
            <w:tcW w:type="dxa" w:w="797"/>
          </w:tcPr>
          <w:p>
            <w:pPr>
              <w:pStyle w:val="Compact"/>
              <w:spacing w:before="20" w:after="20" w:line="240" w:lineRule="auto"/>
              <w:jc w:val="right"/>
            </w:pPr>
            <w:r>
              <w:rPr>
                <w:rFonts w:ascii="Liberation Sans Narrow" w:hAnsi="Liberation Sans Narrow"/>
                <w:b/>
                <w:sz w:val="17"/>
              </w:rPr>
              <w:t xml:space="preserve">131</w:t>
            </w:r>
          </w:p>
        </w:tc>
        <w:tc>
          <w:tcPr>
            <w:tcW w:type="dxa" w:w="1754"/>
          </w:tcPr>
          <w:p>
            <w:pPr>
              <w:pStyle w:val="Compact"/>
              <w:spacing w:before="20" w:after="20" w:line="240" w:lineRule="auto"/>
              <w:jc w:val="left"/>
            </w:pPr>
            <w:r>
              <w:rPr>
                <w:rFonts w:ascii="Liberation Sans Narrow" w:hAnsi="Liberation Sans Narrow"/>
                <w:b w:val="0"/>
                <w:sz w:val="17"/>
              </w:rPr>
              <w:t xml:space="preserve">Art. 959</w:t>
            </w:r>
          </w:p>
        </w:tc>
        <w:tc>
          <w:tcPr>
            <w:tcW w:type="dxa" w:w="797"/>
          </w:tcPr>
          <w:p>
            <w:pPr>
              <w:pStyle w:val="Compact"/>
              <w:spacing w:before="20" w:after="20" w:line="240" w:lineRule="auto"/>
              <w:jc w:val="right"/>
            </w:pPr>
            <w:r>
              <w:rPr>
                <w:rFonts w:ascii="Liberation Sans Narrow" w:hAnsi="Liberation Sans Narrow"/>
                <w:b/>
                <w:sz w:val="17"/>
              </w:rPr>
              <w:t xml:space="preserve">172</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393</w:t>
            </w:r>
          </w:p>
        </w:tc>
        <w:tc>
          <w:tcPr>
            <w:tcW w:type="dxa" w:w="797"/>
          </w:tcPr>
          <w:p>
            <w:pPr>
              <w:pStyle w:val="Compact"/>
              <w:spacing w:before="20" w:after="20" w:line="240" w:lineRule="auto"/>
              <w:jc w:val="right"/>
            </w:pPr>
            <w:r>
              <w:rPr>
                <w:rFonts w:ascii="Liberation Sans Narrow" w:hAnsi="Liberation Sans Narrow"/>
                <w:b/>
                <w:sz w:val="17"/>
              </w:rPr>
              <w:t xml:space="preserve">46</w:t>
            </w:r>
          </w:p>
        </w:tc>
        <w:tc>
          <w:tcPr>
            <w:tcW w:type="dxa" w:w="1754"/>
          </w:tcPr>
          <w:p>
            <w:pPr>
              <w:pStyle w:val="Compact"/>
              <w:spacing w:before="20" w:after="20" w:line="240" w:lineRule="auto"/>
              <w:jc w:val="left"/>
            </w:pPr>
            <w:r>
              <w:rPr>
                <w:rFonts w:ascii="Liberation Sans Narrow" w:hAnsi="Liberation Sans Narrow"/>
                <w:b w:val="0"/>
                <w:sz w:val="17"/>
              </w:rPr>
              <w:t xml:space="preserve">Art. 582</w:t>
            </w:r>
          </w:p>
        </w:tc>
        <w:tc>
          <w:tcPr>
            <w:tcW w:type="dxa" w:w="797"/>
          </w:tcPr>
          <w:p>
            <w:pPr>
              <w:pStyle w:val="Compact"/>
              <w:spacing w:before="20" w:after="20" w:line="240" w:lineRule="auto"/>
              <w:jc w:val="right"/>
            </w:pPr>
            <w:r>
              <w:rPr>
                <w:rFonts w:ascii="Liberation Sans Narrow" w:hAnsi="Liberation Sans Narrow"/>
                <w:b/>
                <w:sz w:val="17"/>
              </w:rPr>
              <w:t xml:space="preserve">96</w:t>
            </w:r>
          </w:p>
        </w:tc>
        <w:tc>
          <w:tcPr>
            <w:tcW w:type="dxa" w:w="1754"/>
          </w:tcPr>
          <w:p>
            <w:pPr>
              <w:pStyle w:val="Compact"/>
              <w:spacing w:before="20" w:after="20" w:line="240" w:lineRule="auto"/>
              <w:jc w:val="left"/>
            </w:pPr>
            <w:r>
              <w:rPr>
                <w:rFonts w:ascii="Liberation Sans Narrow" w:hAnsi="Liberation Sans Narrow"/>
                <w:b w:val="0"/>
                <w:sz w:val="17"/>
              </w:rPr>
              <w:t xml:space="preserve">Art. 771</w:t>
            </w:r>
          </w:p>
        </w:tc>
        <w:tc>
          <w:tcPr>
            <w:tcW w:type="dxa" w:w="797"/>
          </w:tcPr>
          <w:p>
            <w:pPr>
              <w:pStyle w:val="Compact"/>
              <w:spacing w:before="20" w:after="20" w:line="240" w:lineRule="auto"/>
              <w:jc w:val="right"/>
            </w:pPr>
            <w:r>
              <w:rPr>
                <w:rFonts w:ascii="Liberation Sans Narrow" w:hAnsi="Liberation Sans Narrow"/>
                <w:b/>
                <w:sz w:val="17"/>
              </w:rPr>
              <w:t xml:space="preserve">132</w:t>
            </w:r>
          </w:p>
        </w:tc>
        <w:tc>
          <w:tcPr>
            <w:tcW w:type="dxa" w:w="1754"/>
          </w:tcPr>
          <w:p>
            <w:pPr>
              <w:pStyle w:val="Compact"/>
              <w:spacing w:before="20" w:after="20" w:line="240" w:lineRule="auto"/>
              <w:jc w:val="left"/>
            </w:pPr>
            <w:r>
              <w:rPr>
                <w:rFonts w:ascii="Liberation Sans Narrow" w:hAnsi="Liberation Sans Narrow"/>
                <w:b w:val="0"/>
                <w:sz w:val="17"/>
              </w:rPr>
              <w:t xml:space="preserve">Art. 960</w:t>
            </w:r>
          </w:p>
        </w:tc>
        <w:tc>
          <w:tcPr>
            <w:tcW w:type="dxa" w:w="797"/>
          </w:tcPr>
          <w:p>
            <w:pPr>
              <w:pStyle w:val="Compact"/>
              <w:spacing w:before="20" w:after="20" w:line="240" w:lineRule="auto"/>
              <w:jc w:val="right"/>
            </w:pPr>
            <w:r>
              <w:rPr>
                <w:rFonts w:ascii="Liberation Sans Narrow" w:hAnsi="Liberation Sans Narrow"/>
                <w:b/>
                <w:sz w:val="17"/>
              </w:rPr>
              <w:t xml:space="preserve">172</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394</w:t>
            </w:r>
          </w:p>
        </w:tc>
        <w:tc>
          <w:tcPr>
            <w:tcW w:type="dxa" w:w="797"/>
          </w:tcPr>
          <w:p>
            <w:pPr>
              <w:pStyle w:val="Compact"/>
              <w:spacing w:before="20" w:after="20" w:line="240" w:lineRule="auto"/>
              <w:jc w:val="right"/>
            </w:pPr>
            <w:r>
              <w:rPr>
                <w:rFonts w:ascii="Liberation Sans Narrow" w:hAnsi="Liberation Sans Narrow"/>
                <w:b/>
                <w:sz w:val="17"/>
              </w:rPr>
              <w:t xml:space="preserve">46</w:t>
            </w:r>
          </w:p>
        </w:tc>
        <w:tc>
          <w:tcPr>
            <w:tcW w:type="dxa" w:w="1754"/>
          </w:tcPr>
          <w:p>
            <w:pPr>
              <w:pStyle w:val="Compact"/>
              <w:spacing w:before="20" w:after="20" w:line="240" w:lineRule="auto"/>
              <w:jc w:val="left"/>
            </w:pPr>
            <w:r>
              <w:rPr>
                <w:rFonts w:ascii="Liberation Sans Narrow" w:hAnsi="Liberation Sans Narrow"/>
                <w:b w:val="0"/>
                <w:sz w:val="17"/>
              </w:rPr>
              <w:t xml:space="preserve">Art. 583</w:t>
            </w:r>
          </w:p>
        </w:tc>
        <w:tc>
          <w:tcPr>
            <w:tcW w:type="dxa" w:w="797"/>
          </w:tcPr>
          <w:p>
            <w:pPr>
              <w:pStyle w:val="Compact"/>
              <w:spacing w:before="20" w:after="20" w:line="240" w:lineRule="auto"/>
              <w:jc w:val="right"/>
            </w:pPr>
            <w:r>
              <w:rPr>
                <w:rFonts w:ascii="Liberation Sans Narrow" w:hAnsi="Liberation Sans Narrow"/>
                <w:b/>
                <w:sz w:val="17"/>
              </w:rPr>
              <w:t xml:space="preserve">96</w:t>
            </w:r>
          </w:p>
        </w:tc>
        <w:tc>
          <w:tcPr>
            <w:tcW w:type="dxa" w:w="1754"/>
          </w:tcPr>
          <w:p>
            <w:pPr>
              <w:pStyle w:val="Compact"/>
              <w:spacing w:before="20" w:after="20" w:line="240" w:lineRule="auto"/>
              <w:jc w:val="left"/>
            </w:pPr>
            <w:r>
              <w:rPr>
                <w:rFonts w:ascii="Liberation Sans Narrow" w:hAnsi="Liberation Sans Narrow"/>
                <w:b w:val="0"/>
                <w:sz w:val="17"/>
              </w:rPr>
              <w:t xml:space="preserve">Art. 772</w:t>
            </w:r>
          </w:p>
        </w:tc>
        <w:tc>
          <w:tcPr>
            <w:tcW w:type="dxa" w:w="797"/>
          </w:tcPr>
          <w:p>
            <w:pPr>
              <w:pStyle w:val="Compact"/>
              <w:spacing w:before="20" w:after="20" w:line="240" w:lineRule="auto"/>
              <w:jc w:val="right"/>
            </w:pPr>
            <w:r>
              <w:rPr>
                <w:rFonts w:ascii="Liberation Sans Narrow" w:hAnsi="Liberation Sans Narrow"/>
                <w:b/>
                <w:sz w:val="17"/>
              </w:rPr>
              <w:t xml:space="preserve">132</w:t>
            </w:r>
          </w:p>
        </w:tc>
        <w:tc>
          <w:tcPr>
            <w:tcW w:type="dxa" w:w="1754"/>
          </w:tcPr>
          <w:p>
            <w:pPr>
              <w:pStyle w:val="Compact"/>
              <w:spacing w:before="20" w:after="20" w:line="240" w:lineRule="auto"/>
              <w:jc w:val="left"/>
            </w:pPr>
            <w:r>
              <w:rPr>
                <w:rFonts w:ascii="Liberation Sans Narrow" w:hAnsi="Liberation Sans Narrow"/>
                <w:b w:val="0"/>
                <w:sz w:val="17"/>
              </w:rPr>
              <w:t xml:space="preserve">Art. 961</w:t>
            </w:r>
          </w:p>
        </w:tc>
        <w:tc>
          <w:tcPr>
            <w:tcW w:type="dxa" w:w="797"/>
          </w:tcPr>
          <w:p>
            <w:pPr>
              <w:pStyle w:val="Compact"/>
              <w:spacing w:before="20" w:after="20" w:line="240" w:lineRule="auto"/>
              <w:jc w:val="right"/>
            </w:pPr>
            <w:r>
              <w:rPr>
                <w:rFonts w:ascii="Liberation Sans Narrow" w:hAnsi="Liberation Sans Narrow"/>
                <w:b/>
                <w:sz w:val="17"/>
              </w:rPr>
              <w:t xml:space="preserve">173</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395</w:t>
            </w:r>
          </w:p>
        </w:tc>
        <w:tc>
          <w:tcPr>
            <w:tcW w:type="dxa" w:w="797"/>
          </w:tcPr>
          <w:p>
            <w:pPr>
              <w:pStyle w:val="Compact"/>
              <w:spacing w:before="20" w:after="20" w:line="240" w:lineRule="auto"/>
              <w:jc w:val="right"/>
            </w:pPr>
            <w:r>
              <w:rPr>
                <w:rFonts w:ascii="Liberation Sans Narrow" w:hAnsi="Liberation Sans Narrow"/>
                <w:b/>
                <w:sz w:val="17"/>
              </w:rPr>
              <w:t xml:space="preserve">46</w:t>
            </w:r>
          </w:p>
        </w:tc>
        <w:tc>
          <w:tcPr>
            <w:tcW w:type="dxa" w:w="1754"/>
          </w:tcPr>
          <w:p>
            <w:pPr>
              <w:pStyle w:val="Compact"/>
              <w:spacing w:before="20" w:after="20" w:line="240" w:lineRule="auto"/>
              <w:jc w:val="left"/>
            </w:pPr>
            <w:r>
              <w:rPr>
                <w:rFonts w:ascii="Liberation Sans Narrow" w:hAnsi="Liberation Sans Narrow"/>
                <w:b w:val="0"/>
                <w:sz w:val="17"/>
              </w:rPr>
              <w:t xml:space="preserve">Art. 584</w:t>
            </w:r>
          </w:p>
        </w:tc>
        <w:tc>
          <w:tcPr>
            <w:tcW w:type="dxa" w:w="797"/>
          </w:tcPr>
          <w:p>
            <w:pPr>
              <w:pStyle w:val="Compact"/>
              <w:spacing w:before="20" w:after="20" w:line="240" w:lineRule="auto"/>
              <w:jc w:val="right"/>
            </w:pPr>
            <w:r>
              <w:rPr>
                <w:rFonts w:ascii="Liberation Sans Narrow" w:hAnsi="Liberation Sans Narrow"/>
                <w:b/>
                <w:sz w:val="17"/>
              </w:rPr>
              <w:t xml:space="preserve">96</w:t>
            </w:r>
          </w:p>
        </w:tc>
        <w:tc>
          <w:tcPr>
            <w:tcW w:type="dxa" w:w="1754"/>
          </w:tcPr>
          <w:p>
            <w:pPr>
              <w:pStyle w:val="Compact"/>
              <w:spacing w:before="20" w:after="20" w:line="240" w:lineRule="auto"/>
              <w:jc w:val="left"/>
            </w:pPr>
            <w:r>
              <w:rPr>
                <w:rFonts w:ascii="Liberation Sans Narrow" w:hAnsi="Liberation Sans Narrow"/>
                <w:b w:val="0"/>
                <w:sz w:val="17"/>
              </w:rPr>
              <w:t xml:space="preserve">Art. 773</w:t>
            </w:r>
          </w:p>
        </w:tc>
        <w:tc>
          <w:tcPr>
            <w:tcW w:type="dxa" w:w="797"/>
          </w:tcPr>
          <w:p>
            <w:pPr>
              <w:pStyle w:val="Compact"/>
              <w:spacing w:before="20" w:after="20" w:line="240" w:lineRule="auto"/>
              <w:jc w:val="right"/>
            </w:pPr>
            <w:r>
              <w:rPr>
                <w:rFonts w:ascii="Liberation Sans Narrow" w:hAnsi="Liberation Sans Narrow"/>
                <w:b/>
                <w:sz w:val="17"/>
              </w:rPr>
              <w:t xml:space="preserve">132</w:t>
            </w:r>
          </w:p>
        </w:tc>
        <w:tc>
          <w:tcPr>
            <w:tcW w:type="dxa" w:w="1754"/>
          </w:tcPr>
          <w:p>
            <w:pPr>
              <w:pStyle w:val="Compact"/>
              <w:spacing w:before="20" w:after="20" w:line="240" w:lineRule="auto"/>
              <w:jc w:val="left"/>
            </w:pPr>
            <w:r>
              <w:rPr>
                <w:rFonts w:ascii="Liberation Sans Narrow" w:hAnsi="Liberation Sans Narrow"/>
                <w:b w:val="0"/>
                <w:sz w:val="17"/>
              </w:rPr>
              <w:t xml:space="preserve">Art. 962</w:t>
            </w:r>
          </w:p>
        </w:tc>
        <w:tc>
          <w:tcPr>
            <w:tcW w:type="dxa" w:w="797"/>
          </w:tcPr>
          <w:p>
            <w:pPr>
              <w:pStyle w:val="Compact"/>
              <w:spacing w:before="20" w:after="20" w:line="240" w:lineRule="auto"/>
              <w:jc w:val="right"/>
            </w:pPr>
            <w:r>
              <w:rPr>
                <w:rFonts w:ascii="Liberation Sans Narrow" w:hAnsi="Liberation Sans Narrow"/>
                <w:b/>
                <w:sz w:val="17"/>
              </w:rPr>
              <w:t xml:space="preserve">173</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396</w:t>
            </w:r>
          </w:p>
        </w:tc>
        <w:tc>
          <w:tcPr>
            <w:tcW w:type="dxa" w:w="797"/>
          </w:tcPr>
          <w:p>
            <w:pPr>
              <w:pStyle w:val="Compact"/>
              <w:spacing w:before="20" w:after="20" w:line="240" w:lineRule="auto"/>
              <w:jc w:val="right"/>
            </w:pPr>
            <w:r>
              <w:rPr>
                <w:rFonts w:ascii="Liberation Sans Narrow" w:hAnsi="Liberation Sans Narrow"/>
                <w:b/>
                <w:sz w:val="17"/>
              </w:rPr>
              <w:t xml:space="preserve">46</w:t>
            </w:r>
          </w:p>
        </w:tc>
        <w:tc>
          <w:tcPr>
            <w:tcW w:type="dxa" w:w="1754"/>
          </w:tcPr>
          <w:p>
            <w:pPr>
              <w:pStyle w:val="Compact"/>
              <w:spacing w:before="20" w:after="20" w:line="240" w:lineRule="auto"/>
              <w:jc w:val="left"/>
            </w:pPr>
            <w:r>
              <w:rPr>
                <w:rFonts w:ascii="Liberation Sans Narrow" w:hAnsi="Liberation Sans Narrow"/>
                <w:b w:val="0"/>
                <w:sz w:val="17"/>
              </w:rPr>
              <w:t xml:space="preserve">Art. 585</w:t>
            </w:r>
          </w:p>
        </w:tc>
        <w:tc>
          <w:tcPr>
            <w:tcW w:type="dxa" w:w="797"/>
          </w:tcPr>
          <w:p>
            <w:pPr>
              <w:pStyle w:val="Compact"/>
              <w:spacing w:before="20" w:after="20" w:line="240" w:lineRule="auto"/>
              <w:jc w:val="right"/>
            </w:pPr>
            <w:r>
              <w:rPr>
                <w:rFonts w:ascii="Liberation Sans Narrow" w:hAnsi="Liberation Sans Narrow"/>
                <w:b/>
                <w:sz w:val="17"/>
              </w:rPr>
              <w:t xml:space="preserve">96</w:t>
            </w:r>
          </w:p>
        </w:tc>
        <w:tc>
          <w:tcPr>
            <w:tcW w:type="dxa" w:w="1754"/>
          </w:tcPr>
          <w:p>
            <w:pPr>
              <w:pStyle w:val="Compact"/>
              <w:spacing w:before="20" w:after="20" w:line="240" w:lineRule="auto"/>
              <w:jc w:val="left"/>
            </w:pPr>
            <w:r>
              <w:rPr>
                <w:rFonts w:ascii="Liberation Sans Narrow" w:hAnsi="Liberation Sans Narrow"/>
                <w:b w:val="0"/>
                <w:sz w:val="17"/>
              </w:rPr>
              <w:t xml:space="preserve">Art. 774</w:t>
            </w:r>
          </w:p>
        </w:tc>
        <w:tc>
          <w:tcPr>
            <w:tcW w:type="dxa" w:w="797"/>
          </w:tcPr>
          <w:p>
            <w:pPr>
              <w:pStyle w:val="Compact"/>
              <w:spacing w:before="20" w:after="20" w:line="240" w:lineRule="auto"/>
              <w:jc w:val="right"/>
            </w:pPr>
            <w:r>
              <w:rPr>
                <w:rFonts w:ascii="Liberation Sans Narrow" w:hAnsi="Liberation Sans Narrow"/>
                <w:b/>
                <w:sz w:val="17"/>
              </w:rPr>
              <w:t xml:space="preserve">132</w:t>
            </w:r>
          </w:p>
        </w:tc>
        <w:tc>
          <w:tcPr>
            <w:tcW w:type="dxa" w:w="1754"/>
          </w:tcPr>
          <w:p>
            <w:pPr>
              <w:pStyle w:val="Compact"/>
              <w:spacing w:before="20" w:after="20" w:line="240" w:lineRule="auto"/>
              <w:jc w:val="left"/>
            </w:pPr>
            <w:r>
              <w:rPr>
                <w:rFonts w:ascii="Liberation Sans Narrow" w:hAnsi="Liberation Sans Narrow"/>
                <w:b w:val="0"/>
                <w:sz w:val="17"/>
              </w:rPr>
              <w:t xml:space="preserve">Art. 963</w:t>
            </w:r>
          </w:p>
        </w:tc>
        <w:tc>
          <w:tcPr>
            <w:tcW w:type="dxa" w:w="797"/>
          </w:tcPr>
          <w:p>
            <w:pPr>
              <w:pStyle w:val="Compact"/>
              <w:spacing w:before="20" w:after="20" w:line="240" w:lineRule="auto"/>
              <w:jc w:val="right"/>
            </w:pPr>
            <w:r>
              <w:rPr>
                <w:rFonts w:ascii="Liberation Sans Narrow" w:hAnsi="Liberation Sans Narrow"/>
                <w:b/>
                <w:sz w:val="17"/>
              </w:rPr>
              <w:t xml:space="preserve">173</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397</w:t>
            </w:r>
          </w:p>
        </w:tc>
        <w:tc>
          <w:tcPr>
            <w:tcW w:type="dxa" w:w="797"/>
          </w:tcPr>
          <w:p>
            <w:pPr>
              <w:pStyle w:val="Compact"/>
              <w:spacing w:before="20" w:after="20" w:line="240" w:lineRule="auto"/>
              <w:jc w:val="right"/>
            </w:pPr>
            <w:r>
              <w:rPr>
                <w:rFonts w:ascii="Liberation Sans Narrow" w:hAnsi="Liberation Sans Narrow"/>
                <w:b/>
                <w:sz w:val="17"/>
              </w:rPr>
              <w:t xml:space="preserve">46</w:t>
            </w:r>
          </w:p>
        </w:tc>
        <w:tc>
          <w:tcPr>
            <w:tcW w:type="dxa" w:w="1754"/>
          </w:tcPr>
          <w:p>
            <w:pPr>
              <w:pStyle w:val="Compact"/>
              <w:spacing w:before="20" w:after="20" w:line="240" w:lineRule="auto"/>
              <w:jc w:val="left"/>
            </w:pPr>
            <w:r>
              <w:rPr>
                <w:rFonts w:ascii="Liberation Sans Narrow" w:hAnsi="Liberation Sans Narrow"/>
                <w:b w:val="0"/>
                <w:sz w:val="17"/>
              </w:rPr>
              <w:t xml:space="preserve">Art. 586</w:t>
            </w:r>
          </w:p>
        </w:tc>
        <w:tc>
          <w:tcPr>
            <w:tcW w:type="dxa" w:w="797"/>
          </w:tcPr>
          <w:p>
            <w:pPr>
              <w:pStyle w:val="Compact"/>
              <w:spacing w:before="20" w:after="20" w:line="240" w:lineRule="auto"/>
              <w:jc w:val="right"/>
            </w:pPr>
            <w:r>
              <w:rPr>
                <w:rFonts w:ascii="Liberation Sans Narrow" w:hAnsi="Liberation Sans Narrow"/>
                <w:b/>
                <w:sz w:val="17"/>
              </w:rPr>
              <w:t xml:space="preserve">96</w:t>
            </w:r>
          </w:p>
        </w:tc>
        <w:tc>
          <w:tcPr>
            <w:tcW w:type="dxa" w:w="1754"/>
          </w:tcPr>
          <w:p>
            <w:pPr>
              <w:pStyle w:val="Compact"/>
              <w:spacing w:before="20" w:after="20" w:line="240" w:lineRule="auto"/>
              <w:jc w:val="left"/>
            </w:pPr>
            <w:r>
              <w:rPr>
                <w:rFonts w:ascii="Liberation Sans Narrow" w:hAnsi="Liberation Sans Narrow"/>
                <w:b w:val="0"/>
                <w:sz w:val="17"/>
              </w:rPr>
              <w:t xml:space="preserve">Art. 775</w:t>
            </w:r>
          </w:p>
        </w:tc>
        <w:tc>
          <w:tcPr>
            <w:tcW w:type="dxa" w:w="797"/>
          </w:tcPr>
          <w:p>
            <w:pPr>
              <w:pStyle w:val="Compact"/>
              <w:spacing w:before="20" w:after="20" w:line="240" w:lineRule="auto"/>
              <w:jc w:val="right"/>
            </w:pPr>
            <w:r>
              <w:rPr>
                <w:rFonts w:ascii="Liberation Sans Narrow" w:hAnsi="Liberation Sans Narrow"/>
                <w:b/>
                <w:sz w:val="17"/>
              </w:rPr>
              <w:t xml:space="preserve">132</w:t>
            </w:r>
          </w:p>
        </w:tc>
        <w:tc>
          <w:tcPr>
            <w:tcW w:type="dxa" w:w="1754"/>
          </w:tcPr>
          <w:p>
            <w:pPr>
              <w:pStyle w:val="Compact"/>
              <w:spacing w:before="20" w:after="20" w:line="240" w:lineRule="auto"/>
              <w:jc w:val="left"/>
            </w:pPr>
            <w:r>
              <w:rPr>
                <w:rFonts w:ascii="Liberation Sans Narrow" w:hAnsi="Liberation Sans Narrow"/>
                <w:b w:val="0"/>
                <w:sz w:val="17"/>
              </w:rPr>
              <w:t xml:space="preserve">Art. 964</w:t>
            </w:r>
          </w:p>
        </w:tc>
        <w:tc>
          <w:tcPr>
            <w:tcW w:type="dxa" w:w="797"/>
          </w:tcPr>
          <w:p>
            <w:pPr>
              <w:pStyle w:val="Compact"/>
              <w:spacing w:before="20" w:after="20" w:line="240" w:lineRule="auto"/>
              <w:jc w:val="right"/>
            </w:pPr>
            <w:r>
              <w:rPr>
                <w:rFonts w:ascii="Liberation Sans Narrow" w:hAnsi="Liberation Sans Narrow"/>
                <w:b/>
                <w:sz w:val="17"/>
              </w:rPr>
              <w:t xml:space="preserve">173</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398</w:t>
            </w:r>
          </w:p>
        </w:tc>
        <w:tc>
          <w:tcPr>
            <w:tcW w:type="dxa" w:w="797"/>
          </w:tcPr>
          <w:p>
            <w:pPr>
              <w:pStyle w:val="Compact"/>
              <w:spacing w:before="20" w:after="20" w:line="240" w:lineRule="auto"/>
              <w:jc w:val="right"/>
            </w:pPr>
            <w:r>
              <w:rPr>
                <w:rFonts w:ascii="Liberation Sans Narrow" w:hAnsi="Liberation Sans Narrow"/>
                <w:b/>
                <w:sz w:val="17"/>
              </w:rPr>
              <w:t xml:space="preserve">47</w:t>
            </w:r>
          </w:p>
        </w:tc>
        <w:tc>
          <w:tcPr>
            <w:tcW w:type="dxa" w:w="1754"/>
          </w:tcPr>
          <w:p>
            <w:pPr>
              <w:pStyle w:val="Compact"/>
              <w:spacing w:before="20" w:after="20" w:line="240" w:lineRule="auto"/>
              <w:jc w:val="left"/>
            </w:pPr>
            <w:r>
              <w:rPr>
                <w:rFonts w:ascii="Liberation Sans Narrow" w:hAnsi="Liberation Sans Narrow"/>
                <w:b w:val="0"/>
                <w:sz w:val="17"/>
              </w:rPr>
              <w:t xml:space="preserve">Art. 587</w:t>
            </w:r>
          </w:p>
        </w:tc>
        <w:tc>
          <w:tcPr>
            <w:tcW w:type="dxa" w:w="797"/>
          </w:tcPr>
          <w:p>
            <w:pPr>
              <w:pStyle w:val="Compact"/>
              <w:spacing w:before="20" w:after="20" w:line="240" w:lineRule="auto"/>
              <w:jc w:val="right"/>
            </w:pPr>
            <w:r>
              <w:rPr>
                <w:rFonts w:ascii="Liberation Sans Narrow" w:hAnsi="Liberation Sans Narrow"/>
                <w:b/>
                <w:sz w:val="17"/>
              </w:rPr>
              <w:t xml:space="preserve">96</w:t>
            </w:r>
          </w:p>
        </w:tc>
        <w:tc>
          <w:tcPr>
            <w:tcW w:type="dxa" w:w="1754"/>
          </w:tcPr>
          <w:p>
            <w:pPr>
              <w:pStyle w:val="Compact"/>
              <w:spacing w:before="20" w:after="20" w:line="240" w:lineRule="auto"/>
              <w:jc w:val="left"/>
            </w:pPr>
            <w:r>
              <w:rPr>
                <w:rFonts w:ascii="Liberation Sans Narrow" w:hAnsi="Liberation Sans Narrow"/>
                <w:b w:val="0"/>
                <w:sz w:val="17"/>
              </w:rPr>
              <w:t xml:space="preserve">Art. 776</w:t>
            </w:r>
          </w:p>
        </w:tc>
        <w:tc>
          <w:tcPr>
            <w:tcW w:type="dxa" w:w="797"/>
          </w:tcPr>
          <w:p>
            <w:pPr>
              <w:pStyle w:val="Compact"/>
              <w:spacing w:before="20" w:after="20" w:line="240" w:lineRule="auto"/>
              <w:jc w:val="right"/>
            </w:pPr>
            <w:r>
              <w:rPr>
                <w:rFonts w:ascii="Liberation Sans Narrow" w:hAnsi="Liberation Sans Narrow"/>
                <w:b/>
                <w:sz w:val="17"/>
              </w:rPr>
              <w:t xml:space="preserve">133</w:t>
            </w:r>
          </w:p>
        </w:tc>
        <w:tc>
          <w:tcPr>
            <w:tcW w:type="dxa" w:w="1754"/>
          </w:tcPr>
          <w:p>
            <w:pPr>
              <w:pStyle w:val="Compact"/>
              <w:spacing w:before="20" w:after="20" w:line="240" w:lineRule="auto"/>
              <w:jc w:val="left"/>
            </w:pPr>
            <w:r>
              <w:rPr>
                <w:rFonts w:ascii="Liberation Sans Narrow" w:hAnsi="Liberation Sans Narrow"/>
                <w:b w:val="0"/>
                <w:sz w:val="17"/>
              </w:rPr>
              <w:t xml:space="preserve">Art. 965</w:t>
            </w:r>
          </w:p>
        </w:tc>
        <w:tc>
          <w:tcPr>
            <w:tcW w:type="dxa" w:w="797"/>
          </w:tcPr>
          <w:p>
            <w:pPr>
              <w:pStyle w:val="Compact"/>
              <w:spacing w:before="20" w:after="20" w:line="240" w:lineRule="auto"/>
              <w:jc w:val="right"/>
            </w:pPr>
            <w:r>
              <w:rPr>
                <w:rFonts w:ascii="Liberation Sans Narrow" w:hAnsi="Liberation Sans Narrow"/>
                <w:b/>
                <w:sz w:val="17"/>
              </w:rPr>
              <w:t xml:space="preserve">174</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399</w:t>
            </w:r>
          </w:p>
        </w:tc>
        <w:tc>
          <w:tcPr>
            <w:tcW w:type="dxa" w:w="797"/>
          </w:tcPr>
          <w:p>
            <w:pPr>
              <w:pStyle w:val="Compact"/>
              <w:spacing w:before="20" w:after="20" w:line="240" w:lineRule="auto"/>
              <w:jc w:val="right"/>
            </w:pPr>
            <w:r>
              <w:rPr>
                <w:rFonts w:ascii="Liberation Sans Narrow" w:hAnsi="Liberation Sans Narrow"/>
                <w:b/>
                <w:sz w:val="17"/>
              </w:rPr>
              <w:t xml:space="preserve">47</w:t>
            </w:r>
          </w:p>
        </w:tc>
        <w:tc>
          <w:tcPr>
            <w:tcW w:type="dxa" w:w="1754"/>
          </w:tcPr>
          <w:p>
            <w:pPr>
              <w:pStyle w:val="Compact"/>
              <w:spacing w:before="20" w:after="20" w:line="240" w:lineRule="auto"/>
              <w:jc w:val="left"/>
            </w:pPr>
            <w:r>
              <w:rPr>
                <w:rFonts w:ascii="Liberation Sans Narrow" w:hAnsi="Liberation Sans Narrow"/>
                <w:b w:val="0"/>
                <w:sz w:val="17"/>
              </w:rPr>
              <w:t xml:space="preserve">Art. 588</w:t>
            </w:r>
          </w:p>
        </w:tc>
        <w:tc>
          <w:tcPr>
            <w:tcW w:type="dxa" w:w="797"/>
          </w:tcPr>
          <w:p>
            <w:pPr>
              <w:pStyle w:val="Compact"/>
              <w:spacing w:before="20" w:after="20" w:line="240" w:lineRule="auto"/>
              <w:jc w:val="right"/>
            </w:pPr>
            <w:r>
              <w:rPr>
                <w:rFonts w:ascii="Liberation Sans Narrow" w:hAnsi="Liberation Sans Narrow"/>
                <w:b/>
                <w:sz w:val="17"/>
              </w:rPr>
              <w:t xml:space="preserve">96</w:t>
            </w:r>
          </w:p>
        </w:tc>
        <w:tc>
          <w:tcPr>
            <w:tcW w:type="dxa" w:w="1754"/>
          </w:tcPr>
          <w:p>
            <w:pPr>
              <w:pStyle w:val="Compact"/>
              <w:spacing w:before="20" w:after="20" w:line="240" w:lineRule="auto"/>
              <w:jc w:val="left"/>
            </w:pPr>
            <w:r>
              <w:rPr>
                <w:rFonts w:ascii="Liberation Sans Narrow" w:hAnsi="Liberation Sans Narrow"/>
                <w:b w:val="0"/>
                <w:sz w:val="17"/>
              </w:rPr>
              <w:t xml:space="preserve">Art. 777</w:t>
            </w:r>
          </w:p>
        </w:tc>
        <w:tc>
          <w:tcPr>
            <w:tcW w:type="dxa" w:w="797"/>
          </w:tcPr>
          <w:p>
            <w:pPr>
              <w:pStyle w:val="Compact"/>
              <w:spacing w:before="20" w:after="20" w:line="240" w:lineRule="auto"/>
              <w:jc w:val="right"/>
            </w:pPr>
            <w:r>
              <w:rPr>
                <w:rFonts w:ascii="Liberation Sans Narrow" w:hAnsi="Liberation Sans Narrow"/>
                <w:b/>
                <w:sz w:val="17"/>
              </w:rPr>
              <w:t xml:space="preserve">133</w:t>
            </w:r>
          </w:p>
        </w:tc>
        <w:tc>
          <w:tcPr>
            <w:tcW w:type="dxa" w:w="1754"/>
          </w:tcPr>
          <w:p>
            <w:pPr>
              <w:pStyle w:val="Compact"/>
              <w:spacing w:before="20" w:after="20" w:line="240" w:lineRule="auto"/>
              <w:jc w:val="left"/>
            </w:pPr>
            <w:r>
              <w:rPr>
                <w:rFonts w:ascii="Liberation Sans Narrow" w:hAnsi="Liberation Sans Narrow"/>
                <w:b w:val="0"/>
                <w:sz w:val="17"/>
              </w:rPr>
              <w:t xml:space="preserve">Art. 966</w:t>
            </w:r>
          </w:p>
        </w:tc>
        <w:tc>
          <w:tcPr>
            <w:tcW w:type="dxa" w:w="797"/>
          </w:tcPr>
          <w:p>
            <w:pPr>
              <w:pStyle w:val="Compact"/>
              <w:spacing w:before="20" w:after="20" w:line="240" w:lineRule="auto"/>
              <w:jc w:val="right"/>
            </w:pPr>
            <w:r>
              <w:rPr>
                <w:rFonts w:ascii="Liberation Sans Narrow" w:hAnsi="Liberation Sans Narrow"/>
                <w:b/>
                <w:sz w:val="17"/>
              </w:rPr>
              <w:t xml:space="preserve">174</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400</w:t>
            </w:r>
          </w:p>
        </w:tc>
        <w:tc>
          <w:tcPr>
            <w:tcW w:type="dxa" w:w="797"/>
          </w:tcPr>
          <w:p>
            <w:pPr>
              <w:pStyle w:val="Compact"/>
              <w:spacing w:before="20" w:after="20" w:line="240" w:lineRule="auto"/>
              <w:jc w:val="right"/>
            </w:pPr>
            <w:r>
              <w:rPr>
                <w:rFonts w:ascii="Liberation Sans Narrow" w:hAnsi="Liberation Sans Narrow"/>
                <w:b/>
                <w:sz w:val="17"/>
              </w:rPr>
              <w:t xml:space="preserve">47</w:t>
            </w:r>
          </w:p>
        </w:tc>
        <w:tc>
          <w:tcPr>
            <w:tcW w:type="dxa" w:w="1754"/>
          </w:tcPr>
          <w:p>
            <w:pPr>
              <w:pStyle w:val="Compact"/>
              <w:spacing w:before="20" w:after="20" w:line="240" w:lineRule="auto"/>
              <w:jc w:val="left"/>
            </w:pPr>
            <w:r>
              <w:rPr>
                <w:rFonts w:ascii="Liberation Sans Narrow" w:hAnsi="Liberation Sans Narrow"/>
                <w:b w:val="0"/>
                <w:sz w:val="17"/>
              </w:rPr>
              <w:t xml:space="preserve">Art. 589</w:t>
            </w:r>
          </w:p>
        </w:tc>
        <w:tc>
          <w:tcPr>
            <w:tcW w:type="dxa" w:w="797"/>
          </w:tcPr>
          <w:p>
            <w:pPr>
              <w:pStyle w:val="Compact"/>
              <w:spacing w:before="20" w:after="20" w:line="240" w:lineRule="auto"/>
              <w:jc w:val="right"/>
            </w:pPr>
            <w:r>
              <w:rPr>
                <w:rFonts w:ascii="Liberation Sans Narrow" w:hAnsi="Liberation Sans Narrow"/>
                <w:b/>
                <w:sz w:val="17"/>
              </w:rPr>
              <w:t xml:space="preserve">96</w:t>
            </w:r>
          </w:p>
        </w:tc>
        <w:tc>
          <w:tcPr>
            <w:tcW w:type="dxa" w:w="1754"/>
          </w:tcPr>
          <w:p>
            <w:pPr>
              <w:pStyle w:val="Compact"/>
              <w:spacing w:before="20" w:after="20" w:line="240" w:lineRule="auto"/>
              <w:jc w:val="left"/>
            </w:pPr>
            <w:r>
              <w:rPr>
                <w:rFonts w:ascii="Liberation Sans Narrow" w:hAnsi="Liberation Sans Narrow"/>
                <w:b w:val="0"/>
                <w:sz w:val="17"/>
              </w:rPr>
              <w:t xml:space="preserve">Art. 778</w:t>
            </w:r>
          </w:p>
        </w:tc>
        <w:tc>
          <w:tcPr>
            <w:tcW w:type="dxa" w:w="797"/>
          </w:tcPr>
          <w:p>
            <w:pPr>
              <w:pStyle w:val="Compact"/>
              <w:spacing w:before="20" w:after="20" w:line="240" w:lineRule="auto"/>
              <w:jc w:val="right"/>
            </w:pPr>
            <w:r>
              <w:rPr>
                <w:rFonts w:ascii="Liberation Sans Narrow" w:hAnsi="Liberation Sans Narrow"/>
                <w:b/>
                <w:sz w:val="17"/>
              </w:rPr>
              <w:t xml:space="preserve">133</w:t>
            </w:r>
          </w:p>
        </w:tc>
        <w:tc>
          <w:tcPr>
            <w:tcW w:type="dxa" w:w="1754"/>
          </w:tcPr>
          <w:p>
            <w:pPr>
              <w:pStyle w:val="Compact"/>
              <w:spacing w:before="20" w:after="20" w:line="240" w:lineRule="auto"/>
              <w:jc w:val="left"/>
            </w:pPr>
            <w:r>
              <w:rPr>
                <w:rFonts w:ascii="Liberation Sans Narrow" w:hAnsi="Liberation Sans Narrow"/>
                <w:b w:val="0"/>
                <w:sz w:val="17"/>
              </w:rPr>
              <w:t xml:space="preserve">Art. 967</w:t>
            </w:r>
          </w:p>
        </w:tc>
        <w:tc>
          <w:tcPr>
            <w:tcW w:type="dxa" w:w="797"/>
          </w:tcPr>
          <w:p>
            <w:pPr>
              <w:pStyle w:val="Compact"/>
              <w:spacing w:before="20" w:after="20" w:line="240" w:lineRule="auto"/>
              <w:jc w:val="right"/>
            </w:pPr>
            <w:r>
              <w:rPr>
                <w:rFonts w:ascii="Liberation Sans Narrow" w:hAnsi="Liberation Sans Narrow"/>
                <w:b/>
                <w:sz w:val="17"/>
              </w:rPr>
              <w:t xml:space="preserve">174</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401</w:t>
            </w:r>
          </w:p>
        </w:tc>
        <w:tc>
          <w:tcPr>
            <w:tcW w:type="dxa" w:w="797"/>
          </w:tcPr>
          <w:p>
            <w:pPr>
              <w:pStyle w:val="Compact"/>
              <w:spacing w:before="20" w:after="20" w:line="240" w:lineRule="auto"/>
              <w:jc w:val="right"/>
            </w:pPr>
            <w:r>
              <w:rPr>
                <w:rFonts w:ascii="Liberation Sans Narrow" w:hAnsi="Liberation Sans Narrow"/>
                <w:b/>
                <w:sz w:val="17"/>
              </w:rPr>
              <w:t xml:space="preserve">48</w:t>
            </w:r>
          </w:p>
        </w:tc>
        <w:tc>
          <w:tcPr>
            <w:tcW w:type="dxa" w:w="1754"/>
          </w:tcPr>
          <w:p>
            <w:pPr>
              <w:pStyle w:val="Compact"/>
              <w:spacing w:before="20" w:after="20" w:line="240" w:lineRule="auto"/>
              <w:jc w:val="left"/>
            </w:pPr>
            <w:r>
              <w:rPr>
                <w:rFonts w:ascii="Liberation Sans Narrow" w:hAnsi="Liberation Sans Narrow"/>
                <w:b w:val="0"/>
                <w:sz w:val="17"/>
              </w:rPr>
              <w:t xml:space="preserve">Art. 590</w:t>
            </w:r>
          </w:p>
        </w:tc>
        <w:tc>
          <w:tcPr>
            <w:tcW w:type="dxa" w:w="797"/>
          </w:tcPr>
          <w:p>
            <w:pPr>
              <w:pStyle w:val="Compact"/>
              <w:spacing w:before="20" w:after="20" w:line="240" w:lineRule="auto"/>
              <w:jc w:val="right"/>
            </w:pPr>
            <w:r>
              <w:rPr>
                <w:rFonts w:ascii="Liberation Sans Narrow" w:hAnsi="Liberation Sans Narrow"/>
                <w:b/>
                <w:sz w:val="17"/>
              </w:rPr>
              <w:t xml:space="preserve">96</w:t>
            </w:r>
          </w:p>
        </w:tc>
        <w:tc>
          <w:tcPr>
            <w:tcW w:type="dxa" w:w="1754"/>
          </w:tcPr>
          <w:p>
            <w:pPr>
              <w:pStyle w:val="Compact"/>
              <w:spacing w:before="20" w:after="20" w:line="240" w:lineRule="auto"/>
              <w:jc w:val="left"/>
            </w:pPr>
            <w:r>
              <w:rPr>
                <w:rFonts w:ascii="Liberation Sans Narrow" w:hAnsi="Liberation Sans Narrow"/>
                <w:b w:val="0"/>
                <w:sz w:val="17"/>
              </w:rPr>
              <w:t xml:space="preserve">Art. 779</w:t>
            </w:r>
          </w:p>
        </w:tc>
        <w:tc>
          <w:tcPr>
            <w:tcW w:type="dxa" w:w="797"/>
          </w:tcPr>
          <w:p>
            <w:pPr>
              <w:pStyle w:val="Compact"/>
              <w:spacing w:before="20" w:after="20" w:line="240" w:lineRule="auto"/>
              <w:jc w:val="right"/>
            </w:pPr>
            <w:r>
              <w:rPr>
                <w:rFonts w:ascii="Liberation Sans Narrow" w:hAnsi="Liberation Sans Narrow"/>
                <w:b/>
                <w:sz w:val="17"/>
              </w:rPr>
              <w:t xml:space="preserve">133</w:t>
            </w:r>
          </w:p>
        </w:tc>
        <w:tc>
          <w:tcPr>
            <w:tcW w:type="dxa" w:w="1754"/>
          </w:tcPr>
          <w:p>
            <w:pPr>
              <w:pStyle w:val="Compact"/>
              <w:spacing w:before="20" w:after="20" w:line="240" w:lineRule="auto"/>
              <w:jc w:val="left"/>
            </w:pPr>
            <w:r>
              <w:rPr>
                <w:rFonts w:ascii="Liberation Sans Narrow" w:hAnsi="Liberation Sans Narrow"/>
                <w:b w:val="0"/>
                <w:sz w:val="17"/>
              </w:rPr>
              <w:t xml:space="preserve">Art. 968</w:t>
            </w:r>
          </w:p>
        </w:tc>
        <w:tc>
          <w:tcPr>
            <w:tcW w:type="dxa" w:w="797"/>
          </w:tcPr>
          <w:p>
            <w:pPr>
              <w:pStyle w:val="Compact"/>
              <w:spacing w:before="20" w:after="20" w:line="240" w:lineRule="auto"/>
              <w:jc w:val="right"/>
            </w:pPr>
            <w:r>
              <w:rPr>
                <w:rFonts w:ascii="Liberation Sans Narrow" w:hAnsi="Liberation Sans Narrow"/>
                <w:b/>
                <w:sz w:val="17"/>
              </w:rPr>
              <w:t xml:space="preserve">175</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402</w:t>
            </w:r>
          </w:p>
        </w:tc>
        <w:tc>
          <w:tcPr>
            <w:tcW w:type="dxa" w:w="797"/>
          </w:tcPr>
          <w:p>
            <w:pPr>
              <w:pStyle w:val="Compact"/>
              <w:spacing w:before="20" w:after="20" w:line="240" w:lineRule="auto"/>
              <w:jc w:val="right"/>
            </w:pPr>
            <w:r>
              <w:rPr>
                <w:rFonts w:ascii="Liberation Sans Narrow" w:hAnsi="Liberation Sans Narrow"/>
                <w:b/>
                <w:sz w:val="17"/>
              </w:rPr>
              <w:t xml:space="preserve">48</w:t>
            </w:r>
          </w:p>
        </w:tc>
        <w:tc>
          <w:tcPr>
            <w:tcW w:type="dxa" w:w="1754"/>
          </w:tcPr>
          <w:p>
            <w:pPr>
              <w:pStyle w:val="Compact"/>
              <w:spacing w:before="20" w:after="20" w:line="240" w:lineRule="auto"/>
              <w:jc w:val="left"/>
            </w:pPr>
            <w:r>
              <w:rPr>
                <w:rFonts w:ascii="Liberation Sans Narrow" w:hAnsi="Liberation Sans Narrow"/>
                <w:b w:val="0"/>
                <w:sz w:val="17"/>
              </w:rPr>
              <w:t xml:space="preserve">Art. 591</w:t>
            </w:r>
          </w:p>
        </w:tc>
        <w:tc>
          <w:tcPr>
            <w:tcW w:type="dxa" w:w="797"/>
          </w:tcPr>
          <w:p>
            <w:pPr>
              <w:pStyle w:val="Compact"/>
              <w:spacing w:before="20" w:after="20" w:line="240" w:lineRule="auto"/>
              <w:jc w:val="right"/>
            </w:pPr>
            <w:r>
              <w:rPr>
                <w:rFonts w:ascii="Liberation Sans Narrow" w:hAnsi="Liberation Sans Narrow"/>
                <w:b/>
                <w:sz w:val="17"/>
              </w:rPr>
              <w:t xml:space="preserve">97</w:t>
            </w:r>
          </w:p>
        </w:tc>
        <w:tc>
          <w:tcPr>
            <w:tcW w:type="dxa" w:w="1754"/>
          </w:tcPr>
          <w:p>
            <w:pPr>
              <w:pStyle w:val="Compact"/>
              <w:spacing w:before="20" w:after="20" w:line="240" w:lineRule="auto"/>
              <w:jc w:val="left"/>
            </w:pPr>
            <w:r>
              <w:rPr>
                <w:rFonts w:ascii="Liberation Sans Narrow" w:hAnsi="Liberation Sans Narrow"/>
                <w:b w:val="0"/>
                <w:sz w:val="17"/>
              </w:rPr>
              <w:t xml:space="preserve">Art. 780</w:t>
            </w:r>
          </w:p>
        </w:tc>
        <w:tc>
          <w:tcPr>
            <w:tcW w:type="dxa" w:w="797"/>
          </w:tcPr>
          <w:p>
            <w:pPr>
              <w:pStyle w:val="Compact"/>
              <w:spacing w:before="20" w:after="20" w:line="240" w:lineRule="auto"/>
              <w:jc w:val="right"/>
            </w:pPr>
            <w:r>
              <w:rPr>
                <w:rFonts w:ascii="Liberation Sans Narrow" w:hAnsi="Liberation Sans Narrow"/>
                <w:b/>
                <w:sz w:val="17"/>
              </w:rPr>
              <w:t xml:space="preserve">134</w:t>
            </w:r>
          </w:p>
        </w:tc>
        <w:tc>
          <w:tcPr>
            <w:tcW w:type="dxa" w:w="1754"/>
          </w:tcPr>
          <w:p>
            <w:pPr>
              <w:pStyle w:val="Compact"/>
              <w:spacing w:before="20" w:after="20" w:line="240" w:lineRule="auto"/>
              <w:jc w:val="left"/>
            </w:pPr>
            <w:r>
              <w:rPr>
                <w:rFonts w:ascii="Liberation Sans Narrow" w:hAnsi="Liberation Sans Narrow"/>
                <w:b w:val="0"/>
                <w:sz w:val="17"/>
              </w:rPr>
              <w:t xml:space="preserve">Art. 969</w:t>
            </w:r>
          </w:p>
        </w:tc>
        <w:tc>
          <w:tcPr>
            <w:tcW w:type="dxa" w:w="797"/>
          </w:tcPr>
          <w:p>
            <w:pPr>
              <w:pStyle w:val="Compact"/>
              <w:spacing w:before="20" w:after="20" w:line="240" w:lineRule="auto"/>
              <w:jc w:val="right"/>
            </w:pPr>
            <w:r>
              <w:rPr>
                <w:rFonts w:ascii="Liberation Sans Narrow" w:hAnsi="Liberation Sans Narrow"/>
                <w:b/>
                <w:sz w:val="17"/>
              </w:rPr>
              <w:t xml:space="preserve">175</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403</w:t>
            </w:r>
          </w:p>
        </w:tc>
        <w:tc>
          <w:tcPr>
            <w:tcW w:type="dxa" w:w="797"/>
          </w:tcPr>
          <w:p>
            <w:pPr>
              <w:pStyle w:val="Compact"/>
              <w:spacing w:before="20" w:after="20" w:line="240" w:lineRule="auto"/>
              <w:jc w:val="right"/>
            </w:pPr>
            <w:r>
              <w:rPr>
                <w:rFonts w:ascii="Liberation Sans Narrow" w:hAnsi="Liberation Sans Narrow"/>
                <w:b/>
                <w:sz w:val="17"/>
              </w:rPr>
              <w:t xml:space="preserve">48</w:t>
            </w:r>
          </w:p>
        </w:tc>
        <w:tc>
          <w:tcPr>
            <w:tcW w:type="dxa" w:w="1754"/>
          </w:tcPr>
          <w:p>
            <w:pPr>
              <w:pStyle w:val="Compact"/>
              <w:spacing w:before="20" w:after="20" w:line="240" w:lineRule="auto"/>
              <w:jc w:val="left"/>
            </w:pPr>
            <w:r>
              <w:rPr>
                <w:rFonts w:ascii="Liberation Sans Narrow" w:hAnsi="Liberation Sans Narrow"/>
                <w:b w:val="0"/>
                <w:sz w:val="17"/>
              </w:rPr>
              <w:t xml:space="preserve">Art. 592</w:t>
            </w:r>
          </w:p>
        </w:tc>
        <w:tc>
          <w:tcPr>
            <w:tcW w:type="dxa" w:w="797"/>
          </w:tcPr>
          <w:p>
            <w:pPr>
              <w:pStyle w:val="Compact"/>
              <w:spacing w:before="20" w:after="20" w:line="240" w:lineRule="auto"/>
              <w:jc w:val="right"/>
            </w:pPr>
            <w:r>
              <w:rPr>
                <w:rFonts w:ascii="Liberation Sans Narrow" w:hAnsi="Liberation Sans Narrow"/>
                <w:b/>
                <w:sz w:val="17"/>
              </w:rPr>
              <w:t xml:space="preserve">97</w:t>
            </w:r>
          </w:p>
        </w:tc>
        <w:tc>
          <w:tcPr>
            <w:tcW w:type="dxa" w:w="1754"/>
          </w:tcPr>
          <w:p>
            <w:pPr>
              <w:pStyle w:val="Compact"/>
              <w:spacing w:before="20" w:after="20" w:line="240" w:lineRule="auto"/>
              <w:jc w:val="left"/>
            </w:pPr>
            <w:r>
              <w:rPr>
                <w:rFonts w:ascii="Liberation Sans Narrow" w:hAnsi="Liberation Sans Narrow"/>
                <w:b w:val="0"/>
                <w:sz w:val="17"/>
              </w:rPr>
              <w:t xml:space="preserve">Art. 781</w:t>
            </w:r>
          </w:p>
        </w:tc>
        <w:tc>
          <w:tcPr>
            <w:tcW w:type="dxa" w:w="797"/>
          </w:tcPr>
          <w:p>
            <w:pPr>
              <w:pStyle w:val="Compact"/>
              <w:spacing w:before="20" w:after="20" w:line="240" w:lineRule="auto"/>
              <w:jc w:val="right"/>
            </w:pPr>
            <w:r>
              <w:rPr>
                <w:rFonts w:ascii="Liberation Sans Narrow" w:hAnsi="Liberation Sans Narrow"/>
                <w:b/>
                <w:sz w:val="17"/>
              </w:rPr>
              <w:t xml:space="preserve">134</w:t>
            </w:r>
          </w:p>
        </w:tc>
        <w:tc>
          <w:tcPr>
            <w:tcW w:type="dxa" w:w="1754"/>
          </w:tcPr>
          <w:p>
            <w:pPr>
              <w:pStyle w:val="Compact"/>
              <w:spacing w:before="20" w:after="20" w:line="240" w:lineRule="auto"/>
              <w:jc w:val="left"/>
            </w:pPr>
            <w:r>
              <w:rPr>
                <w:rFonts w:ascii="Liberation Sans Narrow" w:hAnsi="Liberation Sans Narrow"/>
                <w:b w:val="0"/>
                <w:sz w:val="17"/>
              </w:rPr>
              <w:t xml:space="preserve">Art. 970</w:t>
            </w:r>
          </w:p>
        </w:tc>
        <w:tc>
          <w:tcPr>
            <w:tcW w:type="dxa" w:w="797"/>
          </w:tcPr>
          <w:p>
            <w:pPr>
              <w:pStyle w:val="Compact"/>
              <w:spacing w:before="20" w:after="20" w:line="240" w:lineRule="auto"/>
              <w:jc w:val="right"/>
            </w:pPr>
            <w:r>
              <w:rPr>
                <w:rFonts w:ascii="Liberation Sans Narrow" w:hAnsi="Liberation Sans Narrow"/>
                <w:b/>
                <w:sz w:val="17"/>
              </w:rPr>
              <w:t xml:space="preserve">175</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404</w:t>
            </w:r>
          </w:p>
        </w:tc>
        <w:tc>
          <w:tcPr>
            <w:tcW w:type="dxa" w:w="797"/>
          </w:tcPr>
          <w:p>
            <w:pPr>
              <w:pStyle w:val="Compact"/>
              <w:spacing w:before="20" w:after="20" w:line="240" w:lineRule="auto"/>
              <w:jc w:val="right"/>
            </w:pPr>
            <w:r>
              <w:rPr>
                <w:rFonts w:ascii="Liberation Sans Narrow" w:hAnsi="Liberation Sans Narrow"/>
                <w:b/>
                <w:sz w:val="17"/>
              </w:rPr>
              <w:t xml:space="preserve">49</w:t>
            </w:r>
          </w:p>
        </w:tc>
        <w:tc>
          <w:tcPr>
            <w:tcW w:type="dxa" w:w="1754"/>
          </w:tcPr>
          <w:p>
            <w:pPr>
              <w:pStyle w:val="Compact"/>
              <w:spacing w:before="20" w:after="20" w:line="240" w:lineRule="auto"/>
              <w:jc w:val="left"/>
            </w:pPr>
            <w:r>
              <w:rPr>
                <w:rFonts w:ascii="Liberation Sans Narrow" w:hAnsi="Liberation Sans Narrow"/>
                <w:b w:val="0"/>
                <w:sz w:val="17"/>
              </w:rPr>
              <w:t xml:space="preserve">Art. 593</w:t>
            </w:r>
          </w:p>
        </w:tc>
        <w:tc>
          <w:tcPr>
            <w:tcW w:type="dxa" w:w="797"/>
          </w:tcPr>
          <w:p>
            <w:pPr>
              <w:pStyle w:val="Compact"/>
              <w:spacing w:before="20" w:after="20" w:line="240" w:lineRule="auto"/>
              <w:jc w:val="right"/>
            </w:pPr>
            <w:r>
              <w:rPr>
                <w:rFonts w:ascii="Liberation Sans Narrow" w:hAnsi="Liberation Sans Narrow"/>
                <w:b/>
                <w:sz w:val="17"/>
              </w:rPr>
              <w:t xml:space="preserve">97</w:t>
            </w:r>
          </w:p>
        </w:tc>
        <w:tc>
          <w:tcPr>
            <w:tcW w:type="dxa" w:w="1754"/>
          </w:tcPr>
          <w:p>
            <w:pPr>
              <w:pStyle w:val="Compact"/>
              <w:spacing w:before="20" w:after="20" w:line="240" w:lineRule="auto"/>
              <w:jc w:val="left"/>
            </w:pPr>
            <w:r>
              <w:rPr>
                <w:rFonts w:ascii="Liberation Sans Narrow" w:hAnsi="Liberation Sans Narrow"/>
                <w:b w:val="0"/>
                <w:sz w:val="17"/>
              </w:rPr>
              <w:t xml:space="preserve">Art. 782</w:t>
            </w:r>
          </w:p>
        </w:tc>
        <w:tc>
          <w:tcPr>
            <w:tcW w:type="dxa" w:w="797"/>
          </w:tcPr>
          <w:p>
            <w:pPr>
              <w:pStyle w:val="Compact"/>
              <w:spacing w:before="20" w:after="20" w:line="240" w:lineRule="auto"/>
              <w:jc w:val="right"/>
            </w:pPr>
            <w:r>
              <w:rPr>
                <w:rFonts w:ascii="Liberation Sans Narrow" w:hAnsi="Liberation Sans Narrow"/>
                <w:b/>
                <w:sz w:val="17"/>
              </w:rPr>
              <w:t xml:space="preserve">134</w:t>
            </w:r>
          </w:p>
        </w:tc>
        <w:tc>
          <w:tcPr>
            <w:tcW w:type="dxa" w:w="1754"/>
          </w:tcPr>
          <w:p>
            <w:pPr>
              <w:pStyle w:val="Compact"/>
              <w:spacing w:before="20" w:after="20" w:line="240" w:lineRule="auto"/>
              <w:jc w:val="left"/>
            </w:pPr>
            <w:r>
              <w:rPr>
                <w:rFonts w:ascii="Liberation Sans Narrow" w:hAnsi="Liberation Sans Narrow"/>
                <w:b w:val="0"/>
                <w:sz w:val="17"/>
              </w:rPr>
              <w:t xml:space="preserve">Art. 971</w:t>
            </w:r>
          </w:p>
        </w:tc>
        <w:tc>
          <w:tcPr>
            <w:tcW w:type="dxa" w:w="797"/>
          </w:tcPr>
          <w:p>
            <w:pPr>
              <w:pStyle w:val="Compact"/>
              <w:spacing w:before="20" w:after="20" w:line="240" w:lineRule="auto"/>
              <w:jc w:val="right"/>
            </w:pPr>
            <w:r>
              <w:rPr>
                <w:rFonts w:ascii="Liberation Sans Narrow" w:hAnsi="Liberation Sans Narrow"/>
                <w:b/>
                <w:sz w:val="17"/>
              </w:rPr>
              <w:t xml:space="preserve">176</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405</w:t>
            </w:r>
          </w:p>
        </w:tc>
        <w:tc>
          <w:tcPr>
            <w:tcW w:type="dxa" w:w="797"/>
          </w:tcPr>
          <w:p>
            <w:pPr>
              <w:pStyle w:val="Compact"/>
              <w:spacing w:before="20" w:after="20" w:line="240" w:lineRule="auto"/>
              <w:jc w:val="right"/>
            </w:pPr>
            <w:r>
              <w:rPr>
                <w:rFonts w:ascii="Liberation Sans Narrow" w:hAnsi="Liberation Sans Narrow"/>
                <w:b/>
                <w:sz w:val="17"/>
              </w:rPr>
              <w:t xml:space="preserve">49</w:t>
            </w:r>
          </w:p>
        </w:tc>
        <w:tc>
          <w:tcPr>
            <w:tcW w:type="dxa" w:w="1754"/>
          </w:tcPr>
          <w:p>
            <w:pPr>
              <w:pStyle w:val="Compact"/>
              <w:spacing w:before="20" w:after="20" w:line="240" w:lineRule="auto"/>
              <w:jc w:val="left"/>
            </w:pPr>
            <w:r>
              <w:rPr>
                <w:rFonts w:ascii="Liberation Sans Narrow" w:hAnsi="Liberation Sans Narrow"/>
                <w:b w:val="0"/>
                <w:sz w:val="17"/>
              </w:rPr>
              <w:t xml:space="preserve">Art. 594</w:t>
            </w:r>
          </w:p>
        </w:tc>
        <w:tc>
          <w:tcPr>
            <w:tcW w:type="dxa" w:w="797"/>
          </w:tcPr>
          <w:p>
            <w:pPr>
              <w:pStyle w:val="Compact"/>
              <w:spacing w:before="20" w:after="20" w:line="240" w:lineRule="auto"/>
              <w:jc w:val="right"/>
            </w:pPr>
            <w:r>
              <w:rPr>
                <w:rFonts w:ascii="Liberation Sans Narrow" w:hAnsi="Liberation Sans Narrow"/>
                <w:b/>
                <w:sz w:val="17"/>
              </w:rPr>
              <w:t xml:space="preserve">97</w:t>
            </w:r>
          </w:p>
        </w:tc>
        <w:tc>
          <w:tcPr>
            <w:tcW w:type="dxa" w:w="1754"/>
          </w:tcPr>
          <w:p>
            <w:pPr>
              <w:pStyle w:val="Compact"/>
              <w:spacing w:before="20" w:after="20" w:line="240" w:lineRule="auto"/>
              <w:jc w:val="left"/>
            </w:pPr>
            <w:r>
              <w:rPr>
                <w:rFonts w:ascii="Liberation Sans Narrow" w:hAnsi="Liberation Sans Narrow"/>
                <w:b w:val="0"/>
                <w:sz w:val="17"/>
              </w:rPr>
              <w:t xml:space="preserve">Art. 783</w:t>
            </w:r>
          </w:p>
        </w:tc>
        <w:tc>
          <w:tcPr>
            <w:tcW w:type="dxa" w:w="797"/>
          </w:tcPr>
          <w:p>
            <w:pPr>
              <w:pStyle w:val="Compact"/>
              <w:spacing w:before="20" w:after="20" w:line="240" w:lineRule="auto"/>
              <w:jc w:val="right"/>
            </w:pPr>
            <w:r>
              <w:rPr>
                <w:rFonts w:ascii="Liberation Sans Narrow" w:hAnsi="Liberation Sans Narrow"/>
                <w:b/>
                <w:sz w:val="17"/>
              </w:rPr>
              <w:t xml:space="preserve">135</w:t>
            </w:r>
          </w:p>
        </w:tc>
        <w:tc>
          <w:tcPr>
            <w:tcW w:type="dxa" w:w="1754"/>
          </w:tcPr>
          <w:p>
            <w:pPr>
              <w:pStyle w:val="Compact"/>
              <w:spacing w:before="20" w:after="20" w:line="240" w:lineRule="auto"/>
              <w:jc w:val="left"/>
            </w:pPr>
            <w:r>
              <w:rPr>
                <w:rFonts w:ascii="Liberation Sans Narrow" w:hAnsi="Liberation Sans Narrow"/>
                <w:b w:val="0"/>
                <w:sz w:val="17"/>
              </w:rPr>
              <w:t xml:space="preserve">Art. 972</w:t>
            </w:r>
          </w:p>
        </w:tc>
        <w:tc>
          <w:tcPr>
            <w:tcW w:type="dxa" w:w="797"/>
          </w:tcPr>
          <w:p>
            <w:pPr>
              <w:pStyle w:val="Compact"/>
              <w:spacing w:before="20" w:after="20" w:line="240" w:lineRule="auto"/>
              <w:jc w:val="right"/>
            </w:pPr>
            <w:r>
              <w:rPr>
                <w:rFonts w:ascii="Liberation Sans Narrow" w:hAnsi="Liberation Sans Narrow"/>
                <w:b/>
                <w:sz w:val="17"/>
              </w:rPr>
              <w:t xml:space="preserve">176</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406</w:t>
            </w:r>
          </w:p>
        </w:tc>
        <w:tc>
          <w:tcPr>
            <w:tcW w:type="dxa" w:w="797"/>
          </w:tcPr>
          <w:p>
            <w:pPr>
              <w:pStyle w:val="Compact"/>
              <w:spacing w:before="20" w:after="20" w:line="240" w:lineRule="auto"/>
              <w:jc w:val="right"/>
            </w:pPr>
            <w:r>
              <w:rPr>
                <w:rFonts w:ascii="Liberation Sans Narrow" w:hAnsi="Liberation Sans Narrow"/>
                <w:b/>
                <w:sz w:val="17"/>
              </w:rPr>
              <w:t xml:space="preserve">49</w:t>
            </w:r>
          </w:p>
        </w:tc>
        <w:tc>
          <w:tcPr>
            <w:tcW w:type="dxa" w:w="1754"/>
          </w:tcPr>
          <w:p>
            <w:pPr>
              <w:pStyle w:val="Compact"/>
              <w:spacing w:before="20" w:after="20" w:line="240" w:lineRule="auto"/>
              <w:jc w:val="left"/>
            </w:pPr>
            <w:r>
              <w:rPr>
                <w:rFonts w:ascii="Liberation Sans Narrow" w:hAnsi="Liberation Sans Narrow"/>
                <w:b w:val="0"/>
                <w:sz w:val="17"/>
              </w:rPr>
              <w:t xml:space="preserve">Art. 595</w:t>
            </w:r>
          </w:p>
        </w:tc>
        <w:tc>
          <w:tcPr>
            <w:tcW w:type="dxa" w:w="797"/>
          </w:tcPr>
          <w:p>
            <w:pPr>
              <w:pStyle w:val="Compact"/>
              <w:spacing w:before="20" w:after="20" w:line="240" w:lineRule="auto"/>
              <w:jc w:val="right"/>
            </w:pPr>
            <w:r>
              <w:rPr>
                <w:rFonts w:ascii="Liberation Sans Narrow" w:hAnsi="Liberation Sans Narrow"/>
                <w:b/>
                <w:sz w:val="17"/>
              </w:rPr>
              <w:t xml:space="preserve">97</w:t>
            </w:r>
          </w:p>
        </w:tc>
        <w:tc>
          <w:tcPr>
            <w:tcW w:type="dxa" w:w="1754"/>
          </w:tcPr>
          <w:p>
            <w:pPr>
              <w:pStyle w:val="Compact"/>
              <w:spacing w:before="20" w:after="20" w:line="240" w:lineRule="auto"/>
              <w:jc w:val="left"/>
            </w:pPr>
            <w:r>
              <w:rPr>
                <w:rFonts w:ascii="Liberation Sans Narrow" w:hAnsi="Liberation Sans Narrow"/>
                <w:b w:val="0"/>
                <w:sz w:val="17"/>
              </w:rPr>
              <w:t xml:space="preserve">Art. 784</w:t>
            </w:r>
          </w:p>
        </w:tc>
        <w:tc>
          <w:tcPr>
            <w:tcW w:type="dxa" w:w="797"/>
          </w:tcPr>
          <w:p>
            <w:pPr>
              <w:pStyle w:val="Compact"/>
              <w:spacing w:before="20" w:after="20" w:line="240" w:lineRule="auto"/>
              <w:jc w:val="right"/>
            </w:pPr>
            <w:r>
              <w:rPr>
                <w:rFonts w:ascii="Liberation Sans Narrow" w:hAnsi="Liberation Sans Narrow"/>
                <w:b/>
                <w:sz w:val="17"/>
              </w:rPr>
              <w:t xml:space="preserve">135</w:t>
            </w:r>
          </w:p>
        </w:tc>
        <w:tc>
          <w:tcPr>
            <w:tcW w:type="dxa" w:w="1754"/>
          </w:tcPr>
          <w:p>
            <w:pPr>
              <w:pStyle w:val="Compact"/>
              <w:spacing w:before="20" w:after="20" w:line="240" w:lineRule="auto"/>
              <w:jc w:val="left"/>
            </w:pPr>
            <w:r>
              <w:rPr>
                <w:rFonts w:ascii="Liberation Sans Narrow" w:hAnsi="Liberation Sans Narrow"/>
                <w:b w:val="0"/>
                <w:sz w:val="17"/>
              </w:rPr>
              <w:t xml:space="preserve">Art. 973</w:t>
            </w:r>
          </w:p>
        </w:tc>
        <w:tc>
          <w:tcPr>
            <w:tcW w:type="dxa" w:w="797"/>
          </w:tcPr>
          <w:p>
            <w:pPr>
              <w:pStyle w:val="Compact"/>
              <w:spacing w:before="20" w:after="20" w:line="240" w:lineRule="auto"/>
              <w:jc w:val="right"/>
            </w:pPr>
            <w:r>
              <w:rPr>
                <w:rFonts w:ascii="Liberation Sans Narrow" w:hAnsi="Liberation Sans Narrow"/>
                <w:b/>
                <w:sz w:val="17"/>
              </w:rPr>
              <w:t xml:space="preserve">176</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407</w:t>
            </w:r>
          </w:p>
        </w:tc>
        <w:tc>
          <w:tcPr>
            <w:tcW w:type="dxa" w:w="797"/>
          </w:tcPr>
          <w:p>
            <w:pPr>
              <w:pStyle w:val="Compact"/>
              <w:spacing w:before="20" w:after="20" w:line="240" w:lineRule="auto"/>
              <w:jc w:val="right"/>
            </w:pPr>
            <w:r>
              <w:rPr>
                <w:rFonts w:ascii="Liberation Sans Narrow" w:hAnsi="Liberation Sans Narrow"/>
                <w:b/>
                <w:sz w:val="17"/>
              </w:rPr>
              <w:t xml:space="preserve">49</w:t>
            </w:r>
          </w:p>
        </w:tc>
        <w:tc>
          <w:tcPr>
            <w:tcW w:type="dxa" w:w="1754"/>
          </w:tcPr>
          <w:p>
            <w:pPr>
              <w:pStyle w:val="Compact"/>
              <w:spacing w:before="20" w:after="20" w:line="240" w:lineRule="auto"/>
              <w:jc w:val="left"/>
            </w:pPr>
            <w:r>
              <w:rPr>
                <w:rFonts w:ascii="Liberation Sans Narrow" w:hAnsi="Liberation Sans Narrow"/>
                <w:b w:val="0"/>
                <w:sz w:val="17"/>
              </w:rPr>
              <w:t xml:space="preserve">Art. 596</w:t>
            </w:r>
          </w:p>
        </w:tc>
        <w:tc>
          <w:tcPr>
            <w:tcW w:type="dxa" w:w="797"/>
          </w:tcPr>
          <w:p>
            <w:pPr>
              <w:pStyle w:val="Compact"/>
              <w:spacing w:before="20" w:after="20" w:line="240" w:lineRule="auto"/>
              <w:jc w:val="right"/>
            </w:pPr>
            <w:r>
              <w:rPr>
                <w:rFonts w:ascii="Liberation Sans Narrow" w:hAnsi="Liberation Sans Narrow"/>
                <w:b/>
                <w:sz w:val="17"/>
              </w:rPr>
              <w:t xml:space="preserve">97</w:t>
            </w:r>
          </w:p>
        </w:tc>
        <w:tc>
          <w:tcPr>
            <w:tcW w:type="dxa" w:w="1754"/>
          </w:tcPr>
          <w:p>
            <w:pPr>
              <w:pStyle w:val="Compact"/>
              <w:spacing w:before="20" w:after="20" w:line="240" w:lineRule="auto"/>
              <w:jc w:val="left"/>
            </w:pPr>
            <w:r>
              <w:rPr>
                <w:rFonts w:ascii="Liberation Sans Narrow" w:hAnsi="Liberation Sans Narrow"/>
                <w:b w:val="0"/>
                <w:sz w:val="17"/>
              </w:rPr>
              <w:t xml:space="preserve">Art. 785</w:t>
            </w:r>
          </w:p>
        </w:tc>
        <w:tc>
          <w:tcPr>
            <w:tcW w:type="dxa" w:w="797"/>
          </w:tcPr>
          <w:p>
            <w:pPr>
              <w:pStyle w:val="Compact"/>
              <w:spacing w:before="20" w:after="20" w:line="240" w:lineRule="auto"/>
              <w:jc w:val="right"/>
            </w:pPr>
            <w:r>
              <w:rPr>
                <w:rFonts w:ascii="Liberation Sans Narrow" w:hAnsi="Liberation Sans Narrow"/>
                <w:b/>
                <w:sz w:val="17"/>
              </w:rPr>
              <w:t xml:space="preserve">136</w:t>
            </w:r>
          </w:p>
        </w:tc>
        <w:tc>
          <w:tcPr>
            <w:tcW w:type="dxa" w:w="1754"/>
          </w:tcPr>
          <w:p>
            <w:pPr>
              <w:pStyle w:val="Compact"/>
              <w:spacing w:before="20" w:after="20" w:line="240" w:lineRule="auto"/>
              <w:jc w:val="left"/>
            </w:pPr>
            <w:r>
              <w:rPr>
                <w:rFonts w:ascii="Liberation Sans Narrow" w:hAnsi="Liberation Sans Narrow"/>
                <w:b w:val="0"/>
                <w:sz w:val="17"/>
              </w:rPr>
              <w:t xml:space="preserve">Art. 974</w:t>
            </w:r>
          </w:p>
        </w:tc>
        <w:tc>
          <w:tcPr>
            <w:tcW w:type="dxa" w:w="797"/>
          </w:tcPr>
          <w:p>
            <w:pPr>
              <w:pStyle w:val="Compact"/>
              <w:spacing w:before="20" w:after="20" w:line="240" w:lineRule="auto"/>
              <w:jc w:val="right"/>
            </w:pPr>
            <w:r>
              <w:rPr>
                <w:rFonts w:ascii="Liberation Sans Narrow" w:hAnsi="Liberation Sans Narrow"/>
                <w:b/>
                <w:sz w:val="17"/>
              </w:rPr>
              <w:t xml:space="preserve">176</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408</w:t>
            </w:r>
          </w:p>
        </w:tc>
        <w:tc>
          <w:tcPr>
            <w:tcW w:type="dxa" w:w="797"/>
          </w:tcPr>
          <w:p>
            <w:pPr>
              <w:pStyle w:val="Compact"/>
              <w:spacing w:before="20" w:after="20" w:line="240" w:lineRule="auto"/>
              <w:jc w:val="right"/>
            </w:pPr>
            <w:r>
              <w:rPr>
                <w:rFonts w:ascii="Liberation Sans Narrow" w:hAnsi="Liberation Sans Narrow"/>
                <w:b/>
                <w:sz w:val="17"/>
              </w:rPr>
              <w:t xml:space="preserve">49</w:t>
            </w:r>
          </w:p>
        </w:tc>
        <w:tc>
          <w:tcPr>
            <w:tcW w:type="dxa" w:w="1754"/>
          </w:tcPr>
          <w:p>
            <w:pPr>
              <w:pStyle w:val="Compact"/>
              <w:spacing w:before="20" w:after="20" w:line="240" w:lineRule="auto"/>
              <w:jc w:val="left"/>
            </w:pPr>
            <w:r>
              <w:rPr>
                <w:rFonts w:ascii="Liberation Sans Narrow" w:hAnsi="Liberation Sans Narrow"/>
                <w:b w:val="0"/>
                <w:sz w:val="17"/>
              </w:rPr>
              <w:t xml:space="preserve">Art. 597</w:t>
            </w:r>
          </w:p>
        </w:tc>
        <w:tc>
          <w:tcPr>
            <w:tcW w:type="dxa" w:w="797"/>
          </w:tcPr>
          <w:p>
            <w:pPr>
              <w:pStyle w:val="Compact"/>
              <w:spacing w:before="20" w:after="20" w:line="240" w:lineRule="auto"/>
              <w:jc w:val="right"/>
            </w:pPr>
            <w:r>
              <w:rPr>
                <w:rFonts w:ascii="Liberation Sans Narrow" w:hAnsi="Liberation Sans Narrow"/>
                <w:b/>
                <w:sz w:val="17"/>
              </w:rPr>
              <w:t xml:space="preserve">97</w:t>
            </w:r>
          </w:p>
        </w:tc>
        <w:tc>
          <w:tcPr>
            <w:tcW w:type="dxa" w:w="1754"/>
          </w:tcPr>
          <w:p>
            <w:pPr>
              <w:pStyle w:val="Compact"/>
              <w:spacing w:before="20" w:after="20" w:line="240" w:lineRule="auto"/>
              <w:jc w:val="left"/>
            </w:pPr>
            <w:r>
              <w:rPr>
                <w:rFonts w:ascii="Liberation Sans Narrow" w:hAnsi="Liberation Sans Narrow"/>
                <w:b w:val="0"/>
                <w:sz w:val="17"/>
              </w:rPr>
              <w:t xml:space="preserve">Art. 786</w:t>
            </w:r>
          </w:p>
        </w:tc>
        <w:tc>
          <w:tcPr>
            <w:tcW w:type="dxa" w:w="797"/>
          </w:tcPr>
          <w:p>
            <w:pPr>
              <w:pStyle w:val="Compact"/>
              <w:spacing w:before="20" w:after="20" w:line="240" w:lineRule="auto"/>
              <w:jc w:val="right"/>
            </w:pPr>
            <w:r>
              <w:rPr>
                <w:rFonts w:ascii="Liberation Sans Narrow" w:hAnsi="Liberation Sans Narrow"/>
                <w:b/>
                <w:sz w:val="17"/>
              </w:rPr>
              <w:t xml:space="preserve">136</w:t>
            </w:r>
          </w:p>
        </w:tc>
        <w:tc>
          <w:tcPr>
            <w:tcW w:type="dxa" w:w="1754"/>
          </w:tcPr>
          <w:p>
            <w:pPr>
              <w:pStyle w:val="Compact"/>
              <w:spacing w:before="20" w:after="20" w:line="240" w:lineRule="auto"/>
              <w:jc w:val="left"/>
            </w:pPr>
            <w:r>
              <w:rPr>
                <w:rFonts w:ascii="Liberation Sans Narrow" w:hAnsi="Liberation Sans Narrow"/>
                <w:b w:val="0"/>
                <w:sz w:val="17"/>
              </w:rPr>
              <w:t xml:space="preserve">Art. 975</w:t>
            </w:r>
          </w:p>
        </w:tc>
        <w:tc>
          <w:tcPr>
            <w:tcW w:type="dxa" w:w="797"/>
          </w:tcPr>
          <w:p>
            <w:pPr>
              <w:pStyle w:val="Compact"/>
              <w:spacing w:before="20" w:after="20" w:line="240" w:lineRule="auto"/>
              <w:jc w:val="right"/>
            </w:pPr>
            <w:r>
              <w:rPr>
                <w:rFonts w:ascii="Liberation Sans Narrow" w:hAnsi="Liberation Sans Narrow"/>
                <w:b/>
                <w:sz w:val="17"/>
              </w:rPr>
              <w:t xml:space="preserve">176</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409</w:t>
            </w:r>
          </w:p>
        </w:tc>
        <w:tc>
          <w:tcPr>
            <w:tcW w:type="dxa" w:w="797"/>
          </w:tcPr>
          <w:p>
            <w:pPr>
              <w:pStyle w:val="Compact"/>
              <w:spacing w:before="20" w:after="20" w:line="240" w:lineRule="auto"/>
              <w:jc w:val="right"/>
            </w:pPr>
            <w:r>
              <w:rPr>
                <w:rFonts w:ascii="Liberation Sans Narrow" w:hAnsi="Liberation Sans Narrow"/>
                <w:b/>
                <w:sz w:val="17"/>
              </w:rPr>
              <w:t xml:space="preserve">50</w:t>
            </w:r>
          </w:p>
        </w:tc>
        <w:tc>
          <w:tcPr>
            <w:tcW w:type="dxa" w:w="1754"/>
          </w:tcPr>
          <w:p>
            <w:pPr>
              <w:pStyle w:val="Compact"/>
              <w:spacing w:before="20" w:after="20" w:line="240" w:lineRule="auto"/>
              <w:jc w:val="left"/>
            </w:pPr>
            <w:r>
              <w:rPr>
                <w:rFonts w:ascii="Liberation Sans Narrow" w:hAnsi="Liberation Sans Narrow"/>
                <w:b w:val="0"/>
                <w:sz w:val="17"/>
              </w:rPr>
              <w:t xml:space="preserve">Art. 598</w:t>
            </w:r>
          </w:p>
        </w:tc>
        <w:tc>
          <w:tcPr>
            <w:tcW w:type="dxa" w:w="797"/>
          </w:tcPr>
          <w:p>
            <w:pPr>
              <w:pStyle w:val="Compact"/>
              <w:spacing w:before="20" w:after="20" w:line="240" w:lineRule="auto"/>
              <w:jc w:val="right"/>
            </w:pPr>
            <w:r>
              <w:rPr>
                <w:rFonts w:ascii="Liberation Sans Narrow" w:hAnsi="Liberation Sans Narrow"/>
                <w:b/>
                <w:sz w:val="17"/>
              </w:rPr>
              <w:t xml:space="preserve">97</w:t>
            </w:r>
          </w:p>
        </w:tc>
        <w:tc>
          <w:tcPr>
            <w:tcW w:type="dxa" w:w="1754"/>
          </w:tcPr>
          <w:p>
            <w:pPr>
              <w:pStyle w:val="Compact"/>
              <w:spacing w:before="20" w:after="20" w:line="240" w:lineRule="auto"/>
              <w:jc w:val="left"/>
            </w:pPr>
            <w:r>
              <w:rPr>
                <w:rFonts w:ascii="Liberation Sans Narrow" w:hAnsi="Liberation Sans Narrow"/>
                <w:b w:val="0"/>
                <w:sz w:val="17"/>
              </w:rPr>
              <w:t xml:space="preserve">Art. 787</w:t>
            </w:r>
          </w:p>
        </w:tc>
        <w:tc>
          <w:tcPr>
            <w:tcW w:type="dxa" w:w="797"/>
          </w:tcPr>
          <w:p>
            <w:pPr>
              <w:pStyle w:val="Compact"/>
              <w:spacing w:before="20" w:after="20" w:line="240" w:lineRule="auto"/>
              <w:jc w:val="right"/>
            </w:pPr>
            <w:r>
              <w:rPr>
                <w:rFonts w:ascii="Liberation Sans Narrow" w:hAnsi="Liberation Sans Narrow"/>
                <w:b/>
                <w:sz w:val="17"/>
              </w:rPr>
              <w:t xml:space="preserve">136</w:t>
            </w:r>
          </w:p>
        </w:tc>
        <w:tc>
          <w:tcPr>
            <w:tcW w:type="dxa" w:w="1754"/>
          </w:tcPr>
          <w:p>
            <w:pPr>
              <w:pStyle w:val="Compact"/>
              <w:spacing w:before="20" w:after="20" w:line="240" w:lineRule="auto"/>
              <w:jc w:val="left"/>
            </w:pPr>
            <w:r>
              <w:rPr>
                <w:rFonts w:ascii="Liberation Sans Narrow" w:hAnsi="Liberation Sans Narrow"/>
                <w:b w:val="0"/>
                <w:sz w:val="17"/>
              </w:rPr>
              <w:t xml:space="preserve">Art. 976</w:t>
            </w:r>
          </w:p>
        </w:tc>
        <w:tc>
          <w:tcPr>
            <w:tcW w:type="dxa" w:w="797"/>
          </w:tcPr>
          <w:p>
            <w:pPr>
              <w:pStyle w:val="Compact"/>
              <w:spacing w:before="20" w:after="20" w:line="240" w:lineRule="auto"/>
              <w:jc w:val="right"/>
            </w:pPr>
            <w:r>
              <w:rPr>
                <w:rFonts w:ascii="Liberation Sans Narrow" w:hAnsi="Liberation Sans Narrow"/>
                <w:b/>
                <w:sz w:val="17"/>
              </w:rPr>
              <w:t xml:space="preserve">176</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410</w:t>
            </w:r>
          </w:p>
        </w:tc>
        <w:tc>
          <w:tcPr>
            <w:tcW w:type="dxa" w:w="797"/>
          </w:tcPr>
          <w:p>
            <w:pPr>
              <w:pStyle w:val="Compact"/>
              <w:spacing w:before="20" w:after="20" w:line="240" w:lineRule="auto"/>
              <w:jc w:val="right"/>
            </w:pPr>
            <w:r>
              <w:rPr>
                <w:rFonts w:ascii="Liberation Sans Narrow" w:hAnsi="Liberation Sans Narrow"/>
                <w:b/>
                <w:sz w:val="17"/>
              </w:rPr>
              <w:t xml:space="preserve">50</w:t>
            </w:r>
          </w:p>
        </w:tc>
        <w:tc>
          <w:tcPr>
            <w:tcW w:type="dxa" w:w="1754"/>
          </w:tcPr>
          <w:p>
            <w:pPr>
              <w:pStyle w:val="Compact"/>
              <w:spacing w:before="20" w:after="20" w:line="240" w:lineRule="auto"/>
              <w:jc w:val="left"/>
            </w:pPr>
            <w:r>
              <w:rPr>
                <w:rFonts w:ascii="Liberation Sans Narrow" w:hAnsi="Liberation Sans Narrow"/>
                <w:b w:val="0"/>
                <w:sz w:val="17"/>
              </w:rPr>
              <w:t xml:space="preserve">Art. 599</w:t>
            </w:r>
          </w:p>
        </w:tc>
        <w:tc>
          <w:tcPr>
            <w:tcW w:type="dxa" w:w="797"/>
          </w:tcPr>
          <w:p>
            <w:pPr>
              <w:pStyle w:val="Compact"/>
              <w:spacing w:before="20" w:after="20" w:line="240" w:lineRule="auto"/>
              <w:jc w:val="right"/>
            </w:pPr>
            <w:r>
              <w:rPr>
                <w:rFonts w:ascii="Liberation Sans Narrow" w:hAnsi="Liberation Sans Narrow"/>
                <w:b/>
                <w:sz w:val="17"/>
              </w:rPr>
              <w:t xml:space="preserve">98</w:t>
            </w:r>
          </w:p>
        </w:tc>
        <w:tc>
          <w:tcPr>
            <w:tcW w:type="dxa" w:w="1754"/>
          </w:tcPr>
          <w:p>
            <w:pPr>
              <w:pStyle w:val="Compact"/>
              <w:spacing w:before="20" w:after="20" w:line="240" w:lineRule="auto"/>
              <w:jc w:val="left"/>
            </w:pPr>
            <w:r>
              <w:rPr>
                <w:rFonts w:ascii="Liberation Sans Narrow" w:hAnsi="Liberation Sans Narrow"/>
                <w:b w:val="0"/>
                <w:sz w:val="17"/>
              </w:rPr>
              <w:t xml:space="preserve">Art. 788</w:t>
            </w:r>
          </w:p>
        </w:tc>
        <w:tc>
          <w:tcPr>
            <w:tcW w:type="dxa" w:w="797"/>
          </w:tcPr>
          <w:p>
            <w:pPr>
              <w:pStyle w:val="Compact"/>
              <w:spacing w:before="20" w:after="20" w:line="240" w:lineRule="auto"/>
              <w:jc w:val="right"/>
            </w:pPr>
            <w:r>
              <w:rPr>
                <w:rFonts w:ascii="Liberation Sans Narrow" w:hAnsi="Liberation Sans Narrow"/>
                <w:b/>
                <w:sz w:val="17"/>
              </w:rPr>
              <w:t xml:space="preserve">136</w:t>
            </w:r>
          </w:p>
        </w:tc>
        <w:tc>
          <w:tcPr>
            <w:tcW w:type="dxa" w:w="1754"/>
          </w:tcPr>
          <w:p>
            <w:pPr>
              <w:pStyle w:val="Compact"/>
              <w:spacing w:before="20" w:after="20" w:line="240" w:lineRule="auto"/>
              <w:jc w:val="left"/>
            </w:pPr>
            <w:r>
              <w:rPr>
                <w:rFonts w:ascii="Liberation Sans Narrow" w:hAnsi="Liberation Sans Narrow"/>
                <w:b w:val="0"/>
                <w:sz w:val="17"/>
              </w:rPr>
              <w:t xml:space="preserve">Art. 977</w:t>
            </w:r>
          </w:p>
        </w:tc>
        <w:tc>
          <w:tcPr>
            <w:tcW w:type="dxa" w:w="797"/>
          </w:tcPr>
          <w:p>
            <w:pPr>
              <w:pStyle w:val="Compact"/>
              <w:spacing w:before="20" w:after="20" w:line="240" w:lineRule="auto"/>
              <w:jc w:val="right"/>
            </w:pPr>
            <w:r>
              <w:rPr>
                <w:rFonts w:ascii="Liberation Sans Narrow" w:hAnsi="Liberation Sans Narrow"/>
                <w:b/>
                <w:sz w:val="17"/>
              </w:rPr>
              <w:t xml:space="preserve">176</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411</w:t>
            </w:r>
          </w:p>
        </w:tc>
        <w:tc>
          <w:tcPr>
            <w:tcW w:type="dxa" w:w="797"/>
          </w:tcPr>
          <w:p>
            <w:pPr>
              <w:pStyle w:val="Compact"/>
              <w:spacing w:before="20" w:after="20" w:line="240" w:lineRule="auto"/>
              <w:jc w:val="right"/>
            </w:pPr>
            <w:r>
              <w:rPr>
                <w:rFonts w:ascii="Liberation Sans Narrow" w:hAnsi="Liberation Sans Narrow"/>
                <w:b/>
                <w:sz w:val="17"/>
              </w:rPr>
              <w:t xml:space="preserve">50</w:t>
            </w:r>
          </w:p>
        </w:tc>
        <w:tc>
          <w:tcPr>
            <w:tcW w:type="dxa" w:w="1754"/>
          </w:tcPr>
          <w:p>
            <w:pPr>
              <w:pStyle w:val="Compact"/>
              <w:spacing w:before="20" w:after="20" w:line="240" w:lineRule="auto"/>
              <w:jc w:val="left"/>
            </w:pPr>
            <w:r>
              <w:rPr>
                <w:rFonts w:ascii="Liberation Sans Narrow" w:hAnsi="Liberation Sans Narrow"/>
                <w:b w:val="0"/>
                <w:sz w:val="17"/>
              </w:rPr>
              <w:t xml:space="preserve">Art. 600</w:t>
            </w:r>
          </w:p>
        </w:tc>
        <w:tc>
          <w:tcPr>
            <w:tcW w:type="dxa" w:w="797"/>
          </w:tcPr>
          <w:p>
            <w:pPr>
              <w:pStyle w:val="Compact"/>
              <w:spacing w:before="20" w:after="20" w:line="240" w:lineRule="auto"/>
              <w:jc w:val="right"/>
            </w:pPr>
            <w:r>
              <w:rPr>
                <w:rFonts w:ascii="Liberation Sans Narrow" w:hAnsi="Liberation Sans Narrow"/>
                <w:b/>
                <w:sz w:val="17"/>
              </w:rPr>
              <w:t xml:space="preserve">98</w:t>
            </w:r>
          </w:p>
        </w:tc>
        <w:tc>
          <w:tcPr>
            <w:tcW w:type="dxa" w:w="1754"/>
          </w:tcPr>
          <w:p>
            <w:pPr>
              <w:pStyle w:val="Compact"/>
              <w:spacing w:before="20" w:after="20" w:line="240" w:lineRule="auto"/>
              <w:jc w:val="left"/>
            </w:pPr>
            <w:r>
              <w:rPr>
                <w:rFonts w:ascii="Liberation Sans Narrow" w:hAnsi="Liberation Sans Narrow"/>
                <w:b w:val="0"/>
                <w:sz w:val="17"/>
              </w:rPr>
              <w:t xml:space="preserve">Art. 789</w:t>
            </w:r>
          </w:p>
        </w:tc>
        <w:tc>
          <w:tcPr>
            <w:tcW w:type="dxa" w:w="797"/>
          </w:tcPr>
          <w:p>
            <w:pPr>
              <w:pStyle w:val="Compact"/>
              <w:spacing w:before="20" w:after="20" w:line="240" w:lineRule="auto"/>
              <w:jc w:val="right"/>
            </w:pPr>
            <w:r>
              <w:rPr>
                <w:rFonts w:ascii="Liberation Sans Narrow" w:hAnsi="Liberation Sans Narrow"/>
                <w:b/>
                <w:sz w:val="17"/>
              </w:rPr>
              <w:t xml:space="preserve">136</w:t>
            </w:r>
          </w:p>
        </w:tc>
        <w:tc>
          <w:tcPr>
            <w:tcW w:type="dxa" w:w="1754"/>
          </w:tcPr>
          <w:p>
            <w:pPr>
              <w:pStyle w:val="Compact"/>
              <w:spacing w:before="20" w:after="20" w:line="240" w:lineRule="auto"/>
              <w:jc w:val="left"/>
            </w:pPr>
            <w:r>
              <w:rPr>
                <w:rFonts w:ascii="Liberation Sans Narrow" w:hAnsi="Liberation Sans Narrow"/>
                <w:b w:val="0"/>
                <w:sz w:val="17"/>
              </w:rPr>
              <w:t xml:space="preserve">Art. 978</w:t>
            </w:r>
          </w:p>
        </w:tc>
        <w:tc>
          <w:tcPr>
            <w:tcW w:type="dxa" w:w="797"/>
          </w:tcPr>
          <w:p>
            <w:pPr>
              <w:pStyle w:val="Compact"/>
              <w:spacing w:before="20" w:after="20" w:line="240" w:lineRule="auto"/>
              <w:jc w:val="right"/>
            </w:pPr>
            <w:r>
              <w:rPr>
                <w:rFonts w:ascii="Liberation Sans Narrow" w:hAnsi="Liberation Sans Narrow"/>
                <w:b/>
                <w:sz w:val="17"/>
              </w:rPr>
              <w:t xml:space="preserve">177</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412</w:t>
            </w:r>
          </w:p>
        </w:tc>
        <w:tc>
          <w:tcPr>
            <w:tcW w:type="dxa" w:w="797"/>
          </w:tcPr>
          <w:p>
            <w:pPr>
              <w:pStyle w:val="Compact"/>
              <w:spacing w:before="20" w:after="20" w:line="240" w:lineRule="auto"/>
              <w:jc w:val="right"/>
            </w:pPr>
            <w:r>
              <w:rPr>
                <w:rFonts w:ascii="Liberation Sans Narrow" w:hAnsi="Liberation Sans Narrow"/>
                <w:b/>
                <w:sz w:val="17"/>
              </w:rPr>
              <w:t xml:space="preserve">50</w:t>
            </w:r>
          </w:p>
        </w:tc>
        <w:tc>
          <w:tcPr>
            <w:tcW w:type="dxa" w:w="1754"/>
          </w:tcPr>
          <w:p>
            <w:pPr>
              <w:pStyle w:val="Compact"/>
              <w:spacing w:before="20" w:after="20" w:line="240" w:lineRule="auto"/>
              <w:jc w:val="left"/>
            </w:pPr>
            <w:r>
              <w:rPr>
                <w:rFonts w:ascii="Liberation Sans Narrow" w:hAnsi="Liberation Sans Narrow"/>
                <w:b w:val="0"/>
                <w:sz w:val="17"/>
              </w:rPr>
              <w:t xml:space="preserve">Art. 601</w:t>
            </w:r>
          </w:p>
        </w:tc>
        <w:tc>
          <w:tcPr>
            <w:tcW w:type="dxa" w:w="797"/>
          </w:tcPr>
          <w:p>
            <w:pPr>
              <w:pStyle w:val="Compact"/>
              <w:spacing w:before="20" w:after="20" w:line="240" w:lineRule="auto"/>
              <w:jc w:val="right"/>
            </w:pPr>
            <w:r>
              <w:rPr>
                <w:rFonts w:ascii="Liberation Sans Narrow" w:hAnsi="Liberation Sans Narrow"/>
                <w:b/>
                <w:sz w:val="17"/>
              </w:rPr>
              <w:t xml:space="preserve">98</w:t>
            </w:r>
          </w:p>
        </w:tc>
        <w:tc>
          <w:tcPr>
            <w:tcW w:type="dxa" w:w="1754"/>
          </w:tcPr>
          <w:p>
            <w:pPr>
              <w:pStyle w:val="Compact"/>
              <w:spacing w:before="20" w:after="20" w:line="240" w:lineRule="auto"/>
              <w:jc w:val="left"/>
            </w:pPr>
            <w:r>
              <w:rPr>
                <w:rFonts w:ascii="Liberation Sans Narrow" w:hAnsi="Liberation Sans Narrow"/>
                <w:b w:val="0"/>
                <w:sz w:val="17"/>
              </w:rPr>
              <w:t xml:space="preserve">Art. 790</w:t>
            </w:r>
          </w:p>
        </w:tc>
        <w:tc>
          <w:tcPr>
            <w:tcW w:type="dxa" w:w="797"/>
          </w:tcPr>
          <w:p>
            <w:pPr>
              <w:pStyle w:val="Compact"/>
              <w:spacing w:before="20" w:after="20" w:line="240" w:lineRule="auto"/>
              <w:jc w:val="right"/>
            </w:pPr>
            <w:r>
              <w:rPr>
                <w:rFonts w:ascii="Liberation Sans Narrow" w:hAnsi="Liberation Sans Narrow"/>
                <w:b/>
                <w:sz w:val="17"/>
              </w:rPr>
              <w:t xml:space="preserve">136</w:t>
            </w:r>
          </w:p>
        </w:tc>
        <w:tc>
          <w:tcPr>
            <w:tcW w:type="dxa" w:w="1754"/>
          </w:tcPr>
          <w:p>
            <w:pPr>
              <w:pStyle w:val="Compact"/>
              <w:spacing w:before="20" w:after="20" w:line="240" w:lineRule="auto"/>
              <w:jc w:val="left"/>
            </w:pPr>
            <w:r>
              <w:rPr>
                <w:rFonts w:ascii="Liberation Sans Narrow" w:hAnsi="Liberation Sans Narrow"/>
                <w:b w:val="0"/>
                <w:sz w:val="17"/>
              </w:rPr>
              <w:t xml:space="preserve">Art. 979</w:t>
            </w:r>
          </w:p>
        </w:tc>
        <w:tc>
          <w:tcPr>
            <w:tcW w:type="dxa" w:w="797"/>
          </w:tcPr>
          <w:p>
            <w:pPr>
              <w:pStyle w:val="Compact"/>
              <w:spacing w:before="20" w:after="20" w:line="240" w:lineRule="auto"/>
              <w:jc w:val="right"/>
            </w:pPr>
            <w:r>
              <w:rPr>
                <w:rFonts w:ascii="Liberation Sans Narrow" w:hAnsi="Liberation Sans Narrow"/>
                <w:b/>
                <w:sz w:val="17"/>
              </w:rPr>
              <w:t xml:space="preserve">177</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413</w:t>
            </w:r>
          </w:p>
        </w:tc>
        <w:tc>
          <w:tcPr>
            <w:tcW w:type="dxa" w:w="797"/>
          </w:tcPr>
          <w:p>
            <w:pPr>
              <w:pStyle w:val="Compact"/>
              <w:spacing w:before="20" w:after="20" w:line="240" w:lineRule="auto"/>
              <w:jc w:val="right"/>
            </w:pPr>
            <w:r>
              <w:rPr>
                <w:rFonts w:ascii="Liberation Sans Narrow" w:hAnsi="Liberation Sans Narrow"/>
                <w:b/>
                <w:sz w:val="17"/>
              </w:rPr>
              <w:t xml:space="preserve">51</w:t>
            </w:r>
          </w:p>
        </w:tc>
        <w:tc>
          <w:tcPr>
            <w:tcW w:type="dxa" w:w="1754"/>
          </w:tcPr>
          <w:p>
            <w:pPr>
              <w:pStyle w:val="Compact"/>
              <w:spacing w:before="20" w:after="20" w:line="240" w:lineRule="auto"/>
              <w:jc w:val="left"/>
            </w:pPr>
            <w:r>
              <w:rPr>
                <w:rFonts w:ascii="Liberation Sans Narrow" w:hAnsi="Liberation Sans Narrow"/>
                <w:b w:val="0"/>
                <w:sz w:val="17"/>
              </w:rPr>
              <w:t xml:space="preserve">Art. 602</w:t>
            </w:r>
          </w:p>
        </w:tc>
        <w:tc>
          <w:tcPr>
            <w:tcW w:type="dxa" w:w="797"/>
          </w:tcPr>
          <w:p>
            <w:pPr>
              <w:pStyle w:val="Compact"/>
              <w:spacing w:before="20" w:after="20" w:line="240" w:lineRule="auto"/>
              <w:jc w:val="right"/>
            </w:pPr>
            <w:r>
              <w:rPr>
                <w:rFonts w:ascii="Liberation Sans Narrow" w:hAnsi="Liberation Sans Narrow"/>
                <w:b/>
                <w:sz w:val="17"/>
              </w:rPr>
              <w:t xml:space="preserve">98</w:t>
            </w:r>
          </w:p>
        </w:tc>
        <w:tc>
          <w:tcPr>
            <w:tcW w:type="dxa" w:w="1754"/>
          </w:tcPr>
          <w:p>
            <w:pPr>
              <w:pStyle w:val="Compact"/>
              <w:spacing w:before="20" w:after="20" w:line="240" w:lineRule="auto"/>
              <w:jc w:val="left"/>
            </w:pPr>
            <w:r>
              <w:rPr>
                <w:rFonts w:ascii="Liberation Sans Narrow" w:hAnsi="Liberation Sans Narrow"/>
                <w:b w:val="0"/>
                <w:sz w:val="17"/>
              </w:rPr>
              <w:t xml:space="preserve">Art. 791</w:t>
            </w:r>
          </w:p>
        </w:tc>
        <w:tc>
          <w:tcPr>
            <w:tcW w:type="dxa" w:w="797"/>
          </w:tcPr>
          <w:p>
            <w:pPr>
              <w:pStyle w:val="Compact"/>
              <w:spacing w:before="20" w:after="20" w:line="240" w:lineRule="auto"/>
              <w:jc w:val="right"/>
            </w:pPr>
            <w:r>
              <w:rPr>
                <w:rFonts w:ascii="Liberation Sans Narrow" w:hAnsi="Liberation Sans Narrow"/>
                <w:b/>
                <w:sz w:val="17"/>
              </w:rPr>
              <w:t xml:space="preserve">137</w:t>
            </w:r>
          </w:p>
        </w:tc>
        <w:tc>
          <w:tcPr>
            <w:tcW w:type="dxa" w:w="1754"/>
          </w:tcPr>
          <w:p>
            <w:pPr>
              <w:pStyle w:val="Compact"/>
              <w:spacing w:before="20" w:after="20" w:line="240" w:lineRule="auto"/>
              <w:jc w:val="left"/>
            </w:pPr>
            <w:r>
              <w:rPr>
                <w:rFonts w:ascii="Liberation Sans Narrow" w:hAnsi="Liberation Sans Narrow"/>
                <w:b w:val="0"/>
                <w:sz w:val="17"/>
              </w:rPr>
              <w:t xml:space="preserve">Art. 980</w:t>
            </w:r>
          </w:p>
        </w:tc>
        <w:tc>
          <w:tcPr>
            <w:tcW w:type="dxa" w:w="797"/>
          </w:tcPr>
          <w:p>
            <w:pPr>
              <w:pStyle w:val="Compact"/>
              <w:spacing w:before="20" w:after="20" w:line="240" w:lineRule="auto"/>
              <w:jc w:val="right"/>
            </w:pPr>
            <w:r>
              <w:rPr>
                <w:rFonts w:ascii="Liberation Sans Narrow" w:hAnsi="Liberation Sans Narrow"/>
                <w:b/>
                <w:sz w:val="17"/>
              </w:rPr>
              <w:t xml:space="preserve">177</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414</w:t>
            </w:r>
          </w:p>
        </w:tc>
        <w:tc>
          <w:tcPr>
            <w:tcW w:type="dxa" w:w="797"/>
          </w:tcPr>
          <w:p>
            <w:pPr>
              <w:pStyle w:val="Compact"/>
              <w:spacing w:before="20" w:after="20" w:line="240" w:lineRule="auto"/>
              <w:jc w:val="right"/>
            </w:pPr>
            <w:r>
              <w:rPr>
                <w:rFonts w:ascii="Liberation Sans Narrow" w:hAnsi="Liberation Sans Narrow"/>
                <w:b/>
                <w:sz w:val="17"/>
              </w:rPr>
              <w:t xml:space="preserve">51</w:t>
            </w:r>
          </w:p>
        </w:tc>
        <w:tc>
          <w:tcPr>
            <w:tcW w:type="dxa" w:w="1754"/>
          </w:tcPr>
          <w:p>
            <w:pPr>
              <w:pStyle w:val="Compact"/>
              <w:spacing w:before="20" w:after="20" w:line="240" w:lineRule="auto"/>
              <w:jc w:val="left"/>
            </w:pPr>
            <w:r>
              <w:rPr>
                <w:rFonts w:ascii="Liberation Sans Narrow" w:hAnsi="Liberation Sans Narrow"/>
                <w:b w:val="0"/>
                <w:sz w:val="17"/>
              </w:rPr>
              <w:t xml:space="preserve">Art. 603</w:t>
            </w:r>
          </w:p>
        </w:tc>
        <w:tc>
          <w:tcPr>
            <w:tcW w:type="dxa" w:w="797"/>
          </w:tcPr>
          <w:p>
            <w:pPr>
              <w:pStyle w:val="Compact"/>
              <w:spacing w:before="20" w:after="20" w:line="240" w:lineRule="auto"/>
              <w:jc w:val="right"/>
            </w:pPr>
            <w:r>
              <w:rPr>
                <w:rFonts w:ascii="Liberation Sans Narrow" w:hAnsi="Liberation Sans Narrow"/>
                <w:b/>
                <w:sz w:val="17"/>
              </w:rPr>
              <w:t xml:space="preserve">99</w:t>
            </w:r>
          </w:p>
        </w:tc>
        <w:tc>
          <w:tcPr>
            <w:tcW w:type="dxa" w:w="1754"/>
          </w:tcPr>
          <w:p>
            <w:pPr>
              <w:pStyle w:val="Compact"/>
              <w:spacing w:before="20" w:after="20" w:line="240" w:lineRule="auto"/>
              <w:jc w:val="left"/>
            </w:pPr>
            <w:r>
              <w:rPr>
                <w:rFonts w:ascii="Liberation Sans Narrow" w:hAnsi="Liberation Sans Narrow"/>
                <w:b w:val="0"/>
                <w:sz w:val="17"/>
              </w:rPr>
              <w:t xml:space="preserve">Art. 792</w:t>
            </w:r>
          </w:p>
        </w:tc>
        <w:tc>
          <w:tcPr>
            <w:tcW w:type="dxa" w:w="797"/>
          </w:tcPr>
          <w:p>
            <w:pPr>
              <w:pStyle w:val="Compact"/>
              <w:spacing w:before="20" w:after="20" w:line="240" w:lineRule="auto"/>
              <w:jc w:val="right"/>
            </w:pPr>
            <w:r>
              <w:rPr>
                <w:rFonts w:ascii="Liberation Sans Narrow" w:hAnsi="Liberation Sans Narrow"/>
                <w:b/>
                <w:sz w:val="17"/>
              </w:rPr>
              <w:t xml:space="preserve">137</w:t>
            </w:r>
          </w:p>
        </w:tc>
        <w:tc>
          <w:tcPr>
            <w:tcW w:type="dxa" w:w="1754"/>
          </w:tcPr>
          <w:p>
            <w:pPr>
              <w:pStyle w:val="Compact"/>
              <w:spacing w:before="20" w:after="20" w:line="240" w:lineRule="auto"/>
              <w:jc w:val="left"/>
            </w:pPr>
            <w:r>
              <w:rPr>
                <w:rFonts w:ascii="Liberation Sans Narrow" w:hAnsi="Liberation Sans Narrow"/>
                <w:b w:val="0"/>
                <w:sz w:val="17"/>
              </w:rPr>
              <w:t xml:space="preserve">Art. 981</w:t>
            </w:r>
          </w:p>
        </w:tc>
        <w:tc>
          <w:tcPr>
            <w:tcW w:type="dxa" w:w="797"/>
          </w:tcPr>
          <w:p>
            <w:pPr>
              <w:pStyle w:val="Compact"/>
              <w:spacing w:before="20" w:after="20" w:line="240" w:lineRule="auto"/>
              <w:jc w:val="right"/>
            </w:pPr>
            <w:r>
              <w:rPr>
                <w:rFonts w:ascii="Liberation Sans Narrow" w:hAnsi="Liberation Sans Narrow"/>
                <w:b/>
                <w:sz w:val="17"/>
              </w:rPr>
              <w:t xml:space="preserve">177</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415</w:t>
            </w:r>
          </w:p>
        </w:tc>
        <w:tc>
          <w:tcPr>
            <w:tcW w:type="dxa" w:w="797"/>
          </w:tcPr>
          <w:p>
            <w:pPr>
              <w:pStyle w:val="Compact"/>
              <w:spacing w:before="20" w:after="20" w:line="240" w:lineRule="auto"/>
              <w:jc w:val="right"/>
            </w:pPr>
            <w:r>
              <w:rPr>
                <w:rFonts w:ascii="Liberation Sans Narrow" w:hAnsi="Liberation Sans Narrow"/>
                <w:b/>
                <w:sz w:val="17"/>
              </w:rPr>
              <w:t xml:space="preserve">51</w:t>
            </w:r>
          </w:p>
        </w:tc>
        <w:tc>
          <w:tcPr>
            <w:tcW w:type="dxa" w:w="1754"/>
          </w:tcPr>
          <w:p>
            <w:pPr>
              <w:pStyle w:val="Compact"/>
              <w:spacing w:before="20" w:after="20" w:line="240" w:lineRule="auto"/>
              <w:jc w:val="left"/>
            </w:pPr>
            <w:r>
              <w:rPr>
                <w:rFonts w:ascii="Liberation Sans Narrow" w:hAnsi="Liberation Sans Narrow"/>
                <w:b w:val="0"/>
                <w:sz w:val="17"/>
              </w:rPr>
              <w:t xml:space="preserve">Art. 604</w:t>
            </w:r>
          </w:p>
        </w:tc>
        <w:tc>
          <w:tcPr>
            <w:tcW w:type="dxa" w:w="797"/>
          </w:tcPr>
          <w:p>
            <w:pPr>
              <w:pStyle w:val="Compact"/>
              <w:spacing w:before="20" w:after="20" w:line="240" w:lineRule="auto"/>
              <w:jc w:val="right"/>
            </w:pPr>
            <w:r>
              <w:rPr>
                <w:rFonts w:ascii="Liberation Sans Narrow" w:hAnsi="Liberation Sans Narrow"/>
                <w:b/>
                <w:sz w:val="17"/>
              </w:rPr>
              <w:t xml:space="preserve">99</w:t>
            </w:r>
          </w:p>
        </w:tc>
        <w:tc>
          <w:tcPr>
            <w:tcW w:type="dxa" w:w="1754"/>
          </w:tcPr>
          <w:p>
            <w:pPr>
              <w:pStyle w:val="Compact"/>
              <w:spacing w:before="20" w:after="20" w:line="240" w:lineRule="auto"/>
              <w:jc w:val="left"/>
            </w:pPr>
            <w:r>
              <w:rPr>
                <w:rFonts w:ascii="Liberation Sans Narrow" w:hAnsi="Liberation Sans Narrow"/>
                <w:b w:val="0"/>
                <w:sz w:val="17"/>
              </w:rPr>
              <w:t xml:space="preserve">Art. 793</w:t>
            </w:r>
          </w:p>
        </w:tc>
        <w:tc>
          <w:tcPr>
            <w:tcW w:type="dxa" w:w="797"/>
          </w:tcPr>
          <w:p>
            <w:pPr>
              <w:pStyle w:val="Compact"/>
              <w:spacing w:before="20" w:after="20" w:line="240" w:lineRule="auto"/>
              <w:jc w:val="right"/>
            </w:pPr>
            <w:r>
              <w:rPr>
                <w:rFonts w:ascii="Liberation Sans Narrow" w:hAnsi="Liberation Sans Narrow"/>
                <w:b/>
                <w:sz w:val="17"/>
              </w:rPr>
              <w:t xml:space="preserve">137</w:t>
            </w:r>
          </w:p>
        </w:tc>
        <w:tc>
          <w:tcPr>
            <w:tcW w:type="dxa" w:w="1754"/>
          </w:tcPr>
          <w:p>
            <w:pPr>
              <w:pStyle w:val="Compact"/>
              <w:spacing w:before="20" w:after="20" w:line="240" w:lineRule="auto"/>
              <w:jc w:val="left"/>
            </w:pPr>
            <w:r>
              <w:rPr>
                <w:rFonts w:ascii="Liberation Sans Narrow" w:hAnsi="Liberation Sans Narrow"/>
                <w:b w:val="0"/>
                <w:sz w:val="17"/>
              </w:rPr>
              <w:t xml:space="preserve">Art. 982</w:t>
            </w:r>
          </w:p>
        </w:tc>
        <w:tc>
          <w:tcPr>
            <w:tcW w:type="dxa" w:w="797"/>
          </w:tcPr>
          <w:p>
            <w:pPr>
              <w:pStyle w:val="Compact"/>
              <w:spacing w:before="20" w:after="20" w:line="240" w:lineRule="auto"/>
              <w:jc w:val="right"/>
            </w:pPr>
            <w:r>
              <w:rPr>
                <w:rFonts w:ascii="Liberation Sans Narrow" w:hAnsi="Liberation Sans Narrow"/>
                <w:b/>
                <w:sz w:val="17"/>
              </w:rPr>
              <w:t xml:space="preserve">177</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416</w:t>
            </w:r>
          </w:p>
        </w:tc>
        <w:tc>
          <w:tcPr>
            <w:tcW w:type="dxa" w:w="797"/>
          </w:tcPr>
          <w:p>
            <w:pPr>
              <w:pStyle w:val="Compact"/>
              <w:spacing w:before="20" w:after="20" w:line="240" w:lineRule="auto"/>
              <w:jc w:val="right"/>
            </w:pPr>
            <w:r>
              <w:rPr>
                <w:rFonts w:ascii="Liberation Sans Narrow" w:hAnsi="Liberation Sans Narrow"/>
                <w:b/>
                <w:sz w:val="17"/>
              </w:rPr>
              <w:t xml:space="preserve">51</w:t>
            </w:r>
          </w:p>
        </w:tc>
        <w:tc>
          <w:tcPr>
            <w:tcW w:type="dxa" w:w="1754"/>
          </w:tcPr>
          <w:p>
            <w:pPr>
              <w:pStyle w:val="Compact"/>
              <w:spacing w:before="20" w:after="20" w:line="240" w:lineRule="auto"/>
              <w:jc w:val="left"/>
            </w:pPr>
            <w:r>
              <w:rPr>
                <w:rFonts w:ascii="Liberation Sans Narrow" w:hAnsi="Liberation Sans Narrow"/>
                <w:b w:val="0"/>
                <w:sz w:val="17"/>
              </w:rPr>
              <w:t xml:space="preserve">Art. 605</w:t>
            </w:r>
          </w:p>
        </w:tc>
        <w:tc>
          <w:tcPr>
            <w:tcW w:type="dxa" w:w="797"/>
          </w:tcPr>
          <w:p>
            <w:pPr>
              <w:pStyle w:val="Compact"/>
              <w:spacing w:before="20" w:after="20" w:line="240" w:lineRule="auto"/>
              <w:jc w:val="right"/>
            </w:pPr>
            <w:r>
              <w:rPr>
                <w:rFonts w:ascii="Liberation Sans Narrow" w:hAnsi="Liberation Sans Narrow"/>
                <w:b/>
                <w:sz w:val="17"/>
              </w:rPr>
              <w:t xml:space="preserve">99</w:t>
            </w:r>
          </w:p>
        </w:tc>
        <w:tc>
          <w:tcPr>
            <w:tcW w:type="dxa" w:w="1754"/>
          </w:tcPr>
          <w:p>
            <w:pPr>
              <w:pStyle w:val="Compact"/>
              <w:spacing w:before="20" w:after="20" w:line="240" w:lineRule="auto"/>
              <w:jc w:val="left"/>
            </w:pPr>
            <w:r>
              <w:rPr>
                <w:rFonts w:ascii="Liberation Sans Narrow" w:hAnsi="Liberation Sans Narrow"/>
                <w:b w:val="0"/>
                <w:sz w:val="17"/>
              </w:rPr>
              <w:t xml:space="preserve">Art. 794</w:t>
            </w:r>
          </w:p>
        </w:tc>
        <w:tc>
          <w:tcPr>
            <w:tcW w:type="dxa" w:w="797"/>
          </w:tcPr>
          <w:p>
            <w:pPr>
              <w:pStyle w:val="Compact"/>
              <w:spacing w:before="20" w:after="20" w:line="240" w:lineRule="auto"/>
              <w:jc w:val="right"/>
            </w:pPr>
            <w:r>
              <w:rPr>
                <w:rFonts w:ascii="Liberation Sans Narrow" w:hAnsi="Liberation Sans Narrow"/>
                <w:b/>
                <w:sz w:val="17"/>
              </w:rPr>
              <w:t xml:space="preserve">138</w:t>
            </w:r>
          </w:p>
        </w:tc>
        <w:tc>
          <w:tcPr>
            <w:tcW w:type="dxa" w:w="1754"/>
          </w:tcPr>
          <w:p>
            <w:pPr>
              <w:pStyle w:val="Compact"/>
              <w:spacing w:before="20" w:after="20" w:line="240" w:lineRule="auto"/>
              <w:jc w:val="left"/>
            </w:pPr>
            <w:r>
              <w:rPr>
                <w:rFonts w:ascii="Liberation Sans Narrow" w:hAnsi="Liberation Sans Narrow"/>
                <w:b w:val="0"/>
                <w:sz w:val="17"/>
              </w:rPr>
              <w:t xml:space="preserve">Art. 983</w:t>
            </w:r>
          </w:p>
        </w:tc>
        <w:tc>
          <w:tcPr>
            <w:tcW w:type="dxa" w:w="797"/>
          </w:tcPr>
          <w:p>
            <w:pPr>
              <w:pStyle w:val="Compact"/>
              <w:spacing w:before="20" w:after="20" w:line="240" w:lineRule="auto"/>
              <w:jc w:val="right"/>
            </w:pPr>
            <w:r>
              <w:rPr>
                <w:rFonts w:ascii="Liberation Sans Narrow" w:hAnsi="Liberation Sans Narrow"/>
                <w:b/>
                <w:sz w:val="17"/>
              </w:rPr>
              <w:t xml:space="preserve">178</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417</w:t>
            </w:r>
          </w:p>
        </w:tc>
        <w:tc>
          <w:tcPr>
            <w:tcW w:type="dxa" w:w="797"/>
          </w:tcPr>
          <w:p>
            <w:pPr>
              <w:pStyle w:val="Compact"/>
              <w:spacing w:before="20" w:after="20" w:line="240" w:lineRule="auto"/>
              <w:jc w:val="right"/>
            </w:pPr>
            <w:r>
              <w:rPr>
                <w:rFonts w:ascii="Liberation Sans Narrow" w:hAnsi="Liberation Sans Narrow"/>
                <w:b/>
                <w:sz w:val="17"/>
              </w:rPr>
              <w:t xml:space="preserve">51</w:t>
            </w:r>
          </w:p>
        </w:tc>
        <w:tc>
          <w:tcPr>
            <w:tcW w:type="dxa" w:w="1754"/>
          </w:tcPr>
          <w:p>
            <w:pPr>
              <w:pStyle w:val="Compact"/>
              <w:spacing w:before="20" w:after="20" w:line="240" w:lineRule="auto"/>
              <w:jc w:val="left"/>
            </w:pPr>
            <w:r>
              <w:rPr>
                <w:rFonts w:ascii="Liberation Sans Narrow" w:hAnsi="Liberation Sans Narrow"/>
                <w:b w:val="0"/>
                <w:sz w:val="17"/>
              </w:rPr>
              <w:t xml:space="preserve">Art. 606</w:t>
            </w:r>
          </w:p>
        </w:tc>
        <w:tc>
          <w:tcPr>
            <w:tcW w:type="dxa" w:w="797"/>
          </w:tcPr>
          <w:p>
            <w:pPr>
              <w:pStyle w:val="Compact"/>
              <w:spacing w:before="20" w:after="20" w:line="240" w:lineRule="auto"/>
              <w:jc w:val="right"/>
            </w:pPr>
            <w:r>
              <w:rPr>
                <w:rFonts w:ascii="Liberation Sans Narrow" w:hAnsi="Liberation Sans Narrow"/>
                <w:b/>
                <w:sz w:val="17"/>
              </w:rPr>
              <w:t xml:space="preserve">100</w:t>
            </w:r>
          </w:p>
        </w:tc>
        <w:tc>
          <w:tcPr>
            <w:tcW w:type="dxa" w:w="1754"/>
          </w:tcPr>
          <w:p>
            <w:pPr>
              <w:pStyle w:val="Compact"/>
              <w:spacing w:before="20" w:after="20" w:line="240" w:lineRule="auto"/>
              <w:jc w:val="left"/>
            </w:pPr>
            <w:r>
              <w:rPr>
                <w:rFonts w:ascii="Liberation Sans Narrow" w:hAnsi="Liberation Sans Narrow"/>
                <w:b w:val="0"/>
                <w:sz w:val="17"/>
              </w:rPr>
              <w:t xml:space="preserve">Art. 795</w:t>
            </w:r>
          </w:p>
        </w:tc>
        <w:tc>
          <w:tcPr>
            <w:tcW w:type="dxa" w:w="797"/>
          </w:tcPr>
          <w:p>
            <w:pPr>
              <w:pStyle w:val="Compact"/>
              <w:spacing w:before="20" w:after="20" w:line="240" w:lineRule="auto"/>
              <w:jc w:val="right"/>
            </w:pPr>
            <w:r>
              <w:rPr>
                <w:rFonts w:ascii="Liberation Sans Narrow" w:hAnsi="Liberation Sans Narrow"/>
                <w:b/>
                <w:sz w:val="17"/>
              </w:rPr>
              <w:t xml:space="preserve">138</w:t>
            </w:r>
          </w:p>
        </w:tc>
        <w:tc>
          <w:tcPr>
            <w:tcW w:type="dxa" w:w="1754"/>
          </w:tcPr>
          <w:p>
            <w:pPr>
              <w:pStyle w:val="Compact"/>
              <w:spacing w:before="20" w:after="20" w:line="240" w:lineRule="auto"/>
              <w:jc w:val="left"/>
            </w:pPr>
            <w:r>
              <w:rPr>
                <w:rFonts w:ascii="Liberation Sans Narrow" w:hAnsi="Liberation Sans Narrow"/>
                <w:b w:val="0"/>
                <w:sz w:val="17"/>
              </w:rPr>
              <w:t xml:space="preserve">Art. 984</w:t>
            </w:r>
          </w:p>
        </w:tc>
        <w:tc>
          <w:tcPr>
            <w:tcW w:type="dxa" w:w="797"/>
          </w:tcPr>
          <w:p>
            <w:pPr>
              <w:pStyle w:val="Compact"/>
              <w:spacing w:before="20" w:after="20" w:line="240" w:lineRule="auto"/>
              <w:jc w:val="right"/>
            </w:pPr>
            <w:r>
              <w:rPr>
                <w:rFonts w:ascii="Liberation Sans Narrow" w:hAnsi="Liberation Sans Narrow"/>
                <w:b/>
                <w:sz w:val="17"/>
              </w:rPr>
              <w:t xml:space="preserve">178</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418</w:t>
            </w:r>
          </w:p>
        </w:tc>
        <w:tc>
          <w:tcPr>
            <w:tcW w:type="dxa" w:w="797"/>
          </w:tcPr>
          <w:p>
            <w:pPr>
              <w:pStyle w:val="Compact"/>
              <w:spacing w:before="20" w:after="20" w:line="240" w:lineRule="auto"/>
              <w:jc w:val="right"/>
            </w:pPr>
            <w:r>
              <w:rPr>
                <w:rFonts w:ascii="Liberation Sans Narrow" w:hAnsi="Liberation Sans Narrow"/>
                <w:b/>
                <w:sz w:val="17"/>
              </w:rPr>
              <w:t xml:space="preserve">51</w:t>
            </w:r>
          </w:p>
        </w:tc>
        <w:tc>
          <w:tcPr>
            <w:tcW w:type="dxa" w:w="1754"/>
          </w:tcPr>
          <w:p>
            <w:pPr>
              <w:pStyle w:val="Compact"/>
              <w:spacing w:before="20" w:after="20" w:line="240" w:lineRule="auto"/>
              <w:jc w:val="left"/>
            </w:pPr>
            <w:r>
              <w:rPr>
                <w:rFonts w:ascii="Liberation Sans Narrow" w:hAnsi="Liberation Sans Narrow"/>
                <w:b w:val="0"/>
                <w:sz w:val="17"/>
              </w:rPr>
              <w:t xml:space="preserve">Art. 607</w:t>
            </w:r>
          </w:p>
        </w:tc>
        <w:tc>
          <w:tcPr>
            <w:tcW w:type="dxa" w:w="797"/>
          </w:tcPr>
          <w:p>
            <w:pPr>
              <w:pStyle w:val="Compact"/>
              <w:spacing w:before="20" w:after="20" w:line="240" w:lineRule="auto"/>
              <w:jc w:val="right"/>
            </w:pPr>
            <w:r>
              <w:rPr>
                <w:rFonts w:ascii="Liberation Sans Narrow" w:hAnsi="Liberation Sans Narrow"/>
                <w:b/>
                <w:sz w:val="17"/>
              </w:rPr>
              <w:t xml:space="preserve">100</w:t>
            </w:r>
          </w:p>
        </w:tc>
        <w:tc>
          <w:tcPr>
            <w:tcW w:type="dxa" w:w="1754"/>
          </w:tcPr>
          <w:p>
            <w:pPr>
              <w:pStyle w:val="Compact"/>
              <w:spacing w:before="20" w:after="20" w:line="240" w:lineRule="auto"/>
              <w:jc w:val="left"/>
            </w:pPr>
            <w:r>
              <w:rPr>
                <w:rFonts w:ascii="Liberation Sans Narrow" w:hAnsi="Liberation Sans Narrow"/>
                <w:b w:val="0"/>
                <w:sz w:val="17"/>
              </w:rPr>
              <w:t xml:space="preserve">Art. 796</w:t>
            </w:r>
          </w:p>
        </w:tc>
        <w:tc>
          <w:tcPr>
            <w:tcW w:type="dxa" w:w="797"/>
          </w:tcPr>
          <w:p>
            <w:pPr>
              <w:pStyle w:val="Compact"/>
              <w:spacing w:before="20" w:after="20" w:line="240" w:lineRule="auto"/>
              <w:jc w:val="right"/>
            </w:pPr>
            <w:r>
              <w:rPr>
                <w:rFonts w:ascii="Liberation Sans Narrow" w:hAnsi="Liberation Sans Narrow"/>
                <w:b/>
                <w:sz w:val="17"/>
              </w:rPr>
              <w:t xml:space="preserve">138</w:t>
            </w:r>
          </w:p>
        </w:tc>
        <w:tc>
          <w:tcPr>
            <w:tcW w:type="dxa" w:w="1754"/>
          </w:tcPr>
          <w:p>
            <w:pPr>
              <w:pStyle w:val="Compact"/>
              <w:spacing w:before="20" w:after="20" w:line="240" w:lineRule="auto"/>
              <w:jc w:val="left"/>
            </w:pPr>
            <w:r>
              <w:rPr>
                <w:rFonts w:ascii="Liberation Sans Narrow" w:hAnsi="Liberation Sans Narrow"/>
                <w:b w:val="0"/>
                <w:sz w:val="17"/>
              </w:rPr>
              <w:t xml:space="preserve">Art. 985</w:t>
            </w:r>
          </w:p>
        </w:tc>
        <w:tc>
          <w:tcPr>
            <w:tcW w:type="dxa" w:w="797"/>
          </w:tcPr>
          <w:p>
            <w:pPr>
              <w:pStyle w:val="Compact"/>
              <w:spacing w:before="20" w:after="20" w:line="240" w:lineRule="auto"/>
              <w:jc w:val="right"/>
            </w:pPr>
            <w:r>
              <w:rPr>
                <w:rFonts w:ascii="Liberation Sans Narrow" w:hAnsi="Liberation Sans Narrow"/>
                <w:b/>
                <w:sz w:val="17"/>
              </w:rPr>
              <w:t xml:space="preserve">178</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419</w:t>
            </w:r>
          </w:p>
        </w:tc>
        <w:tc>
          <w:tcPr>
            <w:tcW w:type="dxa" w:w="797"/>
          </w:tcPr>
          <w:p>
            <w:pPr>
              <w:pStyle w:val="Compact"/>
              <w:spacing w:before="20" w:after="20" w:line="240" w:lineRule="auto"/>
              <w:jc w:val="right"/>
            </w:pPr>
            <w:r>
              <w:rPr>
                <w:rFonts w:ascii="Liberation Sans Narrow" w:hAnsi="Liberation Sans Narrow"/>
                <w:b/>
                <w:sz w:val="17"/>
              </w:rPr>
              <w:t xml:space="preserve">51</w:t>
            </w:r>
          </w:p>
        </w:tc>
        <w:tc>
          <w:tcPr>
            <w:tcW w:type="dxa" w:w="1754"/>
          </w:tcPr>
          <w:p>
            <w:pPr>
              <w:pStyle w:val="Compact"/>
              <w:spacing w:before="20" w:after="20" w:line="240" w:lineRule="auto"/>
              <w:jc w:val="left"/>
            </w:pPr>
            <w:r>
              <w:rPr>
                <w:rFonts w:ascii="Liberation Sans Narrow" w:hAnsi="Liberation Sans Narrow"/>
                <w:b w:val="0"/>
                <w:sz w:val="17"/>
              </w:rPr>
              <w:t xml:space="preserve">Art. 608</w:t>
            </w:r>
          </w:p>
        </w:tc>
        <w:tc>
          <w:tcPr>
            <w:tcW w:type="dxa" w:w="797"/>
          </w:tcPr>
          <w:p>
            <w:pPr>
              <w:pStyle w:val="Compact"/>
              <w:spacing w:before="20" w:after="20" w:line="240" w:lineRule="auto"/>
              <w:jc w:val="right"/>
            </w:pPr>
            <w:r>
              <w:rPr>
                <w:rFonts w:ascii="Liberation Sans Narrow" w:hAnsi="Liberation Sans Narrow"/>
                <w:b/>
                <w:sz w:val="17"/>
              </w:rPr>
              <w:t xml:space="preserve">100</w:t>
            </w:r>
          </w:p>
        </w:tc>
        <w:tc>
          <w:tcPr>
            <w:tcW w:type="dxa" w:w="1754"/>
          </w:tcPr>
          <w:p>
            <w:pPr>
              <w:pStyle w:val="Compact"/>
              <w:spacing w:before="20" w:after="20" w:line="240" w:lineRule="auto"/>
              <w:jc w:val="left"/>
            </w:pPr>
            <w:r>
              <w:rPr>
                <w:rFonts w:ascii="Liberation Sans Narrow" w:hAnsi="Liberation Sans Narrow"/>
                <w:b w:val="0"/>
                <w:sz w:val="17"/>
              </w:rPr>
              <w:t xml:space="preserve">Art. 797</w:t>
            </w:r>
          </w:p>
        </w:tc>
        <w:tc>
          <w:tcPr>
            <w:tcW w:type="dxa" w:w="797"/>
          </w:tcPr>
          <w:p>
            <w:pPr>
              <w:pStyle w:val="Compact"/>
              <w:spacing w:before="20" w:after="20" w:line="240" w:lineRule="auto"/>
              <w:jc w:val="right"/>
            </w:pPr>
            <w:r>
              <w:rPr>
                <w:rFonts w:ascii="Liberation Sans Narrow" w:hAnsi="Liberation Sans Narrow"/>
                <w:b/>
                <w:sz w:val="17"/>
              </w:rPr>
              <w:t xml:space="preserve">138</w:t>
            </w:r>
          </w:p>
        </w:tc>
        <w:tc>
          <w:tcPr>
            <w:tcW w:type="dxa" w:w="1754"/>
          </w:tcPr>
          <w:p>
            <w:pPr>
              <w:pStyle w:val="Compact"/>
              <w:spacing w:before="20" w:after="20" w:line="240" w:lineRule="auto"/>
              <w:jc w:val="left"/>
            </w:pPr>
            <w:r>
              <w:rPr>
                <w:rFonts w:ascii="Liberation Sans Narrow" w:hAnsi="Liberation Sans Narrow"/>
                <w:b w:val="0"/>
                <w:sz w:val="17"/>
              </w:rPr>
              <w:t xml:space="preserve">Art. 986</w:t>
            </w:r>
          </w:p>
        </w:tc>
        <w:tc>
          <w:tcPr>
            <w:tcW w:type="dxa" w:w="797"/>
          </w:tcPr>
          <w:p>
            <w:pPr>
              <w:pStyle w:val="Compact"/>
              <w:spacing w:before="20" w:after="20" w:line="240" w:lineRule="auto"/>
              <w:jc w:val="right"/>
            </w:pPr>
            <w:r>
              <w:rPr>
                <w:rFonts w:ascii="Liberation Sans Narrow" w:hAnsi="Liberation Sans Narrow"/>
                <w:b/>
                <w:sz w:val="17"/>
              </w:rPr>
              <w:t xml:space="preserve">178</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420</w:t>
            </w:r>
          </w:p>
        </w:tc>
        <w:tc>
          <w:tcPr>
            <w:tcW w:type="dxa" w:w="797"/>
          </w:tcPr>
          <w:p>
            <w:pPr>
              <w:pStyle w:val="Compact"/>
              <w:spacing w:before="20" w:after="20" w:line="240" w:lineRule="auto"/>
              <w:jc w:val="right"/>
            </w:pPr>
            <w:r>
              <w:rPr>
                <w:rFonts w:ascii="Liberation Sans Narrow" w:hAnsi="Liberation Sans Narrow"/>
                <w:b/>
                <w:sz w:val="17"/>
              </w:rPr>
              <w:t xml:space="preserve">51</w:t>
            </w:r>
          </w:p>
        </w:tc>
        <w:tc>
          <w:tcPr>
            <w:tcW w:type="dxa" w:w="1754"/>
          </w:tcPr>
          <w:p>
            <w:pPr>
              <w:pStyle w:val="Compact"/>
              <w:spacing w:before="20" w:after="20" w:line="240" w:lineRule="auto"/>
              <w:jc w:val="left"/>
            </w:pPr>
            <w:r>
              <w:rPr>
                <w:rFonts w:ascii="Liberation Sans Narrow" w:hAnsi="Liberation Sans Narrow"/>
                <w:b w:val="0"/>
                <w:sz w:val="17"/>
              </w:rPr>
              <w:t xml:space="preserve">Art. 609</w:t>
            </w:r>
          </w:p>
        </w:tc>
        <w:tc>
          <w:tcPr>
            <w:tcW w:type="dxa" w:w="797"/>
          </w:tcPr>
          <w:p>
            <w:pPr>
              <w:pStyle w:val="Compact"/>
              <w:spacing w:before="20" w:after="20" w:line="240" w:lineRule="auto"/>
              <w:jc w:val="right"/>
            </w:pPr>
            <w:r>
              <w:rPr>
                <w:rFonts w:ascii="Liberation Sans Narrow" w:hAnsi="Liberation Sans Narrow"/>
                <w:b/>
                <w:sz w:val="17"/>
              </w:rPr>
              <w:t xml:space="preserve">101</w:t>
            </w:r>
          </w:p>
        </w:tc>
        <w:tc>
          <w:tcPr>
            <w:tcW w:type="dxa" w:w="1754"/>
          </w:tcPr>
          <w:p>
            <w:pPr>
              <w:pStyle w:val="Compact"/>
              <w:spacing w:before="20" w:after="20" w:line="240" w:lineRule="auto"/>
              <w:jc w:val="left"/>
            </w:pPr>
            <w:r>
              <w:rPr>
                <w:rFonts w:ascii="Liberation Sans Narrow" w:hAnsi="Liberation Sans Narrow"/>
                <w:b w:val="0"/>
                <w:sz w:val="17"/>
              </w:rPr>
              <w:t xml:space="preserve">Art. 798</w:t>
            </w:r>
          </w:p>
        </w:tc>
        <w:tc>
          <w:tcPr>
            <w:tcW w:type="dxa" w:w="797"/>
          </w:tcPr>
          <w:p>
            <w:pPr>
              <w:pStyle w:val="Compact"/>
              <w:spacing w:before="20" w:after="20" w:line="240" w:lineRule="auto"/>
              <w:jc w:val="right"/>
            </w:pPr>
            <w:r>
              <w:rPr>
                <w:rFonts w:ascii="Liberation Sans Narrow" w:hAnsi="Liberation Sans Narrow"/>
                <w:b/>
                <w:sz w:val="17"/>
              </w:rPr>
              <w:t xml:space="preserve">138</w:t>
            </w:r>
          </w:p>
        </w:tc>
        <w:tc>
          <w:tcPr>
            <w:tcW w:type="dxa" w:w="1754"/>
          </w:tcPr>
          <w:p>
            <w:pPr>
              <w:pStyle w:val="Compact"/>
              <w:spacing w:before="20" w:after="20" w:line="240" w:lineRule="auto"/>
              <w:jc w:val="left"/>
            </w:pPr>
            <w:r>
              <w:rPr>
                <w:rFonts w:ascii="Liberation Sans Narrow" w:hAnsi="Liberation Sans Narrow"/>
                <w:b w:val="0"/>
                <w:sz w:val="17"/>
              </w:rPr>
              <w:t xml:space="preserve">Art. 987</w:t>
            </w:r>
          </w:p>
        </w:tc>
        <w:tc>
          <w:tcPr>
            <w:tcW w:type="dxa" w:w="797"/>
          </w:tcPr>
          <w:p>
            <w:pPr>
              <w:pStyle w:val="Compact"/>
              <w:spacing w:before="20" w:after="20" w:line="240" w:lineRule="auto"/>
              <w:jc w:val="right"/>
            </w:pPr>
            <w:r>
              <w:rPr>
                <w:rFonts w:ascii="Liberation Sans Narrow" w:hAnsi="Liberation Sans Narrow"/>
                <w:b/>
                <w:sz w:val="17"/>
              </w:rPr>
              <w:t xml:space="preserve">178</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421</w:t>
            </w:r>
          </w:p>
        </w:tc>
        <w:tc>
          <w:tcPr>
            <w:tcW w:type="dxa" w:w="797"/>
          </w:tcPr>
          <w:p>
            <w:pPr>
              <w:pStyle w:val="Compact"/>
              <w:spacing w:before="20" w:after="20" w:line="240" w:lineRule="auto"/>
              <w:jc w:val="right"/>
            </w:pPr>
            <w:r>
              <w:rPr>
                <w:rFonts w:ascii="Liberation Sans Narrow" w:hAnsi="Liberation Sans Narrow"/>
                <w:b/>
                <w:sz w:val="17"/>
              </w:rPr>
              <w:t xml:space="preserve">51</w:t>
            </w:r>
          </w:p>
        </w:tc>
        <w:tc>
          <w:tcPr>
            <w:tcW w:type="dxa" w:w="1754"/>
          </w:tcPr>
          <w:p>
            <w:pPr>
              <w:pStyle w:val="Compact"/>
              <w:spacing w:before="20" w:after="20" w:line="240" w:lineRule="auto"/>
              <w:jc w:val="left"/>
            </w:pPr>
            <w:r>
              <w:rPr>
                <w:rFonts w:ascii="Liberation Sans Narrow" w:hAnsi="Liberation Sans Narrow"/>
                <w:b w:val="0"/>
                <w:sz w:val="17"/>
              </w:rPr>
              <w:t xml:space="preserve">Art. 610</w:t>
            </w:r>
          </w:p>
        </w:tc>
        <w:tc>
          <w:tcPr>
            <w:tcW w:type="dxa" w:w="797"/>
          </w:tcPr>
          <w:p>
            <w:pPr>
              <w:pStyle w:val="Compact"/>
              <w:spacing w:before="20" w:after="20" w:line="240" w:lineRule="auto"/>
              <w:jc w:val="right"/>
            </w:pPr>
            <w:r>
              <w:rPr>
                <w:rFonts w:ascii="Liberation Sans Narrow" w:hAnsi="Liberation Sans Narrow"/>
                <w:b/>
                <w:sz w:val="17"/>
              </w:rPr>
              <w:t xml:space="preserve">101</w:t>
            </w:r>
          </w:p>
        </w:tc>
        <w:tc>
          <w:tcPr>
            <w:tcW w:type="dxa" w:w="1754"/>
          </w:tcPr>
          <w:p>
            <w:pPr>
              <w:pStyle w:val="Compact"/>
              <w:spacing w:before="20" w:after="20" w:line="240" w:lineRule="auto"/>
              <w:jc w:val="left"/>
            </w:pPr>
            <w:r>
              <w:rPr>
                <w:rFonts w:ascii="Liberation Sans Narrow" w:hAnsi="Liberation Sans Narrow"/>
                <w:b w:val="0"/>
                <w:sz w:val="17"/>
              </w:rPr>
              <w:t xml:space="preserve">Art. 799</w:t>
            </w:r>
          </w:p>
        </w:tc>
        <w:tc>
          <w:tcPr>
            <w:tcW w:type="dxa" w:w="797"/>
          </w:tcPr>
          <w:p>
            <w:pPr>
              <w:pStyle w:val="Compact"/>
              <w:spacing w:before="20" w:after="20" w:line="240" w:lineRule="auto"/>
              <w:jc w:val="right"/>
            </w:pPr>
            <w:r>
              <w:rPr>
                <w:rFonts w:ascii="Liberation Sans Narrow" w:hAnsi="Liberation Sans Narrow"/>
                <w:b/>
                <w:sz w:val="17"/>
              </w:rPr>
              <w:t xml:space="preserve">139</w:t>
            </w:r>
          </w:p>
        </w:tc>
        <w:tc>
          <w:tcPr>
            <w:tcW w:type="dxa" w:w="1754"/>
          </w:tcPr>
          <w:p>
            <w:pPr>
              <w:pStyle w:val="Compact"/>
              <w:spacing w:before="20" w:after="20" w:line="240" w:lineRule="auto"/>
              <w:jc w:val="left"/>
            </w:pPr>
            <w:r>
              <w:rPr>
                <w:rFonts w:ascii="Liberation Sans Narrow" w:hAnsi="Liberation Sans Narrow"/>
                <w:b w:val="0"/>
                <w:sz w:val="17"/>
              </w:rPr>
              <w:t xml:space="preserve">Art. 988</w:t>
            </w:r>
          </w:p>
        </w:tc>
        <w:tc>
          <w:tcPr>
            <w:tcW w:type="dxa" w:w="797"/>
          </w:tcPr>
          <w:p>
            <w:pPr>
              <w:pStyle w:val="Compact"/>
              <w:spacing w:before="20" w:after="20" w:line="240" w:lineRule="auto"/>
              <w:jc w:val="right"/>
            </w:pPr>
            <w:r>
              <w:rPr>
                <w:rFonts w:ascii="Liberation Sans Narrow" w:hAnsi="Liberation Sans Narrow"/>
                <w:b/>
                <w:sz w:val="17"/>
              </w:rPr>
              <w:t xml:space="preserve">178</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422</w:t>
            </w:r>
          </w:p>
        </w:tc>
        <w:tc>
          <w:tcPr>
            <w:tcW w:type="dxa" w:w="797"/>
          </w:tcPr>
          <w:p>
            <w:pPr>
              <w:pStyle w:val="Compact"/>
              <w:spacing w:before="20" w:after="20" w:line="240" w:lineRule="auto"/>
              <w:jc w:val="right"/>
            </w:pPr>
            <w:r>
              <w:rPr>
                <w:rFonts w:ascii="Liberation Sans Narrow" w:hAnsi="Liberation Sans Narrow"/>
                <w:b/>
                <w:sz w:val="17"/>
              </w:rPr>
              <w:t xml:space="preserve">51</w:t>
            </w:r>
          </w:p>
        </w:tc>
        <w:tc>
          <w:tcPr>
            <w:tcW w:type="dxa" w:w="1754"/>
          </w:tcPr>
          <w:p>
            <w:pPr>
              <w:pStyle w:val="Compact"/>
              <w:spacing w:before="20" w:after="20" w:line="240" w:lineRule="auto"/>
              <w:jc w:val="left"/>
            </w:pPr>
            <w:r>
              <w:rPr>
                <w:rFonts w:ascii="Liberation Sans Narrow" w:hAnsi="Liberation Sans Narrow"/>
                <w:b w:val="0"/>
                <w:sz w:val="17"/>
              </w:rPr>
              <w:t xml:space="preserve">Art. 611</w:t>
            </w:r>
          </w:p>
        </w:tc>
        <w:tc>
          <w:tcPr>
            <w:tcW w:type="dxa" w:w="797"/>
          </w:tcPr>
          <w:p>
            <w:pPr>
              <w:pStyle w:val="Compact"/>
              <w:spacing w:before="20" w:after="20" w:line="240" w:lineRule="auto"/>
              <w:jc w:val="right"/>
            </w:pPr>
            <w:r>
              <w:rPr>
                <w:rFonts w:ascii="Liberation Sans Narrow" w:hAnsi="Liberation Sans Narrow"/>
                <w:b/>
                <w:sz w:val="17"/>
              </w:rPr>
              <w:t xml:space="preserve">101</w:t>
            </w:r>
          </w:p>
        </w:tc>
        <w:tc>
          <w:tcPr>
            <w:tcW w:type="dxa" w:w="1754"/>
          </w:tcPr>
          <w:p>
            <w:pPr>
              <w:pStyle w:val="Compact"/>
              <w:spacing w:before="20" w:after="20" w:line="240" w:lineRule="auto"/>
              <w:jc w:val="left"/>
            </w:pPr>
            <w:r>
              <w:rPr>
                <w:rFonts w:ascii="Liberation Sans Narrow" w:hAnsi="Liberation Sans Narrow"/>
                <w:b w:val="0"/>
                <w:sz w:val="17"/>
              </w:rPr>
              <w:t xml:space="preserve">Art. 800</w:t>
            </w:r>
          </w:p>
        </w:tc>
        <w:tc>
          <w:tcPr>
            <w:tcW w:type="dxa" w:w="797"/>
          </w:tcPr>
          <w:p>
            <w:pPr>
              <w:pStyle w:val="Compact"/>
              <w:spacing w:before="20" w:after="20" w:line="240" w:lineRule="auto"/>
              <w:jc w:val="right"/>
            </w:pPr>
            <w:r>
              <w:rPr>
                <w:rFonts w:ascii="Liberation Sans Narrow" w:hAnsi="Liberation Sans Narrow"/>
                <w:b/>
                <w:sz w:val="17"/>
              </w:rPr>
              <w:t xml:space="preserve">139</w:t>
            </w:r>
          </w:p>
        </w:tc>
        <w:tc>
          <w:tcPr>
            <w:tcW w:type="dxa" w:w="1754"/>
          </w:tcPr>
          <w:p>
            <w:pPr>
              <w:pStyle w:val="Compact"/>
              <w:spacing w:before="20" w:after="20" w:line="240" w:lineRule="auto"/>
              <w:jc w:val="left"/>
            </w:pPr>
            <w:r>
              <w:rPr>
                <w:rFonts w:ascii="Liberation Sans Narrow" w:hAnsi="Liberation Sans Narrow"/>
                <w:b w:val="0"/>
                <w:sz w:val="17"/>
              </w:rPr>
              <w:t xml:space="preserve">Art. 989</w:t>
            </w:r>
          </w:p>
        </w:tc>
        <w:tc>
          <w:tcPr>
            <w:tcW w:type="dxa" w:w="797"/>
          </w:tcPr>
          <w:p>
            <w:pPr>
              <w:pStyle w:val="Compact"/>
              <w:spacing w:before="20" w:after="20" w:line="240" w:lineRule="auto"/>
              <w:jc w:val="right"/>
            </w:pPr>
            <w:r>
              <w:rPr>
                <w:rFonts w:ascii="Liberation Sans Narrow" w:hAnsi="Liberation Sans Narrow"/>
                <w:b/>
                <w:sz w:val="17"/>
              </w:rPr>
              <w:t xml:space="preserve">179</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423</w:t>
            </w:r>
          </w:p>
        </w:tc>
        <w:tc>
          <w:tcPr>
            <w:tcW w:type="dxa" w:w="797"/>
          </w:tcPr>
          <w:p>
            <w:pPr>
              <w:pStyle w:val="Compact"/>
              <w:spacing w:before="20" w:after="20" w:line="240" w:lineRule="auto"/>
              <w:jc w:val="right"/>
            </w:pPr>
            <w:r>
              <w:rPr>
                <w:rFonts w:ascii="Liberation Sans Narrow" w:hAnsi="Liberation Sans Narrow"/>
                <w:b/>
                <w:sz w:val="17"/>
              </w:rPr>
              <w:t xml:space="preserve">51</w:t>
            </w:r>
          </w:p>
        </w:tc>
        <w:tc>
          <w:tcPr>
            <w:tcW w:type="dxa" w:w="1754"/>
          </w:tcPr>
          <w:p>
            <w:pPr>
              <w:pStyle w:val="Compact"/>
              <w:spacing w:before="20" w:after="20" w:line="240" w:lineRule="auto"/>
              <w:jc w:val="left"/>
            </w:pPr>
            <w:r>
              <w:rPr>
                <w:rFonts w:ascii="Liberation Sans Narrow" w:hAnsi="Liberation Sans Narrow"/>
                <w:b w:val="0"/>
                <w:sz w:val="17"/>
              </w:rPr>
              <w:t xml:space="preserve">Art. 612</w:t>
            </w:r>
          </w:p>
        </w:tc>
        <w:tc>
          <w:tcPr>
            <w:tcW w:type="dxa" w:w="797"/>
          </w:tcPr>
          <w:p>
            <w:pPr>
              <w:pStyle w:val="Compact"/>
              <w:spacing w:before="20" w:after="20" w:line="240" w:lineRule="auto"/>
              <w:jc w:val="right"/>
            </w:pPr>
            <w:r>
              <w:rPr>
                <w:rFonts w:ascii="Liberation Sans Narrow" w:hAnsi="Liberation Sans Narrow"/>
                <w:b/>
                <w:sz w:val="17"/>
              </w:rPr>
              <w:t xml:space="preserve">101</w:t>
            </w:r>
          </w:p>
        </w:tc>
        <w:tc>
          <w:tcPr>
            <w:tcW w:type="dxa" w:w="1754"/>
          </w:tcPr>
          <w:p>
            <w:pPr>
              <w:pStyle w:val="Compact"/>
              <w:spacing w:before="20" w:after="20" w:line="240" w:lineRule="auto"/>
              <w:jc w:val="left"/>
            </w:pPr>
            <w:r>
              <w:rPr>
                <w:rFonts w:ascii="Liberation Sans Narrow" w:hAnsi="Liberation Sans Narrow"/>
                <w:b w:val="0"/>
                <w:sz w:val="17"/>
              </w:rPr>
              <w:t xml:space="preserve">Art. 801</w:t>
            </w:r>
          </w:p>
        </w:tc>
        <w:tc>
          <w:tcPr>
            <w:tcW w:type="dxa" w:w="797"/>
          </w:tcPr>
          <w:p>
            <w:pPr>
              <w:pStyle w:val="Compact"/>
              <w:spacing w:before="20" w:after="20" w:line="240" w:lineRule="auto"/>
              <w:jc w:val="right"/>
            </w:pPr>
            <w:r>
              <w:rPr>
                <w:rFonts w:ascii="Liberation Sans Narrow" w:hAnsi="Liberation Sans Narrow"/>
                <w:b/>
                <w:sz w:val="17"/>
              </w:rPr>
              <w:t xml:space="preserve">140</w:t>
            </w:r>
          </w:p>
        </w:tc>
        <w:tc>
          <w:tcPr>
            <w:tcW w:type="dxa" w:w="1754"/>
          </w:tcPr>
          <w:p>
            <w:pPr>
              <w:pStyle w:val="Compact"/>
              <w:spacing w:before="20" w:after="20" w:line="240" w:lineRule="auto"/>
              <w:jc w:val="left"/>
            </w:pPr>
            <w:r>
              <w:rPr>
                <w:rFonts w:ascii="Liberation Sans Narrow" w:hAnsi="Liberation Sans Narrow"/>
                <w:b w:val="0"/>
                <w:sz w:val="17"/>
              </w:rPr>
              <w:t xml:space="preserve">Art. 990</w:t>
            </w:r>
          </w:p>
        </w:tc>
        <w:tc>
          <w:tcPr>
            <w:tcW w:type="dxa" w:w="797"/>
          </w:tcPr>
          <w:p>
            <w:pPr>
              <w:pStyle w:val="Compact"/>
              <w:spacing w:before="20" w:after="20" w:line="240" w:lineRule="auto"/>
              <w:jc w:val="right"/>
            </w:pPr>
            <w:r>
              <w:rPr>
                <w:rFonts w:ascii="Liberation Sans Narrow" w:hAnsi="Liberation Sans Narrow"/>
                <w:b/>
                <w:sz w:val="17"/>
              </w:rPr>
              <w:t xml:space="preserve">179</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424</w:t>
            </w:r>
          </w:p>
        </w:tc>
        <w:tc>
          <w:tcPr>
            <w:tcW w:type="dxa" w:w="797"/>
          </w:tcPr>
          <w:p>
            <w:pPr>
              <w:pStyle w:val="Compact"/>
              <w:spacing w:before="20" w:after="20" w:line="240" w:lineRule="auto"/>
              <w:jc w:val="right"/>
            </w:pPr>
            <w:r>
              <w:rPr>
                <w:rFonts w:ascii="Liberation Sans Narrow" w:hAnsi="Liberation Sans Narrow"/>
                <w:b/>
                <w:sz w:val="17"/>
              </w:rPr>
              <w:t xml:space="preserve">51</w:t>
            </w:r>
          </w:p>
        </w:tc>
        <w:tc>
          <w:tcPr>
            <w:tcW w:type="dxa" w:w="1754"/>
          </w:tcPr>
          <w:p>
            <w:pPr>
              <w:pStyle w:val="Compact"/>
              <w:spacing w:before="20" w:after="20" w:line="240" w:lineRule="auto"/>
              <w:jc w:val="left"/>
            </w:pPr>
            <w:r>
              <w:rPr>
                <w:rFonts w:ascii="Liberation Sans Narrow" w:hAnsi="Liberation Sans Narrow"/>
                <w:b w:val="0"/>
                <w:sz w:val="17"/>
              </w:rPr>
              <w:t xml:space="preserve">Art. 613</w:t>
            </w:r>
          </w:p>
        </w:tc>
        <w:tc>
          <w:tcPr>
            <w:tcW w:type="dxa" w:w="797"/>
          </w:tcPr>
          <w:p>
            <w:pPr>
              <w:pStyle w:val="Compact"/>
              <w:spacing w:before="20" w:after="20" w:line="240" w:lineRule="auto"/>
              <w:jc w:val="right"/>
            </w:pPr>
            <w:r>
              <w:rPr>
                <w:rFonts w:ascii="Liberation Sans Narrow" w:hAnsi="Liberation Sans Narrow"/>
                <w:b/>
                <w:sz w:val="17"/>
              </w:rPr>
              <w:t xml:space="preserve">102</w:t>
            </w:r>
          </w:p>
        </w:tc>
        <w:tc>
          <w:tcPr>
            <w:tcW w:type="dxa" w:w="1754"/>
          </w:tcPr>
          <w:p>
            <w:pPr>
              <w:pStyle w:val="Compact"/>
              <w:spacing w:before="20" w:after="20" w:line="240" w:lineRule="auto"/>
              <w:jc w:val="left"/>
            </w:pPr>
            <w:r>
              <w:rPr>
                <w:rFonts w:ascii="Liberation Sans Narrow" w:hAnsi="Liberation Sans Narrow"/>
                <w:b w:val="0"/>
                <w:sz w:val="17"/>
              </w:rPr>
              <w:t xml:space="preserve">Art. 802</w:t>
            </w:r>
          </w:p>
        </w:tc>
        <w:tc>
          <w:tcPr>
            <w:tcW w:type="dxa" w:w="797"/>
          </w:tcPr>
          <w:p>
            <w:pPr>
              <w:pStyle w:val="Compact"/>
              <w:spacing w:before="20" w:after="20" w:line="240" w:lineRule="auto"/>
              <w:jc w:val="right"/>
            </w:pPr>
            <w:r>
              <w:rPr>
                <w:rFonts w:ascii="Liberation Sans Narrow" w:hAnsi="Liberation Sans Narrow"/>
                <w:b/>
                <w:sz w:val="17"/>
              </w:rPr>
              <w:t xml:space="preserve">140</w:t>
            </w:r>
          </w:p>
        </w:tc>
        <w:tc>
          <w:tcPr>
            <w:tcW w:type="dxa" w:w="1754"/>
          </w:tcPr>
          <w:p>
            <w:pPr>
              <w:pStyle w:val="Compact"/>
              <w:spacing w:before="20" w:after="20" w:line="240" w:lineRule="auto"/>
              <w:jc w:val="left"/>
            </w:pPr>
            <w:r>
              <w:rPr>
                <w:rFonts w:ascii="Liberation Sans Narrow" w:hAnsi="Liberation Sans Narrow"/>
                <w:b w:val="0"/>
                <w:sz w:val="17"/>
              </w:rPr>
              <w:t xml:space="preserve">Art. 991</w:t>
            </w:r>
          </w:p>
        </w:tc>
        <w:tc>
          <w:tcPr>
            <w:tcW w:type="dxa" w:w="797"/>
          </w:tcPr>
          <w:p>
            <w:pPr>
              <w:pStyle w:val="Compact"/>
              <w:spacing w:before="20" w:after="20" w:line="240" w:lineRule="auto"/>
              <w:jc w:val="right"/>
            </w:pPr>
            <w:r>
              <w:rPr>
                <w:rFonts w:ascii="Liberation Sans Narrow" w:hAnsi="Liberation Sans Narrow"/>
                <w:b/>
                <w:sz w:val="17"/>
              </w:rPr>
              <w:t xml:space="preserve">179</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425</w:t>
            </w:r>
          </w:p>
        </w:tc>
        <w:tc>
          <w:tcPr>
            <w:tcW w:type="dxa" w:w="797"/>
          </w:tcPr>
          <w:p>
            <w:pPr>
              <w:pStyle w:val="Compact"/>
              <w:spacing w:before="20" w:after="20" w:line="240" w:lineRule="auto"/>
              <w:jc w:val="right"/>
            </w:pPr>
            <w:r>
              <w:rPr>
                <w:rFonts w:ascii="Liberation Sans Narrow" w:hAnsi="Liberation Sans Narrow"/>
                <w:b/>
                <w:sz w:val="17"/>
              </w:rPr>
              <w:t xml:space="preserve">51</w:t>
            </w:r>
          </w:p>
        </w:tc>
        <w:tc>
          <w:tcPr>
            <w:tcW w:type="dxa" w:w="1754"/>
          </w:tcPr>
          <w:p>
            <w:pPr>
              <w:pStyle w:val="Compact"/>
              <w:spacing w:before="20" w:after="20" w:line="240" w:lineRule="auto"/>
              <w:jc w:val="left"/>
            </w:pPr>
            <w:r>
              <w:rPr>
                <w:rFonts w:ascii="Liberation Sans Narrow" w:hAnsi="Liberation Sans Narrow"/>
                <w:b w:val="0"/>
                <w:sz w:val="17"/>
              </w:rPr>
              <w:t xml:space="preserve">Art. 614</w:t>
            </w:r>
          </w:p>
        </w:tc>
        <w:tc>
          <w:tcPr>
            <w:tcW w:type="dxa" w:w="797"/>
          </w:tcPr>
          <w:p>
            <w:pPr>
              <w:pStyle w:val="Compact"/>
              <w:spacing w:before="20" w:after="20" w:line="240" w:lineRule="auto"/>
              <w:jc w:val="right"/>
            </w:pPr>
            <w:r>
              <w:rPr>
                <w:rFonts w:ascii="Liberation Sans Narrow" w:hAnsi="Liberation Sans Narrow"/>
                <w:b/>
                <w:sz w:val="17"/>
              </w:rPr>
              <w:t xml:space="preserve">102</w:t>
            </w:r>
          </w:p>
        </w:tc>
        <w:tc>
          <w:tcPr>
            <w:tcW w:type="dxa" w:w="1754"/>
          </w:tcPr>
          <w:p>
            <w:pPr>
              <w:pStyle w:val="Compact"/>
              <w:spacing w:before="20" w:after="20" w:line="240" w:lineRule="auto"/>
              <w:jc w:val="left"/>
            </w:pPr>
            <w:r>
              <w:rPr>
                <w:rFonts w:ascii="Liberation Sans Narrow" w:hAnsi="Liberation Sans Narrow"/>
                <w:b w:val="0"/>
                <w:sz w:val="17"/>
              </w:rPr>
              <w:t xml:space="preserve">Art. 803</w:t>
            </w:r>
          </w:p>
        </w:tc>
        <w:tc>
          <w:tcPr>
            <w:tcW w:type="dxa" w:w="797"/>
          </w:tcPr>
          <w:p>
            <w:pPr>
              <w:pStyle w:val="Compact"/>
              <w:spacing w:before="20" w:after="20" w:line="240" w:lineRule="auto"/>
              <w:jc w:val="right"/>
            </w:pPr>
            <w:r>
              <w:rPr>
                <w:rFonts w:ascii="Liberation Sans Narrow" w:hAnsi="Liberation Sans Narrow"/>
                <w:b/>
                <w:sz w:val="17"/>
              </w:rPr>
              <w:t xml:space="preserve">140</w:t>
            </w:r>
          </w:p>
        </w:tc>
        <w:tc>
          <w:tcPr>
            <w:tcW w:type="dxa" w:w="1754"/>
          </w:tcPr>
          <w:p>
            <w:pPr>
              <w:pStyle w:val="Compact"/>
              <w:spacing w:before="20" w:after="20" w:line="240" w:lineRule="auto"/>
              <w:jc w:val="left"/>
            </w:pPr>
            <w:r>
              <w:rPr>
                <w:rFonts w:ascii="Liberation Sans Narrow" w:hAnsi="Liberation Sans Narrow"/>
                <w:b w:val="0"/>
                <w:sz w:val="17"/>
              </w:rPr>
              <w:t xml:space="preserve">Art. 992</w:t>
            </w:r>
          </w:p>
        </w:tc>
        <w:tc>
          <w:tcPr>
            <w:tcW w:type="dxa" w:w="797"/>
          </w:tcPr>
          <w:p>
            <w:pPr>
              <w:pStyle w:val="Compact"/>
              <w:spacing w:before="20" w:after="20" w:line="240" w:lineRule="auto"/>
              <w:jc w:val="right"/>
            </w:pPr>
            <w:r>
              <w:rPr>
                <w:rFonts w:ascii="Liberation Sans Narrow" w:hAnsi="Liberation Sans Narrow"/>
                <w:b/>
                <w:sz w:val="17"/>
              </w:rPr>
              <w:t xml:space="preserve">179</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426</w:t>
            </w:r>
          </w:p>
        </w:tc>
        <w:tc>
          <w:tcPr>
            <w:tcW w:type="dxa" w:w="797"/>
          </w:tcPr>
          <w:p>
            <w:pPr>
              <w:pStyle w:val="Compact"/>
              <w:spacing w:before="20" w:after="20" w:line="240" w:lineRule="auto"/>
              <w:jc w:val="right"/>
            </w:pPr>
            <w:r>
              <w:rPr>
                <w:rFonts w:ascii="Liberation Sans Narrow" w:hAnsi="Liberation Sans Narrow"/>
                <w:b/>
                <w:sz w:val="17"/>
              </w:rPr>
              <w:t xml:space="preserve">52</w:t>
            </w:r>
          </w:p>
        </w:tc>
        <w:tc>
          <w:tcPr>
            <w:tcW w:type="dxa" w:w="1754"/>
          </w:tcPr>
          <w:p>
            <w:pPr>
              <w:pStyle w:val="Compact"/>
              <w:spacing w:before="20" w:after="20" w:line="240" w:lineRule="auto"/>
              <w:jc w:val="left"/>
            </w:pPr>
            <w:r>
              <w:rPr>
                <w:rFonts w:ascii="Liberation Sans Narrow" w:hAnsi="Liberation Sans Narrow"/>
                <w:b w:val="0"/>
                <w:sz w:val="17"/>
              </w:rPr>
              <w:t xml:space="preserve">Art. 615</w:t>
            </w:r>
          </w:p>
        </w:tc>
        <w:tc>
          <w:tcPr>
            <w:tcW w:type="dxa" w:w="797"/>
          </w:tcPr>
          <w:p>
            <w:pPr>
              <w:pStyle w:val="Compact"/>
              <w:spacing w:before="20" w:after="20" w:line="240" w:lineRule="auto"/>
              <w:jc w:val="right"/>
            </w:pPr>
            <w:r>
              <w:rPr>
                <w:rFonts w:ascii="Liberation Sans Narrow" w:hAnsi="Liberation Sans Narrow"/>
                <w:b/>
                <w:sz w:val="17"/>
              </w:rPr>
              <w:t xml:space="preserve">102</w:t>
            </w:r>
          </w:p>
        </w:tc>
        <w:tc>
          <w:tcPr>
            <w:tcW w:type="dxa" w:w="1754"/>
          </w:tcPr>
          <w:p>
            <w:pPr>
              <w:pStyle w:val="Compact"/>
              <w:spacing w:before="20" w:after="20" w:line="240" w:lineRule="auto"/>
              <w:jc w:val="left"/>
            </w:pPr>
            <w:r>
              <w:rPr>
                <w:rFonts w:ascii="Liberation Sans Narrow" w:hAnsi="Liberation Sans Narrow"/>
                <w:b w:val="0"/>
                <w:sz w:val="17"/>
              </w:rPr>
              <w:t xml:space="preserve">Art. 804</w:t>
            </w:r>
          </w:p>
        </w:tc>
        <w:tc>
          <w:tcPr>
            <w:tcW w:type="dxa" w:w="797"/>
          </w:tcPr>
          <w:p>
            <w:pPr>
              <w:pStyle w:val="Compact"/>
              <w:spacing w:before="20" w:after="20" w:line="240" w:lineRule="auto"/>
              <w:jc w:val="right"/>
            </w:pPr>
            <w:r>
              <w:rPr>
                <w:rFonts w:ascii="Liberation Sans Narrow" w:hAnsi="Liberation Sans Narrow"/>
                <w:b/>
                <w:sz w:val="17"/>
              </w:rPr>
              <w:t xml:space="preserve">140</w:t>
            </w:r>
          </w:p>
        </w:tc>
        <w:tc>
          <w:tcPr>
            <w:tcW w:type="dxa" w:w="1754"/>
          </w:tcPr>
          <w:p>
            <w:pPr>
              <w:pStyle w:val="Compact"/>
              <w:spacing w:before="20" w:after="20" w:line="240" w:lineRule="auto"/>
              <w:jc w:val="left"/>
            </w:pPr>
            <w:r>
              <w:rPr>
                <w:rFonts w:ascii="Liberation Sans Narrow" w:hAnsi="Liberation Sans Narrow"/>
                <w:b w:val="0"/>
                <w:sz w:val="17"/>
              </w:rPr>
              <w:t xml:space="preserve">Art. 993</w:t>
            </w:r>
          </w:p>
        </w:tc>
        <w:tc>
          <w:tcPr>
            <w:tcW w:type="dxa" w:w="797"/>
          </w:tcPr>
          <w:p>
            <w:pPr>
              <w:pStyle w:val="Compact"/>
              <w:spacing w:before="20" w:after="20" w:line="240" w:lineRule="auto"/>
              <w:jc w:val="right"/>
            </w:pPr>
            <w:r>
              <w:rPr>
                <w:rFonts w:ascii="Liberation Sans Narrow" w:hAnsi="Liberation Sans Narrow"/>
                <w:b/>
                <w:sz w:val="17"/>
              </w:rPr>
              <w:t xml:space="preserve">179</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427</w:t>
            </w:r>
          </w:p>
        </w:tc>
        <w:tc>
          <w:tcPr>
            <w:tcW w:type="dxa" w:w="797"/>
          </w:tcPr>
          <w:p>
            <w:pPr>
              <w:pStyle w:val="Compact"/>
              <w:spacing w:before="20" w:after="20" w:line="240" w:lineRule="auto"/>
              <w:jc w:val="right"/>
            </w:pPr>
            <w:r>
              <w:rPr>
                <w:rFonts w:ascii="Liberation Sans Narrow" w:hAnsi="Liberation Sans Narrow"/>
                <w:b/>
                <w:sz w:val="17"/>
              </w:rPr>
              <w:t xml:space="preserve">52</w:t>
            </w:r>
          </w:p>
        </w:tc>
        <w:tc>
          <w:tcPr>
            <w:tcW w:type="dxa" w:w="1754"/>
          </w:tcPr>
          <w:p>
            <w:pPr>
              <w:pStyle w:val="Compact"/>
              <w:spacing w:before="20" w:after="20" w:line="240" w:lineRule="auto"/>
              <w:jc w:val="left"/>
            </w:pPr>
            <w:r>
              <w:rPr>
                <w:rFonts w:ascii="Liberation Sans Narrow" w:hAnsi="Liberation Sans Narrow"/>
                <w:b w:val="0"/>
                <w:sz w:val="17"/>
              </w:rPr>
              <w:t xml:space="preserve">Art. 616</w:t>
            </w:r>
          </w:p>
        </w:tc>
        <w:tc>
          <w:tcPr>
            <w:tcW w:type="dxa" w:w="797"/>
          </w:tcPr>
          <w:p>
            <w:pPr>
              <w:pStyle w:val="Compact"/>
              <w:spacing w:before="20" w:after="20" w:line="240" w:lineRule="auto"/>
              <w:jc w:val="right"/>
            </w:pPr>
            <w:r>
              <w:rPr>
                <w:rFonts w:ascii="Liberation Sans Narrow" w:hAnsi="Liberation Sans Narrow"/>
                <w:b/>
                <w:sz w:val="17"/>
              </w:rPr>
              <w:t xml:space="preserve">102</w:t>
            </w:r>
          </w:p>
        </w:tc>
        <w:tc>
          <w:tcPr>
            <w:tcW w:type="dxa" w:w="1754"/>
          </w:tcPr>
          <w:p>
            <w:pPr>
              <w:pStyle w:val="Compact"/>
              <w:spacing w:before="20" w:after="20" w:line="240" w:lineRule="auto"/>
              <w:jc w:val="left"/>
            </w:pPr>
            <w:r>
              <w:rPr>
                <w:rFonts w:ascii="Liberation Sans Narrow" w:hAnsi="Liberation Sans Narrow"/>
                <w:b w:val="0"/>
                <w:sz w:val="17"/>
              </w:rPr>
              <w:t xml:space="preserve">Art. 805</w:t>
            </w:r>
          </w:p>
        </w:tc>
        <w:tc>
          <w:tcPr>
            <w:tcW w:type="dxa" w:w="797"/>
          </w:tcPr>
          <w:p>
            <w:pPr>
              <w:pStyle w:val="Compact"/>
              <w:spacing w:before="20" w:after="20" w:line="240" w:lineRule="auto"/>
              <w:jc w:val="right"/>
            </w:pPr>
            <w:r>
              <w:rPr>
                <w:rFonts w:ascii="Liberation Sans Narrow" w:hAnsi="Liberation Sans Narrow"/>
                <w:b/>
                <w:sz w:val="17"/>
              </w:rPr>
              <w:t xml:space="preserve">141</w:t>
            </w:r>
          </w:p>
        </w:tc>
        <w:tc>
          <w:tcPr>
            <w:tcW w:type="dxa" w:w="1754"/>
          </w:tcPr>
          <w:p>
            <w:pPr>
              <w:pStyle w:val="Compact"/>
              <w:spacing w:before="20" w:after="20" w:line="240" w:lineRule="auto"/>
              <w:jc w:val="left"/>
            </w:pPr>
            <w:r>
              <w:rPr>
                <w:rFonts w:ascii="Liberation Sans Narrow" w:hAnsi="Liberation Sans Narrow"/>
                <w:b w:val="0"/>
                <w:sz w:val="17"/>
              </w:rPr>
              <w:t xml:space="preserve">Art. 994</w:t>
            </w:r>
          </w:p>
        </w:tc>
        <w:tc>
          <w:tcPr>
            <w:tcW w:type="dxa" w:w="797"/>
          </w:tcPr>
          <w:p>
            <w:pPr>
              <w:pStyle w:val="Compact"/>
              <w:spacing w:before="20" w:after="20" w:line="240" w:lineRule="auto"/>
              <w:jc w:val="right"/>
            </w:pPr>
            <w:r>
              <w:rPr>
                <w:rFonts w:ascii="Liberation Sans Narrow" w:hAnsi="Liberation Sans Narrow"/>
                <w:b/>
                <w:sz w:val="17"/>
              </w:rPr>
              <w:t xml:space="preserve">179</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428</w:t>
            </w:r>
          </w:p>
        </w:tc>
        <w:tc>
          <w:tcPr>
            <w:tcW w:type="dxa" w:w="797"/>
          </w:tcPr>
          <w:p>
            <w:pPr>
              <w:pStyle w:val="Compact"/>
              <w:spacing w:before="20" w:after="20" w:line="240" w:lineRule="auto"/>
              <w:jc w:val="right"/>
            </w:pPr>
            <w:r>
              <w:rPr>
                <w:rFonts w:ascii="Liberation Sans Narrow" w:hAnsi="Liberation Sans Narrow"/>
                <w:b/>
                <w:sz w:val="17"/>
              </w:rPr>
              <w:t xml:space="preserve">52</w:t>
            </w:r>
          </w:p>
        </w:tc>
        <w:tc>
          <w:tcPr>
            <w:tcW w:type="dxa" w:w="1754"/>
          </w:tcPr>
          <w:p>
            <w:pPr>
              <w:pStyle w:val="Compact"/>
              <w:spacing w:before="20" w:after="20" w:line="240" w:lineRule="auto"/>
              <w:jc w:val="left"/>
            </w:pPr>
            <w:r>
              <w:rPr>
                <w:rFonts w:ascii="Liberation Sans Narrow" w:hAnsi="Liberation Sans Narrow"/>
                <w:b w:val="0"/>
                <w:sz w:val="17"/>
              </w:rPr>
              <w:t xml:space="preserve">Art. 617</w:t>
            </w:r>
          </w:p>
        </w:tc>
        <w:tc>
          <w:tcPr>
            <w:tcW w:type="dxa" w:w="797"/>
          </w:tcPr>
          <w:p>
            <w:pPr>
              <w:pStyle w:val="Compact"/>
              <w:spacing w:before="20" w:after="20" w:line="240" w:lineRule="auto"/>
              <w:jc w:val="right"/>
            </w:pPr>
            <w:r>
              <w:rPr>
                <w:rFonts w:ascii="Liberation Sans Narrow" w:hAnsi="Liberation Sans Narrow"/>
                <w:b/>
                <w:sz w:val="17"/>
              </w:rPr>
              <w:t xml:space="preserve">102</w:t>
            </w:r>
          </w:p>
        </w:tc>
        <w:tc>
          <w:tcPr>
            <w:tcW w:type="dxa" w:w="1754"/>
          </w:tcPr>
          <w:p>
            <w:pPr>
              <w:pStyle w:val="Compact"/>
              <w:spacing w:before="20" w:after="20" w:line="240" w:lineRule="auto"/>
              <w:jc w:val="left"/>
            </w:pPr>
            <w:r>
              <w:rPr>
                <w:rFonts w:ascii="Liberation Sans Narrow" w:hAnsi="Liberation Sans Narrow"/>
                <w:b w:val="0"/>
                <w:sz w:val="17"/>
              </w:rPr>
              <w:t xml:space="preserve">Art. 806</w:t>
            </w:r>
          </w:p>
        </w:tc>
        <w:tc>
          <w:tcPr>
            <w:tcW w:type="dxa" w:w="797"/>
          </w:tcPr>
          <w:p>
            <w:pPr>
              <w:pStyle w:val="Compact"/>
              <w:spacing w:before="20" w:after="20" w:line="240" w:lineRule="auto"/>
              <w:jc w:val="right"/>
            </w:pPr>
            <w:r>
              <w:rPr>
                <w:rFonts w:ascii="Liberation Sans Narrow" w:hAnsi="Liberation Sans Narrow"/>
                <w:b/>
                <w:sz w:val="17"/>
              </w:rPr>
              <w:t xml:space="preserve">141</w:t>
            </w:r>
          </w:p>
        </w:tc>
        <w:tc>
          <w:tcPr>
            <w:tcW w:type="dxa" w:w="1754"/>
          </w:tcPr>
          <w:p>
            <w:pPr>
              <w:pStyle w:val="Compact"/>
              <w:spacing w:before="20" w:after="20" w:line="240" w:lineRule="auto"/>
              <w:jc w:val="left"/>
            </w:pPr>
            <w:r>
              <w:rPr>
                <w:rFonts w:ascii="Liberation Sans Narrow" w:hAnsi="Liberation Sans Narrow"/>
                <w:b w:val="0"/>
                <w:sz w:val="17"/>
              </w:rPr>
              <w:t xml:space="preserve">Art. 995</w:t>
            </w:r>
          </w:p>
        </w:tc>
        <w:tc>
          <w:tcPr>
            <w:tcW w:type="dxa" w:w="797"/>
          </w:tcPr>
          <w:p>
            <w:pPr>
              <w:pStyle w:val="Compact"/>
              <w:spacing w:before="20" w:after="20" w:line="240" w:lineRule="auto"/>
              <w:jc w:val="right"/>
            </w:pPr>
            <w:r>
              <w:rPr>
                <w:rFonts w:ascii="Liberation Sans Narrow" w:hAnsi="Liberation Sans Narrow"/>
                <w:b/>
                <w:sz w:val="17"/>
              </w:rPr>
              <w:t xml:space="preserve">180</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429</w:t>
            </w:r>
          </w:p>
        </w:tc>
        <w:tc>
          <w:tcPr>
            <w:tcW w:type="dxa" w:w="797"/>
          </w:tcPr>
          <w:p>
            <w:pPr>
              <w:pStyle w:val="Compact"/>
              <w:spacing w:before="20" w:after="20" w:line="240" w:lineRule="auto"/>
              <w:jc w:val="right"/>
            </w:pPr>
            <w:r>
              <w:rPr>
                <w:rFonts w:ascii="Liberation Sans Narrow" w:hAnsi="Liberation Sans Narrow"/>
                <w:b/>
                <w:sz w:val="17"/>
              </w:rPr>
              <w:t xml:space="preserve">52</w:t>
            </w:r>
          </w:p>
        </w:tc>
        <w:tc>
          <w:tcPr>
            <w:tcW w:type="dxa" w:w="1754"/>
          </w:tcPr>
          <w:p>
            <w:pPr>
              <w:pStyle w:val="Compact"/>
              <w:spacing w:before="20" w:after="20" w:line="240" w:lineRule="auto"/>
              <w:jc w:val="left"/>
            </w:pPr>
            <w:r>
              <w:rPr>
                <w:rFonts w:ascii="Liberation Sans Narrow" w:hAnsi="Liberation Sans Narrow"/>
                <w:b w:val="0"/>
                <w:sz w:val="17"/>
              </w:rPr>
              <w:t xml:space="preserve">Art. 618</w:t>
            </w:r>
          </w:p>
        </w:tc>
        <w:tc>
          <w:tcPr>
            <w:tcW w:type="dxa" w:w="797"/>
          </w:tcPr>
          <w:p>
            <w:pPr>
              <w:pStyle w:val="Compact"/>
              <w:spacing w:before="20" w:after="20" w:line="240" w:lineRule="auto"/>
              <w:jc w:val="right"/>
            </w:pPr>
            <w:r>
              <w:rPr>
                <w:rFonts w:ascii="Liberation Sans Narrow" w:hAnsi="Liberation Sans Narrow"/>
                <w:b/>
                <w:sz w:val="17"/>
              </w:rPr>
              <w:t xml:space="preserve">103</w:t>
            </w:r>
          </w:p>
        </w:tc>
        <w:tc>
          <w:tcPr>
            <w:tcW w:type="dxa" w:w="1754"/>
          </w:tcPr>
          <w:p>
            <w:pPr>
              <w:pStyle w:val="Compact"/>
              <w:spacing w:before="20" w:after="20" w:line="240" w:lineRule="auto"/>
              <w:jc w:val="left"/>
            </w:pPr>
            <w:r>
              <w:rPr>
                <w:rFonts w:ascii="Liberation Sans Narrow" w:hAnsi="Liberation Sans Narrow"/>
                <w:b w:val="0"/>
                <w:sz w:val="17"/>
              </w:rPr>
              <w:t xml:space="preserve">Art. 807</w:t>
            </w:r>
          </w:p>
        </w:tc>
        <w:tc>
          <w:tcPr>
            <w:tcW w:type="dxa" w:w="797"/>
          </w:tcPr>
          <w:p>
            <w:pPr>
              <w:pStyle w:val="Compact"/>
              <w:spacing w:before="20" w:after="20" w:line="240" w:lineRule="auto"/>
              <w:jc w:val="right"/>
            </w:pPr>
            <w:r>
              <w:rPr>
                <w:rFonts w:ascii="Liberation Sans Narrow" w:hAnsi="Liberation Sans Narrow"/>
                <w:b/>
                <w:sz w:val="17"/>
              </w:rPr>
              <w:t xml:space="preserve">141</w:t>
            </w:r>
          </w:p>
        </w:tc>
        <w:tc>
          <w:tcPr>
            <w:tcW w:type="dxa" w:w="1754"/>
          </w:tcPr>
          <w:p>
            <w:pPr>
              <w:pStyle w:val="Compact"/>
              <w:spacing w:before="20" w:after="20" w:line="240" w:lineRule="auto"/>
              <w:jc w:val="left"/>
            </w:pPr>
            <w:r>
              <w:rPr>
                <w:rFonts w:ascii="Liberation Sans Narrow" w:hAnsi="Liberation Sans Narrow"/>
                <w:b w:val="0"/>
                <w:sz w:val="17"/>
              </w:rPr>
              <w:t xml:space="preserve">Art. 996</w:t>
            </w:r>
          </w:p>
        </w:tc>
        <w:tc>
          <w:tcPr>
            <w:tcW w:type="dxa" w:w="797"/>
          </w:tcPr>
          <w:p>
            <w:pPr>
              <w:pStyle w:val="Compact"/>
              <w:spacing w:before="20" w:after="20" w:line="240" w:lineRule="auto"/>
              <w:jc w:val="right"/>
            </w:pPr>
            <w:r>
              <w:rPr>
                <w:rFonts w:ascii="Liberation Sans Narrow" w:hAnsi="Liberation Sans Narrow"/>
                <w:b/>
                <w:sz w:val="17"/>
              </w:rPr>
              <w:t xml:space="preserve">180</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430</w:t>
            </w:r>
          </w:p>
        </w:tc>
        <w:tc>
          <w:tcPr>
            <w:tcW w:type="dxa" w:w="797"/>
          </w:tcPr>
          <w:p>
            <w:pPr>
              <w:pStyle w:val="Compact"/>
              <w:spacing w:before="20" w:after="20" w:line="240" w:lineRule="auto"/>
              <w:jc w:val="right"/>
            </w:pPr>
            <w:r>
              <w:rPr>
                <w:rFonts w:ascii="Liberation Sans Narrow" w:hAnsi="Liberation Sans Narrow"/>
                <w:b/>
                <w:sz w:val="17"/>
              </w:rPr>
              <w:t xml:space="preserve">53</w:t>
            </w:r>
          </w:p>
        </w:tc>
        <w:tc>
          <w:tcPr>
            <w:tcW w:type="dxa" w:w="1754"/>
          </w:tcPr>
          <w:p>
            <w:pPr>
              <w:pStyle w:val="Compact"/>
              <w:spacing w:before="20" w:after="20" w:line="240" w:lineRule="auto"/>
              <w:jc w:val="left"/>
            </w:pPr>
            <w:r>
              <w:rPr>
                <w:rFonts w:ascii="Liberation Sans Narrow" w:hAnsi="Liberation Sans Narrow"/>
                <w:b w:val="0"/>
                <w:sz w:val="17"/>
              </w:rPr>
              <w:t xml:space="preserve">Art. 619</w:t>
            </w:r>
          </w:p>
        </w:tc>
        <w:tc>
          <w:tcPr>
            <w:tcW w:type="dxa" w:w="797"/>
          </w:tcPr>
          <w:p>
            <w:pPr>
              <w:pStyle w:val="Compact"/>
              <w:spacing w:before="20" w:after="20" w:line="240" w:lineRule="auto"/>
              <w:jc w:val="right"/>
            </w:pPr>
            <w:r>
              <w:rPr>
                <w:rFonts w:ascii="Liberation Sans Narrow" w:hAnsi="Liberation Sans Narrow"/>
                <w:b/>
                <w:sz w:val="17"/>
              </w:rPr>
              <w:t xml:space="preserve">103</w:t>
            </w:r>
          </w:p>
        </w:tc>
        <w:tc>
          <w:tcPr>
            <w:tcW w:type="dxa" w:w="1754"/>
          </w:tcPr>
          <w:p>
            <w:pPr>
              <w:pStyle w:val="Compact"/>
              <w:spacing w:before="20" w:after="20" w:line="240" w:lineRule="auto"/>
              <w:jc w:val="left"/>
            </w:pPr>
            <w:r>
              <w:rPr>
                <w:rFonts w:ascii="Liberation Sans Narrow" w:hAnsi="Liberation Sans Narrow"/>
                <w:b w:val="0"/>
                <w:sz w:val="17"/>
              </w:rPr>
              <w:t xml:space="preserve">Art. 808</w:t>
            </w:r>
          </w:p>
        </w:tc>
        <w:tc>
          <w:tcPr>
            <w:tcW w:type="dxa" w:w="797"/>
          </w:tcPr>
          <w:p>
            <w:pPr>
              <w:pStyle w:val="Compact"/>
              <w:spacing w:before="20" w:after="20" w:line="240" w:lineRule="auto"/>
              <w:jc w:val="right"/>
            </w:pPr>
            <w:r>
              <w:rPr>
                <w:rFonts w:ascii="Liberation Sans Narrow" w:hAnsi="Liberation Sans Narrow"/>
                <w:b/>
                <w:sz w:val="17"/>
              </w:rPr>
              <w:t xml:space="preserve">141</w:t>
            </w:r>
          </w:p>
        </w:tc>
        <w:tc>
          <w:tcPr>
            <w:tcW w:type="dxa" w:w="1754"/>
          </w:tcPr>
          <w:p>
            <w:pPr>
              <w:pStyle w:val="Compact"/>
              <w:spacing w:before="20" w:after="20" w:line="240" w:lineRule="auto"/>
              <w:jc w:val="left"/>
            </w:pPr>
            <w:r>
              <w:rPr>
                <w:rFonts w:ascii="Liberation Sans Narrow" w:hAnsi="Liberation Sans Narrow"/>
                <w:b w:val="0"/>
                <w:sz w:val="17"/>
              </w:rPr>
              <w:t xml:space="preserve">Art. 997</w:t>
            </w:r>
          </w:p>
        </w:tc>
        <w:tc>
          <w:tcPr>
            <w:tcW w:type="dxa" w:w="797"/>
          </w:tcPr>
          <w:p>
            <w:pPr>
              <w:pStyle w:val="Compact"/>
              <w:spacing w:before="20" w:after="20" w:line="240" w:lineRule="auto"/>
              <w:jc w:val="right"/>
            </w:pPr>
            <w:r>
              <w:rPr>
                <w:rFonts w:ascii="Liberation Sans Narrow" w:hAnsi="Liberation Sans Narrow"/>
                <w:b/>
                <w:sz w:val="17"/>
              </w:rPr>
              <w:t xml:space="preserve">180</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431</w:t>
            </w:r>
          </w:p>
        </w:tc>
        <w:tc>
          <w:tcPr>
            <w:tcW w:type="dxa" w:w="797"/>
          </w:tcPr>
          <w:p>
            <w:pPr>
              <w:pStyle w:val="Compact"/>
              <w:spacing w:before="20" w:after="20" w:line="240" w:lineRule="auto"/>
              <w:jc w:val="right"/>
            </w:pPr>
            <w:r>
              <w:rPr>
                <w:rFonts w:ascii="Liberation Sans Narrow" w:hAnsi="Liberation Sans Narrow"/>
                <w:b/>
                <w:sz w:val="17"/>
              </w:rPr>
              <w:t xml:space="preserve">54</w:t>
            </w:r>
          </w:p>
        </w:tc>
        <w:tc>
          <w:tcPr>
            <w:tcW w:type="dxa" w:w="1754"/>
          </w:tcPr>
          <w:p>
            <w:pPr>
              <w:pStyle w:val="Compact"/>
              <w:spacing w:before="20" w:after="20" w:line="240" w:lineRule="auto"/>
              <w:jc w:val="left"/>
            </w:pPr>
            <w:r>
              <w:rPr>
                <w:rFonts w:ascii="Liberation Sans Narrow" w:hAnsi="Liberation Sans Narrow"/>
                <w:b w:val="0"/>
                <w:sz w:val="17"/>
              </w:rPr>
              <w:t xml:space="preserve">Art. 620</w:t>
            </w:r>
          </w:p>
        </w:tc>
        <w:tc>
          <w:tcPr>
            <w:tcW w:type="dxa" w:w="797"/>
          </w:tcPr>
          <w:p>
            <w:pPr>
              <w:pStyle w:val="Compact"/>
              <w:spacing w:before="20" w:after="20" w:line="240" w:lineRule="auto"/>
              <w:jc w:val="right"/>
            </w:pPr>
            <w:r>
              <w:rPr>
                <w:rFonts w:ascii="Liberation Sans Narrow" w:hAnsi="Liberation Sans Narrow"/>
                <w:b/>
                <w:sz w:val="17"/>
              </w:rPr>
              <w:t xml:space="preserve">104</w:t>
            </w:r>
          </w:p>
        </w:tc>
        <w:tc>
          <w:tcPr>
            <w:tcW w:type="dxa" w:w="1754"/>
          </w:tcPr>
          <w:p>
            <w:pPr>
              <w:pStyle w:val="Compact"/>
              <w:spacing w:before="20" w:after="20" w:line="240" w:lineRule="auto"/>
              <w:jc w:val="left"/>
            </w:pPr>
            <w:r>
              <w:rPr>
                <w:rFonts w:ascii="Liberation Sans Narrow" w:hAnsi="Liberation Sans Narrow"/>
                <w:b w:val="0"/>
                <w:sz w:val="17"/>
              </w:rPr>
              <w:t xml:space="preserve">Art. 809</w:t>
            </w:r>
          </w:p>
        </w:tc>
        <w:tc>
          <w:tcPr>
            <w:tcW w:type="dxa" w:w="797"/>
          </w:tcPr>
          <w:p>
            <w:pPr>
              <w:pStyle w:val="Compact"/>
              <w:spacing w:before="20" w:after="20" w:line="240" w:lineRule="auto"/>
              <w:jc w:val="right"/>
            </w:pPr>
            <w:r>
              <w:rPr>
                <w:rFonts w:ascii="Liberation Sans Narrow" w:hAnsi="Liberation Sans Narrow"/>
                <w:b/>
                <w:sz w:val="17"/>
              </w:rPr>
              <w:t xml:space="preserve">141</w:t>
            </w:r>
          </w:p>
        </w:tc>
        <w:tc>
          <w:tcPr>
            <w:tcW w:type="dxa" w:w="1754"/>
          </w:tcPr>
          <w:p>
            <w:pPr>
              <w:pStyle w:val="Compact"/>
              <w:spacing w:before="20" w:after="20" w:line="240" w:lineRule="auto"/>
              <w:jc w:val="left"/>
            </w:pPr>
            <w:r>
              <w:rPr>
                <w:rFonts w:ascii="Liberation Sans Narrow" w:hAnsi="Liberation Sans Narrow"/>
                <w:b w:val="0"/>
                <w:sz w:val="17"/>
              </w:rPr>
              <w:t xml:space="preserve">Art. 998</w:t>
            </w:r>
          </w:p>
        </w:tc>
        <w:tc>
          <w:tcPr>
            <w:tcW w:type="dxa" w:w="797"/>
          </w:tcPr>
          <w:p>
            <w:pPr>
              <w:pStyle w:val="Compact"/>
              <w:spacing w:before="20" w:after="20" w:line="240" w:lineRule="auto"/>
              <w:jc w:val="right"/>
            </w:pPr>
            <w:r>
              <w:rPr>
                <w:rFonts w:ascii="Liberation Sans Narrow" w:hAnsi="Liberation Sans Narrow"/>
                <w:b/>
                <w:sz w:val="17"/>
              </w:rPr>
              <w:t xml:space="preserve">180</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432</w:t>
            </w:r>
          </w:p>
        </w:tc>
        <w:tc>
          <w:tcPr>
            <w:tcW w:type="dxa" w:w="797"/>
          </w:tcPr>
          <w:p>
            <w:pPr>
              <w:pStyle w:val="Compact"/>
              <w:spacing w:before="20" w:after="20" w:line="240" w:lineRule="auto"/>
              <w:jc w:val="right"/>
            </w:pPr>
            <w:r>
              <w:rPr>
                <w:rFonts w:ascii="Liberation Sans Narrow" w:hAnsi="Liberation Sans Narrow"/>
                <w:b/>
                <w:sz w:val="17"/>
              </w:rPr>
              <w:t xml:space="preserve">54</w:t>
            </w:r>
          </w:p>
        </w:tc>
        <w:tc>
          <w:tcPr>
            <w:tcW w:type="dxa" w:w="1754"/>
          </w:tcPr>
          <w:p>
            <w:pPr>
              <w:pStyle w:val="Compact"/>
              <w:spacing w:before="20" w:after="20" w:line="240" w:lineRule="auto"/>
              <w:jc w:val="left"/>
            </w:pPr>
            <w:r>
              <w:rPr>
                <w:rFonts w:ascii="Liberation Sans Narrow" w:hAnsi="Liberation Sans Narrow"/>
                <w:b w:val="0"/>
                <w:sz w:val="17"/>
              </w:rPr>
              <w:t xml:space="preserve">Art. 621</w:t>
            </w:r>
          </w:p>
        </w:tc>
        <w:tc>
          <w:tcPr>
            <w:tcW w:type="dxa" w:w="797"/>
          </w:tcPr>
          <w:p>
            <w:pPr>
              <w:pStyle w:val="Compact"/>
              <w:spacing w:before="20" w:after="20" w:line="240" w:lineRule="auto"/>
              <w:jc w:val="right"/>
            </w:pPr>
            <w:r>
              <w:rPr>
                <w:rFonts w:ascii="Liberation Sans Narrow" w:hAnsi="Liberation Sans Narrow"/>
                <w:b/>
                <w:sz w:val="17"/>
              </w:rPr>
              <w:t xml:space="preserve">104</w:t>
            </w:r>
          </w:p>
        </w:tc>
        <w:tc>
          <w:tcPr>
            <w:tcW w:type="dxa" w:w="1754"/>
          </w:tcPr>
          <w:p>
            <w:pPr>
              <w:pStyle w:val="Compact"/>
              <w:spacing w:before="20" w:after="20" w:line="240" w:lineRule="auto"/>
              <w:jc w:val="left"/>
            </w:pPr>
            <w:r>
              <w:rPr>
                <w:rFonts w:ascii="Liberation Sans Narrow" w:hAnsi="Liberation Sans Narrow"/>
                <w:b w:val="0"/>
                <w:sz w:val="17"/>
              </w:rPr>
              <w:t xml:space="preserve">Art. 810</w:t>
            </w:r>
          </w:p>
        </w:tc>
        <w:tc>
          <w:tcPr>
            <w:tcW w:type="dxa" w:w="797"/>
          </w:tcPr>
          <w:p>
            <w:pPr>
              <w:pStyle w:val="Compact"/>
              <w:spacing w:before="20" w:after="20" w:line="240" w:lineRule="auto"/>
              <w:jc w:val="right"/>
            </w:pPr>
            <w:r>
              <w:rPr>
                <w:rFonts w:ascii="Liberation Sans Narrow" w:hAnsi="Liberation Sans Narrow"/>
                <w:b/>
                <w:sz w:val="17"/>
              </w:rPr>
              <w:t xml:space="preserve">141</w:t>
            </w:r>
          </w:p>
        </w:tc>
        <w:tc>
          <w:tcPr>
            <w:tcW w:type="dxa" w:w="1754"/>
          </w:tcPr>
          <w:p>
            <w:pPr>
              <w:pStyle w:val="Compact"/>
              <w:spacing w:before="20" w:after="20" w:line="240" w:lineRule="auto"/>
              <w:jc w:val="left"/>
            </w:pPr>
            <w:r>
              <w:rPr>
                <w:rFonts w:ascii="Liberation Sans Narrow" w:hAnsi="Liberation Sans Narrow"/>
                <w:b w:val="0"/>
                <w:sz w:val="17"/>
              </w:rPr>
              <w:t xml:space="preserve">Art. 999</w:t>
            </w:r>
          </w:p>
        </w:tc>
        <w:tc>
          <w:tcPr>
            <w:tcW w:type="dxa" w:w="797"/>
          </w:tcPr>
          <w:p>
            <w:pPr>
              <w:pStyle w:val="Compact"/>
              <w:spacing w:before="20" w:after="20" w:line="240" w:lineRule="auto"/>
              <w:jc w:val="right"/>
            </w:pPr>
            <w:r>
              <w:rPr>
                <w:rFonts w:ascii="Liberation Sans Narrow" w:hAnsi="Liberation Sans Narrow"/>
                <w:b/>
                <w:sz w:val="17"/>
              </w:rPr>
              <w:t xml:space="preserve">180</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433</w:t>
            </w:r>
          </w:p>
        </w:tc>
        <w:tc>
          <w:tcPr>
            <w:tcW w:type="dxa" w:w="797"/>
          </w:tcPr>
          <w:p>
            <w:pPr>
              <w:pStyle w:val="Compact"/>
              <w:spacing w:before="20" w:after="20" w:line="240" w:lineRule="auto"/>
              <w:jc w:val="right"/>
            </w:pPr>
            <w:r>
              <w:rPr>
                <w:rFonts w:ascii="Liberation Sans Narrow" w:hAnsi="Liberation Sans Narrow"/>
                <w:b/>
                <w:sz w:val="17"/>
              </w:rPr>
              <w:t xml:space="preserve">54</w:t>
            </w:r>
          </w:p>
        </w:tc>
        <w:tc>
          <w:tcPr>
            <w:tcW w:type="dxa" w:w="1754"/>
          </w:tcPr>
          <w:p>
            <w:pPr>
              <w:pStyle w:val="Compact"/>
              <w:spacing w:before="20" w:after="20" w:line="240" w:lineRule="auto"/>
              <w:jc w:val="left"/>
            </w:pPr>
            <w:r>
              <w:rPr>
                <w:rFonts w:ascii="Liberation Sans Narrow" w:hAnsi="Liberation Sans Narrow"/>
                <w:b w:val="0"/>
                <w:sz w:val="17"/>
              </w:rPr>
              <w:t xml:space="preserve">Art. 622</w:t>
            </w:r>
          </w:p>
        </w:tc>
        <w:tc>
          <w:tcPr>
            <w:tcW w:type="dxa" w:w="797"/>
          </w:tcPr>
          <w:p>
            <w:pPr>
              <w:pStyle w:val="Compact"/>
              <w:spacing w:before="20" w:after="20" w:line="240" w:lineRule="auto"/>
              <w:jc w:val="right"/>
            </w:pPr>
            <w:r>
              <w:rPr>
                <w:rFonts w:ascii="Liberation Sans Narrow" w:hAnsi="Liberation Sans Narrow"/>
                <w:b/>
                <w:sz w:val="17"/>
              </w:rPr>
              <w:t xml:space="preserve">104</w:t>
            </w:r>
          </w:p>
        </w:tc>
        <w:tc>
          <w:tcPr>
            <w:tcW w:type="dxa" w:w="1754"/>
          </w:tcPr>
          <w:p>
            <w:pPr>
              <w:pStyle w:val="Compact"/>
              <w:spacing w:before="20" w:after="20" w:line="240" w:lineRule="auto"/>
              <w:jc w:val="left"/>
            </w:pPr>
            <w:r>
              <w:rPr>
                <w:rFonts w:ascii="Liberation Sans Narrow" w:hAnsi="Liberation Sans Narrow"/>
                <w:b w:val="0"/>
                <w:sz w:val="17"/>
              </w:rPr>
              <w:t xml:space="preserve">Art. 811</w:t>
            </w:r>
          </w:p>
        </w:tc>
        <w:tc>
          <w:tcPr>
            <w:tcW w:type="dxa" w:w="797"/>
          </w:tcPr>
          <w:p>
            <w:pPr>
              <w:pStyle w:val="Compact"/>
              <w:spacing w:before="20" w:after="20" w:line="240" w:lineRule="auto"/>
              <w:jc w:val="right"/>
            </w:pPr>
            <w:r>
              <w:rPr>
                <w:rFonts w:ascii="Liberation Sans Narrow" w:hAnsi="Liberation Sans Narrow"/>
                <w:b/>
                <w:sz w:val="17"/>
              </w:rPr>
              <w:t xml:space="preserve">141</w:t>
            </w:r>
          </w:p>
        </w:tc>
        <w:tc>
          <w:tcPr>
            <w:tcW w:type="dxa" w:w="1754"/>
          </w:tcPr>
          <w:p>
            <w:pPr>
              <w:pStyle w:val="Compact"/>
              <w:spacing w:before="20" w:after="20" w:line="240" w:lineRule="auto"/>
              <w:jc w:val="left"/>
            </w:pPr>
            <w:r>
              <w:rPr>
                <w:rFonts w:ascii="Liberation Sans Narrow" w:hAnsi="Liberation Sans Narrow"/>
                <w:b w:val="0"/>
                <w:sz w:val="17"/>
              </w:rPr>
              <w:t xml:space="preserve">Art. 1000</w:t>
            </w:r>
          </w:p>
        </w:tc>
        <w:tc>
          <w:tcPr>
            <w:tcW w:type="dxa" w:w="797"/>
          </w:tcPr>
          <w:p>
            <w:pPr>
              <w:pStyle w:val="Compact"/>
              <w:spacing w:before="20" w:after="20" w:line="240" w:lineRule="auto"/>
              <w:jc w:val="right"/>
            </w:pPr>
            <w:r>
              <w:rPr>
                <w:rFonts w:ascii="Liberation Sans Narrow" w:hAnsi="Liberation Sans Narrow"/>
                <w:b/>
                <w:sz w:val="17"/>
              </w:rPr>
              <w:t xml:space="preserve">180</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434</w:t>
            </w:r>
          </w:p>
        </w:tc>
        <w:tc>
          <w:tcPr>
            <w:tcW w:type="dxa" w:w="797"/>
          </w:tcPr>
          <w:p>
            <w:pPr>
              <w:pStyle w:val="Compact"/>
              <w:spacing w:before="20" w:after="20" w:line="240" w:lineRule="auto"/>
              <w:jc w:val="right"/>
            </w:pPr>
            <w:r>
              <w:rPr>
                <w:rFonts w:ascii="Liberation Sans Narrow" w:hAnsi="Liberation Sans Narrow"/>
                <w:b/>
                <w:sz w:val="17"/>
              </w:rPr>
              <w:t xml:space="preserve">54</w:t>
            </w:r>
          </w:p>
        </w:tc>
        <w:tc>
          <w:tcPr>
            <w:tcW w:type="dxa" w:w="1754"/>
          </w:tcPr>
          <w:p>
            <w:pPr>
              <w:pStyle w:val="Compact"/>
              <w:spacing w:before="20" w:after="20" w:line="240" w:lineRule="auto"/>
              <w:jc w:val="left"/>
            </w:pPr>
            <w:r>
              <w:rPr>
                <w:rFonts w:ascii="Liberation Sans Narrow" w:hAnsi="Liberation Sans Narrow"/>
                <w:b w:val="0"/>
                <w:sz w:val="17"/>
              </w:rPr>
              <w:t xml:space="preserve">Art. 623</w:t>
            </w:r>
          </w:p>
        </w:tc>
        <w:tc>
          <w:tcPr>
            <w:tcW w:type="dxa" w:w="797"/>
          </w:tcPr>
          <w:p>
            <w:pPr>
              <w:pStyle w:val="Compact"/>
              <w:spacing w:before="20" w:after="20" w:line="240" w:lineRule="auto"/>
              <w:jc w:val="right"/>
            </w:pPr>
            <w:r>
              <w:rPr>
                <w:rFonts w:ascii="Liberation Sans Narrow" w:hAnsi="Liberation Sans Narrow"/>
                <w:b/>
                <w:sz w:val="17"/>
              </w:rPr>
              <w:t xml:space="preserve">105</w:t>
            </w:r>
          </w:p>
        </w:tc>
        <w:tc>
          <w:tcPr>
            <w:tcW w:type="dxa" w:w="1754"/>
          </w:tcPr>
          <w:p>
            <w:pPr>
              <w:pStyle w:val="Compact"/>
              <w:spacing w:before="20" w:after="20" w:line="240" w:lineRule="auto"/>
              <w:jc w:val="left"/>
            </w:pPr>
            <w:r>
              <w:rPr>
                <w:rFonts w:ascii="Liberation Sans Narrow" w:hAnsi="Liberation Sans Narrow"/>
                <w:b w:val="0"/>
                <w:sz w:val="17"/>
              </w:rPr>
              <w:t xml:space="preserve">Art. 812</w:t>
            </w:r>
          </w:p>
        </w:tc>
        <w:tc>
          <w:tcPr>
            <w:tcW w:type="dxa" w:w="797"/>
          </w:tcPr>
          <w:p>
            <w:pPr>
              <w:pStyle w:val="Compact"/>
              <w:spacing w:before="20" w:after="20" w:line="240" w:lineRule="auto"/>
              <w:jc w:val="right"/>
            </w:pPr>
            <w:r>
              <w:rPr>
                <w:rFonts w:ascii="Liberation Sans Narrow" w:hAnsi="Liberation Sans Narrow"/>
                <w:b/>
                <w:sz w:val="17"/>
              </w:rPr>
              <w:t xml:space="preserve">141</w:t>
            </w:r>
          </w:p>
        </w:tc>
        <w:tc>
          <w:tcPr>
            <w:tcW w:type="dxa" w:w="1754"/>
          </w:tcPr>
          <w:p>
            <w:pPr>
              <w:pStyle w:val="Compact"/>
              <w:spacing w:before="20" w:after="20" w:line="240" w:lineRule="auto"/>
              <w:jc w:val="left"/>
            </w:pPr>
            <w:r>
              <w:rPr>
                <w:rFonts w:ascii="Liberation Sans Narrow" w:hAnsi="Liberation Sans Narrow"/>
                <w:b w:val="0"/>
                <w:sz w:val="17"/>
              </w:rPr>
              <w:t xml:space="preserve">Art. 1001</w:t>
            </w:r>
          </w:p>
        </w:tc>
        <w:tc>
          <w:tcPr>
            <w:tcW w:type="dxa" w:w="797"/>
          </w:tcPr>
          <w:p>
            <w:pPr>
              <w:pStyle w:val="Compact"/>
              <w:spacing w:before="20" w:after="20" w:line="240" w:lineRule="auto"/>
              <w:jc w:val="right"/>
            </w:pPr>
            <w:r>
              <w:rPr>
                <w:rFonts w:ascii="Liberation Sans Narrow" w:hAnsi="Liberation Sans Narrow"/>
                <w:b/>
                <w:sz w:val="17"/>
              </w:rPr>
              <w:t xml:space="preserve">181</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435</w:t>
            </w:r>
          </w:p>
        </w:tc>
        <w:tc>
          <w:tcPr>
            <w:tcW w:type="dxa" w:w="797"/>
          </w:tcPr>
          <w:p>
            <w:pPr>
              <w:pStyle w:val="Compact"/>
              <w:spacing w:before="20" w:after="20" w:line="240" w:lineRule="auto"/>
              <w:jc w:val="right"/>
            </w:pPr>
            <w:r>
              <w:rPr>
                <w:rFonts w:ascii="Liberation Sans Narrow" w:hAnsi="Liberation Sans Narrow"/>
                <w:b/>
                <w:sz w:val="17"/>
              </w:rPr>
              <w:t xml:space="preserve">54</w:t>
            </w:r>
          </w:p>
        </w:tc>
        <w:tc>
          <w:tcPr>
            <w:tcW w:type="dxa" w:w="1754"/>
          </w:tcPr>
          <w:p>
            <w:pPr>
              <w:pStyle w:val="Compact"/>
              <w:spacing w:before="20" w:after="20" w:line="240" w:lineRule="auto"/>
              <w:jc w:val="left"/>
            </w:pPr>
            <w:r>
              <w:rPr>
                <w:rFonts w:ascii="Liberation Sans Narrow" w:hAnsi="Liberation Sans Narrow"/>
                <w:b w:val="0"/>
                <w:sz w:val="17"/>
              </w:rPr>
              <w:t xml:space="preserve">Art. 624</w:t>
            </w:r>
          </w:p>
        </w:tc>
        <w:tc>
          <w:tcPr>
            <w:tcW w:type="dxa" w:w="797"/>
          </w:tcPr>
          <w:p>
            <w:pPr>
              <w:pStyle w:val="Compact"/>
              <w:spacing w:before="20" w:after="20" w:line="240" w:lineRule="auto"/>
              <w:jc w:val="right"/>
            </w:pPr>
            <w:r>
              <w:rPr>
                <w:rFonts w:ascii="Liberation Sans Narrow" w:hAnsi="Liberation Sans Narrow"/>
                <w:b/>
                <w:sz w:val="17"/>
              </w:rPr>
              <w:t xml:space="preserve">105</w:t>
            </w:r>
          </w:p>
        </w:tc>
        <w:tc>
          <w:tcPr>
            <w:tcW w:type="dxa" w:w="1754"/>
          </w:tcPr>
          <w:p>
            <w:pPr>
              <w:pStyle w:val="Compact"/>
              <w:spacing w:before="20" w:after="20" w:line="240" w:lineRule="auto"/>
              <w:jc w:val="left"/>
            </w:pPr>
            <w:r>
              <w:rPr>
                <w:rFonts w:ascii="Liberation Sans Narrow" w:hAnsi="Liberation Sans Narrow"/>
                <w:b w:val="0"/>
                <w:sz w:val="17"/>
              </w:rPr>
              <w:t xml:space="preserve">Art. 813</w:t>
            </w:r>
          </w:p>
        </w:tc>
        <w:tc>
          <w:tcPr>
            <w:tcW w:type="dxa" w:w="797"/>
          </w:tcPr>
          <w:p>
            <w:pPr>
              <w:pStyle w:val="Compact"/>
              <w:spacing w:before="20" w:after="20" w:line="240" w:lineRule="auto"/>
              <w:jc w:val="right"/>
            </w:pPr>
            <w:r>
              <w:rPr>
                <w:rFonts w:ascii="Liberation Sans Narrow" w:hAnsi="Liberation Sans Narrow"/>
                <w:b/>
                <w:sz w:val="17"/>
              </w:rPr>
              <w:t xml:space="preserve">141</w:t>
            </w:r>
          </w:p>
        </w:tc>
        <w:tc>
          <w:tcPr>
            <w:tcW w:type="dxa" w:w="1754"/>
          </w:tcPr>
          <w:p>
            <w:pPr>
              <w:pStyle w:val="Compact"/>
              <w:spacing w:before="20" w:after="20" w:line="240" w:lineRule="auto"/>
              <w:jc w:val="left"/>
            </w:pPr>
            <w:r>
              <w:rPr>
                <w:rFonts w:ascii="Liberation Sans Narrow" w:hAnsi="Liberation Sans Narrow"/>
                <w:b w:val="0"/>
                <w:sz w:val="17"/>
              </w:rPr>
              <w:t xml:space="preserve">Art. 1002</w:t>
            </w:r>
          </w:p>
        </w:tc>
        <w:tc>
          <w:tcPr>
            <w:tcW w:type="dxa" w:w="797"/>
          </w:tcPr>
          <w:p>
            <w:pPr>
              <w:pStyle w:val="Compact"/>
              <w:spacing w:before="20" w:after="20" w:line="240" w:lineRule="auto"/>
              <w:jc w:val="right"/>
            </w:pPr>
            <w:r>
              <w:rPr>
                <w:rFonts w:ascii="Liberation Sans Narrow" w:hAnsi="Liberation Sans Narrow"/>
                <w:b/>
                <w:sz w:val="17"/>
              </w:rPr>
              <w:t xml:space="preserve">181</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436</w:t>
            </w:r>
          </w:p>
        </w:tc>
        <w:tc>
          <w:tcPr>
            <w:tcW w:type="dxa" w:w="797"/>
          </w:tcPr>
          <w:p>
            <w:pPr>
              <w:pStyle w:val="Compact"/>
              <w:spacing w:before="20" w:after="20" w:line="240" w:lineRule="auto"/>
              <w:jc w:val="right"/>
            </w:pPr>
            <w:r>
              <w:rPr>
                <w:rFonts w:ascii="Liberation Sans Narrow" w:hAnsi="Liberation Sans Narrow"/>
                <w:b/>
                <w:sz w:val="17"/>
              </w:rPr>
              <w:t xml:space="preserve">55</w:t>
            </w:r>
          </w:p>
        </w:tc>
        <w:tc>
          <w:tcPr>
            <w:tcW w:type="dxa" w:w="1754"/>
          </w:tcPr>
          <w:p>
            <w:pPr>
              <w:pStyle w:val="Compact"/>
              <w:spacing w:before="20" w:after="20" w:line="240" w:lineRule="auto"/>
              <w:jc w:val="left"/>
            </w:pPr>
            <w:r>
              <w:rPr>
                <w:rFonts w:ascii="Liberation Sans Narrow" w:hAnsi="Liberation Sans Narrow"/>
                <w:b w:val="0"/>
                <w:sz w:val="17"/>
              </w:rPr>
              <w:t xml:space="preserve">Art. 625</w:t>
            </w:r>
          </w:p>
        </w:tc>
        <w:tc>
          <w:tcPr>
            <w:tcW w:type="dxa" w:w="797"/>
          </w:tcPr>
          <w:p>
            <w:pPr>
              <w:pStyle w:val="Compact"/>
              <w:spacing w:before="20" w:after="20" w:line="240" w:lineRule="auto"/>
              <w:jc w:val="right"/>
            </w:pPr>
            <w:r>
              <w:rPr>
                <w:rFonts w:ascii="Liberation Sans Narrow" w:hAnsi="Liberation Sans Narrow"/>
                <w:b/>
                <w:sz w:val="17"/>
              </w:rPr>
              <w:t xml:space="preserve">105</w:t>
            </w:r>
          </w:p>
        </w:tc>
        <w:tc>
          <w:tcPr>
            <w:tcW w:type="dxa" w:w="1754"/>
          </w:tcPr>
          <w:p>
            <w:pPr>
              <w:pStyle w:val="Compact"/>
              <w:spacing w:before="20" w:after="20" w:line="240" w:lineRule="auto"/>
              <w:jc w:val="left"/>
            </w:pPr>
            <w:r>
              <w:rPr>
                <w:rFonts w:ascii="Liberation Sans Narrow" w:hAnsi="Liberation Sans Narrow"/>
                <w:b w:val="0"/>
                <w:sz w:val="17"/>
              </w:rPr>
              <w:t xml:space="preserve">Art. 814</w:t>
            </w:r>
          </w:p>
        </w:tc>
        <w:tc>
          <w:tcPr>
            <w:tcW w:type="dxa" w:w="797"/>
          </w:tcPr>
          <w:p>
            <w:pPr>
              <w:pStyle w:val="Compact"/>
              <w:spacing w:before="20" w:after="20" w:line="240" w:lineRule="auto"/>
              <w:jc w:val="right"/>
            </w:pPr>
            <w:r>
              <w:rPr>
                <w:rFonts w:ascii="Liberation Sans Narrow" w:hAnsi="Liberation Sans Narrow"/>
                <w:b/>
                <w:sz w:val="17"/>
              </w:rPr>
              <w:t xml:space="preserve">141</w:t>
            </w:r>
          </w:p>
        </w:tc>
        <w:tc>
          <w:tcPr>
            <w:tcW w:type="dxa" w:w="1754"/>
          </w:tcPr>
          <w:p>
            <w:pPr>
              <w:pStyle w:val="Compact"/>
              <w:spacing w:before="20" w:after="20" w:line="240" w:lineRule="auto"/>
              <w:jc w:val="left"/>
            </w:pPr>
            <w:r>
              <w:rPr>
                <w:rFonts w:ascii="Liberation Sans Narrow" w:hAnsi="Liberation Sans Narrow"/>
                <w:b w:val="0"/>
                <w:sz w:val="17"/>
              </w:rPr>
              <w:t xml:space="preserve">Art. 1003</w:t>
            </w:r>
          </w:p>
        </w:tc>
        <w:tc>
          <w:tcPr>
            <w:tcW w:type="dxa" w:w="797"/>
          </w:tcPr>
          <w:p>
            <w:pPr>
              <w:pStyle w:val="Compact"/>
              <w:spacing w:before="20" w:after="20" w:line="240" w:lineRule="auto"/>
              <w:jc w:val="right"/>
            </w:pPr>
            <w:r>
              <w:rPr>
                <w:rFonts w:ascii="Liberation Sans Narrow" w:hAnsi="Liberation Sans Narrow"/>
                <w:b/>
                <w:sz w:val="17"/>
              </w:rPr>
              <w:t xml:space="preserve">181</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437</w:t>
            </w:r>
          </w:p>
        </w:tc>
        <w:tc>
          <w:tcPr>
            <w:tcW w:type="dxa" w:w="797"/>
          </w:tcPr>
          <w:p>
            <w:pPr>
              <w:pStyle w:val="Compact"/>
              <w:spacing w:before="20" w:after="20" w:line="240" w:lineRule="auto"/>
              <w:jc w:val="right"/>
            </w:pPr>
            <w:r>
              <w:rPr>
                <w:rFonts w:ascii="Liberation Sans Narrow" w:hAnsi="Liberation Sans Narrow"/>
                <w:b/>
                <w:sz w:val="17"/>
              </w:rPr>
              <w:t xml:space="preserve">55</w:t>
            </w:r>
          </w:p>
        </w:tc>
        <w:tc>
          <w:tcPr>
            <w:tcW w:type="dxa" w:w="1754"/>
          </w:tcPr>
          <w:p>
            <w:pPr>
              <w:pStyle w:val="Compact"/>
              <w:spacing w:before="20" w:after="20" w:line="240" w:lineRule="auto"/>
              <w:jc w:val="left"/>
            </w:pPr>
            <w:r>
              <w:rPr>
                <w:rFonts w:ascii="Liberation Sans Narrow" w:hAnsi="Liberation Sans Narrow"/>
                <w:b w:val="0"/>
                <w:sz w:val="17"/>
              </w:rPr>
              <w:t xml:space="preserve">Art. 626</w:t>
            </w:r>
          </w:p>
        </w:tc>
        <w:tc>
          <w:tcPr>
            <w:tcW w:type="dxa" w:w="797"/>
          </w:tcPr>
          <w:p>
            <w:pPr>
              <w:pStyle w:val="Compact"/>
              <w:spacing w:before="20" w:after="20" w:line="240" w:lineRule="auto"/>
              <w:jc w:val="right"/>
            </w:pPr>
            <w:r>
              <w:rPr>
                <w:rFonts w:ascii="Liberation Sans Narrow" w:hAnsi="Liberation Sans Narrow"/>
                <w:b/>
                <w:sz w:val="17"/>
              </w:rPr>
              <w:t xml:space="preserve">105</w:t>
            </w:r>
          </w:p>
        </w:tc>
        <w:tc>
          <w:tcPr>
            <w:tcW w:type="dxa" w:w="1754"/>
          </w:tcPr>
          <w:p>
            <w:pPr>
              <w:pStyle w:val="Compact"/>
              <w:spacing w:before="20" w:after="20" w:line="240" w:lineRule="auto"/>
              <w:jc w:val="left"/>
            </w:pPr>
            <w:r>
              <w:rPr>
                <w:rFonts w:ascii="Liberation Sans Narrow" w:hAnsi="Liberation Sans Narrow"/>
                <w:b w:val="0"/>
                <w:sz w:val="17"/>
              </w:rPr>
              <w:t xml:space="preserve">Art. 815</w:t>
            </w:r>
          </w:p>
        </w:tc>
        <w:tc>
          <w:tcPr>
            <w:tcW w:type="dxa" w:w="797"/>
          </w:tcPr>
          <w:p>
            <w:pPr>
              <w:pStyle w:val="Compact"/>
              <w:spacing w:before="20" w:after="20" w:line="240" w:lineRule="auto"/>
              <w:jc w:val="right"/>
            </w:pPr>
            <w:r>
              <w:rPr>
                <w:rFonts w:ascii="Liberation Sans Narrow" w:hAnsi="Liberation Sans Narrow"/>
                <w:b/>
                <w:sz w:val="17"/>
              </w:rPr>
              <w:t xml:space="preserve">142</w:t>
            </w:r>
          </w:p>
        </w:tc>
        <w:tc>
          <w:tcPr>
            <w:tcW w:type="dxa" w:w="1754"/>
          </w:tcPr>
          <w:p>
            <w:pPr>
              <w:pStyle w:val="Compact"/>
              <w:spacing w:before="20" w:after="20" w:line="240" w:lineRule="auto"/>
              <w:jc w:val="left"/>
            </w:pPr>
            <w:r>
              <w:rPr>
                <w:rFonts w:ascii="Liberation Sans Narrow" w:hAnsi="Liberation Sans Narrow"/>
                <w:b w:val="0"/>
                <w:sz w:val="17"/>
              </w:rPr>
              <w:t xml:space="preserve">Art. 1004</w:t>
            </w:r>
          </w:p>
        </w:tc>
        <w:tc>
          <w:tcPr>
            <w:tcW w:type="dxa" w:w="797"/>
          </w:tcPr>
          <w:p>
            <w:pPr>
              <w:pStyle w:val="Compact"/>
              <w:spacing w:before="20" w:after="20" w:line="240" w:lineRule="auto"/>
              <w:jc w:val="right"/>
            </w:pPr>
            <w:r>
              <w:rPr>
                <w:rFonts w:ascii="Liberation Sans Narrow" w:hAnsi="Liberation Sans Narrow"/>
                <w:b/>
                <w:sz w:val="17"/>
              </w:rPr>
              <w:t xml:space="preserve">181</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438</w:t>
            </w:r>
          </w:p>
        </w:tc>
        <w:tc>
          <w:tcPr>
            <w:tcW w:type="dxa" w:w="797"/>
          </w:tcPr>
          <w:p>
            <w:pPr>
              <w:pStyle w:val="Compact"/>
              <w:spacing w:before="20" w:after="20" w:line="240" w:lineRule="auto"/>
              <w:jc w:val="right"/>
            </w:pPr>
            <w:r>
              <w:rPr>
                <w:rFonts w:ascii="Liberation Sans Narrow" w:hAnsi="Liberation Sans Narrow"/>
                <w:b/>
                <w:sz w:val="17"/>
              </w:rPr>
              <w:t xml:space="preserve">55</w:t>
            </w:r>
          </w:p>
        </w:tc>
        <w:tc>
          <w:tcPr>
            <w:tcW w:type="dxa" w:w="1754"/>
          </w:tcPr>
          <w:p>
            <w:pPr>
              <w:pStyle w:val="Compact"/>
              <w:spacing w:before="20" w:after="20" w:line="240" w:lineRule="auto"/>
              <w:jc w:val="left"/>
            </w:pPr>
            <w:r>
              <w:rPr>
                <w:rFonts w:ascii="Liberation Sans Narrow" w:hAnsi="Liberation Sans Narrow"/>
                <w:b w:val="0"/>
                <w:sz w:val="17"/>
              </w:rPr>
              <w:t xml:space="preserve">Art. 627</w:t>
            </w:r>
          </w:p>
        </w:tc>
        <w:tc>
          <w:tcPr>
            <w:tcW w:type="dxa" w:w="797"/>
          </w:tcPr>
          <w:p>
            <w:pPr>
              <w:pStyle w:val="Compact"/>
              <w:spacing w:before="20" w:after="20" w:line="240" w:lineRule="auto"/>
              <w:jc w:val="right"/>
            </w:pPr>
            <w:r>
              <w:rPr>
                <w:rFonts w:ascii="Liberation Sans Narrow" w:hAnsi="Liberation Sans Narrow"/>
                <w:b/>
                <w:sz w:val="17"/>
              </w:rPr>
              <w:t xml:space="preserve">105</w:t>
            </w:r>
          </w:p>
        </w:tc>
        <w:tc>
          <w:tcPr>
            <w:tcW w:type="dxa" w:w="1754"/>
          </w:tcPr>
          <w:p>
            <w:pPr>
              <w:pStyle w:val="Compact"/>
              <w:spacing w:before="20" w:after="20" w:line="240" w:lineRule="auto"/>
              <w:jc w:val="left"/>
            </w:pPr>
            <w:r>
              <w:rPr>
                <w:rFonts w:ascii="Liberation Sans Narrow" w:hAnsi="Liberation Sans Narrow"/>
                <w:b w:val="0"/>
                <w:sz w:val="17"/>
              </w:rPr>
              <w:t xml:space="preserve">Art. 816</w:t>
            </w:r>
          </w:p>
        </w:tc>
        <w:tc>
          <w:tcPr>
            <w:tcW w:type="dxa" w:w="797"/>
          </w:tcPr>
          <w:p>
            <w:pPr>
              <w:pStyle w:val="Compact"/>
              <w:spacing w:before="20" w:after="20" w:line="240" w:lineRule="auto"/>
              <w:jc w:val="right"/>
            </w:pPr>
            <w:r>
              <w:rPr>
                <w:rFonts w:ascii="Liberation Sans Narrow" w:hAnsi="Liberation Sans Narrow"/>
                <w:b/>
                <w:sz w:val="17"/>
              </w:rPr>
              <w:t xml:space="preserve">142</w:t>
            </w:r>
          </w:p>
        </w:tc>
        <w:tc>
          <w:tcPr>
            <w:tcW w:type="dxa" w:w="1754"/>
          </w:tcPr>
          <w:p>
            <w:pPr>
              <w:pStyle w:val="Compact"/>
              <w:spacing w:before="20" w:after="20" w:line="240" w:lineRule="auto"/>
              <w:jc w:val="left"/>
            </w:pPr>
            <w:r>
              <w:rPr>
                <w:rFonts w:ascii="Liberation Sans Narrow" w:hAnsi="Liberation Sans Narrow"/>
                <w:b w:val="0"/>
                <w:sz w:val="17"/>
              </w:rPr>
              <w:t xml:space="preserve">Art. 1005</w:t>
            </w:r>
          </w:p>
        </w:tc>
        <w:tc>
          <w:tcPr>
            <w:tcW w:type="dxa" w:w="797"/>
          </w:tcPr>
          <w:p>
            <w:pPr>
              <w:pStyle w:val="Compact"/>
              <w:spacing w:before="20" w:after="20" w:line="240" w:lineRule="auto"/>
              <w:jc w:val="right"/>
            </w:pPr>
            <w:r>
              <w:rPr>
                <w:rFonts w:ascii="Liberation Sans Narrow" w:hAnsi="Liberation Sans Narrow"/>
                <w:b/>
                <w:sz w:val="17"/>
              </w:rPr>
              <w:t xml:space="preserve">181</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439</w:t>
            </w:r>
          </w:p>
        </w:tc>
        <w:tc>
          <w:tcPr>
            <w:tcW w:type="dxa" w:w="797"/>
          </w:tcPr>
          <w:p>
            <w:pPr>
              <w:pStyle w:val="Compact"/>
              <w:spacing w:before="20" w:after="20" w:line="240" w:lineRule="auto"/>
              <w:jc w:val="right"/>
            </w:pPr>
            <w:r>
              <w:rPr>
                <w:rFonts w:ascii="Liberation Sans Narrow" w:hAnsi="Liberation Sans Narrow"/>
                <w:b/>
                <w:sz w:val="17"/>
              </w:rPr>
              <w:t xml:space="preserve">56</w:t>
            </w:r>
          </w:p>
        </w:tc>
        <w:tc>
          <w:tcPr>
            <w:tcW w:type="dxa" w:w="1754"/>
          </w:tcPr>
          <w:p>
            <w:pPr>
              <w:pStyle w:val="Compact"/>
              <w:spacing w:before="20" w:after="20" w:line="240" w:lineRule="auto"/>
              <w:jc w:val="left"/>
            </w:pPr>
            <w:r>
              <w:rPr>
                <w:rFonts w:ascii="Liberation Sans Narrow" w:hAnsi="Liberation Sans Narrow"/>
                <w:b w:val="0"/>
                <w:sz w:val="17"/>
              </w:rPr>
              <w:t xml:space="preserve">Art. 628</w:t>
            </w:r>
          </w:p>
        </w:tc>
        <w:tc>
          <w:tcPr>
            <w:tcW w:type="dxa" w:w="797"/>
          </w:tcPr>
          <w:p>
            <w:pPr>
              <w:pStyle w:val="Compact"/>
              <w:spacing w:before="20" w:after="20" w:line="240" w:lineRule="auto"/>
              <w:jc w:val="right"/>
            </w:pPr>
            <w:r>
              <w:rPr>
                <w:rFonts w:ascii="Liberation Sans Narrow" w:hAnsi="Liberation Sans Narrow"/>
                <w:b/>
                <w:sz w:val="17"/>
              </w:rPr>
              <w:t xml:space="preserve">106</w:t>
            </w:r>
          </w:p>
        </w:tc>
        <w:tc>
          <w:tcPr>
            <w:tcW w:type="dxa" w:w="1754"/>
          </w:tcPr>
          <w:p>
            <w:pPr>
              <w:pStyle w:val="Compact"/>
              <w:spacing w:before="20" w:after="20" w:line="240" w:lineRule="auto"/>
              <w:jc w:val="left"/>
            </w:pPr>
            <w:r>
              <w:rPr>
                <w:rFonts w:ascii="Liberation Sans Narrow" w:hAnsi="Liberation Sans Narrow"/>
                <w:b w:val="0"/>
                <w:sz w:val="17"/>
              </w:rPr>
              <w:t xml:space="preserve">Art. 817</w:t>
            </w:r>
          </w:p>
        </w:tc>
        <w:tc>
          <w:tcPr>
            <w:tcW w:type="dxa" w:w="797"/>
          </w:tcPr>
          <w:p>
            <w:pPr>
              <w:pStyle w:val="Compact"/>
              <w:spacing w:before="20" w:after="20" w:line="240" w:lineRule="auto"/>
              <w:jc w:val="right"/>
            </w:pPr>
            <w:r>
              <w:rPr>
                <w:rFonts w:ascii="Liberation Sans Narrow" w:hAnsi="Liberation Sans Narrow"/>
                <w:b/>
                <w:sz w:val="17"/>
              </w:rPr>
              <w:t xml:space="preserve">142</w:t>
            </w:r>
          </w:p>
        </w:tc>
        <w:tc>
          <w:tcPr>
            <w:tcW w:type="dxa" w:w="1754"/>
          </w:tcPr>
          <w:p>
            <w:pPr>
              <w:pStyle w:val="Compact"/>
              <w:spacing w:before="20" w:after="20" w:line="240" w:lineRule="auto"/>
              <w:jc w:val="left"/>
            </w:pPr>
            <w:r>
              <w:rPr>
                <w:rFonts w:ascii="Liberation Sans Narrow" w:hAnsi="Liberation Sans Narrow"/>
                <w:b w:val="0"/>
                <w:sz w:val="17"/>
              </w:rPr>
              <w:t xml:space="preserve">Art. 1006</w:t>
            </w:r>
          </w:p>
        </w:tc>
        <w:tc>
          <w:tcPr>
            <w:tcW w:type="dxa" w:w="797"/>
          </w:tcPr>
          <w:p>
            <w:pPr>
              <w:pStyle w:val="Compact"/>
              <w:spacing w:before="20" w:after="20" w:line="240" w:lineRule="auto"/>
              <w:jc w:val="right"/>
            </w:pPr>
            <w:r>
              <w:rPr>
                <w:rFonts w:ascii="Liberation Sans Narrow" w:hAnsi="Liberation Sans Narrow"/>
                <w:b/>
                <w:sz w:val="17"/>
              </w:rPr>
              <w:t xml:space="preserve">181</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440</w:t>
            </w:r>
          </w:p>
        </w:tc>
        <w:tc>
          <w:tcPr>
            <w:tcW w:type="dxa" w:w="797"/>
          </w:tcPr>
          <w:p>
            <w:pPr>
              <w:pStyle w:val="Compact"/>
              <w:spacing w:before="20" w:after="20" w:line="240" w:lineRule="auto"/>
              <w:jc w:val="right"/>
            </w:pPr>
            <w:r>
              <w:rPr>
                <w:rFonts w:ascii="Liberation Sans Narrow" w:hAnsi="Liberation Sans Narrow"/>
                <w:b/>
                <w:sz w:val="17"/>
              </w:rPr>
              <w:t xml:space="preserve">56</w:t>
            </w:r>
          </w:p>
        </w:tc>
        <w:tc>
          <w:tcPr>
            <w:tcW w:type="dxa" w:w="1754"/>
          </w:tcPr>
          <w:p>
            <w:pPr>
              <w:pStyle w:val="Compact"/>
              <w:spacing w:before="20" w:after="20" w:line="240" w:lineRule="auto"/>
              <w:jc w:val="left"/>
            </w:pPr>
            <w:r>
              <w:rPr>
                <w:rFonts w:ascii="Liberation Sans Narrow" w:hAnsi="Liberation Sans Narrow"/>
                <w:b w:val="0"/>
                <w:sz w:val="17"/>
              </w:rPr>
              <w:t xml:space="preserve">Art. 629</w:t>
            </w:r>
          </w:p>
        </w:tc>
        <w:tc>
          <w:tcPr>
            <w:tcW w:type="dxa" w:w="797"/>
          </w:tcPr>
          <w:p>
            <w:pPr>
              <w:pStyle w:val="Compact"/>
              <w:spacing w:before="20" w:after="20" w:line="240" w:lineRule="auto"/>
              <w:jc w:val="right"/>
            </w:pPr>
            <w:r>
              <w:rPr>
                <w:rFonts w:ascii="Liberation Sans Narrow" w:hAnsi="Liberation Sans Narrow"/>
                <w:b/>
                <w:sz w:val="17"/>
              </w:rPr>
              <w:t xml:space="preserve">106</w:t>
            </w:r>
          </w:p>
        </w:tc>
        <w:tc>
          <w:tcPr>
            <w:tcW w:type="dxa" w:w="1754"/>
          </w:tcPr>
          <w:p>
            <w:pPr>
              <w:pStyle w:val="Compact"/>
              <w:spacing w:before="20" w:after="20" w:line="240" w:lineRule="auto"/>
              <w:jc w:val="left"/>
            </w:pPr>
            <w:r>
              <w:rPr>
                <w:rFonts w:ascii="Liberation Sans Narrow" w:hAnsi="Liberation Sans Narrow"/>
                <w:b w:val="0"/>
                <w:sz w:val="17"/>
              </w:rPr>
              <w:t xml:space="preserve">Art. 818</w:t>
            </w:r>
          </w:p>
        </w:tc>
        <w:tc>
          <w:tcPr>
            <w:tcW w:type="dxa" w:w="797"/>
          </w:tcPr>
          <w:p>
            <w:pPr>
              <w:pStyle w:val="Compact"/>
              <w:spacing w:before="20" w:after="20" w:line="240" w:lineRule="auto"/>
              <w:jc w:val="right"/>
            </w:pPr>
            <w:r>
              <w:rPr>
                <w:rFonts w:ascii="Liberation Sans Narrow" w:hAnsi="Liberation Sans Narrow"/>
                <w:b/>
                <w:sz w:val="17"/>
              </w:rPr>
              <w:t xml:space="preserve">142</w:t>
            </w:r>
          </w:p>
        </w:tc>
        <w:tc>
          <w:tcPr>
            <w:tcW w:type="dxa" w:w="1754"/>
          </w:tcPr>
          <w:p>
            <w:pPr>
              <w:pStyle w:val="Compact"/>
              <w:spacing w:before="20" w:after="20" w:line="240" w:lineRule="auto"/>
              <w:jc w:val="left"/>
            </w:pPr>
            <w:r>
              <w:rPr>
                <w:rFonts w:ascii="Liberation Sans Narrow" w:hAnsi="Liberation Sans Narrow"/>
                <w:b w:val="0"/>
                <w:sz w:val="17"/>
              </w:rPr>
              <w:t xml:space="preserve">Art. 1007</w:t>
            </w:r>
          </w:p>
        </w:tc>
        <w:tc>
          <w:tcPr>
            <w:tcW w:type="dxa" w:w="797"/>
          </w:tcPr>
          <w:p>
            <w:pPr>
              <w:pStyle w:val="Compact"/>
              <w:spacing w:before="20" w:after="20" w:line="240" w:lineRule="auto"/>
              <w:jc w:val="right"/>
            </w:pPr>
            <w:r>
              <w:rPr>
                <w:rFonts w:ascii="Liberation Sans Narrow" w:hAnsi="Liberation Sans Narrow"/>
                <w:b/>
                <w:sz w:val="17"/>
              </w:rPr>
              <w:t xml:space="preserve">182</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441</w:t>
            </w:r>
          </w:p>
        </w:tc>
        <w:tc>
          <w:tcPr>
            <w:tcW w:type="dxa" w:w="797"/>
          </w:tcPr>
          <w:p>
            <w:pPr>
              <w:pStyle w:val="Compact"/>
              <w:spacing w:before="20" w:after="20" w:line="240" w:lineRule="auto"/>
              <w:jc w:val="right"/>
            </w:pPr>
            <w:r>
              <w:rPr>
                <w:rFonts w:ascii="Liberation Sans Narrow" w:hAnsi="Liberation Sans Narrow"/>
                <w:b/>
                <w:sz w:val="17"/>
              </w:rPr>
              <w:t xml:space="preserve">56</w:t>
            </w:r>
          </w:p>
        </w:tc>
        <w:tc>
          <w:tcPr>
            <w:tcW w:type="dxa" w:w="1754"/>
          </w:tcPr>
          <w:p>
            <w:pPr>
              <w:pStyle w:val="Compact"/>
              <w:spacing w:before="20" w:after="20" w:line="240" w:lineRule="auto"/>
              <w:jc w:val="left"/>
            </w:pPr>
            <w:r>
              <w:rPr>
                <w:rFonts w:ascii="Liberation Sans Narrow" w:hAnsi="Liberation Sans Narrow"/>
                <w:b w:val="0"/>
                <w:sz w:val="17"/>
              </w:rPr>
              <w:t xml:space="preserve">Art. 630</w:t>
            </w:r>
          </w:p>
        </w:tc>
        <w:tc>
          <w:tcPr>
            <w:tcW w:type="dxa" w:w="797"/>
          </w:tcPr>
          <w:p>
            <w:pPr>
              <w:pStyle w:val="Compact"/>
              <w:spacing w:before="20" w:after="20" w:line="240" w:lineRule="auto"/>
              <w:jc w:val="right"/>
            </w:pPr>
            <w:r>
              <w:rPr>
                <w:rFonts w:ascii="Liberation Sans Narrow" w:hAnsi="Liberation Sans Narrow"/>
                <w:b/>
                <w:sz w:val="17"/>
              </w:rPr>
              <w:t xml:space="preserve">106</w:t>
            </w:r>
          </w:p>
        </w:tc>
        <w:tc>
          <w:tcPr>
            <w:tcW w:type="dxa" w:w="1754"/>
          </w:tcPr>
          <w:p>
            <w:pPr>
              <w:pStyle w:val="Compact"/>
              <w:spacing w:before="20" w:after="20" w:line="240" w:lineRule="auto"/>
              <w:jc w:val="left"/>
            </w:pPr>
            <w:r>
              <w:rPr>
                <w:rFonts w:ascii="Liberation Sans Narrow" w:hAnsi="Liberation Sans Narrow"/>
                <w:b w:val="0"/>
                <w:sz w:val="17"/>
              </w:rPr>
              <w:t xml:space="preserve">Art. 819</w:t>
            </w:r>
          </w:p>
        </w:tc>
        <w:tc>
          <w:tcPr>
            <w:tcW w:type="dxa" w:w="797"/>
          </w:tcPr>
          <w:p>
            <w:pPr>
              <w:pStyle w:val="Compact"/>
              <w:spacing w:before="20" w:after="20" w:line="240" w:lineRule="auto"/>
              <w:jc w:val="right"/>
            </w:pPr>
            <w:r>
              <w:rPr>
                <w:rFonts w:ascii="Liberation Sans Narrow" w:hAnsi="Liberation Sans Narrow"/>
                <w:b/>
                <w:sz w:val="17"/>
              </w:rPr>
              <w:t xml:space="preserve">142</w:t>
            </w:r>
          </w:p>
        </w:tc>
        <w:tc>
          <w:tcPr>
            <w:tcW w:type="dxa" w:w="1754"/>
          </w:tcPr>
          <w:p>
            <w:pPr>
              <w:pStyle w:val="Compact"/>
              <w:spacing w:before="20" w:after="20" w:line="240" w:lineRule="auto"/>
              <w:jc w:val="left"/>
            </w:pPr>
            <w:r>
              <w:rPr>
                <w:rFonts w:ascii="Liberation Sans Narrow" w:hAnsi="Liberation Sans Narrow"/>
                <w:b w:val="0"/>
                <w:sz w:val="17"/>
              </w:rPr>
              <w:t xml:space="preserve">Art. 1008</w:t>
            </w:r>
          </w:p>
        </w:tc>
        <w:tc>
          <w:tcPr>
            <w:tcW w:type="dxa" w:w="797"/>
          </w:tcPr>
          <w:p>
            <w:pPr>
              <w:pStyle w:val="Compact"/>
              <w:spacing w:before="20" w:after="20" w:line="240" w:lineRule="auto"/>
              <w:jc w:val="right"/>
            </w:pPr>
            <w:r>
              <w:rPr>
                <w:rFonts w:ascii="Liberation Sans Narrow" w:hAnsi="Liberation Sans Narrow"/>
                <w:b/>
                <w:sz w:val="17"/>
              </w:rPr>
              <w:t xml:space="preserve">182</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442</w:t>
            </w:r>
          </w:p>
        </w:tc>
        <w:tc>
          <w:tcPr>
            <w:tcW w:type="dxa" w:w="797"/>
          </w:tcPr>
          <w:p>
            <w:pPr>
              <w:pStyle w:val="Compact"/>
              <w:spacing w:before="20" w:after="20" w:line="240" w:lineRule="auto"/>
              <w:jc w:val="right"/>
            </w:pPr>
            <w:r>
              <w:rPr>
                <w:rFonts w:ascii="Liberation Sans Narrow" w:hAnsi="Liberation Sans Narrow"/>
                <w:b/>
                <w:sz w:val="17"/>
              </w:rPr>
              <w:t xml:space="preserve">56</w:t>
            </w:r>
          </w:p>
        </w:tc>
        <w:tc>
          <w:tcPr>
            <w:tcW w:type="dxa" w:w="1754"/>
          </w:tcPr>
          <w:p>
            <w:pPr>
              <w:pStyle w:val="Compact"/>
              <w:spacing w:before="20" w:after="20" w:line="240" w:lineRule="auto"/>
              <w:jc w:val="left"/>
            </w:pPr>
            <w:r>
              <w:rPr>
                <w:rFonts w:ascii="Liberation Sans Narrow" w:hAnsi="Liberation Sans Narrow"/>
                <w:b w:val="0"/>
                <w:sz w:val="17"/>
              </w:rPr>
              <w:t xml:space="preserve">Art. 631</w:t>
            </w:r>
          </w:p>
        </w:tc>
        <w:tc>
          <w:tcPr>
            <w:tcW w:type="dxa" w:w="797"/>
          </w:tcPr>
          <w:p>
            <w:pPr>
              <w:pStyle w:val="Compact"/>
              <w:spacing w:before="20" w:after="20" w:line="240" w:lineRule="auto"/>
              <w:jc w:val="right"/>
            </w:pPr>
            <w:r>
              <w:rPr>
                <w:rFonts w:ascii="Liberation Sans Narrow" w:hAnsi="Liberation Sans Narrow"/>
                <w:b/>
                <w:sz w:val="17"/>
              </w:rPr>
              <w:t xml:space="preserve">106</w:t>
            </w:r>
          </w:p>
        </w:tc>
        <w:tc>
          <w:tcPr>
            <w:tcW w:type="dxa" w:w="1754"/>
          </w:tcPr>
          <w:p>
            <w:pPr>
              <w:pStyle w:val="Compact"/>
              <w:spacing w:before="20" w:after="20" w:line="240" w:lineRule="auto"/>
              <w:jc w:val="left"/>
            </w:pPr>
            <w:r>
              <w:rPr>
                <w:rFonts w:ascii="Liberation Sans Narrow" w:hAnsi="Liberation Sans Narrow"/>
                <w:b w:val="0"/>
                <w:sz w:val="17"/>
              </w:rPr>
              <w:t xml:space="preserve">Art. 820</w:t>
            </w:r>
          </w:p>
        </w:tc>
        <w:tc>
          <w:tcPr>
            <w:tcW w:type="dxa" w:w="797"/>
          </w:tcPr>
          <w:p>
            <w:pPr>
              <w:pStyle w:val="Compact"/>
              <w:spacing w:before="20" w:after="20" w:line="240" w:lineRule="auto"/>
              <w:jc w:val="right"/>
            </w:pPr>
            <w:r>
              <w:rPr>
                <w:rFonts w:ascii="Liberation Sans Narrow" w:hAnsi="Liberation Sans Narrow"/>
                <w:b/>
                <w:sz w:val="17"/>
              </w:rPr>
              <w:t xml:space="preserve">142</w:t>
            </w:r>
          </w:p>
        </w:tc>
        <w:tc>
          <w:tcPr>
            <w:tcW w:type="dxa" w:w="1754"/>
          </w:tcPr>
          <w:p>
            <w:pPr>
              <w:pStyle w:val="Compact"/>
              <w:spacing w:before="20" w:after="20" w:line="240" w:lineRule="auto"/>
              <w:jc w:val="left"/>
            </w:pPr>
            <w:r>
              <w:rPr>
                <w:rFonts w:ascii="Liberation Sans Narrow" w:hAnsi="Liberation Sans Narrow"/>
                <w:b w:val="0"/>
                <w:sz w:val="17"/>
              </w:rPr>
              <w:t xml:space="preserve">Art. 1010</w:t>
            </w:r>
          </w:p>
        </w:tc>
        <w:tc>
          <w:tcPr>
            <w:tcW w:type="dxa" w:w="797"/>
          </w:tcPr>
          <w:p>
            <w:pPr>
              <w:pStyle w:val="Compact"/>
              <w:spacing w:before="20" w:after="20" w:line="240" w:lineRule="auto"/>
              <w:jc w:val="right"/>
            </w:pPr>
            <w:r>
              <w:rPr>
                <w:rFonts w:ascii="Liberation Sans Narrow" w:hAnsi="Liberation Sans Narrow"/>
                <w:b/>
                <w:sz w:val="17"/>
              </w:rPr>
              <w:t xml:space="preserve">182</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443</w:t>
            </w:r>
          </w:p>
        </w:tc>
        <w:tc>
          <w:tcPr>
            <w:tcW w:type="dxa" w:w="797"/>
          </w:tcPr>
          <w:p>
            <w:pPr>
              <w:pStyle w:val="Compact"/>
              <w:spacing w:before="20" w:after="20" w:line="240" w:lineRule="auto"/>
              <w:jc w:val="right"/>
            </w:pPr>
            <w:r>
              <w:rPr>
                <w:rFonts w:ascii="Liberation Sans Narrow" w:hAnsi="Liberation Sans Narrow"/>
                <w:b/>
                <w:sz w:val="17"/>
              </w:rPr>
              <w:t xml:space="preserve">57</w:t>
            </w:r>
          </w:p>
        </w:tc>
        <w:tc>
          <w:tcPr>
            <w:tcW w:type="dxa" w:w="1754"/>
          </w:tcPr>
          <w:p>
            <w:pPr>
              <w:pStyle w:val="Compact"/>
              <w:spacing w:before="20" w:after="20" w:line="240" w:lineRule="auto"/>
              <w:jc w:val="left"/>
            </w:pPr>
            <w:r>
              <w:rPr>
                <w:rFonts w:ascii="Liberation Sans Narrow" w:hAnsi="Liberation Sans Narrow"/>
                <w:b w:val="0"/>
                <w:sz w:val="17"/>
              </w:rPr>
              <w:t xml:space="preserve">Art. 632</w:t>
            </w:r>
          </w:p>
        </w:tc>
        <w:tc>
          <w:tcPr>
            <w:tcW w:type="dxa" w:w="797"/>
          </w:tcPr>
          <w:p>
            <w:pPr>
              <w:pStyle w:val="Compact"/>
              <w:spacing w:before="20" w:after="20" w:line="240" w:lineRule="auto"/>
              <w:jc w:val="right"/>
            </w:pPr>
            <w:r>
              <w:rPr>
                <w:rFonts w:ascii="Liberation Sans Narrow" w:hAnsi="Liberation Sans Narrow"/>
                <w:b/>
                <w:sz w:val="17"/>
              </w:rPr>
              <w:t xml:space="preserve">106</w:t>
            </w:r>
          </w:p>
        </w:tc>
        <w:tc>
          <w:tcPr>
            <w:tcW w:type="dxa" w:w="1754"/>
          </w:tcPr>
          <w:p>
            <w:pPr>
              <w:pStyle w:val="Compact"/>
              <w:spacing w:before="20" w:after="20" w:line="240" w:lineRule="auto"/>
              <w:jc w:val="left"/>
            </w:pPr>
            <w:r>
              <w:rPr>
                <w:rFonts w:ascii="Liberation Sans Narrow" w:hAnsi="Liberation Sans Narrow"/>
                <w:b w:val="0"/>
                <w:sz w:val="17"/>
              </w:rPr>
              <w:t xml:space="preserve">Art. 821</w:t>
            </w:r>
          </w:p>
        </w:tc>
        <w:tc>
          <w:tcPr>
            <w:tcW w:type="dxa" w:w="797"/>
          </w:tcPr>
          <w:p>
            <w:pPr>
              <w:pStyle w:val="Compact"/>
              <w:spacing w:before="20" w:after="20" w:line="240" w:lineRule="auto"/>
              <w:jc w:val="right"/>
            </w:pPr>
            <w:r>
              <w:rPr>
                <w:rFonts w:ascii="Liberation Sans Narrow" w:hAnsi="Liberation Sans Narrow"/>
                <w:b/>
                <w:sz w:val="17"/>
              </w:rPr>
              <w:t xml:space="preserve">142</w:t>
            </w:r>
          </w:p>
        </w:tc>
        <w:tc>
          <w:tcPr>
            <w:tcW w:type="dxa" w:w="1754"/>
          </w:tcPr>
          <w:p>
            <w:pPr>
              <w:pStyle w:val="Compact"/>
              <w:spacing w:before="20" w:after="20" w:line="240" w:lineRule="auto"/>
              <w:jc w:val="left"/>
            </w:pPr>
            <w:r>
              <w:rPr>
                <w:rFonts w:ascii="Liberation Sans Narrow" w:hAnsi="Liberation Sans Narrow"/>
                <w:b w:val="0"/>
                <w:sz w:val="17"/>
              </w:rPr>
              <w:t xml:space="preserve">Art. 1011</w:t>
            </w:r>
          </w:p>
        </w:tc>
        <w:tc>
          <w:tcPr>
            <w:tcW w:type="dxa" w:w="797"/>
          </w:tcPr>
          <w:p>
            <w:pPr>
              <w:pStyle w:val="Compact"/>
              <w:spacing w:before="20" w:after="20" w:line="240" w:lineRule="auto"/>
              <w:jc w:val="right"/>
            </w:pPr>
            <w:r>
              <w:rPr>
                <w:rFonts w:ascii="Liberation Sans Narrow" w:hAnsi="Liberation Sans Narrow"/>
                <w:b/>
                <w:sz w:val="17"/>
              </w:rPr>
              <w:t xml:space="preserve">182</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444</w:t>
            </w:r>
          </w:p>
        </w:tc>
        <w:tc>
          <w:tcPr>
            <w:tcW w:type="dxa" w:w="797"/>
          </w:tcPr>
          <w:p>
            <w:pPr>
              <w:pStyle w:val="Compact"/>
              <w:spacing w:before="20" w:after="20" w:line="240" w:lineRule="auto"/>
              <w:jc w:val="right"/>
            </w:pPr>
            <w:r>
              <w:rPr>
                <w:rFonts w:ascii="Liberation Sans Narrow" w:hAnsi="Liberation Sans Narrow"/>
                <w:b/>
                <w:sz w:val="17"/>
              </w:rPr>
              <w:t xml:space="preserve">57</w:t>
            </w:r>
          </w:p>
        </w:tc>
        <w:tc>
          <w:tcPr>
            <w:tcW w:type="dxa" w:w="1754"/>
          </w:tcPr>
          <w:p>
            <w:pPr>
              <w:pStyle w:val="Compact"/>
              <w:spacing w:before="20" w:after="20" w:line="240" w:lineRule="auto"/>
              <w:jc w:val="left"/>
            </w:pPr>
            <w:r>
              <w:rPr>
                <w:rFonts w:ascii="Liberation Sans Narrow" w:hAnsi="Liberation Sans Narrow"/>
                <w:b w:val="0"/>
                <w:sz w:val="17"/>
              </w:rPr>
              <w:t xml:space="preserve">Art. 633</w:t>
            </w:r>
          </w:p>
        </w:tc>
        <w:tc>
          <w:tcPr>
            <w:tcW w:type="dxa" w:w="797"/>
          </w:tcPr>
          <w:p>
            <w:pPr>
              <w:pStyle w:val="Compact"/>
              <w:spacing w:before="20" w:after="20" w:line="240" w:lineRule="auto"/>
              <w:jc w:val="right"/>
            </w:pPr>
            <w:r>
              <w:rPr>
                <w:rFonts w:ascii="Liberation Sans Narrow" w:hAnsi="Liberation Sans Narrow"/>
                <w:b/>
                <w:sz w:val="17"/>
              </w:rPr>
              <w:t xml:space="preserve">106</w:t>
            </w:r>
          </w:p>
        </w:tc>
        <w:tc>
          <w:tcPr>
            <w:tcW w:type="dxa" w:w="1754"/>
          </w:tcPr>
          <w:p>
            <w:pPr>
              <w:pStyle w:val="Compact"/>
              <w:spacing w:before="20" w:after="20" w:line="240" w:lineRule="auto"/>
              <w:jc w:val="left"/>
            </w:pPr>
            <w:r>
              <w:rPr>
                <w:rFonts w:ascii="Liberation Sans Narrow" w:hAnsi="Liberation Sans Narrow"/>
                <w:b w:val="0"/>
                <w:sz w:val="17"/>
              </w:rPr>
              <w:t xml:space="preserve">Art. 822</w:t>
            </w:r>
          </w:p>
        </w:tc>
        <w:tc>
          <w:tcPr>
            <w:tcW w:type="dxa" w:w="797"/>
          </w:tcPr>
          <w:p>
            <w:pPr>
              <w:pStyle w:val="Compact"/>
              <w:spacing w:before="20" w:after="20" w:line="240" w:lineRule="auto"/>
              <w:jc w:val="right"/>
            </w:pPr>
            <w:r>
              <w:rPr>
                <w:rFonts w:ascii="Liberation Sans Narrow" w:hAnsi="Liberation Sans Narrow"/>
                <w:b/>
                <w:sz w:val="17"/>
              </w:rPr>
              <w:t xml:space="preserve">142</w:t>
            </w:r>
          </w:p>
        </w:tc>
        <w:tc>
          <w:tcPr>
            <w:tcW w:type="dxa" w:w="1754"/>
          </w:tcPr>
          <w:p>
            <w:pPr>
              <w:pStyle w:val="Compact"/>
              <w:spacing w:before="20" w:after="20" w:line="240" w:lineRule="auto"/>
              <w:jc w:val="left"/>
            </w:pPr>
            <w:r>
              <w:rPr>
                <w:rFonts w:ascii="Liberation Sans Narrow" w:hAnsi="Liberation Sans Narrow"/>
                <w:b w:val="0"/>
                <w:sz w:val="17"/>
              </w:rPr>
              <w:t xml:space="preserve">Art. 1012</w:t>
            </w:r>
          </w:p>
        </w:tc>
        <w:tc>
          <w:tcPr>
            <w:tcW w:type="dxa" w:w="797"/>
          </w:tcPr>
          <w:p>
            <w:pPr>
              <w:pStyle w:val="Compact"/>
              <w:spacing w:before="20" w:after="20" w:line="240" w:lineRule="auto"/>
              <w:jc w:val="right"/>
            </w:pPr>
            <w:r>
              <w:rPr>
                <w:rFonts w:ascii="Liberation Sans Narrow" w:hAnsi="Liberation Sans Narrow"/>
                <w:b/>
                <w:sz w:val="17"/>
              </w:rPr>
              <w:t xml:space="preserve">182</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445</w:t>
            </w:r>
          </w:p>
        </w:tc>
        <w:tc>
          <w:tcPr>
            <w:tcW w:type="dxa" w:w="797"/>
          </w:tcPr>
          <w:p>
            <w:pPr>
              <w:pStyle w:val="Compact"/>
              <w:spacing w:before="20" w:after="20" w:line="240" w:lineRule="auto"/>
              <w:jc w:val="right"/>
            </w:pPr>
            <w:r>
              <w:rPr>
                <w:rFonts w:ascii="Liberation Sans Narrow" w:hAnsi="Liberation Sans Narrow"/>
                <w:b/>
                <w:sz w:val="17"/>
              </w:rPr>
              <w:t xml:space="preserve">57</w:t>
            </w:r>
          </w:p>
        </w:tc>
        <w:tc>
          <w:tcPr>
            <w:tcW w:type="dxa" w:w="1754"/>
          </w:tcPr>
          <w:p>
            <w:pPr>
              <w:pStyle w:val="Compact"/>
              <w:spacing w:before="20" w:after="20" w:line="240" w:lineRule="auto"/>
              <w:jc w:val="left"/>
            </w:pPr>
            <w:r>
              <w:rPr>
                <w:rFonts w:ascii="Liberation Sans Narrow" w:hAnsi="Liberation Sans Narrow"/>
                <w:b w:val="0"/>
                <w:sz w:val="17"/>
              </w:rPr>
              <w:t xml:space="preserve">Art. 634</w:t>
            </w:r>
          </w:p>
        </w:tc>
        <w:tc>
          <w:tcPr>
            <w:tcW w:type="dxa" w:w="797"/>
          </w:tcPr>
          <w:p>
            <w:pPr>
              <w:pStyle w:val="Compact"/>
              <w:spacing w:before="20" w:after="20" w:line="240" w:lineRule="auto"/>
              <w:jc w:val="right"/>
            </w:pPr>
            <w:r>
              <w:rPr>
                <w:rFonts w:ascii="Liberation Sans Narrow" w:hAnsi="Liberation Sans Narrow"/>
                <w:b/>
                <w:sz w:val="17"/>
              </w:rPr>
              <w:t xml:space="preserve">106</w:t>
            </w:r>
          </w:p>
        </w:tc>
        <w:tc>
          <w:tcPr>
            <w:tcW w:type="dxa" w:w="1754"/>
          </w:tcPr>
          <w:p>
            <w:pPr>
              <w:pStyle w:val="Compact"/>
              <w:spacing w:before="20" w:after="20" w:line="240" w:lineRule="auto"/>
              <w:jc w:val="left"/>
            </w:pPr>
            <w:r>
              <w:rPr>
                <w:rFonts w:ascii="Liberation Sans Narrow" w:hAnsi="Liberation Sans Narrow"/>
                <w:b w:val="0"/>
                <w:sz w:val="17"/>
              </w:rPr>
              <w:t xml:space="preserve">Art. 823</w:t>
            </w:r>
          </w:p>
        </w:tc>
        <w:tc>
          <w:tcPr>
            <w:tcW w:type="dxa" w:w="797"/>
          </w:tcPr>
          <w:p>
            <w:pPr>
              <w:pStyle w:val="Compact"/>
              <w:spacing w:before="20" w:after="20" w:line="240" w:lineRule="auto"/>
              <w:jc w:val="right"/>
            </w:pPr>
            <w:r>
              <w:rPr>
                <w:rFonts w:ascii="Liberation Sans Narrow" w:hAnsi="Liberation Sans Narrow"/>
                <w:b/>
                <w:sz w:val="17"/>
              </w:rPr>
              <w:t xml:space="preserve">142</w:t>
            </w:r>
          </w:p>
        </w:tc>
        <w:tc>
          <w:tcPr>
            <w:tcW w:type="dxa" w:w="1754"/>
          </w:tcPr>
          <w:p>
            <w:pPr>
              <w:pStyle w:val="Compact"/>
              <w:spacing w:before="20" w:after="20" w:line="240" w:lineRule="auto"/>
              <w:jc w:val="left"/>
            </w:pPr>
            <w:r>
              <w:rPr>
                <w:rFonts w:ascii="Liberation Sans Narrow" w:hAnsi="Liberation Sans Narrow"/>
                <w:b w:val="0"/>
                <w:sz w:val="17"/>
              </w:rPr>
              <w:t xml:space="preserve">Art. 1013</w:t>
            </w:r>
          </w:p>
        </w:tc>
        <w:tc>
          <w:tcPr>
            <w:tcW w:type="dxa" w:w="797"/>
          </w:tcPr>
          <w:p>
            <w:pPr>
              <w:pStyle w:val="Compact"/>
              <w:spacing w:before="20" w:after="20" w:line="240" w:lineRule="auto"/>
              <w:jc w:val="right"/>
            </w:pPr>
            <w:r>
              <w:rPr>
                <w:rFonts w:ascii="Liberation Sans Narrow" w:hAnsi="Liberation Sans Narrow"/>
                <w:b/>
                <w:sz w:val="17"/>
              </w:rPr>
              <w:t xml:space="preserve">183</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446</w:t>
            </w:r>
          </w:p>
        </w:tc>
        <w:tc>
          <w:tcPr>
            <w:tcW w:type="dxa" w:w="797"/>
          </w:tcPr>
          <w:p>
            <w:pPr>
              <w:pStyle w:val="Compact"/>
              <w:spacing w:before="20" w:after="20" w:line="240" w:lineRule="auto"/>
              <w:jc w:val="right"/>
            </w:pPr>
            <w:r>
              <w:rPr>
                <w:rFonts w:ascii="Liberation Sans Narrow" w:hAnsi="Liberation Sans Narrow"/>
                <w:b/>
                <w:sz w:val="17"/>
              </w:rPr>
              <w:t xml:space="preserve">57</w:t>
            </w:r>
          </w:p>
        </w:tc>
        <w:tc>
          <w:tcPr>
            <w:tcW w:type="dxa" w:w="1754"/>
          </w:tcPr>
          <w:p>
            <w:pPr>
              <w:pStyle w:val="Compact"/>
              <w:spacing w:before="20" w:after="20" w:line="240" w:lineRule="auto"/>
              <w:jc w:val="left"/>
            </w:pPr>
            <w:r>
              <w:rPr>
                <w:rFonts w:ascii="Liberation Sans Narrow" w:hAnsi="Liberation Sans Narrow"/>
                <w:b w:val="0"/>
                <w:sz w:val="17"/>
              </w:rPr>
              <w:t xml:space="preserve">Art. 635</w:t>
            </w:r>
          </w:p>
        </w:tc>
        <w:tc>
          <w:tcPr>
            <w:tcW w:type="dxa" w:w="797"/>
          </w:tcPr>
          <w:p>
            <w:pPr>
              <w:pStyle w:val="Compact"/>
              <w:spacing w:before="20" w:after="20" w:line="240" w:lineRule="auto"/>
              <w:jc w:val="right"/>
            </w:pPr>
            <w:r>
              <w:rPr>
                <w:rFonts w:ascii="Liberation Sans Narrow" w:hAnsi="Liberation Sans Narrow"/>
                <w:b/>
                <w:sz w:val="17"/>
              </w:rPr>
              <w:t xml:space="preserve">106</w:t>
            </w:r>
          </w:p>
        </w:tc>
        <w:tc>
          <w:tcPr>
            <w:tcW w:type="dxa" w:w="1754"/>
          </w:tcPr>
          <w:p>
            <w:pPr>
              <w:pStyle w:val="Compact"/>
              <w:spacing w:before="20" w:after="20" w:line="240" w:lineRule="auto"/>
              <w:jc w:val="left"/>
            </w:pPr>
            <w:r>
              <w:rPr>
                <w:rFonts w:ascii="Liberation Sans Narrow" w:hAnsi="Liberation Sans Narrow"/>
                <w:b w:val="0"/>
                <w:sz w:val="17"/>
              </w:rPr>
              <w:t xml:space="preserve">Art. 824</w:t>
            </w:r>
          </w:p>
        </w:tc>
        <w:tc>
          <w:tcPr>
            <w:tcW w:type="dxa" w:w="797"/>
          </w:tcPr>
          <w:p>
            <w:pPr>
              <w:pStyle w:val="Compact"/>
              <w:spacing w:before="20" w:after="20" w:line="240" w:lineRule="auto"/>
              <w:jc w:val="right"/>
            </w:pPr>
            <w:r>
              <w:rPr>
                <w:rFonts w:ascii="Liberation Sans Narrow" w:hAnsi="Liberation Sans Narrow"/>
                <w:b/>
                <w:sz w:val="17"/>
              </w:rPr>
              <w:t xml:space="preserve">142</w:t>
            </w:r>
          </w:p>
        </w:tc>
        <w:tc>
          <w:tcPr>
            <w:tcW w:type="dxa" w:w="1754"/>
          </w:tcPr>
          <w:p>
            <w:pPr>
              <w:pStyle w:val="Compact"/>
              <w:spacing w:before="20" w:after="20" w:line="240" w:lineRule="auto"/>
              <w:jc w:val="left"/>
            </w:pPr>
            <w:r>
              <w:rPr>
                <w:rFonts w:ascii="Liberation Sans Narrow" w:hAnsi="Liberation Sans Narrow"/>
                <w:b w:val="0"/>
                <w:sz w:val="17"/>
              </w:rPr>
              <w:t xml:space="preserve">Art. 1014</w:t>
            </w:r>
          </w:p>
        </w:tc>
        <w:tc>
          <w:tcPr>
            <w:tcW w:type="dxa" w:w="797"/>
          </w:tcPr>
          <w:p>
            <w:pPr>
              <w:pStyle w:val="Compact"/>
              <w:spacing w:before="20" w:after="20" w:line="240" w:lineRule="auto"/>
              <w:jc w:val="right"/>
            </w:pPr>
            <w:r>
              <w:rPr>
                <w:rFonts w:ascii="Liberation Sans Narrow" w:hAnsi="Liberation Sans Narrow"/>
                <w:b/>
                <w:sz w:val="17"/>
              </w:rPr>
              <w:t xml:space="preserve">183</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447</w:t>
            </w:r>
          </w:p>
        </w:tc>
        <w:tc>
          <w:tcPr>
            <w:tcW w:type="dxa" w:w="797"/>
          </w:tcPr>
          <w:p>
            <w:pPr>
              <w:pStyle w:val="Compact"/>
              <w:spacing w:before="20" w:after="20" w:line="240" w:lineRule="auto"/>
              <w:jc w:val="right"/>
            </w:pPr>
            <w:r>
              <w:rPr>
                <w:rFonts w:ascii="Liberation Sans Narrow" w:hAnsi="Liberation Sans Narrow"/>
                <w:b/>
                <w:sz w:val="17"/>
              </w:rPr>
              <w:t xml:space="preserve">57</w:t>
            </w:r>
          </w:p>
        </w:tc>
        <w:tc>
          <w:tcPr>
            <w:tcW w:type="dxa" w:w="1754"/>
          </w:tcPr>
          <w:p>
            <w:pPr>
              <w:pStyle w:val="Compact"/>
              <w:spacing w:before="20" w:after="20" w:line="240" w:lineRule="auto"/>
              <w:jc w:val="left"/>
            </w:pPr>
            <w:r>
              <w:rPr>
                <w:rFonts w:ascii="Liberation Sans Narrow" w:hAnsi="Liberation Sans Narrow"/>
                <w:b w:val="0"/>
                <w:sz w:val="17"/>
              </w:rPr>
              <w:t xml:space="preserve">Art. 636</w:t>
            </w:r>
          </w:p>
        </w:tc>
        <w:tc>
          <w:tcPr>
            <w:tcW w:type="dxa" w:w="797"/>
          </w:tcPr>
          <w:p>
            <w:pPr>
              <w:pStyle w:val="Compact"/>
              <w:spacing w:before="20" w:after="20" w:line="240" w:lineRule="auto"/>
              <w:jc w:val="right"/>
            </w:pPr>
            <w:r>
              <w:rPr>
                <w:rFonts w:ascii="Liberation Sans Narrow" w:hAnsi="Liberation Sans Narrow"/>
                <w:b/>
                <w:sz w:val="17"/>
              </w:rPr>
              <w:t xml:space="preserve">106</w:t>
            </w:r>
          </w:p>
        </w:tc>
        <w:tc>
          <w:tcPr>
            <w:tcW w:type="dxa" w:w="1754"/>
          </w:tcPr>
          <w:p>
            <w:pPr>
              <w:pStyle w:val="Compact"/>
              <w:spacing w:before="20" w:after="20" w:line="240" w:lineRule="auto"/>
              <w:jc w:val="left"/>
            </w:pPr>
            <w:r>
              <w:rPr>
                <w:rFonts w:ascii="Liberation Sans Narrow" w:hAnsi="Liberation Sans Narrow"/>
                <w:b w:val="0"/>
                <w:sz w:val="17"/>
              </w:rPr>
              <w:t xml:space="preserve">Art. 825</w:t>
            </w:r>
          </w:p>
        </w:tc>
        <w:tc>
          <w:tcPr>
            <w:tcW w:type="dxa" w:w="797"/>
          </w:tcPr>
          <w:p>
            <w:pPr>
              <w:pStyle w:val="Compact"/>
              <w:spacing w:before="20" w:after="20" w:line="240" w:lineRule="auto"/>
              <w:jc w:val="right"/>
            </w:pPr>
            <w:r>
              <w:rPr>
                <w:rFonts w:ascii="Liberation Sans Narrow" w:hAnsi="Liberation Sans Narrow"/>
                <w:b/>
                <w:sz w:val="17"/>
              </w:rPr>
              <w:t xml:space="preserve">142</w:t>
            </w:r>
          </w:p>
        </w:tc>
        <w:tc>
          <w:tcPr>
            <w:tcW w:type="dxa" w:w="1754"/>
          </w:tcPr>
          <w:p>
            <w:pPr>
              <w:pStyle w:val="Compact"/>
              <w:spacing w:before="20" w:after="20" w:line="240" w:lineRule="auto"/>
              <w:jc w:val="left"/>
            </w:pPr>
            <w:r>
              <w:rPr>
                <w:rFonts w:ascii="Liberation Sans Narrow" w:hAnsi="Liberation Sans Narrow"/>
                <w:b w:val="0"/>
                <w:sz w:val="17"/>
              </w:rPr>
              <w:t xml:space="preserve">Art. 1015</w:t>
            </w:r>
          </w:p>
        </w:tc>
        <w:tc>
          <w:tcPr>
            <w:tcW w:type="dxa" w:w="797"/>
          </w:tcPr>
          <w:p>
            <w:pPr>
              <w:pStyle w:val="Compact"/>
              <w:spacing w:before="20" w:after="20" w:line="240" w:lineRule="auto"/>
              <w:jc w:val="right"/>
            </w:pPr>
            <w:r>
              <w:rPr>
                <w:rFonts w:ascii="Liberation Sans Narrow" w:hAnsi="Liberation Sans Narrow"/>
                <w:b/>
                <w:sz w:val="17"/>
              </w:rPr>
              <w:t xml:space="preserve">184</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448</w:t>
            </w:r>
          </w:p>
        </w:tc>
        <w:tc>
          <w:tcPr>
            <w:tcW w:type="dxa" w:w="797"/>
          </w:tcPr>
          <w:p>
            <w:pPr>
              <w:pStyle w:val="Compact"/>
              <w:spacing w:before="20" w:after="20" w:line="240" w:lineRule="auto"/>
              <w:jc w:val="right"/>
            </w:pPr>
            <w:r>
              <w:rPr>
                <w:rFonts w:ascii="Liberation Sans Narrow" w:hAnsi="Liberation Sans Narrow"/>
                <w:b/>
                <w:sz w:val="17"/>
              </w:rPr>
              <w:t xml:space="preserve">58</w:t>
            </w:r>
          </w:p>
        </w:tc>
        <w:tc>
          <w:tcPr>
            <w:tcW w:type="dxa" w:w="1754"/>
          </w:tcPr>
          <w:p>
            <w:pPr>
              <w:pStyle w:val="Compact"/>
              <w:spacing w:before="20" w:after="20" w:line="240" w:lineRule="auto"/>
              <w:jc w:val="left"/>
            </w:pPr>
            <w:r>
              <w:rPr>
                <w:rFonts w:ascii="Liberation Sans Narrow" w:hAnsi="Liberation Sans Narrow"/>
                <w:b w:val="0"/>
                <w:sz w:val="17"/>
              </w:rPr>
              <w:t xml:space="preserve">Art. 637</w:t>
            </w:r>
          </w:p>
        </w:tc>
        <w:tc>
          <w:tcPr>
            <w:tcW w:type="dxa" w:w="797"/>
          </w:tcPr>
          <w:p>
            <w:pPr>
              <w:pStyle w:val="Compact"/>
              <w:spacing w:before="20" w:after="20" w:line="240" w:lineRule="auto"/>
              <w:jc w:val="right"/>
            </w:pPr>
            <w:r>
              <w:rPr>
                <w:rFonts w:ascii="Liberation Sans Narrow" w:hAnsi="Liberation Sans Narrow"/>
                <w:b/>
                <w:sz w:val="17"/>
              </w:rPr>
              <w:t xml:space="preserve">106</w:t>
            </w:r>
          </w:p>
        </w:tc>
        <w:tc>
          <w:tcPr>
            <w:tcW w:type="dxa" w:w="1754"/>
          </w:tcPr>
          <w:p>
            <w:pPr>
              <w:pStyle w:val="Compact"/>
              <w:spacing w:before="20" w:after="20" w:line="240" w:lineRule="auto"/>
              <w:jc w:val="left"/>
            </w:pPr>
            <w:r>
              <w:rPr>
                <w:rFonts w:ascii="Liberation Sans Narrow" w:hAnsi="Liberation Sans Narrow"/>
                <w:b w:val="0"/>
                <w:sz w:val="17"/>
              </w:rPr>
              <w:t xml:space="preserve">Art. 826</w:t>
            </w:r>
          </w:p>
        </w:tc>
        <w:tc>
          <w:tcPr>
            <w:tcW w:type="dxa" w:w="797"/>
          </w:tcPr>
          <w:p>
            <w:pPr>
              <w:pStyle w:val="Compact"/>
              <w:spacing w:before="20" w:after="20" w:line="240" w:lineRule="auto"/>
              <w:jc w:val="right"/>
            </w:pPr>
            <w:r>
              <w:rPr>
                <w:rFonts w:ascii="Liberation Sans Narrow" w:hAnsi="Liberation Sans Narrow"/>
                <w:b/>
                <w:sz w:val="17"/>
              </w:rPr>
              <w:t xml:space="preserve">143</w:t>
            </w:r>
          </w:p>
        </w:tc>
        <w:tc>
          <w:tcPr>
            <w:tcW w:type="dxa" w:w="1754"/>
          </w:tcPr>
          <w:p>
            <w:pPr>
              <w:pStyle w:val="Compact"/>
              <w:spacing w:before="20" w:after="20" w:line="240" w:lineRule="auto"/>
              <w:jc w:val="left"/>
            </w:pPr>
            <w:r>
              <w:rPr>
                <w:rFonts w:ascii="Liberation Sans Narrow" w:hAnsi="Liberation Sans Narrow"/>
                <w:b w:val="0"/>
                <w:sz w:val="17"/>
              </w:rPr>
              <w:t xml:space="preserve">Art. 1016</w:t>
            </w:r>
          </w:p>
        </w:tc>
        <w:tc>
          <w:tcPr>
            <w:tcW w:type="dxa" w:w="797"/>
          </w:tcPr>
          <w:p>
            <w:pPr>
              <w:pStyle w:val="Compact"/>
              <w:spacing w:before="20" w:after="20" w:line="240" w:lineRule="auto"/>
              <w:jc w:val="right"/>
            </w:pPr>
            <w:r>
              <w:rPr>
                <w:rFonts w:ascii="Liberation Sans Narrow" w:hAnsi="Liberation Sans Narrow"/>
                <w:b/>
                <w:sz w:val="17"/>
              </w:rPr>
              <w:t xml:space="preserve">184</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449</w:t>
            </w:r>
          </w:p>
        </w:tc>
        <w:tc>
          <w:tcPr>
            <w:tcW w:type="dxa" w:w="797"/>
          </w:tcPr>
          <w:p>
            <w:pPr>
              <w:pStyle w:val="Compact"/>
              <w:spacing w:before="20" w:after="20" w:line="240" w:lineRule="auto"/>
              <w:jc w:val="right"/>
            </w:pPr>
            <w:r>
              <w:rPr>
                <w:rFonts w:ascii="Liberation Sans Narrow" w:hAnsi="Liberation Sans Narrow"/>
                <w:b/>
                <w:sz w:val="17"/>
              </w:rPr>
              <w:t xml:space="preserve">58</w:t>
            </w:r>
          </w:p>
        </w:tc>
        <w:tc>
          <w:tcPr>
            <w:tcW w:type="dxa" w:w="1754"/>
          </w:tcPr>
          <w:p>
            <w:pPr>
              <w:pStyle w:val="Compact"/>
              <w:spacing w:before="20" w:after="20" w:line="240" w:lineRule="auto"/>
              <w:jc w:val="left"/>
            </w:pPr>
            <w:r>
              <w:rPr>
                <w:rFonts w:ascii="Liberation Sans Narrow" w:hAnsi="Liberation Sans Narrow"/>
                <w:b w:val="0"/>
                <w:sz w:val="17"/>
              </w:rPr>
              <w:t xml:space="preserve">Art. 638</w:t>
            </w:r>
          </w:p>
        </w:tc>
        <w:tc>
          <w:tcPr>
            <w:tcW w:type="dxa" w:w="797"/>
          </w:tcPr>
          <w:p>
            <w:pPr>
              <w:pStyle w:val="Compact"/>
              <w:spacing w:before="20" w:after="20" w:line="240" w:lineRule="auto"/>
              <w:jc w:val="right"/>
            </w:pPr>
            <w:r>
              <w:rPr>
                <w:rFonts w:ascii="Liberation Sans Narrow" w:hAnsi="Liberation Sans Narrow"/>
                <w:b/>
                <w:sz w:val="17"/>
              </w:rPr>
              <w:t xml:space="preserve">106</w:t>
            </w:r>
          </w:p>
        </w:tc>
        <w:tc>
          <w:tcPr>
            <w:tcW w:type="dxa" w:w="1754"/>
          </w:tcPr>
          <w:p>
            <w:pPr>
              <w:pStyle w:val="Compact"/>
              <w:spacing w:before="20" w:after="20" w:line="240" w:lineRule="auto"/>
              <w:jc w:val="left"/>
            </w:pPr>
            <w:r>
              <w:rPr>
                <w:rFonts w:ascii="Liberation Sans Narrow" w:hAnsi="Liberation Sans Narrow"/>
                <w:b w:val="0"/>
                <w:sz w:val="17"/>
              </w:rPr>
              <w:t xml:space="preserve">Art. 827</w:t>
            </w:r>
          </w:p>
        </w:tc>
        <w:tc>
          <w:tcPr>
            <w:tcW w:type="dxa" w:w="797"/>
          </w:tcPr>
          <w:p>
            <w:pPr>
              <w:pStyle w:val="Compact"/>
              <w:spacing w:before="20" w:after="20" w:line="240" w:lineRule="auto"/>
              <w:jc w:val="right"/>
            </w:pPr>
            <w:r>
              <w:rPr>
                <w:rFonts w:ascii="Liberation Sans Narrow" w:hAnsi="Liberation Sans Narrow"/>
                <w:b/>
                <w:sz w:val="17"/>
              </w:rPr>
              <w:t xml:space="preserve">143</w:t>
            </w:r>
          </w:p>
        </w:tc>
        <w:tc>
          <w:tcPr>
            <w:tcW w:type="dxa" w:w="1754"/>
          </w:tcPr>
          <w:p>
            <w:pPr>
              <w:pStyle w:val="Compact"/>
              <w:spacing w:before="20" w:after="20" w:line="240" w:lineRule="auto"/>
              <w:jc w:val="left"/>
            </w:pPr>
            <w:r>
              <w:rPr>
                <w:rFonts w:ascii="Liberation Sans Narrow" w:hAnsi="Liberation Sans Narrow"/>
                <w:b w:val="0"/>
                <w:sz w:val="17"/>
              </w:rPr>
              <w:t xml:space="preserve">Art. 1017</w:t>
            </w:r>
          </w:p>
        </w:tc>
        <w:tc>
          <w:tcPr>
            <w:tcW w:type="dxa" w:w="797"/>
          </w:tcPr>
          <w:p>
            <w:pPr>
              <w:pStyle w:val="Compact"/>
              <w:spacing w:before="20" w:after="20" w:line="240" w:lineRule="auto"/>
              <w:jc w:val="right"/>
            </w:pPr>
            <w:r>
              <w:rPr>
                <w:rFonts w:ascii="Liberation Sans Narrow" w:hAnsi="Liberation Sans Narrow"/>
                <w:b/>
                <w:sz w:val="17"/>
              </w:rPr>
              <w:t xml:space="preserve">184</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450</w:t>
            </w:r>
          </w:p>
        </w:tc>
        <w:tc>
          <w:tcPr>
            <w:tcW w:type="dxa" w:w="797"/>
          </w:tcPr>
          <w:p>
            <w:pPr>
              <w:pStyle w:val="Compact"/>
              <w:spacing w:before="20" w:after="20" w:line="240" w:lineRule="auto"/>
              <w:jc w:val="right"/>
            </w:pPr>
            <w:r>
              <w:rPr>
                <w:rFonts w:ascii="Liberation Sans Narrow" w:hAnsi="Liberation Sans Narrow"/>
                <w:b/>
                <w:sz w:val="17"/>
              </w:rPr>
              <w:t xml:space="preserve">58</w:t>
            </w:r>
          </w:p>
        </w:tc>
        <w:tc>
          <w:tcPr>
            <w:tcW w:type="dxa" w:w="1754"/>
          </w:tcPr>
          <w:p>
            <w:pPr>
              <w:pStyle w:val="Compact"/>
              <w:spacing w:before="20" w:after="20" w:line="240" w:lineRule="auto"/>
              <w:jc w:val="left"/>
            </w:pPr>
            <w:r>
              <w:rPr>
                <w:rFonts w:ascii="Liberation Sans Narrow" w:hAnsi="Liberation Sans Narrow"/>
                <w:b w:val="0"/>
                <w:sz w:val="17"/>
              </w:rPr>
              <w:t xml:space="preserve">Art. 639</w:t>
            </w:r>
          </w:p>
        </w:tc>
        <w:tc>
          <w:tcPr>
            <w:tcW w:type="dxa" w:w="797"/>
          </w:tcPr>
          <w:p>
            <w:pPr>
              <w:pStyle w:val="Compact"/>
              <w:spacing w:before="20" w:after="20" w:line="240" w:lineRule="auto"/>
              <w:jc w:val="right"/>
            </w:pPr>
            <w:r>
              <w:rPr>
                <w:rFonts w:ascii="Liberation Sans Narrow" w:hAnsi="Liberation Sans Narrow"/>
                <w:b/>
                <w:sz w:val="17"/>
              </w:rPr>
              <w:t xml:space="preserve">106</w:t>
            </w:r>
          </w:p>
        </w:tc>
        <w:tc>
          <w:tcPr>
            <w:tcW w:type="dxa" w:w="1754"/>
          </w:tcPr>
          <w:p>
            <w:pPr>
              <w:pStyle w:val="Compact"/>
              <w:spacing w:before="20" w:after="20" w:line="240" w:lineRule="auto"/>
              <w:jc w:val="left"/>
            </w:pPr>
            <w:r>
              <w:rPr>
                <w:rFonts w:ascii="Liberation Sans Narrow" w:hAnsi="Liberation Sans Narrow"/>
                <w:b w:val="0"/>
                <w:sz w:val="17"/>
              </w:rPr>
              <w:t xml:space="preserve">Art. 828</w:t>
            </w:r>
          </w:p>
        </w:tc>
        <w:tc>
          <w:tcPr>
            <w:tcW w:type="dxa" w:w="797"/>
          </w:tcPr>
          <w:p>
            <w:pPr>
              <w:pStyle w:val="Compact"/>
              <w:spacing w:before="20" w:after="20" w:line="240" w:lineRule="auto"/>
              <w:jc w:val="right"/>
            </w:pPr>
            <w:r>
              <w:rPr>
                <w:rFonts w:ascii="Liberation Sans Narrow" w:hAnsi="Liberation Sans Narrow"/>
                <w:b/>
                <w:sz w:val="17"/>
              </w:rPr>
              <w:t xml:space="preserve">143</w:t>
            </w:r>
          </w:p>
        </w:tc>
        <w:tc>
          <w:tcPr>
            <w:tcW w:type="dxa" w:w="1754"/>
          </w:tcPr>
          <w:p>
            <w:pPr>
              <w:pStyle w:val="Compact"/>
              <w:spacing w:before="20" w:after="20" w:line="240" w:lineRule="auto"/>
              <w:jc w:val="left"/>
            </w:pPr>
            <w:r>
              <w:rPr>
                <w:rFonts w:ascii="Liberation Sans Narrow" w:hAnsi="Liberation Sans Narrow"/>
                <w:b w:val="0"/>
                <w:sz w:val="17"/>
              </w:rPr>
              <w:t xml:space="preserve">Art. 1018</w:t>
            </w:r>
          </w:p>
        </w:tc>
        <w:tc>
          <w:tcPr>
            <w:tcW w:type="dxa" w:w="797"/>
          </w:tcPr>
          <w:p>
            <w:pPr>
              <w:pStyle w:val="Compact"/>
              <w:spacing w:before="20" w:after="20" w:line="240" w:lineRule="auto"/>
              <w:jc w:val="right"/>
            </w:pPr>
            <w:r>
              <w:rPr>
                <w:rFonts w:ascii="Liberation Sans Narrow" w:hAnsi="Liberation Sans Narrow"/>
                <w:b/>
                <w:sz w:val="17"/>
              </w:rPr>
              <w:t xml:space="preserve">185</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451</w:t>
            </w:r>
          </w:p>
        </w:tc>
        <w:tc>
          <w:tcPr>
            <w:tcW w:type="dxa" w:w="797"/>
          </w:tcPr>
          <w:p>
            <w:pPr>
              <w:pStyle w:val="Compact"/>
              <w:spacing w:before="20" w:after="20" w:line="240" w:lineRule="auto"/>
              <w:jc w:val="right"/>
            </w:pPr>
            <w:r>
              <w:rPr>
                <w:rFonts w:ascii="Liberation Sans Narrow" w:hAnsi="Liberation Sans Narrow"/>
                <w:b/>
                <w:sz w:val="17"/>
              </w:rPr>
              <w:t xml:space="preserve">58</w:t>
            </w:r>
          </w:p>
        </w:tc>
        <w:tc>
          <w:tcPr>
            <w:tcW w:type="dxa" w:w="1754"/>
          </w:tcPr>
          <w:p>
            <w:pPr>
              <w:pStyle w:val="Compact"/>
              <w:spacing w:before="20" w:after="20" w:line="240" w:lineRule="auto"/>
              <w:jc w:val="left"/>
            </w:pPr>
            <w:r>
              <w:rPr>
                <w:rFonts w:ascii="Liberation Sans Narrow" w:hAnsi="Liberation Sans Narrow"/>
                <w:b w:val="0"/>
                <w:sz w:val="17"/>
              </w:rPr>
              <w:t xml:space="preserve">Art. 640</w:t>
            </w:r>
          </w:p>
        </w:tc>
        <w:tc>
          <w:tcPr>
            <w:tcW w:type="dxa" w:w="797"/>
          </w:tcPr>
          <w:p>
            <w:pPr>
              <w:pStyle w:val="Compact"/>
              <w:spacing w:before="20" w:after="20" w:line="240" w:lineRule="auto"/>
              <w:jc w:val="right"/>
            </w:pPr>
            <w:r>
              <w:rPr>
                <w:rFonts w:ascii="Liberation Sans Narrow" w:hAnsi="Liberation Sans Narrow"/>
                <w:b/>
                <w:sz w:val="17"/>
              </w:rPr>
              <w:t xml:space="preserve">107</w:t>
            </w:r>
          </w:p>
        </w:tc>
        <w:tc>
          <w:tcPr>
            <w:tcW w:type="dxa" w:w="1754"/>
          </w:tcPr>
          <w:p>
            <w:pPr>
              <w:pStyle w:val="Compact"/>
              <w:spacing w:before="20" w:after="20" w:line="240" w:lineRule="auto"/>
              <w:jc w:val="left"/>
            </w:pPr>
            <w:r>
              <w:rPr>
                <w:rFonts w:ascii="Liberation Sans Narrow" w:hAnsi="Liberation Sans Narrow"/>
                <w:b w:val="0"/>
                <w:sz w:val="17"/>
              </w:rPr>
              <w:t xml:space="preserve">Art. 829</w:t>
            </w:r>
          </w:p>
        </w:tc>
        <w:tc>
          <w:tcPr>
            <w:tcW w:type="dxa" w:w="797"/>
          </w:tcPr>
          <w:p>
            <w:pPr>
              <w:pStyle w:val="Compact"/>
              <w:spacing w:before="20" w:after="20" w:line="240" w:lineRule="auto"/>
              <w:jc w:val="right"/>
            </w:pPr>
            <w:r>
              <w:rPr>
                <w:rFonts w:ascii="Liberation Sans Narrow" w:hAnsi="Liberation Sans Narrow"/>
                <w:b/>
                <w:sz w:val="17"/>
              </w:rPr>
              <w:t xml:space="preserve">143</w:t>
            </w:r>
          </w:p>
        </w:tc>
        <w:tc>
          <w:tcPr>
            <w:tcW w:type="dxa" w:w="1754"/>
          </w:tcPr>
          <w:p>
            <w:pPr>
              <w:pStyle w:val="Compact"/>
              <w:spacing w:before="20" w:after="20" w:line="240" w:lineRule="auto"/>
              <w:jc w:val="left"/>
            </w:pPr>
            <w:r>
              <w:rPr>
                <w:rFonts w:ascii="Liberation Sans Narrow" w:hAnsi="Liberation Sans Narrow"/>
                <w:b w:val="0"/>
                <w:sz w:val="17"/>
              </w:rPr>
              <w:t xml:space="preserve">Art. 1019</w:t>
            </w:r>
          </w:p>
        </w:tc>
        <w:tc>
          <w:tcPr>
            <w:tcW w:type="dxa" w:w="797"/>
          </w:tcPr>
          <w:p>
            <w:pPr>
              <w:pStyle w:val="Compact"/>
              <w:spacing w:before="20" w:after="20" w:line="240" w:lineRule="auto"/>
              <w:jc w:val="right"/>
            </w:pPr>
            <w:r>
              <w:rPr>
                <w:rFonts w:ascii="Liberation Sans Narrow" w:hAnsi="Liberation Sans Narrow"/>
                <w:b/>
                <w:sz w:val="17"/>
              </w:rPr>
              <w:t xml:space="preserve">185</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452</w:t>
            </w:r>
          </w:p>
        </w:tc>
        <w:tc>
          <w:tcPr>
            <w:tcW w:type="dxa" w:w="797"/>
          </w:tcPr>
          <w:p>
            <w:pPr>
              <w:pStyle w:val="Compact"/>
              <w:spacing w:before="20" w:after="20" w:line="240" w:lineRule="auto"/>
              <w:jc w:val="right"/>
            </w:pPr>
            <w:r>
              <w:rPr>
                <w:rFonts w:ascii="Liberation Sans Narrow" w:hAnsi="Liberation Sans Narrow"/>
                <w:b/>
                <w:sz w:val="17"/>
              </w:rPr>
              <w:t xml:space="preserve">59</w:t>
            </w:r>
          </w:p>
        </w:tc>
        <w:tc>
          <w:tcPr>
            <w:tcW w:type="dxa" w:w="1754"/>
          </w:tcPr>
          <w:p>
            <w:pPr>
              <w:pStyle w:val="Compact"/>
              <w:spacing w:before="20" w:after="20" w:line="240" w:lineRule="auto"/>
              <w:jc w:val="left"/>
            </w:pPr>
            <w:r>
              <w:rPr>
                <w:rFonts w:ascii="Liberation Sans Narrow" w:hAnsi="Liberation Sans Narrow"/>
                <w:b w:val="0"/>
                <w:sz w:val="17"/>
              </w:rPr>
              <w:t xml:space="preserve">Art. 641</w:t>
            </w:r>
          </w:p>
        </w:tc>
        <w:tc>
          <w:tcPr>
            <w:tcW w:type="dxa" w:w="797"/>
          </w:tcPr>
          <w:p>
            <w:pPr>
              <w:pStyle w:val="Compact"/>
              <w:spacing w:before="20" w:after="20" w:line="240" w:lineRule="auto"/>
              <w:jc w:val="right"/>
            </w:pPr>
            <w:r>
              <w:rPr>
                <w:rFonts w:ascii="Liberation Sans Narrow" w:hAnsi="Liberation Sans Narrow"/>
                <w:b/>
                <w:sz w:val="17"/>
              </w:rPr>
              <w:t xml:space="preserve">107</w:t>
            </w:r>
          </w:p>
        </w:tc>
        <w:tc>
          <w:tcPr>
            <w:tcW w:type="dxa" w:w="1754"/>
          </w:tcPr>
          <w:p>
            <w:pPr>
              <w:pStyle w:val="Compact"/>
              <w:spacing w:before="20" w:after="20" w:line="240" w:lineRule="auto"/>
              <w:jc w:val="left"/>
            </w:pPr>
            <w:r>
              <w:rPr>
                <w:rFonts w:ascii="Liberation Sans Narrow" w:hAnsi="Liberation Sans Narrow"/>
                <w:b w:val="0"/>
                <w:sz w:val="17"/>
              </w:rPr>
              <w:t xml:space="preserve">Art. 830</w:t>
            </w:r>
          </w:p>
        </w:tc>
        <w:tc>
          <w:tcPr>
            <w:tcW w:type="dxa" w:w="797"/>
          </w:tcPr>
          <w:p>
            <w:pPr>
              <w:pStyle w:val="Compact"/>
              <w:spacing w:before="20" w:after="20" w:line="240" w:lineRule="auto"/>
              <w:jc w:val="right"/>
            </w:pPr>
            <w:r>
              <w:rPr>
                <w:rFonts w:ascii="Liberation Sans Narrow" w:hAnsi="Liberation Sans Narrow"/>
                <w:b/>
                <w:sz w:val="17"/>
              </w:rPr>
              <w:t xml:space="preserve">144</w:t>
            </w:r>
          </w:p>
        </w:tc>
        <w:tc>
          <w:tcPr>
            <w:tcW w:type="dxa" w:w="1754"/>
          </w:tcPr>
          <w:p>
            <w:pPr>
              <w:pStyle w:val="Compact"/>
              <w:spacing w:before="20" w:after="20" w:line="240" w:lineRule="auto"/>
              <w:jc w:val="left"/>
            </w:pPr>
            <w:r>
              <w:rPr>
                <w:rFonts w:ascii="Liberation Sans Narrow" w:hAnsi="Liberation Sans Narrow"/>
                <w:b w:val="0"/>
                <w:sz w:val="17"/>
              </w:rPr>
              <w:t xml:space="preserve">Art. 1020</w:t>
            </w:r>
          </w:p>
        </w:tc>
        <w:tc>
          <w:tcPr>
            <w:tcW w:type="dxa" w:w="797"/>
          </w:tcPr>
          <w:p>
            <w:pPr>
              <w:pStyle w:val="Compact"/>
              <w:spacing w:before="20" w:after="20" w:line="240" w:lineRule="auto"/>
              <w:jc w:val="right"/>
            </w:pPr>
            <w:r>
              <w:rPr>
                <w:rFonts w:ascii="Liberation Sans Narrow" w:hAnsi="Liberation Sans Narrow"/>
                <w:b/>
                <w:sz w:val="17"/>
              </w:rPr>
              <w:t xml:space="preserve">185</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453</w:t>
            </w:r>
          </w:p>
        </w:tc>
        <w:tc>
          <w:tcPr>
            <w:tcW w:type="dxa" w:w="797"/>
          </w:tcPr>
          <w:p>
            <w:pPr>
              <w:pStyle w:val="Compact"/>
              <w:spacing w:before="20" w:after="20" w:line="240" w:lineRule="auto"/>
              <w:jc w:val="right"/>
            </w:pPr>
            <w:r>
              <w:rPr>
                <w:rFonts w:ascii="Liberation Sans Narrow" w:hAnsi="Liberation Sans Narrow"/>
                <w:b/>
                <w:sz w:val="17"/>
              </w:rPr>
              <w:t xml:space="preserve">59</w:t>
            </w:r>
          </w:p>
        </w:tc>
        <w:tc>
          <w:tcPr>
            <w:tcW w:type="dxa" w:w="1754"/>
          </w:tcPr>
          <w:p>
            <w:pPr>
              <w:pStyle w:val="Compact"/>
              <w:spacing w:before="20" w:after="20" w:line="240" w:lineRule="auto"/>
              <w:jc w:val="left"/>
            </w:pPr>
            <w:r>
              <w:rPr>
                <w:rFonts w:ascii="Liberation Sans Narrow" w:hAnsi="Liberation Sans Narrow"/>
                <w:b w:val="0"/>
                <w:sz w:val="17"/>
              </w:rPr>
              <w:t xml:space="preserve">Art. 642</w:t>
            </w:r>
          </w:p>
        </w:tc>
        <w:tc>
          <w:tcPr>
            <w:tcW w:type="dxa" w:w="797"/>
          </w:tcPr>
          <w:p>
            <w:pPr>
              <w:pStyle w:val="Compact"/>
              <w:spacing w:before="20" w:after="20" w:line="240" w:lineRule="auto"/>
              <w:jc w:val="right"/>
            </w:pPr>
            <w:r>
              <w:rPr>
                <w:rFonts w:ascii="Liberation Sans Narrow" w:hAnsi="Liberation Sans Narrow"/>
                <w:b/>
                <w:sz w:val="17"/>
              </w:rPr>
              <w:t xml:space="preserve">107</w:t>
            </w:r>
          </w:p>
        </w:tc>
        <w:tc>
          <w:tcPr>
            <w:tcW w:type="dxa" w:w="1754"/>
          </w:tcPr>
          <w:p>
            <w:pPr>
              <w:pStyle w:val="Compact"/>
              <w:spacing w:before="20" w:after="20" w:line="240" w:lineRule="auto"/>
              <w:jc w:val="left"/>
            </w:pPr>
            <w:r>
              <w:rPr>
                <w:rFonts w:ascii="Liberation Sans Narrow" w:hAnsi="Liberation Sans Narrow"/>
                <w:b w:val="0"/>
                <w:sz w:val="17"/>
              </w:rPr>
              <w:t xml:space="preserve">Art. 831</w:t>
            </w:r>
          </w:p>
        </w:tc>
        <w:tc>
          <w:tcPr>
            <w:tcW w:type="dxa" w:w="797"/>
          </w:tcPr>
          <w:p>
            <w:pPr>
              <w:pStyle w:val="Compact"/>
              <w:spacing w:before="20" w:after="20" w:line="240" w:lineRule="auto"/>
              <w:jc w:val="right"/>
            </w:pPr>
            <w:r>
              <w:rPr>
                <w:rFonts w:ascii="Liberation Sans Narrow" w:hAnsi="Liberation Sans Narrow"/>
                <w:b/>
                <w:sz w:val="17"/>
              </w:rPr>
              <w:t xml:space="preserve">144</w:t>
            </w:r>
          </w:p>
        </w:tc>
        <w:tc>
          <w:tcPr>
            <w:tcW w:type="dxa" w:w="1754"/>
          </w:tcPr>
          <w:p>
            <w:pPr>
              <w:pStyle w:val="Compact"/>
              <w:spacing w:before="20" w:after="20" w:line="240" w:lineRule="auto"/>
              <w:jc w:val="left"/>
            </w:pPr>
            <w:r>
              <w:rPr>
                <w:rFonts w:ascii="Liberation Sans Narrow" w:hAnsi="Liberation Sans Narrow"/>
                <w:b w:val="0"/>
                <w:sz w:val="17"/>
              </w:rPr>
              <w:t xml:space="preserve">Art. 1021</w:t>
            </w:r>
          </w:p>
        </w:tc>
        <w:tc>
          <w:tcPr>
            <w:tcW w:type="dxa" w:w="797"/>
          </w:tcPr>
          <w:p>
            <w:pPr>
              <w:pStyle w:val="Compact"/>
              <w:spacing w:before="20" w:after="20" w:line="240" w:lineRule="auto"/>
              <w:jc w:val="right"/>
            </w:pPr>
            <w:r>
              <w:rPr>
                <w:rFonts w:ascii="Liberation Sans Narrow" w:hAnsi="Liberation Sans Narrow"/>
                <w:b/>
                <w:sz w:val="17"/>
              </w:rPr>
              <w:t xml:space="preserve">185</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454</w:t>
            </w:r>
          </w:p>
        </w:tc>
        <w:tc>
          <w:tcPr>
            <w:tcW w:type="dxa" w:w="797"/>
          </w:tcPr>
          <w:p>
            <w:pPr>
              <w:pStyle w:val="Compact"/>
              <w:spacing w:before="20" w:after="20" w:line="240" w:lineRule="auto"/>
              <w:jc w:val="right"/>
            </w:pPr>
            <w:r>
              <w:rPr>
                <w:rFonts w:ascii="Liberation Sans Narrow" w:hAnsi="Liberation Sans Narrow"/>
                <w:b/>
                <w:sz w:val="17"/>
              </w:rPr>
              <w:t xml:space="preserve">59</w:t>
            </w:r>
          </w:p>
        </w:tc>
        <w:tc>
          <w:tcPr>
            <w:tcW w:type="dxa" w:w="1754"/>
          </w:tcPr>
          <w:p>
            <w:pPr>
              <w:pStyle w:val="Compact"/>
              <w:spacing w:before="20" w:after="20" w:line="240" w:lineRule="auto"/>
              <w:jc w:val="left"/>
            </w:pPr>
            <w:r>
              <w:rPr>
                <w:rFonts w:ascii="Liberation Sans Narrow" w:hAnsi="Liberation Sans Narrow"/>
                <w:b w:val="0"/>
                <w:sz w:val="17"/>
              </w:rPr>
              <w:t xml:space="preserve">Art. 643</w:t>
            </w:r>
          </w:p>
        </w:tc>
        <w:tc>
          <w:tcPr>
            <w:tcW w:type="dxa" w:w="797"/>
          </w:tcPr>
          <w:p>
            <w:pPr>
              <w:pStyle w:val="Compact"/>
              <w:spacing w:before="20" w:after="20" w:line="240" w:lineRule="auto"/>
              <w:jc w:val="right"/>
            </w:pPr>
            <w:r>
              <w:rPr>
                <w:rFonts w:ascii="Liberation Sans Narrow" w:hAnsi="Liberation Sans Narrow"/>
                <w:b/>
                <w:sz w:val="17"/>
              </w:rPr>
              <w:t xml:space="preserve">108</w:t>
            </w:r>
          </w:p>
        </w:tc>
        <w:tc>
          <w:tcPr>
            <w:tcW w:type="dxa" w:w="1754"/>
          </w:tcPr>
          <w:p>
            <w:pPr>
              <w:pStyle w:val="Compact"/>
              <w:spacing w:before="20" w:after="20" w:line="240" w:lineRule="auto"/>
              <w:jc w:val="left"/>
            </w:pPr>
            <w:r>
              <w:rPr>
                <w:rFonts w:ascii="Liberation Sans Narrow" w:hAnsi="Liberation Sans Narrow"/>
                <w:b w:val="0"/>
                <w:sz w:val="17"/>
              </w:rPr>
              <w:t xml:space="preserve">Art. 832</w:t>
            </w:r>
          </w:p>
        </w:tc>
        <w:tc>
          <w:tcPr>
            <w:tcW w:type="dxa" w:w="797"/>
          </w:tcPr>
          <w:p>
            <w:pPr>
              <w:pStyle w:val="Compact"/>
              <w:spacing w:before="20" w:after="20" w:line="240" w:lineRule="auto"/>
              <w:jc w:val="right"/>
            </w:pPr>
            <w:r>
              <w:rPr>
                <w:rFonts w:ascii="Liberation Sans Narrow" w:hAnsi="Liberation Sans Narrow"/>
                <w:b/>
                <w:sz w:val="17"/>
              </w:rPr>
              <w:t xml:space="preserve">144</w:t>
            </w:r>
          </w:p>
        </w:tc>
        <w:tc>
          <w:tcPr>
            <w:tcW w:type="dxa" w:w="1754"/>
          </w:tcPr>
          <w:p>
            <w:pPr>
              <w:pStyle w:val="Compact"/>
              <w:spacing w:before="20" w:after="20" w:line="240" w:lineRule="auto"/>
              <w:jc w:val="left"/>
            </w:pPr>
            <w:r>
              <w:rPr>
                <w:rFonts w:ascii="Liberation Sans Narrow" w:hAnsi="Liberation Sans Narrow"/>
                <w:b w:val="0"/>
                <w:sz w:val="17"/>
              </w:rPr>
              <w:t xml:space="preserve">Art. 1022</w:t>
            </w:r>
          </w:p>
        </w:tc>
        <w:tc>
          <w:tcPr>
            <w:tcW w:type="dxa" w:w="797"/>
          </w:tcPr>
          <w:p>
            <w:pPr>
              <w:pStyle w:val="Compact"/>
              <w:spacing w:before="20" w:after="20" w:line="240" w:lineRule="auto"/>
              <w:jc w:val="right"/>
            </w:pPr>
            <w:r>
              <w:rPr>
                <w:rFonts w:ascii="Liberation Sans Narrow" w:hAnsi="Liberation Sans Narrow"/>
                <w:b/>
                <w:sz w:val="17"/>
              </w:rPr>
              <w:t xml:space="preserve">186</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455</w:t>
            </w:r>
          </w:p>
        </w:tc>
        <w:tc>
          <w:tcPr>
            <w:tcW w:type="dxa" w:w="797"/>
          </w:tcPr>
          <w:p>
            <w:pPr>
              <w:pStyle w:val="Compact"/>
              <w:spacing w:before="20" w:after="20" w:line="240" w:lineRule="auto"/>
              <w:jc w:val="right"/>
            </w:pPr>
            <w:r>
              <w:rPr>
                <w:rFonts w:ascii="Liberation Sans Narrow" w:hAnsi="Liberation Sans Narrow"/>
                <w:b/>
                <w:sz w:val="17"/>
              </w:rPr>
              <w:t xml:space="preserve">59</w:t>
            </w:r>
          </w:p>
        </w:tc>
        <w:tc>
          <w:tcPr>
            <w:tcW w:type="dxa" w:w="1754"/>
          </w:tcPr>
          <w:p>
            <w:pPr>
              <w:pStyle w:val="Compact"/>
              <w:spacing w:before="20" w:after="20" w:line="240" w:lineRule="auto"/>
              <w:jc w:val="left"/>
            </w:pPr>
            <w:r>
              <w:rPr>
                <w:rFonts w:ascii="Liberation Sans Narrow" w:hAnsi="Liberation Sans Narrow"/>
                <w:b w:val="0"/>
                <w:sz w:val="17"/>
              </w:rPr>
              <w:t xml:space="preserve">Art. 644</w:t>
            </w:r>
          </w:p>
        </w:tc>
        <w:tc>
          <w:tcPr>
            <w:tcW w:type="dxa" w:w="797"/>
          </w:tcPr>
          <w:p>
            <w:pPr>
              <w:pStyle w:val="Compact"/>
              <w:spacing w:before="20" w:after="20" w:line="240" w:lineRule="auto"/>
              <w:jc w:val="right"/>
            </w:pPr>
            <w:r>
              <w:rPr>
                <w:rFonts w:ascii="Liberation Sans Narrow" w:hAnsi="Liberation Sans Narrow"/>
                <w:b/>
                <w:sz w:val="17"/>
              </w:rPr>
              <w:t xml:space="preserve">108</w:t>
            </w:r>
          </w:p>
        </w:tc>
        <w:tc>
          <w:tcPr>
            <w:tcW w:type="dxa" w:w="1754"/>
          </w:tcPr>
          <w:p>
            <w:pPr>
              <w:pStyle w:val="Compact"/>
              <w:spacing w:before="20" w:after="20" w:line="240" w:lineRule="auto"/>
              <w:jc w:val="left"/>
            </w:pPr>
            <w:r>
              <w:rPr>
                <w:rFonts w:ascii="Liberation Sans Narrow" w:hAnsi="Liberation Sans Narrow"/>
                <w:b w:val="0"/>
                <w:sz w:val="17"/>
              </w:rPr>
              <w:t xml:space="preserve">Art. 833</w:t>
            </w:r>
          </w:p>
        </w:tc>
        <w:tc>
          <w:tcPr>
            <w:tcW w:type="dxa" w:w="797"/>
          </w:tcPr>
          <w:p>
            <w:pPr>
              <w:pStyle w:val="Compact"/>
              <w:spacing w:before="20" w:after="20" w:line="240" w:lineRule="auto"/>
              <w:jc w:val="right"/>
            </w:pPr>
            <w:r>
              <w:rPr>
                <w:rFonts w:ascii="Liberation Sans Narrow" w:hAnsi="Liberation Sans Narrow"/>
                <w:b/>
                <w:sz w:val="17"/>
              </w:rPr>
              <w:t xml:space="preserve">144</w:t>
            </w:r>
          </w:p>
        </w:tc>
        <w:tc>
          <w:tcPr>
            <w:tcW w:type="dxa" w:w="1754"/>
          </w:tcPr>
          <w:p>
            <w:pPr>
              <w:pStyle w:val="Compact"/>
              <w:spacing w:before="20" w:after="20" w:line="240" w:lineRule="auto"/>
              <w:jc w:val="left"/>
            </w:pPr>
            <w:r>
              <w:rPr>
                <w:rFonts w:ascii="Liberation Sans Narrow" w:hAnsi="Liberation Sans Narrow"/>
                <w:b w:val="0"/>
                <w:sz w:val="17"/>
              </w:rPr>
              <w:t xml:space="preserve">Art. 1023</w:t>
            </w:r>
          </w:p>
        </w:tc>
        <w:tc>
          <w:tcPr>
            <w:tcW w:type="dxa" w:w="797"/>
          </w:tcPr>
          <w:p>
            <w:pPr>
              <w:pStyle w:val="Compact"/>
              <w:spacing w:before="20" w:after="20" w:line="240" w:lineRule="auto"/>
              <w:jc w:val="right"/>
            </w:pPr>
            <w:r>
              <w:rPr>
                <w:rFonts w:ascii="Liberation Sans Narrow" w:hAnsi="Liberation Sans Narrow"/>
                <w:b/>
                <w:sz w:val="17"/>
              </w:rPr>
              <w:t xml:space="preserve">186</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456</w:t>
            </w:r>
          </w:p>
        </w:tc>
        <w:tc>
          <w:tcPr>
            <w:tcW w:type="dxa" w:w="797"/>
          </w:tcPr>
          <w:p>
            <w:pPr>
              <w:pStyle w:val="Compact"/>
              <w:spacing w:before="20" w:after="20" w:line="240" w:lineRule="auto"/>
              <w:jc w:val="right"/>
            </w:pPr>
            <w:r>
              <w:rPr>
                <w:rFonts w:ascii="Liberation Sans Narrow" w:hAnsi="Liberation Sans Narrow"/>
                <w:b/>
                <w:sz w:val="17"/>
              </w:rPr>
              <w:t xml:space="preserve">60</w:t>
            </w:r>
          </w:p>
        </w:tc>
        <w:tc>
          <w:tcPr>
            <w:tcW w:type="dxa" w:w="1754"/>
          </w:tcPr>
          <w:p>
            <w:pPr>
              <w:pStyle w:val="Compact"/>
              <w:spacing w:before="20" w:after="20" w:line="240" w:lineRule="auto"/>
              <w:jc w:val="left"/>
            </w:pPr>
            <w:r>
              <w:rPr>
                <w:rFonts w:ascii="Liberation Sans Narrow" w:hAnsi="Liberation Sans Narrow"/>
                <w:b w:val="0"/>
                <w:sz w:val="17"/>
              </w:rPr>
              <w:t xml:space="preserve">Art. 645</w:t>
            </w:r>
          </w:p>
        </w:tc>
        <w:tc>
          <w:tcPr>
            <w:tcW w:type="dxa" w:w="797"/>
          </w:tcPr>
          <w:p>
            <w:pPr>
              <w:pStyle w:val="Compact"/>
              <w:spacing w:before="20" w:after="20" w:line="240" w:lineRule="auto"/>
              <w:jc w:val="right"/>
            </w:pPr>
            <w:r>
              <w:rPr>
                <w:rFonts w:ascii="Liberation Sans Narrow" w:hAnsi="Liberation Sans Narrow"/>
                <w:b/>
                <w:sz w:val="17"/>
              </w:rPr>
              <w:t xml:space="preserve">108</w:t>
            </w:r>
          </w:p>
        </w:tc>
        <w:tc>
          <w:tcPr>
            <w:tcW w:type="dxa" w:w="1754"/>
          </w:tcPr>
          <w:p>
            <w:pPr>
              <w:pStyle w:val="Compact"/>
              <w:spacing w:before="20" w:after="20" w:line="240" w:lineRule="auto"/>
              <w:jc w:val="left"/>
            </w:pPr>
            <w:r>
              <w:rPr>
                <w:rFonts w:ascii="Liberation Sans Narrow" w:hAnsi="Liberation Sans Narrow"/>
                <w:b w:val="0"/>
                <w:sz w:val="17"/>
              </w:rPr>
              <w:t xml:space="preserve">Art. 834</w:t>
            </w:r>
          </w:p>
        </w:tc>
        <w:tc>
          <w:tcPr>
            <w:tcW w:type="dxa" w:w="797"/>
          </w:tcPr>
          <w:p>
            <w:pPr>
              <w:pStyle w:val="Compact"/>
              <w:spacing w:before="20" w:after="20" w:line="240" w:lineRule="auto"/>
              <w:jc w:val="right"/>
            </w:pPr>
            <w:r>
              <w:rPr>
                <w:rFonts w:ascii="Liberation Sans Narrow" w:hAnsi="Liberation Sans Narrow"/>
                <w:b/>
                <w:sz w:val="17"/>
              </w:rPr>
              <w:t xml:space="preserve">145</w:t>
            </w:r>
          </w:p>
        </w:tc>
        <w:tc>
          <w:tcPr>
            <w:tcW w:type="dxa" w:w="1754"/>
          </w:tcPr>
          <w:p>
            <w:pPr>
              <w:pStyle w:val="Compact"/>
              <w:spacing w:before="20" w:after="20" w:line="240" w:lineRule="auto"/>
              <w:jc w:val="left"/>
            </w:pPr>
            <w:r>
              <w:rPr>
                <w:rFonts w:ascii="Liberation Sans Narrow" w:hAnsi="Liberation Sans Narrow"/>
                <w:b w:val="0"/>
                <w:sz w:val="17"/>
              </w:rPr>
              <w:t xml:space="preserve">Art. 1024</w:t>
            </w:r>
          </w:p>
        </w:tc>
        <w:tc>
          <w:tcPr>
            <w:tcW w:type="dxa" w:w="797"/>
          </w:tcPr>
          <w:p>
            <w:pPr>
              <w:pStyle w:val="Compact"/>
              <w:spacing w:before="20" w:after="20" w:line="240" w:lineRule="auto"/>
              <w:jc w:val="right"/>
            </w:pPr>
            <w:r>
              <w:rPr>
                <w:rFonts w:ascii="Liberation Sans Narrow" w:hAnsi="Liberation Sans Narrow"/>
                <w:b/>
                <w:sz w:val="17"/>
              </w:rPr>
              <w:t xml:space="preserve">186</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457</w:t>
            </w:r>
          </w:p>
        </w:tc>
        <w:tc>
          <w:tcPr>
            <w:tcW w:type="dxa" w:w="797"/>
          </w:tcPr>
          <w:p>
            <w:pPr>
              <w:pStyle w:val="Compact"/>
              <w:spacing w:before="20" w:after="20" w:line="240" w:lineRule="auto"/>
              <w:jc w:val="right"/>
            </w:pPr>
            <w:r>
              <w:rPr>
                <w:rFonts w:ascii="Liberation Sans Narrow" w:hAnsi="Liberation Sans Narrow"/>
                <w:b/>
                <w:sz w:val="17"/>
              </w:rPr>
              <w:t xml:space="preserve">60</w:t>
            </w:r>
          </w:p>
        </w:tc>
        <w:tc>
          <w:tcPr>
            <w:tcW w:type="dxa" w:w="1754"/>
          </w:tcPr>
          <w:p>
            <w:pPr>
              <w:pStyle w:val="Compact"/>
              <w:spacing w:before="20" w:after="20" w:line="240" w:lineRule="auto"/>
              <w:jc w:val="left"/>
            </w:pPr>
            <w:r>
              <w:rPr>
                <w:rFonts w:ascii="Liberation Sans Narrow" w:hAnsi="Liberation Sans Narrow"/>
                <w:b w:val="0"/>
                <w:sz w:val="17"/>
              </w:rPr>
              <w:t xml:space="preserve">Art. 646</w:t>
            </w:r>
          </w:p>
        </w:tc>
        <w:tc>
          <w:tcPr>
            <w:tcW w:type="dxa" w:w="797"/>
          </w:tcPr>
          <w:p>
            <w:pPr>
              <w:pStyle w:val="Compact"/>
              <w:spacing w:before="20" w:after="20" w:line="240" w:lineRule="auto"/>
              <w:jc w:val="right"/>
            </w:pPr>
            <w:r>
              <w:rPr>
                <w:rFonts w:ascii="Liberation Sans Narrow" w:hAnsi="Liberation Sans Narrow"/>
                <w:b/>
                <w:sz w:val="17"/>
              </w:rPr>
              <w:t xml:space="preserve">108</w:t>
            </w:r>
          </w:p>
        </w:tc>
        <w:tc>
          <w:tcPr>
            <w:tcW w:type="dxa" w:w="1754"/>
          </w:tcPr>
          <w:p>
            <w:pPr>
              <w:pStyle w:val="Compact"/>
              <w:spacing w:before="20" w:after="20" w:line="240" w:lineRule="auto"/>
              <w:jc w:val="left"/>
            </w:pPr>
            <w:r>
              <w:rPr>
                <w:rFonts w:ascii="Liberation Sans Narrow" w:hAnsi="Liberation Sans Narrow"/>
                <w:b w:val="0"/>
                <w:sz w:val="17"/>
              </w:rPr>
              <w:t xml:space="preserve">Art. 835</w:t>
            </w:r>
          </w:p>
        </w:tc>
        <w:tc>
          <w:tcPr>
            <w:tcW w:type="dxa" w:w="797"/>
          </w:tcPr>
          <w:p>
            <w:pPr>
              <w:pStyle w:val="Compact"/>
              <w:spacing w:before="20" w:after="20" w:line="240" w:lineRule="auto"/>
              <w:jc w:val="right"/>
            </w:pPr>
            <w:r>
              <w:rPr>
                <w:rFonts w:ascii="Liberation Sans Narrow" w:hAnsi="Liberation Sans Narrow"/>
                <w:b/>
                <w:sz w:val="17"/>
              </w:rPr>
              <w:t xml:space="preserve">145</w:t>
            </w:r>
          </w:p>
        </w:tc>
        <w:tc>
          <w:tcPr>
            <w:tcW w:type="dxa" w:w="1754"/>
          </w:tcPr>
          <w:p>
            <w:pPr>
              <w:pStyle w:val="Compact"/>
              <w:spacing w:before="20" w:after="20" w:line="240" w:lineRule="auto"/>
              <w:jc w:val="left"/>
            </w:pPr>
            <w:r>
              <w:rPr>
                <w:rFonts w:ascii="Liberation Sans Narrow" w:hAnsi="Liberation Sans Narrow"/>
                <w:b w:val="0"/>
                <w:sz w:val="17"/>
              </w:rPr>
              <w:t xml:space="preserve">Art. 1025</w:t>
            </w:r>
          </w:p>
        </w:tc>
        <w:tc>
          <w:tcPr>
            <w:tcW w:type="dxa" w:w="797"/>
          </w:tcPr>
          <w:p>
            <w:pPr>
              <w:pStyle w:val="Compact"/>
              <w:spacing w:before="20" w:after="20" w:line="240" w:lineRule="auto"/>
              <w:jc w:val="right"/>
            </w:pPr>
            <w:r>
              <w:rPr>
                <w:rFonts w:ascii="Liberation Sans Narrow" w:hAnsi="Liberation Sans Narrow"/>
                <w:b/>
                <w:sz w:val="17"/>
              </w:rPr>
              <w:t xml:space="preserve">186</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458</w:t>
            </w:r>
          </w:p>
        </w:tc>
        <w:tc>
          <w:tcPr>
            <w:tcW w:type="dxa" w:w="797"/>
          </w:tcPr>
          <w:p>
            <w:pPr>
              <w:pStyle w:val="Compact"/>
              <w:spacing w:before="20" w:after="20" w:line="240" w:lineRule="auto"/>
              <w:jc w:val="right"/>
            </w:pPr>
            <w:r>
              <w:rPr>
                <w:rFonts w:ascii="Liberation Sans Narrow" w:hAnsi="Liberation Sans Narrow"/>
                <w:b/>
                <w:sz w:val="17"/>
              </w:rPr>
              <w:t xml:space="preserve">60</w:t>
            </w:r>
          </w:p>
        </w:tc>
        <w:tc>
          <w:tcPr>
            <w:tcW w:type="dxa" w:w="1754"/>
          </w:tcPr>
          <w:p>
            <w:pPr>
              <w:pStyle w:val="Compact"/>
              <w:spacing w:before="20" w:after="20" w:line="240" w:lineRule="auto"/>
              <w:jc w:val="left"/>
            </w:pPr>
            <w:r>
              <w:rPr>
                <w:rFonts w:ascii="Liberation Sans Narrow" w:hAnsi="Liberation Sans Narrow"/>
                <w:b w:val="0"/>
                <w:sz w:val="17"/>
              </w:rPr>
              <w:t xml:space="preserve">Art. 647</w:t>
            </w:r>
          </w:p>
        </w:tc>
        <w:tc>
          <w:tcPr>
            <w:tcW w:type="dxa" w:w="797"/>
          </w:tcPr>
          <w:p>
            <w:pPr>
              <w:pStyle w:val="Compact"/>
              <w:spacing w:before="20" w:after="20" w:line="240" w:lineRule="auto"/>
              <w:jc w:val="right"/>
            </w:pPr>
            <w:r>
              <w:rPr>
                <w:rFonts w:ascii="Liberation Sans Narrow" w:hAnsi="Liberation Sans Narrow"/>
                <w:b/>
                <w:sz w:val="17"/>
              </w:rPr>
              <w:t xml:space="preserve">108</w:t>
            </w:r>
          </w:p>
        </w:tc>
        <w:tc>
          <w:tcPr>
            <w:tcW w:type="dxa" w:w="1754"/>
          </w:tcPr>
          <w:p>
            <w:pPr>
              <w:pStyle w:val="Compact"/>
              <w:spacing w:before="20" w:after="20" w:line="240" w:lineRule="auto"/>
              <w:jc w:val="left"/>
            </w:pPr>
            <w:r>
              <w:rPr>
                <w:rFonts w:ascii="Liberation Sans Narrow" w:hAnsi="Liberation Sans Narrow"/>
                <w:b w:val="0"/>
                <w:sz w:val="17"/>
              </w:rPr>
              <w:t xml:space="preserve">Art. 836</w:t>
            </w:r>
          </w:p>
        </w:tc>
        <w:tc>
          <w:tcPr>
            <w:tcW w:type="dxa" w:w="797"/>
          </w:tcPr>
          <w:p>
            <w:pPr>
              <w:pStyle w:val="Compact"/>
              <w:spacing w:before="20" w:after="20" w:line="240" w:lineRule="auto"/>
              <w:jc w:val="right"/>
            </w:pPr>
            <w:r>
              <w:rPr>
                <w:rFonts w:ascii="Liberation Sans Narrow" w:hAnsi="Liberation Sans Narrow"/>
                <w:b/>
                <w:sz w:val="17"/>
              </w:rPr>
              <w:t xml:space="preserve">146</w:t>
            </w:r>
          </w:p>
        </w:tc>
        <w:tc>
          <w:tcPr>
            <w:tcW w:type="dxa" w:w="1754"/>
          </w:tcPr>
          <w:p>
            <w:pPr>
              <w:pStyle w:val="Compact"/>
              <w:spacing w:before="20" w:after="20" w:line="240" w:lineRule="auto"/>
              <w:jc w:val="left"/>
            </w:pPr>
            <w:r>
              <w:rPr>
                <w:rFonts w:ascii="Liberation Sans Narrow" w:hAnsi="Liberation Sans Narrow"/>
                <w:b w:val="0"/>
                <w:sz w:val="17"/>
              </w:rPr>
              <w:t xml:space="preserve">Art. 1026</w:t>
            </w:r>
          </w:p>
        </w:tc>
        <w:tc>
          <w:tcPr>
            <w:tcW w:type="dxa" w:w="797"/>
          </w:tcPr>
          <w:p>
            <w:pPr>
              <w:pStyle w:val="Compact"/>
              <w:spacing w:before="20" w:after="20" w:line="240" w:lineRule="auto"/>
              <w:jc w:val="right"/>
            </w:pPr>
            <w:r>
              <w:rPr>
                <w:rFonts w:ascii="Liberation Sans Narrow" w:hAnsi="Liberation Sans Narrow"/>
                <w:b/>
                <w:sz w:val="17"/>
              </w:rPr>
              <w:t xml:space="preserve">187</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459</w:t>
            </w:r>
          </w:p>
        </w:tc>
        <w:tc>
          <w:tcPr>
            <w:tcW w:type="dxa" w:w="797"/>
          </w:tcPr>
          <w:p>
            <w:pPr>
              <w:pStyle w:val="Compact"/>
              <w:spacing w:before="20" w:after="20" w:line="240" w:lineRule="auto"/>
              <w:jc w:val="right"/>
            </w:pPr>
            <w:r>
              <w:rPr>
                <w:rFonts w:ascii="Liberation Sans Narrow" w:hAnsi="Liberation Sans Narrow"/>
                <w:b/>
                <w:sz w:val="17"/>
              </w:rPr>
              <w:t xml:space="preserve">60</w:t>
            </w:r>
          </w:p>
        </w:tc>
        <w:tc>
          <w:tcPr>
            <w:tcW w:type="dxa" w:w="1754"/>
          </w:tcPr>
          <w:p>
            <w:pPr>
              <w:pStyle w:val="Compact"/>
              <w:spacing w:before="20" w:after="20" w:line="240" w:lineRule="auto"/>
              <w:jc w:val="left"/>
            </w:pPr>
            <w:r>
              <w:rPr>
                <w:rFonts w:ascii="Liberation Sans Narrow" w:hAnsi="Liberation Sans Narrow"/>
                <w:b w:val="0"/>
                <w:sz w:val="17"/>
              </w:rPr>
              <w:t xml:space="preserve">Art. 648</w:t>
            </w:r>
          </w:p>
        </w:tc>
        <w:tc>
          <w:tcPr>
            <w:tcW w:type="dxa" w:w="797"/>
          </w:tcPr>
          <w:p>
            <w:pPr>
              <w:pStyle w:val="Compact"/>
              <w:spacing w:before="20" w:after="20" w:line="240" w:lineRule="auto"/>
              <w:jc w:val="right"/>
            </w:pPr>
            <w:r>
              <w:rPr>
                <w:rFonts w:ascii="Liberation Sans Narrow" w:hAnsi="Liberation Sans Narrow"/>
                <w:b/>
                <w:sz w:val="17"/>
              </w:rPr>
              <w:t xml:space="preserve">108</w:t>
            </w:r>
          </w:p>
        </w:tc>
        <w:tc>
          <w:tcPr>
            <w:tcW w:type="dxa" w:w="1754"/>
          </w:tcPr>
          <w:p>
            <w:pPr>
              <w:pStyle w:val="Compact"/>
              <w:spacing w:before="20" w:after="20" w:line="240" w:lineRule="auto"/>
              <w:jc w:val="left"/>
            </w:pPr>
            <w:r>
              <w:rPr>
                <w:rFonts w:ascii="Liberation Sans Narrow" w:hAnsi="Liberation Sans Narrow"/>
                <w:b w:val="0"/>
                <w:sz w:val="17"/>
              </w:rPr>
              <w:t xml:space="preserve">Art. 837</w:t>
            </w:r>
          </w:p>
        </w:tc>
        <w:tc>
          <w:tcPr>
            <w:tcW w:type="dxa" w:w="797"/>
          </w:tcPr>
          <w:p>
            <w:pPr>
              <w:pStyle w:val="Compact"/>
              <w:spacing w:before="20" w:after="20" w:line="240" w:lineRule="auto"/>
              <w:jc w:val="right"/>
            </w:pPr>
            <w:r>
              <w:rPr>
                <w:rFonts w:ascii="Liberation Sans Narrow" w:hAnsi="Liberation Sans Narrow"/>
                <w:b/>
                <w:sz w:val="17"/>
              </w:rPr>
              <w:t xml:space="preserve">146</w:t>
            </w:r>
          </w:p>
        </w:tc>
        <w:tc>
          <w:tcPr>
            <w:tcW w:type="dxa" w:w="1754"/>
          </w:tcPr>
          <w:p>
            <w:pPr>
              <w:pStyle w:val="Compact"/>
              <w:spacing w:before="20" w:after="20" w:line="240" w:lineRule="auto"/>
              <w:jc w:val="left"/>
            </w:pPr>
            <w:r>
              <w:rPr>
                <w:rFonts w:ascii="Liberation Sans Narrow" w:hAnsi="Liberation Sans Narrow"/>
                <w:b w:val="0"/>
                <w:sz w:val="17"/>
              </w:rPr>
              <w:t xml:space="preserve">Art. 1027</w:t>
            </w:r>
          </w:p>
        </w:tc>
        <w:tc>
          <w:tcPr>
            <w:tcW w:type="dxa" w:w="797"/>
          </w:tcPr>
          <w:p>
            <w:pPr>
              <w:pStyle w:val="Compact"/>
              <w:spacing w:before="20" w:after="20" w:line="240" w:lineRule="auto"/>
              <w:jc w:val="right"/>
            </w:pPr>
            <w:r>
              <w:rPr>
                <w:rFonts w:ascii="Liberation Sans Narrow" w:hAnsi="Liberation Sans Narrow"/>
                <w:b/>
                <w:sz w:val="17"/>
              </w:rPr>
              <w:t xml:space="preserve">187</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460</w:t>
            </w:r>
          </w:p>
        </w:tc>
        <w:tc>
          <w:tcPr>
            <w:tcW w:type="dxa" w:w="797"/>
          </w:tcPr>
          <w:p>
            <w:pPr>
              <w:pStyle w:val="Compact"/>
              <w:spacing w:before="20" w:after="20" w:line="240" w:lineRule="auto"/>
              <w:jc w:val="right"/>
            </w:pPr>
            <w:r>
              <w:rPr>
                <w:rFonts w:ascii="Liberation Sans Narrow" w:hAnsi="Liberation Sans Narrow"/>
                <w:b/>
                <w:sz w:val="17"/>
              </w:rPr>
              <w:t xml:space="preserve">61</w:t>
            </w:r>
          </w:p>
        </w:tc>
        <w:tc>
          <w:tcPr>
            <w:tcW w:type="dxa" w:w="1754"/>
          </w:tcPr>
          <w:p>
            <w:pPr>
              <w:pStyle w:val="Compact"/>
              <w:spacing w:before="20" w:after="20" w:line="240" w:lineRule="auto"/>
              <w:jc w:val="left"/>
            </w:pPr>
            <w:r>
              <w:rPr>
                <w:rFonts w:ascii="Liberation Sans Narrow" w:hAnsi="Liberation Sans Narrow"/>
                <w:b w:val="0"/>
                <w:sz w:val="17"/>
              </w:rPr>
              <w:t xml:space="preserve">Art. 649</w:t>
            </w:r>
          </w:p>
        </w:tc>
        <w:tc>
          <w:tcPr>
            <w:tcW w:type="dxa" w:w="797"/>
          </w:tcPr>
          <w:p>
            <w:pPr>
              <w:pStyle w:val="Compact"/>
              <w:spacing w:before="20" w:after="20" w:line="240" w:lineRule="auto"/>
              <w:jc w:val="right"/>
            </w:pPr>
            <w:r>
              <w:rPr>
                <w:rFonts w:ascii="Liberation Sans Narrow" w:hAnsi="Liberation Sans Narrow"/>
                <w:b/>
                <w:sz w:val="17"/>
              </w:rPr>
              <w:t xml:space="preserve">109</w:t>
            </w:r>
          </w:p>
        </w:tc>
        <w:tc>
          <w:tcPr>
            <w:tcW w:type="dxa" w:w="1754"/>
          </w:tcPr>
          <w:p>
            <w:pPr>
              <w:pStyle w:val="Compact"/>
              <w:spacing w:before="20" w:after="20" w:line="240" w:lineRule="auto"/>
              <w:jc w:val="left"/>
            </w:pPr>
            <w:r>
              <w:rPr>
                <w:rFonts w:ascii="Liberation Sans Narrow" w:hAnsi="Liberation Sans Narrow"/>
                <w:b w:val="0"/>
                <w:sz w:val="17"/>
              </w:rPr>
              <w:t xml:space="preserve">Art. 838</w:t>
            </w:r>
          </w:p>
        </w:tc>
        <w:tc>
          <w:tcPr>
            <w:tcW w:type="dxa" w:w="797"/>
          </w:tcPr>
          <w:p>
            <w:pPr>
              <w:pStyle w:val="Compact"/>
              <w:spacing w:before="20" w:after="20" w:line="240" w:lineRule="auto"/>
              <w:jc w:val="right"/>
            </w:pPr>
            <w:r>
              <w:rPr>
                <w:rFonts w:ascii="Liberation Sans Narrow" w:hAnsi="Liberation Sans Narrow"/>
                <w:b/>
                <w:sz w:val="17"/>
              </w:rPr>
              <w:t xml:space="preserve">146</w:t>
            </w:r>
          </w:p>
        </w:tc>
        <w:tc>
          <w:tcPr>
            <w:tcW w:type="dxa" w:w="1754"/>
          </w:tcPr>
          <w:p>
            <w:pPr>
              <w:pStyle w:val="Compact"/>
              <w:spacing w:before="20" w:after="20" w:line="240" w:lineRule="auto"/>
              <w:jc w:val="left"/>
            </w:pPr>
            <w:r>
              <w:rPr>
                <w:rFonts w:ascii="Liberation Sans Narrow" w:hAnsi="Liberation Sans Narrow"/>
                <w:b w:val="0"/>
                <w:sz w:val="17"/>
              </w:rPr>
              <w:t xml:space="preserve">Art. 1028</w:t>
            </w:r>
          </w:p>
        </w:tc>
        <w:tc>
          <w:tcPr>
            <w:tcW w:type="dxa" w:w="797"/>
          </w:tcPr>
          <w:p>
            <w:pPr>
              <w:pStyle w:val="Compact"/>
              <w:spacing w:before="20" w:after="20" w:line="240" w:lineRule="auto"/>
              <w:jc w:val="right"/>
            </w:pPr>
            <w:r>
              <w:rPr>
                <w:rFonts w:ascii="Liberation Sans Narrow" w:hAnsi="Liberation Sans Narrow"/>
                <w:b/>
                <w:sz w:val="17"/>
              </w:rPr>
              <w:t xml:space="preserve">187</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461</w:t>
            </w:r>
          </w:p>
        </w:tc>
        <w:tc>
          <w:tcPr>
            <w:tcW w:type="dxa" w:w="797"/>
          </w:tcPr>
          <w:p>
            <w:pPr>
              <w:pStyle w:val="Compact"/>
              <w:spacing w:before="20" w:after="20" w:line="240" w:lineRule="auto"/>
              <w:jc w:val="right"/>
            </w:pPr>
            <w:r>
              <w:rPr>
                <w:rFonts w:ascii="Liberation Sans Narrow" w:hAnsi="Liberation Sans Narrow"/>
                <w:b/>
                <w:sz w:val="17"/>
              </w:rPr>
              <w:t xml:space="preserve">61</w:t>
            </w:r>
          </w:p>
        </w:tc>
        <w:tc>
          <w:tcPr>
            <w:tcW w:type="dxa" w:w="1754"/>
          </w:tcPr>
          <w:p>
            <w:pPr>
              <w:pStyle w:val="Compact"/>
              <w:spacing w:before="20" w:after="20" w:line="240" w:lineRule="auto"/>
              <w:jc w:val="left"/>
            </w:pPr>
            <w:r>
              <w:rPr>
                <w:rFonts w:ascii="Liberation Sans Narrow" w:hAnsi="Liberation Sans Narrow"/>
                <w:b w:val="0"/>
                <w:sz w:val="17"/>
              </w:rPr>
              <w:t xml:space="preserve">Art. 650</w:t>
            </w:r>
          </w:p>
        </w:tc>
        <w:tc>
          <w:tcPr>
            <w:tcW w:type="dxa" w:w="797"/>
          </w:tcPr>
          <w:p>
            <w:pPr>
              <w:pStyle w:val="Compact"/>
              <w:spacing w:before="20" w:after="20" w:line="240" w:lineRule="auto"/>
              <w:jc w:val="right"/>
            </w:pPr>
            <w:r>
              <w:rPr>
                <w:rFonts w:ascii="Liberation Sans Narrow" w:hAnsi="Liberation Sans Narrow"/>
                <w:b/>
                <w:sz w:val="17"/>
              </w:rPr>
              <w:t xml:space="preserve">109</w:t>
            </w:r>
          </w:p>
        </w:tc>
        <w:tc>
          <w:tcPr>
            <w:tcW w:type="dxa" w:w="1754"/>
          </w:tcPr>
          <w:p>
            <w:pPr>
              <w:pStyle w:val="Compact"/>
              <w:spacing w:before="20" w:after="20" w:line="240" w:lineRule="auto"/>
              <w:jc w:val="left"/>
            </w:pPr>
            <w:r>
              <w:rPr>
                <w:rFonts w:ascii="Liberation Sans Narrow" w:hAnsi="Liberation Sans Narrow"/>
                <w:b w:val="0"/>
                <w:sz w:val="17"/>
              </w:rPr>
              <w:t xml:space="preserve">Art. 839</w:t>
            </w:r>
          </w:p>
        </w:tc>
        <w:tc>
          <w:tcPr>
            <w:tcW w:type="dxa" w:w="797"/>
          </w:tcPr>
          <w:p>
            <w:pPr>
              <w:pStyle w:val="Compact"/>
              <w:spacing w:before="20" w:after="20" w:line="240" w:lineRule="auto"/>
              <w:jc w:val="right"/>
            </w:pPr>
            <w:r>
              <w:rPr>
                <w:rFonts w:ascii="Liberation Sans Narrow" w:hAnsi="Liberation Sans Narrow"/>
                <w:b/>
                <w:sz w:val="17"/>
              </w:rPr>
              <w:t xml:space="preserve">146</w:t>
            </w:r>
          </w:p>
        </w:tc>
        <w:tc>
          <w:tcPr>
            <w:tcW w:type="dxa" w:w="1754"/>
          </w:tcPr>
          <w:p>
            <w:pPr>
              <w:pStyle w:val="Compact"/>
              <w:spacing w:before="20" w:after="20" w:line="240" w:lineRule="auto"/>
              <w:jc w:val="left"/>
            </w:pPr>
            <w:r>
              <w:rPr>
                <w:rFonts w:ascii="Liberation Sans Narrow" w:hAnsi="Liberation Sans Narrow"/>
                <w:b w:val="0"/>
                <w:sz w:val="17"/>
              </w:rPr>
              <w:t xml:space="preserve">Art. 1029</w:t>
            </w:r>
          </w:p>
        </w:tc>
        <w:tc>
          <w:tcPr>
            <w:tcW w:type="dxa" w:w="797"/>
          </w:tcPr>
          <w:p>
            <w:pPr>
              <w:pStyle w:val="Compact"/>
              <w:spacing w:before="20" w:after="20" w:line="240" w:lineRule="auto"/>
              <w:jc w:val="right"/>
            </w:pPr>
            <w:r>
              <w:rPr>
                <w:rFonts w:ascii="Liberation Sans Narrow" w:hAnsi="Liberation Sans Narrow"/>
                <w:b/>
                <w:sz w:val="17"/>
              </w:rPr>
              <w:t xml:space="preserve">187</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462</w:t>
            </w:r>
          </w:p>
        </w:tc>
        <w:tc>
          <w:tcPr>
            <w:tcW w:type="dxa" w:w="797"/>
          </w:tcPr>
          <w:p>
            <w:pPr>
              <w:pStyle w:val="Compact"/>
              <w:spacing w:before="20" w:after="20" w:line="240" w:lineRule="auto"/>
              <w:jc w:val="right"/>
            </w:pPr>
            <w:r>
              <w:rPr>
                <w:rFonts w:ascii="Liberation Sans Narrow" w:hAnsi="Liberation Sans Narrow"/>
                <w:b/>
                <w:sz w:val="17"/>
              </w:rPr>
              <w:t xml:space="preserve">61</w:t>
            </w:r>
          </w:p>
        </w:tc>
        <w:tc>
          <w:tcPr>
            <w:tcW w:type="dxa" w:w="1754"/>
          </w:tcPr>
          <w:p>
            <w:pPr>
              <w:pStyle w:val="Compact"/>
              <w:spacing w:before="20" w:after="20" w:line="240" w:lineRule="auto"/>
              <w:jc w:val="left"/>
            </w:pPr>
            <w:r>
              <w:rPr>
                <w:rFonts w:ascii="Liberation Sans Narrow" w:hAnsi="Liberation Sans Narrow"/>
                <w:b w:val="0"/>
                <w:sz w:val="17"/>
              </w:rPr>
              <w:t xml:space="preserve">Art. 651</w:t>
            </w:r>
          </w:p>
        </w:tc>
        <w:tc>
          <w:tcPr>
            <w:tcW w:type="dxa" w:w="797"/>
          </w:tcPr>
          <w:p>
            <w:pPr>
              <w:pStyle w:val="Compact"/>
              <w:spacing w:before="20" w:after="20" w:line="240" w:lineRule="auto"/>
              <w:jc w:val="right"/>
            </w:pPr>
            <w:r>
              <w:rPr>
                <w:rFonts w:ascii="Liberation Sans Narrow" w:hAnsi="Liberation Sans Narrow"/>
                <w:b/>
                <w:sz w:val="17"/>
              </w:rPr>
              <w:t xml:space="preserve">109</w:t>
            </w:r>
          </w:p>
        </w:tc>
        <w:tc>
          <w:tcPr>
            <w:tcW w:type="dxa" w:w="1754"/>
          </w:tcPr>
          <w:p>
            <w:pPr>
              <w:pStyle w:val="Compact"/>
              <w:spacing w:before="20" w:after="20" w:line="240" w:lineRule="auto"/>
              <w:jc w:val="left"/>
            </w:pPr>
            <w:r>
              <w:rPr>
                <w:rFonts w:ascii="Liberation Sans Narrow" w:hAnsi="Liberation Sans Narrow"/>
                <w:b w:val="0"/>
                <w:sz w:val="17"/>
              </w:rPr>
              <w:t xml:space="preserve">Art. 840</w:t>
            </w:r>
          </w:p>
        </w:tc>
        <w:tc>
          <w:tcPr>
            <w:tcW w:type="dxa" w:w="797"/>
          </w:tcPr>
          <w:p>
            <w:pPr>
              <w:pStyle w:val="Compact"/>
              <w:spacing w:before="20" w:after="20" w:line="240" w:lineRule="auto"/>
              <w:jc w:val="right"/>
            </w:pPr>
            <w:r>
              <w:rPr>
                <w:rFonts w:ascii="Liberation Sans Narrow" w:hAnsi="Liberation Sans Narrow"/>
                <w:b/>
                <w:sz w:val="17"/>
              </w:rPr>
              <w:t xml:space="preserve">146</w:t>
            </w:r>
          </w:p>
        </w:tc>
        <w:tc>
          <w:tcPr>
            <w:tcW w:type="dxa" w:w="1754"/>
          </w:tcPr>
          <w:p>
            <w:pPr>
              <w:pStyle w:val="Compact"/>
              <w:spacing w:before="20" w:after="20" w:line="240" w:lineRule="auto"/>
              <w:jc w:val="left"/>
            </w:pPr>
            <w:r>
              <w:rPr>
                <w:rFonts w:ascii="Liberation Sans Narrow" w:hAnsi="Liberation Sans Narrow"/>
                <w:b w:val="0"/>
                <w:sz w:val="17"/>
              </w:rPr>
              <w:t xml:space="preserve">Art. 1030</w:t>
            </w:r>
          </w:p>
        </w:tc>
        <w:tc>
          <w:tcPr>
            <w:tcW w:type="dxa" w:w="797"/>
          </w:tcPr>
          <w:p>
            <w:pPr>
              <w:pStyle w:val="Compact"/>
              <w:spacing w:before="20" w:after="20" w:line="240" w:lineRule="auto"/>
              <w:jc w:val="right"/>
            </w:pPr>
            <w:r>
              <w:rPr>
                <w:rFonts w:ascii="Liberation Sans Narrow" w:hAnsi="Liberation Sans Narrow"/>
                <w:b/>
                <w:sz w:val="17"/>
              </w:rPr>
              <w:t xml:space="preserve">188</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463</w:t>
            </w:r>
          </w:p>
        </w:tc>
        <w:tc>
          <w:tcPr>
            <w:tcW w:type="dxa" w:w="797"/>
          </w:tcPr>
          <w:p>
            <w:pPr>
              <w:pStyle w:val="Compact"/>
              <w:spacing w:before="20" w:after="20" w:line="240" w:lineRule="auto"/>
              <w:jc w:val="right"/>
            </w:pPr>
            <w:r>
              <w:rPr>
                <w:rFonts w:ascii="Liberation Sans Narrow" w:hAnsi="Liberation Sans Narrow"/>
                <w:b/>
                <w:sz w:val="17"/>
              </w:rPr>
              <w:t xml:space="preserve">61</w:t>
            </w:r>
          </w:p>
        </w:tc>
        <w:tc>
          <w:tcPr>
            <w:tcW w:type="dxa" w:w="1754"/>
          </w:tcPr>
          <w:p>
            <w:pPr>
              <w:pStyle w:val="Compact"/>
              <w:spacing w:before="20" w:after="20" w:line="240" w:lineRule="auto"/>
              <w:jc w:val="left"/>
            </w:pPr>
            <w:r>
              <w:rPr>
                <w:rFonts w:ascii="Liberation Sans Narrow" w:hAnsi="Liberation Sans Narrow"/>
                <w:b w:val="0"/>
                <w:sz w:val="17"/>
              </w:rPr>
              <w:t xml:space="preserve">Art. 652</w:t>
            </w:r>
          </w:p>
        </w:tc>
        <w:tc>
          <w:tcPr>
            <w:tcW w:type="dxa" w:w="797"/>
          </w:tcPr>
          <w:p>
            <w:pPr>
              <w:pStyle w:val="Compact"/>
              <w:spacing w:before="20" w:after="20" w:line="240" w:lineRule="auto"/>
              <w:jc w:val="right"/>
            </w:pPr>
            <w:r>
              <w:rPr>
                <w:rFonts w:ascii="Liberation Sans Narrow" w:hAnsi="Liberation Sans Narrow"/>
                <w:b/>
                <w:sz w:val="17"/>
              </w:rPr>
              <w:t xml:space="preserve">109</w:t>
            </w:r>
          </w:p>
        </w:tc>
        <w:tc>
          <w:tcPr>
            <w:tcW w:type="dxa" w:w="1754"/>
          </w:tcPr>
          <w:p>
            <w:pPr>
              <w:pStyle w:val="Compact"/>
              <w:spacing w:before="20" w:after="20" w:line="240" w:lineRule="auto"/>
              <w:jc w:val="left"/>
            </w:pPr>
            <w:r>
              <w:rPr>
                <w:rFonts w:ascii="Liberation Sans Narrow" w:hAnsi="Liberation Sans Narrow"/>
                <w:b w:val="0"/>
                <w:sz w:val="17"/>
              </w:rPr>
              <w:t xml:space="preserve">Art. 841</w:t>
            </w:r>
          </w:p>
        </w:tc>
        <w:tc>
          <w:tcPr>
            <w:tcW w:type="dxa" w:w="797"/>
          </w:tcPr>
          <w:p>
            <w:pPr>
              <w:pStyle w:val="Compact"/>
              <w:spacing w:before="20" w:after="20" w:line="240" w:lineRule="auto"/>
              <w:jc w:val="right"/>
            </w:pPr>
            <w:r>
              <w:rPr>
                <w:rFonts w:ascii="Liberation Sans Narrow" w:hAnsi="Liberation Sans Narrow"/>
                <w:b/>
                <w:sz w:val="17"/>
              </w:rPr>
              <w:t xml:space="preserve">147</w:t>
            </w:r>
          </w:p>
        </w:tc>
        <w:tc>
          <w:tcPr>
            <w:tcW w:type="dxa" w:w="1754"/>
          </w:tcPr>
          <w:p>
            <w:pPr>
              <w:pStyle w:val="Compact"/>
              <w:spacing w:before="20" w:after="20" w:line="240" w:lineRule="auto"/>
              <w:jc w:val="left"/>
            </w:pPr>
            <w:r>
              <w:rPr>
                <w:rFonts w:ascii="Liberation Sans Narrow" w:hAnsi="Liberation Sans Narrow"/>
                <w:b w:val="0"/>
                <w:sz w:val="17"/>
              </w:rPr>
              <w:t xml:space="preserve">Art. 1031</w:t>
            </w:r>
          </w:p>
        </w:tc>
        <w:tc>
          <w:tcPr>
            <w:tcW w:type="dxa" w:w="797"/>
          </w:tcPr>
          <w:p>
            <w:pPr>
              <w:pStyle w:val="Compact"/>
              <w:spacing w:before="20" w:after="20" w:line="240" w:lineRule="auto"/>
              <w:jc w:val="right"/>
            </w:pPr>
            <w:r>
              <w:rPr>
                <w:rFonts w:ascii="Liberation Sans Narrow" w:hAnsi="Liberation Sans Narrow"/>
                <w:b/>
                <w:sz w:val="17"/>
              </w:rPr>
              <w:t xml:space="preserve">189</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464</w:t>
            </w:r>
          </w:p>
        </w:tc>
        <w:tc>
          <w:tcPr>
            <w:tcW w:type="dxa" w:w="797"/>
          </w:tcPr>
          <w:p>
            <w:pPr>
              <w:pStyle w:val="Compact"/>
              <w:spacing w:before="20" w:after="20" w:line="240" w:lineRule="auto"/>
              <w:jc w:val="right"/>
            </w:pPr>
            <w:r>
              <w:rPr>
                <w:rFonts w:ascii="Liberation Sans Narrow" w:hAnsi="Liberation Sans Narrow"/>
                <w:b/>
                <w:sz w:val="17"/>
              </w:rPr>
              <w:t xml:space="preserve">61</w:t>
            </w:r>
          </w:p>
        </w:tc>
        <w:tc>
          <w:tcPr>
            <w:tcW w:type="dxa" w:w="1754"/>
          </w:tcPr>
          <w:p>
            <w:pPr>
              <w:pStyle w:val="Compact"/>
              <w:spacing w:before="20" w:after="20" w:line="240" w:lineRule="auto"/>
              <w:jc w:val="left"/>
            </w:pPr>
            <w:r>
              <w:rPr>
                <w:rFonts w:ascii="Liberation Sans Narrow" w:hAnsi="Liberation Sans Narrow"/>
                <w:b w:val="0"/>
                <w:sz w:val="17"/>
              </w:rPr>
              <w:t xml:space="preserve">Art. 653</w:t>
            </w:r>
          </w:p>
        </w:tc>
        <w:tc>
          <w:tcPr>
            <w:tcW w:type="dxa" w:w="797"/>
          </w:tcPr>
          <w:p>
            <w:pPr>
              <w:pStyle w:val="Compact"/>
              <w:spacing w:before="20" w:after="20" w:line="240" w:lineRule="auto"/>
              <w:jc w:val="right"/>
            </w:pPr>
            <w:r>
              <w:rPr>
                <w:rFonts w:ascii="Liberation Sans Narrow" w:hAnsi="Liberation Sans Narrow"/>
                <w:b/>
                <w:sz w:val="17"/>
              </w:rPr>
              <w:t xml:space="preserve">109</w:t>
            </w:r>
          </w:p>
        </w:tc>
        <w:tc>
          <w:tcPr>
            <w:tcW w:type="dxa" w:w="1754"/>
          </w:tcPr>
          <w:p>
            <w:pPr>
              <w:pStyle w:val="Compact"/>
              <w:spacing w:before="20" w:after="20" w:line="240" w:lineRule="auto"/>
              <w:jc w:val="left"/>
            </w:pPr>
            <w:r>
              <w:rPr>
                <w:rFonts w:ascii="Liberation Sans Narrow" w:hAnsi="Liberation Sans Narrow"/>
                <w:b w:val="0"/>
                <w:sz w:val="17"/>
              </w:rPr>
              <w:t xml:space="preserve">Art. 842</w:t>
            </w:r>
          </w:p>
        </w:tc>
        <w:tc>
          <w:tcPr>
            <w:tcW w:type="dxa" w:w="797"/>
          </w:tcPr>
          <w:p>
            <w:pPr>
              <w:pStyle w:val="Compact"/>
              <w:spacing w:before="20" w:after="20" w:line="240" w:lineRule="auto"/>
              <w:jc w:val="right"/>
            </w:pPr>
            <w:r>
              <w:rPr>
                <w:rFonts w:ascii="Liberation Sans Narrow" w:hAnsi="Liberation Sans Narrow"/>
                <w:b/>
                <w:sz w:val="17"/>
              </w:rPr>
              <w:t xml:space="preserve">147</w:t>
            </w:r>
          </w:p>
        </w:tc>
        <w:tc>
          <w:tcPr>
            <w:tcW w:type="dxa" w:w="1754"/>
          </w:tcPr>
          <w:p>
            <w:pPr>
              <w:pStyle w:val="Compact"/>
              <w:spacing w:before="20" w:after="20" w:line="240" w:lineRule="auto"/>
              <w:jc w:val="left"/>
            </w:pPr>
            <w:r>
              <w:rPr>
                <w:rFonts w:ascii="Liberation Sans Narrow" w:hAnsi="Liberation Sans Narrow"/>
                <w:b w:val="0"/>
                <w:sz w:val="17"/>
              </w:rPr>
              <w:t xml:space="preserve">Art. 1032</w:t>
            </w:r>
          </w:p>
        </w:tc>
        <w:tc>
          <w:tcPr>
            <w:tcW w:type="dxa" w:w="797"/>
          </w:tcPr>
          <w:p>
            <w:pPr>
              <w:pStyle w:val="Compact"/>
              <w:spacing w:before="20" w:after="20" w:line="240" w:lineRule="auto"/>
              <w:jc w:val="right"/>
            </w:pPr>
            <w:r>
              <w:rPr>
                <w:rFonts w:ascii="Liberation Sans Narrow" w:hAnsi="Liberation Sans Narrow"/>
                <w:b/>
                <w:sz w:val="17"/>
              </w:rPr>
              <w:t xml:space="preserve">189</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465</w:t>
            </w:r>
          </w:p>
        </w:tc>
        <w:tc>
          <w:tcPr>
            <w:tcW w:type="dxa" w:w="797"/>
          </w:tcPr>
          <w:p>
            <w:pPr>
              <w:pStyle w:val="Compact"/>
              <w:spacing w:before="20" w:after="20" w:line="240" w:lineRule="auto"/>
              <w:jc w:val="right"/>
            </w:pPr>
            <w:r>
              <w:rPr>
                <w:rFonts w:ascii="Liberation Sans Narrow" w:hAnsi="Liberation Sans Narrow"/>
                <w:b/>
                <w:sz w:val="17"/>
              </w:rPr>
              <w:t xml:space="preserve">62</w:t>
            </w:r>
          </w:p>
        </w:tc>
        <w:tc>
          <w:tcPr>
            <w:tcW w:type="dxa" w:w="1754"/>
          </w:tcPr>
          <w:p>
            <w:pPr>
              <w:pStyle w:val="Compact"/>
              <w:spacing w:before="20" w:after="20" w:line="240" w:lineRule="auto"/>
              <w:jc w:val="left"/>
            </w:pPr>
            <w:r>
              <w:rPr>
                <w:rFonts w:ascii="Liberation Sans Narrow" w:hAnsi="Liberation Sans Narrow"/>
                <w:b w:val="0"/>
                <w:sz w:val="17"/>
              </w:rPr>
              <w:t xml:space="preserve">Art. 654</w:t>
            </w:r>
          </w:p>
        </w:tc>
        <w:tc>
          <w:tcPr>
            <w:tcW w:type="dxa" w:w="797"/>
          </w:tcPr>
          <w:p>
            <w:pPr>
              <w:pStyle w:val="Compact"/>
              <w:spacing w:before="20" w:after="20" w:line="240" w:lineRule="auto"/>
              <w:jc w:val="right"/>
            </w:pPr>
            <w:r>
              <w:rPr>
                <w:rFonts w:ascii="Liberation Sans Narrow" w:hAnsi="Liberation Sans Narrow"/>
                <w:b/>
                <w:sz w:val="17"/>
              </w:rPr>
              <w:t xml:space="preserve">109</w:t>
            </w:r>
          </w:p>
        </w:tc>
        <w:tc>
          <w:tcPr>
            <w:tcW w:type="dxa" w:w="1754"/>
          </w:tcPr>
          <w:p>
            <w:pPr>
              <w:pStyle w:val="Compact"/>
              <w:spacing w:before="20" w:after="20" w:line="240" w:lineRule="auto"/>
              <w:jc w:val="left"/>
            </w:pPr>
            <w:r>
              <w:rPr>
                <w:rFonts w:ascii="Liberation Sans Narrow" w:hAnsi="Liberation Sans Narrow"/>
                <w:b w:val="0"/>
                <w:sz w:val="17"/>
              </w:rPr>
              <w:t xml:space="preserve">Art. 843</w:t>
            </w:r>
          </w:p>
        </w:tc>
        <w:tc>
          <w:tcPr>
            <w:tcW w:type="dxa" w:w="797"/>
          </w:tcPr>
          <w:p>
            <w:pPr>
              <w:pStyle w:val="Compact"/>
              <w:spacing w:before="20" w:after="20" w:line="240" w:lineRule="auto"/>
              <w:jc w:val="right"/>
            </w:pPr>
            <w:r>
              <w:rPr>
                <w:rFonts w:ascii="Liberation Sans Narrow" w:hAnsi="Liberation Sans Narrow"/>
                <w:b/>
                <w:sz w:val="17"/>
              </w:rPr>
              <w:t xml:space="preserve">147</w:t>
            </w:r>
          </w:p>
        </w:tc>
        <w:tc>
          <w:tcPr>
            <w:tcW w:type="dxa" w:w="1754"/>
          </w:tcPr>
          <w:p>
            <w:pPr>
              <w:pStyle w:val="Compact"/>
              <w:spacing w:before="20" w:after="20" w:line="240" w:lineRule="auto"/>
              <w:jc w:val="left"/>
            </w:pPr>
            <w:r>
              <w:rPr>
                <w:rFonts w:ascii="Liberation Sans Narrow" w:hAnsi="Liberation Sans Narrow"/>
                <w:b w:val="0"/>
                <w:sz w:val="17"/>
              </w:rPr>
              <w:t xml:space="preserve">Art. 1033</w:t>
            </w:r>
          </w:p>
        </w:tc>
        <w:tc>
          <w:tcPr>
            <w:tcW w:type="dxa" w:w="797"/>
          </w:tcPr>
          <w:p>
            <w:pPr>
              <w:pStyle w:val="Compact"/>
              <w:spacing w:before="20" w:after="20" w:line="240" w:lineRule="auto"/>
              <w:jc w:val="right"/>
            </w:pPr>
            <w:r>
              <w:rPr>
                <w:rFonts w:ascii="Liberation Sans Narrow" w:hAnsi="Liberation Sans Narrow"/>
                <w:b/>
                <w:sz w:val="17"/>
              </w:rPr>
              <w:t xml:space="preserve">189</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466</w:t>
            </w:r>
          </w:p>
        </w:tc>
        <w:tc>
          <w:tcPr>
            <w:tcW w:type="dxa" w:w="797"/>
          </w:tcPr>
          <w:p>
            <w:pPr>
              <w:pStyle w:val="Compact"/>
              <w:spacing w:before="20" w:after="20" w:line="240" w:lineRule="auto"/>
              <w:jc w:val="right"/>
            </w:pPr>
            <w:r>
              <w:rPr>
                <w:rFonts w:ascii="Liberation Sans Narrow" w:hAnsi="Liberation Sans Narrow"/>
                <w:b/>
                <w:sz w:val="17"/>
              </w:rPr>
              <w:t xml:space="preserve">62</w:t>
            </w:r>
          </w:p>
        </w:tc>
        <w:tc>
          <w:tcPr>
            <w:tcW w:type="dxa" w:w="1754"/>
          </w:tcPr>
          <w:p>
            <w:pPr>
              <w:pStyle w:val="Compact"/>
              <w:spacing w:before="20" w:after="20" w:line="240" w:lineRule="auto"/>
              <w:jc w:val="left"/>
            </w:pPr>
            <w:r>
              <w:rPr>
                <w:rFonts w:ascii="Liberation Sans Narrow" w:hAnsi="Liberation Sans Narrow"/>
                <w:b w:val="0"/>
                <w:sz w:val="17"/>
              </w:rPr>
              <w:t xml:space="preserve">Art. 655</w:t>
            </w:r>
          </w:p>
        </w:tc>
        <w:tc>
          <w:tcPr>
            <w:tcW w:type="dxa" w:w="797"/>
          </w:tcPr>
          <w:p>
            <w:pPr>
              <w:pStyle w:val="Compact"/>
              <w:spacing w:before="20" w:after="20" w:line="240" w:lineRule="auto"/>
              <w:jc w:val="right"/>
            </w:pPr>
            <w:r>
              <w:rPr>
                <w:rFonts w:ascii="Liberation Sans Narrow" w:hAnsi="Liberation Sans Narrow"/>
                <w:b/>
                <w:sz w:val="17"/>
              </w:rPr>
              <w:t xml:space="preserve">109</w:t>
            </w:r>
          </w:p>
        </w:tc>
        <w:tc>
          <w:tcPr>
            <w:tcW w:type="dxa" w:w="1754"/>
          </w:tcPr>
          <w:p>
            <w:pPr>
              <w:pStyle w:val="Compact"/>
              <w:spacing w:before="20" w:after="20" w:line="240" w:lineRule="auto"/>
              <w:jc w:val="left"/>
            </w:pPr>
            <w:r>
              <w:rPr>
                <w:rFonts w:ascii="Liberation Sans Narrow" w:hAnsi="Liberation Sans Narrow"/>
                <w:b w:val="0"/>
                <w:sz w:val="17"/>
              </w:rPr>
              <w:t xml:space="preserve">Art. 844</w:t>
            </w:r>
          </w:p>
        </w:tc>
        <w:tc>
          <w:tcPr>
            <w:tcW w:type="dxa" w:w="797"/>
          </w:tcPr>
          <w:p>
            <w:pPr>
              <w:pStyle w:val="Compact"/>
              <w:spacing w:before="20" w:after="20" w:line="240" w:lineRule="auto"/>
              <w:jc w:val="right"/>
            </w:pPr>
            <w:r>
              <w:rPr>
                <w:rFonts w:ascii="Liberation Sans Narrow" w:hAnsi="Liberation Sans Narrow"/>
                <w:b/>
                <w:sz w:val="17"/>
              </w:rPr>
              <w:t xml:space="preserve">147</w:t>
            </w:r>
          </w:p>
        </w:tc>
        <w:tc>
          <w:tcPr>
            <w:tcW w:type="dxa" w:w="1754"/>
          </w:tcPr>
          <w:p>
            <w:pPr>
              <w:pStyle w:val="Compact"/>
              <w:spacing w:before="20" w:after="20" w:line="240" w:lineRule="auto"/>
              <w:jc w:val="left"/>
            </w:pPr>
            <w:r>
              <w:rPr>
                <w:rFonts w:ascii="Liberation Sans Narrow" w:hAnsi="Liberation Sans Narrow"/>
                <w:b w:val="0"/>
                <w:sz w:val="17"/>
              </w:rPr>
              <w:t xml:space="preserve">Art. 1034</w:t>
            </w:r>
          </w:p>
        </w:tc>
        <w:tc>
          <w:tcPr>
            <w:tcW w:type="dxa" w:w="797"/>
          </w:tcPr>
          <w:p>
            <w:pPr>
              <w:pStyle w:val="Compact"/>
              <w:spacing w:before="20" w:after="20" w:line="240" w:lineRule="auto"/>
              <w:jc w:val="right"/>
            </w:pPr>
            <w:r>
              <w:rPr>
                <w:rFonts w:ascii="Liberation Sans Narrow" w:hAnsi="Liberation Sans Narrow"/>
                <w:b/>
                <w:sz w:val="17"/>
              </w:rPr>
              <w:t xml:space="preserve">189</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467</w:t>
            </w:r>
          </w:p>
        </w:tc>
        <w:tc>
          <w:tcPr>
            <w:tcW w:type="dxa" w:w="797"/>
          </w:tcPr>
          <w:p>
            <w:pPr>
              <w:pStyle w:val="Compact"/>
              <w:spacing w:before="20" w:after="20" w:line="240" w:lineRule="auto"/>
              <w:jc w:val="right"/>
            </w:pPr>
            <w:r>
              <w:rPr>
                <w:rFonts w:ascii="Liberation Sans Narrow" w:hAnsi="Liberation Sans Narrow"/>
                <w:b/>
                <w:sz w:val="17"/>
              </w:rPr>
              <w:t xml:space="preserve">63</w:t>
            </w:r>
          </w:p>
        </w:tc>
        <w:tc>
          <w:tcPr>
            <w:tcW w:type="dxa" w:w="1754"/>
          </w:tcPr>
          <w:p>
            <w:pPr>
              <w:pStyle w:val="Compact"/>
              <w:spacing w:before="20" w:after="20" w:line="240" w:lineRule="auto"/>
              <w:jc w:val="left"/>
            </w:pPr>
            <w:r>
              <w:rPr>
                <w:rFonts w:ascii="Liberation Sans Narrow" w:hAnsi="Liberation Sans Narrow"/>
                <w:b w:val="0"/>
                <w:sz w:val="17"/>
              </w:rPr>
              <w:t xml:space="preserve">Art. 656</w:t>
            </w:r>
          </w:p>
        </w:tc>
        <w:tc>
          <w:tcPr>
            <w:tcW w:type="dxa" w:w="797"/>
          </w:tcPr>
          <w:p>
            <w:pPr>
              <w:pStyle w:val="Compact"/>
              <w:spacing w:before="20" w:after="20" w:line="240" w:lineRule="auto"/>
              <w:jc w:val="right"/>
            </w:pPr>
            <w:r>
              <w:rPr>
                <w:rFonts w:ascii="Liberation Sans Narrow" w:hAnsi="Liberation Sans Narrow"/>
                <w:b/>
                <w:sz w:val="17"/>
              </w:rPr>
              <w:t xml:space="preserve">110</w:t>
            </w:r>
          </w:p>
        </w:tc>
        <w:tc>
          <w:tcPr>
            <w:tcW w:type="dxa" w:w="1754"/>
          </w:tcPr>
          <w:p>
            <w:pPr>
              <w:pStyle w:val="Compact"/>
              <w:spacing w:before="20" w:after="20" w:line="240" w:lineRule="auto"/>
              <w:jc w:val="left"/>
            </w:pPr>
            <w:r>
              <w:rPr>
                <w:rFonts w:ascii="Liberation Sans Narrow" w:hAnsi="Liberation Sans Narrow"/>
                <w:b w:val="0"/>
                <w:sz w:val="17"/>
              </w:rPr>
              <w:t xml:space="preserve">Art. 845</w:t>
            </w:r>
          </w:p>
        </w:tc>
        <w:tc>
          <w:tcPr>
            <w:tcW w:type="dxa" w:w="797"/>
          </w:tcPr>
          <w:p>
            <w:pPr>
              <w:pStyle w:val="Compact"/>
              <w:spacing w:before="20" w:after="20" w:line="240" w:lineRule="auto"/>
              <w:jc w:val="right"/>
            </w:pPr>
            <w:r>
              <w:rPr>
                <w:rFonts w:ascii="Liberation Sans Narrow" w:hAnsi="Liberation Sans Narrow"/>
                <w:b/>
                <w:sz w:val="17"/>
              </w:rPr>
              <w:t xml:space="preserve">148</w:t>
            </w:r>
          </w:p>
        </w:tc>
        <w:tc>
          <w:tcPr>
            <w:tcW w:type="dxa" w:w="1754"/>
          </w:tcPr>
          <w:p>
            <w:pPr>
              <w:pStyle w:val="Compact"/>
              <w:spacing w:before="20" w:after="20" w:line="240" w:lineRule="auto"/>
              <w:jc w:val="left"/>
            </w:pPr>
            <w:r>
              <w:rPr>
                <w:rFonts w:ascii="Liberation Sans Narrow" w:hAnsi="Liberation Sans Narrow"/>
                <w:b w:val="0"/>
                <w:sz w:val="17"/>
              </w:rPr>
              <w:t xml:space="preserve">Art. 1035</w:t>
            </w:r>
          </w:p>
        </w:tc>
        <w:tc>
          <w:tcPr>
            <w:tcW w:type="dxa" w:w="797"/>
          </w:tcPr>
          <w:p>
            <w:pPr>
              <w:pStyle w:val="Compact"/>
              <w:spacing w:before="20" w:after="20" w:line="240" w:lineRule="auto"/>
              <w:jc w:val="right"/>
            </w:pPr>
            <w:r>
              <w:rPr>
                <w:rFonts w:ascii="Liberation Sans Narrow" w:hAnsi="Liberation Sans Narrow"/>
                <w:b/>
                <w:sz w:val="17"/>
              </w:rPr>
              <w:t xml:space="preserve">189</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468</w:t>
            </w:r>
          </w:p>
        </w:tc>
        <w:tc>
          <w:tcPr>
            <w:tcW w:type="dxa" w:w="797"/>
          </w:tcPr>
          <w:p>
            <w:pPr>
              <w:pStyle w:val="Compact"/>
              <w:spacing w:before="20" w:after="20" w:line="240" w:lineRule="auto"/>
              <w:jc w:val="right"/>
            </w:pPr>
            <w:r>
              <w:rPr>
                <w:rFonts w:ascii="Liberation Sans Narrow" w:hAnsi="Liberation Sans Narrow"/>
                <w:b/>
                <w:sz w:val="17"/>
              </w:rPr>
              <w:t xml:space="preserve">63</w:t>
            </w:r>
          </w:p>
        </w:tc>
        <w:tc>
          <w:tcPr>
            <w:tcW w:type="dxa" w:w="1754"/>
          </w:tcPr>
          <w:p>
            <w:pPr>
              <w:pStyle w:val="Compact"/>
              <w:spacing w:before="20" w:after="20" w:line="240" w:lineRule="auto"/>
              <w:jc w:val="left"/>
            </w:pPr>
            <w:r>
              <w:rPr>
                <w:rFonts w:ascii="Liberation Sans Narrow" w:hAnsi="Liberation Sans Narrow"/>
                <w:b w:val="0"/>
                <w:sz w:val="17"/>
              </w:rPr>
              <w:t xml:space="preserve">Art. 657</w:t>
            </w:r>
          </w:p>
        </w:tc>
        <w:tc>
          <w:tcPr>
            <w:tcW w:type="dxa" w:w="797"/>
          </w:tcPr>
          <w:p>
            <w:pPr>
              <w:pStyle w:val="Compact"/>
              <w:spacing w:before="20" w:after="20" w:line="240" w:lineRule="auto"/>
              <w:jc w:val="right"/>
            </w:pPr>
            <w:r>
              <w:rPr>
                <w:rFonts w:ascii="Liberation Sans Narrow" w:hAnsi="Liberation Sans Narrow"/>
                <w:b/>
                <w:sz w:val="17"/>
              </w:rPr>
              <w:t xml:space="preserve">110</w:t>
            </w:r>
          </w:p>
        </w:tc>
        <w:tc>
          <w:tcPr>
            <w:tcW w:type="dxa" w:w="1754"/>
          </w:tcPr>
          <w:p>
            <w:pPr>
              <w:pStyle w:val="Compact"/>
              <w:spacing w:before="20" w:after="20" w:line="240" w:lineRule="auto"/>
              <w:jc w:val="left"/>
            </w:pPr>
            <w:r>
              <w:rPr>
                <w:rFonts w:ascii="Liberation Sans Narrow" w:hAnsi="Liberation Sans Narrow"/>
                <w:b w:val="0"/>
                <w:sz w:val="17"/>
              </w:rPr>
              <w:t xml:space="preserve">Art. 846</w:t>
            </w:r>
          </w:p>
        </w:tc>
        <w:tc>
          <w:tcPr>
            <w:tcW w:type="dxa" w:w="797"/>
          </w:tcPr>
          <w:p>
            <w:pPr>
              <w:pStyle w:val="Compact"/>
              <w:spacing w:before="20" w:after="20" w:line="240" w:lineRule="auto"/>
              <w:jc w:val="right"/>
            </w:pPr>
            <w:r>
              <w:rPr>
                <w:rFonts w:ascii="Liberation Sans Narrow" w:hAnsi="Liberation Sans Narrow"/>
                <w:b/>
                <w:sz w:val="17"/>
              </w:rPr>
              <w:t xml:space="preserve">148</w:t>
            </w:r>
          </w:p>
        </w:tc>
        <w:tc>
          <w:tcPr>
            <w:tcW w:type="dxa" w:w="1754"/>
          </w:tcPr>
          <w:p>
            <w:pPr>
              <w:pStyle w:val="Compact"/>
              <w:spacing w:before="20" w:after="20" w:line="240" w:lineRule="auto"/>
              <w:jc w:val="left"/>
            </w:pPr>
            <w:r>
              <w:rPr>
                <w:rFonts w:ascii="Liberation Sans Narrow" w:hAnsi="Liberation Sans Narrow"/>
                <w:b w:val="0"/>
                <w:sz w:val="17"/>
              </w:rPr>
              <w:t xml:space="preserve">Art. 1036</w:t>
            </w:r>
          </w:p>
        </w:tc>
        <w:tc>
          <w:tcPr>
            <w:tcW w:type="dxa" w:w="797"/>
          </w:tcPr>
          <w:p>
            <w:pPr>
              <w:pStyle w:val="Compact"/>
              <w:spacing w:before="20" w:after="20" w:line="240" w:lineRule="auto"/>
              <w:jc w:val="right"/>
            </w:pPr>
            <w:r>
              <w:rPr>
                <w:rFonts w:ascii="Liberation Sans Narrow" w:hAnsi="Liberation Sans Narrow"/>
                <w:b/>
                <w:sz w:val="17"/>
              </w:rPr>
              <w:t xml:space="preserve">190</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469</w:t>
            </w:r>
          </w:p>
        </w:tc>
        <w:tc>
          <w:tcPr>
            <w:tcW w:type="dxa" w:w="797"/>
          </w:tcPr>
          <w:p>
            <w:pPr>
              <w:pStyle w:val="Compact"/>
              <w:spacing w:before="20" w:after="20" w:line="240" w:lineRule="auto"/>
              <w:jc w:val="right"/>
            </w:pPr>
            <w:r>
              <w:rPr>
                <w:rFonts w:ascii="Liberation Sans Narrow" w:hAnsi="Liberation Sans Narrow"/>
                <w:b/>
                <w:sz w:val="17"/>
              </w:rPr>
              <w:t xml:space="preserve">63</w:t>
            </w:r>
          </w:p>
        </w:tc>
        <w:tc>
          <w:tcPr>
            <w:tcW w:type="dxa" w:w="1754"/>
          </w:tcPr>
          <w:p>
            <w:pPr>
              <w:pStyle w:val="Compact"/>
              <w:spacing w:before="20" w:after="20" w:line="240" w:lineRule="auto"/>
              <w:jc w:val="left"/>
            </w:pPr>
            <w:r>
              <w:rPr>
                <w:rFonts w:ascii="Liberation Sans Narrow" w:hAnsi="Liberation Sans Narrow"/>
                <w:b w:val="0"/>
                <w:sz w:val="17"/>
              </w:rPr>
              <w:t xml:space="preserve">Art. 658</w:t>
            </w:r>
          </w:p>
        </w:tc>
        <w:tc>
          <w:tcPr>
            <w:tcW w:type="dxa" w:w="797"/>
          </w:tcPr>
          <w:p>
            <w:pPr>
              <w:pStyle w:val="Compact"/>
              <w:spacing w:before="20" w:after="20" w:line="240" w:lineRule="auto"/>
              <w:jc w:val="right"/>
            </w:pPr>
            <w:r>
              <w:rPr>
                <w:rFonts w:ascii="Liberation Sans Narrow" w:hAnsi="Liberation Sans Narrow"/>
                <w:b/>
                <w:sz w:val="17"/>
              </w:rPr>
              <w:t xml:space="preserve">110</w:t>
            </w:r>
          </w:p>
        </w:tc>
        <w:tc>
          <w:tcPr>
            <w:tcW w:type="dxa" w:w="1754"/>
          </w:tcPr>
          <w:p>
            <w:pPr>
              <w:pStyle w:val="Compact"/>
              <w:spacing w:before="20" w:after="20" w:line="240" w:lineRule="auto"/>
              <w:jc w:val="left"/>
            </w:pPr>
            <w:r>
              <w:rPr>
                <w:rFonts w:ascii="Liberation Sans Narrow" w:hAnsi="Liberation Sans Narrow"/>
                <w:b w:val="0"/>
                <w:sz w:val="17"/>
              </w:rPr>
              <w:t xml:space="preserve">Art. 847</w:t>
            </w:r>
          </w:p>
        </w:tc>
        <w:tc>
          <w:tcPr>
            <w:tcW w:type="dxa" w:w="797"/>
          </w:tcPr>
          <w:p>
            <w:pPr>
              <w:pStyle w:val="Compact"/>
              <w:spacing w:before="20" w:after="20" w:line="240" w:lineRule="auto"/>
              <w:jc w:val="right"/>
            </w:pPr>
            <w:r>
              <w:rPr>
                <w:rFonts w:ascii="Liberation Sans Narrow" w:hAnsi="Liberation Sans Narrow"/>
                <w:b/>
                <w:sz w:val="17"/>
              </w:rPr>
              <w:t xml:space="preserve">148</w:t>
            </w:r>
          </w:p>
        </w:tc>
        <w:tc>
          <w:tcPr>
            <w:tcW w:type="dxa" w:w="1754"/>
          </w:tcPr>
          <w:p>
            <w:pPr>
              <w:pStyle w:val="Compact"/>
              <w:spacing w:before="20" w:after="20" w:line="240" w:lineRule="auto"/>
              <w:jc w:val="left"/>
            </w:pPr>
            <w:r>
              <w:rPr>
                <w:rFonts w:ascii="Liberation Sans Narrow" w:hAnsi="Liberation Sans Narrow"/>
                <w:b w:val="0"/>
                <w:sz w:val="17"/>
              </w:rPr>
              <w:t xml:space="preserve">Art. 1037</w:t>
            </w:r>
          </w:p>
        </w:tc>
        <w:tc>
          <w:tcPr>
            <w:tcW w:type="dxa" w:w="797"/>
          </w:tcPr>
          <w:p>
            <w:pPr>
              <w:pStyle w:val="Compact"/>
              <w:spacing w:before="20" w:after="20" w:line="240" w:lineRule="auto"/>
              <w:jc w:val="right"/>
            </w:pPr>
            <w:r>
              <w:rPr>
                <w:rFonts w:ascii="Liberation Sans Narrow" w:hAnsi="Liberation Sans Narrow"/>
                <w:b/>
                <w:sz w:val="17"/>
              </w:rPr>
              <w:t xml:space="preserve">190</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470</w:t>
            </w:r>
          </w:p>
        </w:tc>
        <w:tc>
          <w:tcPr>
            <w:tcW w:type="dxa" w:w="797"/>
          </w:tcPr>
          <w:p>
            <w:pPr>
              <w:pStyle w:val="Compact"/>
              <w:spacing w:before="20" w:after="20" w:line="240" w:lineRule="auto"/>
              <w:jc w:val="right"/>
            </w:pPr>
            <w:r>
              <w:rPr>
                <w:rFonts w:ascii="Liberation Sans Narrow" w:hAnsi="Liberation Sans Narrow"/>
                <w:b/>
                <w:sz w:val="17"/>
              </w:rPr>
              <w:t xml:space="preserve">63</w:t>
            </w:r>
          </w:p>
        </w:tc>
        <w:tc>
          <w:tcPr>
            <w:tcW w:type="dxa" w:w="1754"/>
          </w:tcPr>
          <w:p>
            <w:pPr>
              <w:pStyle w:val="Compact"/>
              <w:spacing w:before="20" w:after="20" w:line="240" w:lineRule="auto"/>
              <w:jc w:val="left"/>
            </w:pPr>
            <w:r>
              <w:rPr>
                <w:rFonts w:ascii="Liberation Sans Narrow" w:hAnsi="Liberation Sans Narrow"/>
                <w:b w:val="0"/>
                <w:sz w:val="17"/>
              </w:rPr>
              <w:t xml:space="preserve">Art. 659</w:t>
            </w:r>
          </w:p>
        </w:tc>
        <w:tc>
          <w:tcPr>
            <w:tcW w:type="dxa" w:w="797"/>
          </w:tcPr>
          <w:p>
            <w:pPr>
              <w:pStyle w:val="Compact"/>
              <w:spacing w:before="20" w:after="20" w:line="240" w:lineRule="auto"/>
              <w:jc w:val="right"/>
            </w:pPr>
            <w:r>
              <w:rPr>
                <w:rFonts w:ascii="Liberation Sans Narrow" w:hAnsi="Liberation Sans Narrow"/>
                <w:b/>
                <w:sz w:val="17"/>
              </w:rPr>
              <w:t xml:space="preserve">110</w:t>
            </w:r>
          </w:p>
        </w:tc>
        <w:tc>
          <w:tcPr>
            <w:tcW w:type="dxa" w:w="1754"/>
          </w:tcPr>
          <w:p>
            <w:pPr>
              <w:pStyle w:val="Compact"/>
              <w:spacing w:before="20" w:after="20" w:line="240" w:lineRule="auto"/>
              <w:jc w:val="left"/>
            </w:pPr>
            <w:r>
              <w:rPr>
                <w:rFonts w:ascii="Liberation Sans Narrow" w:hAnsi="Liberation Sans Narrow"/>
                <w:b w:val="0"/>
                <w:sz w:val="17"/>
              </w:rPr>
              <w:t xml:space="preserve">Art. 848</w:t>
            </w:r>
          </w:p>
        </w:tc>
        <w:tc>
          <w:tcPr>
            <w:tcW w:type="dxa" w:w="797"/>
          </w:tcPr>
          <w:p>
            <w:pPr>
              <w:pStyle w:val="Compact"/>
              <w:spacing w:before="20" w:after="20" w:line="240" w:lineRule="auto"/>
              <w:jc w:val="right"/>
            </w:pPr>
            <w:r>
              <w:rPr>
                <w:rFonts w:ascii="Liberation Sans Narrow" w:hAnsi="Liberation Sans Narrow"/>
                <w:b/>
                <w:sz w:val="17"/>
              </w:rPr>
              <w:t xml:space="preserve">148</w:t>
            </w:r>
          </w:p>
        </w:tc>
        <w:tc>
          <w:tcPr>
            <w:tcW w:type="dxa" w:w="1754"/>
          </w:tcPr>
          <w:p>
            <w:pPr>
              <w:pStyle w:val="Compact"/>
              <w:spacing w:before="20" w:after="20" w:line="240" w:lineRule="auto"/>
              <w:jc w:val="left"/>
            </w:pPr>
            <w:r>
              <w:rPr>
                <w:rFonts w:ascii="Liberation Sans Narrow" w:hAnsi="Liberation Sans Narrow"/>
                <w:b w:val="0"/>
                <w:sz w:val="17"/>
              </w:rPr>
              <w:t xml:space="preserve">Art. 1038</w:t>
            </w:r>
          </w:p>
        </w:tc>
        <w:tc>
          <w:tcPr>
            <w:tcW w:type="dxa" w:w="797"/>
          </w:tcPr>
          <w:p>
            <w:pPr>
              <w:pStyle w:val="Compact"/>
              <w:spacing w:before="20" w:after="20" w:line="240" w:lineRule="auto"/>
              <w:jc w:val="right"/>
            </w:pPr>
            <w:r>
              <w:rPr>
                <w:rFonts w:ascii="Liberation Sans Narrow" w:hAnsi="Liberation Sans Narrow"/>
                <w:b/>
                <w:sz w:val="17"/>
              </w:rPr>
              <w:t xml:space="preserve">191</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471</w:t>
            </w:r>
          </w:p>
        </w:tc>
        <w:tc>
          <w:tcPr>
            <w:tcW w:type="dxa" w:w="797"/>
          </w:tcPr>
          <w:p>
            <w:pPr>
              <w:pStyle w:val="Compact"/>
              <w:spacing w:before="20" w:after="20" w:line="240" w:lineRule="auto"/>
              <w:jc w:val="right"/>
            </w:pPr>
            <w:r>
              <w:rPr>
                <w:rFonts w:ascii="Liberation Sans Narrow" w:hAnsi="Liberation Sans Narrow"/>
                <w:b/>
                <w:sz w:val="17"/>
              </w:rPr>
              <w:t xml:space="preserve">64</w:t>
            </w:r>
          </w:p>
        </w:tc>
        <w:tc>
          <w:tcPr>
            <w:tcW w:type="dxa" w:w="1754"/>
          </w:tcPr>
          <w:p>
            <w:pPr>
              <w:pStyle w:val="Compact"/>
              <w:spacing w:before="20" w:after="20" w:line="240" w:lineRule="auto"/>
              <w:jc w:val="left"/>
            </w:pPr>
            <w:r>
              <w:rPr>
                <w:rFonts w:ascii="Liberation Sans Narrow" w:hAnsi="Liberation Sans Narrow"/>
                <w:b w:val="0"/>
                <w:sz w:val="17"/>
              </w:rPr>
              <w:t xml:space="preserve">Art. 660</w:t>
            </w:r>
          </w:p>
        </w:tc>
        <w:tc>
          <w:tcPr>
            <w:tcW w:type="dxa" w:w="797"/>
          </w:tcPr>
          <w:p>
            <w:pPr>
              <w:pStyle w:val="Compact"/>
              <w:spacing w:before="20" w:after="20" w:line="240" w:lineRule="auto"/>
              <w:jc w:val="right"/>
            </w:pPr>
            <w:r>
              <w:rPr>
                <w:rFonts w:ascii="Liberation Sans Narrow" w:hAnsi="Liberation Sans Narrow"/>
                <w:b/>
                <w:sz w:val="17"/>
              </w:rPr>
              <w:t xml:space="preserve">111</w:t>
            </w:r>
          </w:p>
        </w:tc>
        <w:tc>
          <w:tcPr>
            <w:tcW w:type="dxa" w:w="1754"/>
          </w:tcPr>
          <w:p>
            <w:pPr>
              <w:pStyle w:val="Compact"/>
              <w:spacing w:before="20" w:after="20" w:line="240" w:lineRule="auto"/>
              <w:jc w:val="left"/>
            </w:pPr>
            <w:r>
              <w:rPr>
                <w:rFonts w:ascii="Liberation Sans Narrow" w:hAnsi="Liberation Sans Narrow"/>
                <w:b w:val="0"/>
                <w:sz w:val="17"/>
              </w:rPr>
              <w:t xml:space="preserve">Art. 849</w:t>
            </w:r>
          </w:p>
        </w:tc>
        <w:tc>
          <w:tcPr>
            <w:tcW w:type="dxa" w:w="797"/>
          </w:tcPr>
          <w:p>
            <w:pPr>
              <w:pStyle w:val="Compact"/>
              <w:spacing w:before="20" w:after="20" w:line="240" w:lineRule="auto"/>
              <w:jc w:val="right"/>
            </w:pPr>
            <w:r>
              <w:rPr>
                <w:rFonts w:ascii="Liberation Sans Narrow" w:hAnsi="Liberation Sans Narrow"/>
                <w:b/>
                <w:sz w:val="17"/>
              </w:rPr>
              <w:t xml:space="preserve">149</w:t>
            </w:r>
          </w:p>
        </w:tc>
        <w:tc>
          <w:tcPr>
            <w:tcW w:type="dxa" w:w="1754"/>
          </w:tcPr>
          <w:p>
            <w:pPr>
              <w:pStyle w:val="Compact"/>
              <w:spacing w:before="20" w:after="20" w:line="240" w:lineRule="auto"/>
              <w:jc w:val="left"/>
            </w:pPr>
            <w:r>
              <w:rPr>
                <w:rFonts w:ascii="Liberation Sans Narrow" w:hAnsi="Liberation Sans Narrow"/>
                <w:b w:val="0"/>
                <w:sz w:val="17"/>
              </w:rPr>
              <w:t xml:space="preserve">Art. 1039</w:t>
            </w:r>
          </w:p>
        </w:tc>
        <w:tc>
          <w:tcPr>
            <w:tcW w:type="dxa" w:w="797"/>
          </w:tcPr>
          <w:p>
            <w:pPr>
              <w:pStyle w:val="Compact"/>
              <w:spacing w:before="20" w:after="20" w:line="240" w:lineRule="auto"/>
              <w:jc w:val="right"/>
            </w:pPr>
            <w:r>
              <w:rPr>
                <w:rFonts w:ascii="Liberation Sans Narrow" w:hAnsi="Liberation Sans Narrow"/>
                <w:b/>
                <w:sz w:val="17"/>
              </w:rPr>
              <w:t xml:space="preserve">191</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472</w:t>
            </w:r>
          </w:p>
        </w:tc>
        <w:tc>
          <w:tcPr>
            <w:tcW w:type="dxa" w:w="797"/>
          </w:tcPr>
          <w:p>
            <w:pPr>
              <w:pStyle w:val="Compact"/>
              <w:spacing w:before="20" w:after="20" w:line="240" w:lineRule="auto"/>
              <w:jc w:val="right"/>
            </w:pPr>
            <w:r>
              <w:rPr>
                <w:rFonts w:ascii="Liberation Sans Narrow" w:hAnsi="Liberation Sans Narrow"/>
                <w:b/>
                <w:sz w:val="17"/>
              </w:rPr>
              <w:t xml:space="preserve">64</w:t>
            </w:r>
          </w:p>
        </w:tc>
        <w:tc>
          <w:tcPr>
            <w:tcW w:type="dxa" w:w="1754"/>
          </w:tcPr>
          <w:p>
            <w:pPr>
              <w:pStyle w:val="Compact"/>
              <w:spacing w:before="20" w:after="20" w:line="240" w:lineRule="auto"/>
              <w:jc w:val="left"/>
            </w:pPr>
            <w:r>
              <w:rPr>
                <w:rFonts w:ascii="Liberation Sans Narrow" w:hAnsi="Liberation Sans Narrow"/>
                <w:b w:val="0"/>
                <w:sz w:val="17"/>
              </w:rPr>
              <w:t xml:space="preserve">Art. 661</w:t>
            </w:r>
          </w:p>
        </w:tc>
        <w:tc>
          <w:tcPr>
            <w:tcW w:type="dxa" w:w="797"/>
          </w:tcPr>
          <w:p>
            <w:pPr>
              <w:pStyle w:val="Compact"/>
              <w:spacing w:before="20" w:after="20" w:line="240" w:lineRule="auto"/>
              <w:jc w:val="right"/>
            </w:pPr>
            <w:r>
              <w:rPr>
                <w:rFonts w:ascii="Liberation Sans Narrow" w:hAnsi="Liberation Sans Narrow"/>
                <w:b/>
                <w:sz w:val="17"/>
              </w:rPr>
              <w:t xml:space="preserve">111</w:t>
            </w:r>
          </w:p>
        </w:tc>
        <w:tc>
          <w:tcPr>
            <w:tcW w:type="dxa" w:w="1754"/>
          </w:tcPr>
          <w:p>
            <w:pPr>
              <w:pStyle w:val="Compact"/>
              <w:spacing w:before="20" w:after="20" w:line="240" w:lineRule="auto"/>
              <w:jc w:val="left"/>
            </w:pPr>
            <w:r>
              <w:rPr>
                <w:rFonts w:ascii="Liberation Sans Narrow" w:hAnsi="Liberation Sans Narrow"/>
                <w:b w:val="0"/>
                <w:sz w:val="17"/>
              </w:rPr>
              <w:t xml:space="preserve">Art. 850</w:t>
            </w:r>
          </w:p>
        </w:tc>
        <w:tc>
          <w:tcPr>
            <w:tcW w:type="dxa" w:w="797"/>
          </w:tcPr>
          <w:p>
            <w:pPr>
              <w:pStyle w:val="Compact"/>
              <w:spacing w:before="20" w:after="20" w:line="240" w:lineRule="auto"/>
              <w:jc w:val="right"/>
            </w:pPr>
            <w:r>
              <w:rPr>
                <w:rFonts w:ascii="Liberation Sans Narrow" w:hAnsi="Liberation Sans Narrow"/>
                <w:b/>
                <w:sz w:val="17"/>
              </w:rPr>
              <w:t xml:space="preserve">149</w:t>
            </w:r>
          </w:p>
        </w:tc>
        <w:tc>
          <w:tcPr>
            <w:tcW w:type="dxa" w:w="1754"/>
          </w:tcPr>
          <w:p>
            <w:pPr>
              <w:pStyle w:val="Compact"/>
              <w:spacing w:before="20" w:after="20" w:line="240" w:lineRule="auto"/>
              <w:jc w:val="left"/>
            </w:pPr>
            <w:r>
              <w:rPr>
                <w:rFonts w:ascii="Liberation Sans Narrow" w:hAnsi="Liberation Sans Narrow"/>
                <w:b w:val="0"/>
                <w:sz w:val="17"/>
              </w:rPr>
              <w:t xml:space="preserve">Art. 1040</w:t>
            </w:r>
          </w:p>
        </w:tc>
        <w:tc>
          <w:tcPr>
            <w:tcW w:type="dxa" w:w="797"/>
          </w:tcPr>
          <w:p>
            <w:pPr>
              <w:pStyle w:val="Compact"/>
              <w:spacing w:before="20" w:after="20" w:line="240" w:lineRule="auto"/>
              <w:jc w:val="right"/>
            </w:pPr>
            <w:r>
              <w:rPr>
                <w:rFonts w:ascii="Liberation Sans Narrow" w:hAnsi="Liberation Sans Narrow"/>
                <w:b/>
                <w:sz w:val="17"/>
              </w:rPr>
              <w:t xml:space="preserve">191</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473</w:t>
            </w:r>
          </w:p>
        </w:tc>
        <w:tc>
          <w:tcPr>
            <w:tcW w:type="dxa" w:w="797"/>
          </w:tcPr>
          <w:p>
            <w:pPr>
              <w:pStyle w:val="Compact"/>
              <w:spacing w:before="20" w:after="20" w:line="240" w:lineRule="auto"/>
              <w:jc w:val="right"/>
            </w:pPr>
            <w:r>
              <w:rPr>
                <w:rFonts w:ascii="Liberation Sans Narrow" w:hAnsi="Liberation Sans Narrow"/>
                <w:b/>
                <w:sz w:val="17"/>
              </w:rPr>
              <w:t xml:space="preserve">64</w:t>
            </w:r>
          </w:p>
        </w:tc>
        <w:tc>
          <w:tcPr>
            <w:tcW w:type="dxa" w:w="1754"/>
          </w:tcPr>
          <w:p>
            <w:pPr>
              <w:pStyle w:val="Compact"/>
              <w:spacing w:before="20" w:after="20" w:line="240" w:lineRule="auto"/>
              <w:jc w:val="left"/>
            </w:pPr>
            <w:r>
              <w:rPr>
                <w:rFonts w:ascii="Liberation Sans Narrow" w:hAnsi="Liberation Sans Narrow"/>
                <w:b w:val="0"/>
                <w:sz w:val="17"/>
              </w:rPr>
              <w:t xml:space="preserve">Art. 662</w:t>
            </w:r>
          </w:p>
        </w:tc>
        <w:tc>
          <w:tcPr>
            <w:tcW w:type="dxa" w:w="797"/>
          </w:tcPr>
          <w:p>
            <w:pPr>
              <w:pStyle w:val="Compact"/>
              <w:spacing w:before="20" w:after="20" w:line="240" w:lineRule="auto"/>
              <w:jc w:val="right"/>
            </w:pPr>
            <w:r>
              <w:rPr>
                <w:rFonts w:ascii="Liberation Sans Narrow" w:hAnsi="Liberation Sans Narrow"/>
                <w:b/>
                <w:sz w:val="17"/>
              </w:rPr>
              <w:t xml:space="preserve">111</w:t>
            </w:r>
          </w:p>
        </w:tc>
        <w:tc>
          <w:tcPr>
            <w:tcW w:type="dxa" w:w="1754"/>
          </w:tcPr>
          <w:p>
            <w:pPr>
              <w:pStyle w:val="Compact"/>
              <w:spacing w:before="20" w:after="20" w:line="240" w:lineRule="auto"/>
              <w:jc w:val="left"/>
            </w:pPr>
            <w:r>
              <w:rPr>
                <w:rFonts w:ascii="Liberation Sans Narrow" w:hAnsi="Liberation Sans Narrow"/>
                <w:b w:val="0"/>
                <w:sz w:val="17"/>
              </w:rPr>
              <w:t xml:space="preserve">Art. 851</w:t>
            </w:r>
          </w:p>
        </w:tc>
        <w:tc>
          <w:tcPr>
            <w:tcW w:type="dxa" w:w="797"/>
          </w:tcPr>
          <w:p>
            <w:pPr>
              <w:pStyle w:val="Compact"/>
              <w:spacing w:before="20" w:after="20" w:line="240" w:lineRule="auto"/>
              <w:jc w:val="right"/>
            </w:pPr>
            <w:r>
              <w:rPr>
                <w:rFonts w:ascii="Liberation Sans Narrow" w:hAnsi="Liberation Sans Narrow"/>
                <w:b/>
                <w:sz w:val="17"/>
              </w:rPr>
              <w:t xml:space="preserve">149</w:t>
            </w:r>
          </w:p>
        </w:tc>
        <w:tc>
          <w:tcPr>
            <w:tcW w:type="dxa" w:w="1754"/>
          </w:tcPr>
          <w:p>
            <w:pPr>
              <w:pStyle w:val="Compact"/>
              <w:spacing w:before="20" w:after="20" w:line="240" w:lineRule="auto"/>
              <w:jc w:val="left"/>
            </w:pPr>
            <w:r>
              <w:rPr>
                <w:rFonts w:ascii="Liberation Sans Narrow" w:hAnsi="Liberation Sans Narrow"/>
                <w:b w:val="0"/>
                <w:sz w:val="17"/>
              </w:rPr>
              <w:t xml:space="preserve">Art. 1041</w:t>
            </w:r>
          </w:p>
        </w:tc>
        <w:tc>
          <w:tcPr>
            <w:tcW w:type="dxa" w:w="797"/>
          </w:tcPr>
          <w:p>
            <w:pPr>
              <w:pStyle w:val="Compact"/>
              <w:spacing w:before="20" w:after="20" w:line="240" w:lineRule="auto"/>
              <w:jc w:val="right"/>
            </w:pPr>
            <w:r>
              <w:rPr>
                <w:rFonts w:ascii="Liberation Sans Narrow" w:hAnsi="Liberation Sans Narrow"/>
                <w:b/>
                <w:sz w:val="17"/>
              </w:rPr>
              <w:t xml:space="preserve">191</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474</w:t>
            </w:r>
          </w:p>
        </w:tc>
        <w:tc>
          <w:tcPr>
            <w:tcW w:type="dxa" w:w="797"/>
          </w:tcPr>
          <w:p>
            <w:pPr>
              <w:pStyle w:val="Compact"/>
              <w:spacing w:before="20" w:after="20" w:line="240" w:lineRule="auto"/>
              <w:jc w:val="right"/>
            </w:pPr>
            <w:r>
              <w:rPr>
                <w:rFonts w:ascii="Liberation Sans Narrow" w:hAnsi="Liberation Sans Narrow"/>
                <w:b/>
                <w:sz w:val="17"/>
              </w:rPr>
              <w:t xml:space="preserve">65</w:t>
            </w:r>
          </w:p>
        </w:tc>
        <w:tc>
          <w:tcPr>
            <w:tcW w:type="dxa" w:w="1754"/>
          </w:tcPr>
          <w:p>
            <w:pPr>
              <w:pStyle w:val="Compact"/>
              <w:spacing w:before="20" w:after="20" w:line="240" w:lineRule="auto"/>
              <w:jc w:val="left"/>
            </w:pPr>
            <w:r>
              <w:rPr>
                <w:rFonts w:ascii="Liberation Sans Narrow" w:hAnsi="Liberation Sans Narrow"/>
                <w:b w:val="0"/>
                <w:sz w:val="17"/>
              </w:rPr>
              <w:t xml:space="preserve">Art. 663</w:t>
            </w:r>
          </w:p>
        </w:tc>
        <w:tc>
          <w:tcPr>
            <w:tcW w:type="dxa" w:w="797"/>
          </w:tcPr>
          <w:p>
            <w:pPr>
              <w:pStyle w:val="Compact"/>
              <w:spacing w:before="20" w:after="20" w:line="240" w:lineRule="auto"/>
              <w:jc w:val="right"/>
            </w:pPr>
            <w:r>
              <w:rPr>
                <w:rFonts w:ascii="Liberation Sans Narrow" w:hAnsi="Liberation Sans Narrow"/>
                <w:b/>
                <w:sz w:val="17"/>
              </w:rPr>
              <w:t xml:space="preserve">111</w:t>
            </w:r>
          </w:p>
        </w:tc>
        <w:tc>
          <w:tcPr>
            <w:tcW w:type="dxa" w:w="1754"/>
          </w:tcPr>
          <w:p>
            <w:pPr>
              <w:pStyle w:val="Compact"/>
              <w:spacing w:before="20" w:after="20" w:line="240" w:lineRule="auto"/>
              <w:jc w:val="left"/>
            </w:pPr>
            <w:r>
              <w:rPr>
                <w:rFonts w:ascii="Liberation Sans Narrow" w:hAnsi="Liberation Sans Narrow"/>
                <w:b w:val="0"/>
                <w:sz w:val="17"/>
              </w:rPr>
              <w:t xml:space="preserve">Art. 852</w:t>
            </w:r>
          </w:p>
        </w:tc>
        <w:tc>
          <w:tcPr>
            <w:tcW w:type="dxa" w:w="797"/>
          </w:tcPr>
          <w:p>
            <w:pPr>
              <w:pStyle w:val="Compact"/>
              <w:spacing w:before="20" w:after="20" w:line="240" w:lineRule="auto"/>
              <w:jc w:val="right"/>
            </w:pPr>
            <w:r>
              <w:rPr>
                <w:rFonts w:ascii="Liberation Sans Narrow" w:hAnsi="Liberation Sans Narrow"/>
                <w:b/>
                <w:sz w:val="17"/>
              </w:rPr>
              <w:t xml:space="preserve">149</w:t>
            </w:r>
          </w:p>
        </w:tc>
        <w:tc>
          <w:tcPr>
            <w:tcW w:type="dxa" w:w="1754"/>
          </w:tcPr>
          <w:p>
            <w:pPr>
              <w:pStyle w:val="Compact"/>
              <w:spacing w:before="20" w:after="20" w:line="240" w:lineRule="auto"/>
              <w:jc w:val="left"/>
            </w:pPr>
            <w:r>
              <w:rPr>
                <w:rFonts w:ascii="Liberation Sans Narrow" w:hAnsi="Liberation Sans Narrow"/>
                <w:b w:val="0"/>
                <w:sz w:val="17"/>
              </w:rPr>
              <w:t xml:space="preserve">Art. 1042</w:t>
            </w:r>
          </w:p>
        </w:tc>
        <w:tc>
          <w:tcPr>
            <w:tcW w:type="dxa" w:w="797"/>
          </w:tcPr>
          <w:p>
            <w:pPr>
              <w:pStyle w:val="Compact"/>
              <w:spacing w:before="20" w:after="20" w:line="240" w:lineRule="auto"/>
              <w:jc w:val="right"/>
            </w:pPr>
            <w:r>
              <w:rPr>
                <w:rFonts w:ascii="Liberation Sans Narrow" w:hAnsi="Liberation Sans Narrow"/>
                <w:b/>
                <w:sz w:val="17"/>
              </w:rPr>
              <w:t xml:space="preserve">192</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475</w:t>
            </w:r>
          </w:p>
        </w:tc>
        <w:tc>
          <w:tcPr>
            <w:tcW w:type="dxa" w:w="797"/>
          </w:tcPr>
          <w:p>
            <w:pPr>
              <w:pStyle w:val="Compact"/>
              <w:spacing w:before="20" w:after="20" w:line="240" w:lineRule="auto"/>
              <w:jc w:val="right"/>
            </w:pPr>
            <w:r>
              <w:rPr>
                <w:rFonts w:ascii="Liberation Sans Narrow" w:hAnsi="Liberation Sans Narrow"/>
                <w:b/>
                <w:sz w:val="17"/>
              </w:rPr>
              <w:t xml:space="preserve">65</w:t>
            </w:r>
          </w:p>
        </w:tc>
        <w:tc>
          <w:tcPr>
            <w:tcW w:type="dxa" w:w="1754"/>
          </w:tcPr>
          <w:p>
            <w:pPr>
              <w:pStyle w:val="Compact"/>
              <w:spacing w:before="20" w:after="20" w:line="240" w:lineRule="auto"/>
              <w:jc w:val="left"/>
            </w:pPr>
            <w:r>
              <w:rPr>
                <w:rFonts w:ascii="Liberation Sans Narrow" w:hAnsi="Liberation Sans Narrow"/>
                <w:b w:val="0"/>
                <w:sz w:val="17"/>
              </w:rPr>
              <w:t xml:space="preserve">Art. 664</w:t>
            </w:r>
          </w:p>
        </w:tc>
        <w:tc>
          <w:tcPr>
            <w:tcW w:type="dxa" w:w="797"/>
          </w:tcPr>
          <w:p>
            <w:pPr>
              <w:pStyle w:val="Compact"/>
              <w:spacing w:before="20" w:after="20" w:line="240" w:lineRule="auto"/>
              <w:jc w:val="right"/>
            </w:pPr>
            <w:r>
              <w:rPr>
                <w:rFonts w:ascii="Liberation Sans Narrow" w:hAnsi="Liberation Sans Narrow"/>
                <w:b/>
                <w:sz w:val="17"/>
              </w:rPr>
              <w:t xml:space="preserve">111</w:t>
            </w:r>
          </w:p>
        </w:tc>
        <w:tc>
          <w:tcPr>
            <w:tcW w:type="dxa" w:w="1754"/>
          </w:tcPr>
          <w:p>
            <w:pPr>
              <w:pStyle w:val="Compact"/>
              <w:spacing w:before="20" w:after="20" w:line="240" w:lineRule="auto"/>
              <w:jc w:val="left"/>
            </w:pPr>
            <w:r>
              <w:rPr>
                <w:rFonts w:ascii="Liberation Sans Narrow" w:hAnsi="Liberation Sans Narrow"/>
                <w:b w:val="0"/>
                <w:sz w:val="17"/>
              </w:rPr>
              <w:t xml:space="preserve">Art. 853</w:t>
            </w:r>
          </w:p>
        </w:tc>
        <w:tc>
          <w:tcPr>
            <w:tcW w:type="dxa" w:w="797"/>
          </w:tcPr>
          <w:p>
            <w:pPr>
              <w:pStyle w:val="Compact"/>
              <w:spacing w:before="20" w:after="20" w:line="240" w:lineRule="auto"/>
              <w:jc w:val="right"/>
            </w:pPr>
            <w:r>
              <w:rPr>
                <w:rFonts w:ascii="Liberation Sans Narrow" w:hAnsi="Liberation Sans Narrow"/>
                <w:b/>
                <w:sz w:val="17"/>
              </w:rPr>
              <w:t xml:space="preserve">149</w:t>
            </w:r>
          </w:p>
        </w:tc>
        <w:tc>
          <w:tcPr>
            <w:tcW w:type="dxa" w:w="1754"/>
          </w:tcPr>
          <w:p>
            <w:pPr>
              <w:pStyle w:val="Compact"/>
              <w:spacing w:before="20" w:after="20" w:line="240" w:lineRule="auto"/>
              <w:jc w:val="left"/>
            </w:pPr>
            <w:r>
              <w:rPr>
                <w:rFonts w:ascii="Liberation Sans Narrow" w:hAnsi="Liberation Sans Narrow"/>
                <w:b w:val="0"/>
                <w:sz w:val="17"/>
              </w:rPr>
              <w:t xml:space="preserve">Art. 1043</w:t>
            </w:r>
          </w:p>
        </w:tc>
        <w:tc>
          <w:tcPr>
            <w:tcW w:type="dxa" w:w="797"/>
          </w:tcPr>
          <w:p>
            <w:pPr>
              <w:pStyle w:val="Compact"/>
              <w:spacing w:before="20" w:after="20" w:line="240" w:lineRule="auto"/>
              <w:jc w:val="right"/>
            </w:pPr>
            <w:r>
              <w:rPr>
                <w:rFonts w:ascii="Liberation Sans Narrow" w:hAnsi="Liberation Sans Narrow"/>
                <w:b/>
                <w:sz w:val="17"/>
              </w:rPr>
              <w:t xml:space="preserve">192</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476</w:t>
            </w:r>
          </w:p>
        </w:tc>
        <w:tc>
          <w:tcPr>
            <w:tcW w:type="dxa" w:w="797"/>
          </w:tcPr>
          <w:p>
            <w:pPr>
              <w:pStyle w:val="Compact"/>
              <w:spacing w:before="20" w:after="20" w:line="240" w:lineRule="auto"/>
              <w:jc w:val="right"/>
            </w:pPr>
            <w:r>
              <w:rPr>
                <w:rFonts w:ascii="Liberation Sans Narrow" w:hAnsi="Liberation Sans Narrow"/>
                <w:b/>
                <w:sz w:val="17"/>
              </w:rPr>
              <w:t xml:space="preserve">65</w:t>
            </w:r>
          </w:p>
        </w:tc>
        <w:tc>
          <w:tcPr>
            <w:tcW w:type="dxa" w:w="1754"/>
          </w:tcPr>
          <w:p>
            <w:pPr>
              <w:pStyle w:val="Compact"/>
              <w:spacing w:before="20" w:after="20" w:line="240" w:lineRule="auto"/>
              <w:jc w:val="left"/>
            </w:pPr>
            <w:r>
              <w:rPr>
                <w:rFonts w:ascii="Liberation Sans Narrow" w:hAnsi="Liberation Sans Narrow"/>
                <w:b w:val="0"/>
                <w:sz w:val="17"/>
              </w:rPr>
              <w:t xml:space="preserve">Art. 665</w:t>
            </w:r>
          </w:p>
        </w:tc>
        <w:tc>
          <w:tcPr>
            <w:tcW w:type="dxa" w:w="797"/>
          </w:tcPr>
          <w:p>
            <w:pPr>
              <w:pStyle w:val="Compact"/>
              <w:spacing w:before="20" w:after="20" w:line="240" w:lineRule="auto"/>
              <w:jc w:val="right"/>
            </w:pPr>
            <w:r>
              <w:rPr>
                <w:rFonts w:ascii="Liberation Sans Narrow" w:hAnsi="Liberation Sans Narrow"/>
                <w:b/>
                <w:sz w:val="17"/>
              </w:rPr>
              <w:t xml:space="preserve">112</w:t>
            </w:r>
          </w:p>
        </w:tc>
        <w:tc>
          <w:tcPr>
            <w:tcW w:type="dxa" w:w="1754"/>
          </w:tcPr>
          <w:p>
            <w:pPr>
              <w:pStyle w:val="Compact"/>
              <w:spacing w:before="20" w:after="20" w:line="240" w:lineRule="auto"/>
              <w:jc w:val="left"/>
            </w:pPr>
            <w:r>
              <w:rPr>
                <w:rFonts w:ascii="Liberation Sans Narrow" w:hAnsi="Liberation Sans Narrow"/>
                <w:b w:val="0"/>
                <w:sz w:val="17"/>
              </w:rPr>
              <w:t xml:space="preserve">Art. 854</w:t>
            </w:r>
          </w:p>
        </w:tc>
        <w:tc>
          <w:tcPr>
            <w:tcW w:type="dxa" w:w="797"/>
          </w:tcPr>
          <w:p>
            <w:pPr>
              <w:pStyle w:val="Compact"/>
              <w:spacing w:before="20" w:after="20" w:line="240" w:lineRule="auto"/>
              <w:jc w:val="right"/>
            </w:pPr>
            <w:r>
              <w:rPr>
                <w:rFonts w:ascii="Liberation Sans Narrow" w:hAnsi="Liberation Sans Narrow"/>
                <w:b/>
                <w:sz w:val="17"/>
              </w:rPr>
              <w:t xml:space="preserve">149</w:t>
            </w:r>
          </w:p>
        </w:tc>
        <w:tc>
          <w:tcPr>
            <w:tcW w:type="dxa" w:w="1754"/>
          </w:tcPr>
          <w:p>
            <w:pPr>
              <w:pStyle w:val="Compact"/>
              <w:spacing w:before="20" w:after="20" w:line="240" w:lineRule="auto"/>
              <w:jc w:val="left"/>
            </w:pPr>
            <w:r>
              <w:rPr>
                <w:rFonts w:ascii="Liberation Sans Narrow" w:hAnsi="Liberation Sans Narrow"/>
                <w:b w:val="0"/>
                <w:sz w:val="17"/>
              </w:rPr>
              <w:t xml:space="preserve">Art. 1044</w:t>
            </w:r>
          </w:p>
        </w:tc>
        <w:tc>
          <w:tcPr>
            <w:tcW w:type="dxa" w:w="797"/>
          </w:tcPr>
          <w:p>
            <w:pPr>
              <w:pStyle w:val="Compact"/>
              <w:spacing w:before="20" w:after="20" w:line="240" w:lineRule="auto"/>
              <w:jc w:val="right"/>
            </w:pPr>
            <w:r>
              <w:rPr>
                <w:rFonts w:ascii="Liberation Sans Narrow" w:hAnsi="Liberation Sans Narrow"/>
                <w:b/>
                <w:sz w:val="17"/>
              </w:rPr>
              <w:t xml:space="preserve">193</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477</w:t>
            </w:r>
          </w:p>
        </w:tc>
        <w:tc>
          <w:tcPr>
            <w:tcW w:type="dxa" w:w="797"/>
          </w:tcPr>
          <w:p>
            <w:pPr>
              <w:pStyle w:val="Compact"/>
              <w:spacing w:before="20" w:after="20" w:line="240" w:lineRule="auto"/>
              <w:jc w:val="right"/>
            </w:pPr>
            <w:r>
              <w:rPr>
                <w:rFonts w:ascii="Liberation Sans Narrow" w:hAnsi="Liberation Sans Narrow"/>
                <w:b/>
                <w:sz w:val="17"/>
              </w:rPr>
              <w:t xml:space="preserve">65</w:t>
            </w:r>
          </w:p>
        </w:tc>
        <w:tc>
          <w:tcPr>
            <w:tcW w:type="dxa" w:w="1754"/>
          </w:tcPr>
          <w:p>
            <w:pPr>
              <w:pStyle w:val="Compact"/>
              <w:spacing w:before="20" w:after="20" w:line="240" w:lineRule="auto"/>
              <w:jc w:val="left"/>
            </w:pPr>
            <w:r>
              <w:rPr>
                <w:rFonts w:ascii="Liberation Sans Narrow" w:hAnsi="Liberation Sans Narrow"/>
                <w:b w:val="0"/>
                <w:sz w:val="17"/>
              </w:rPr>
              <w:t xml:space="preserve">Art. 666</w:t>
            </w:r>
          </w:p>
        </w:tc>
        <w:tc>
          <w:tcPr>
            <w:tcW w:type="dxa" w:w="797"/>
          </w:tcPr>
          <w:p>
            <w:pPr>
              <w:pStyle w:val="Compact"/>
              <w:spacing w:before="20" w:after="20" w:line="240" w:lineRule="auto"/>
              <w:jc w:val="right"/>
            </w:pPr>
            <w:r>
              <w:rPr>
                <w:rFonts w:ascii="Liberation Sans Narrow" w:hAnsi="Liberation Sans Narrow"/>
                <w:b/>
                <w:sz w:val="17"/>
              </w:rPr>
              <w:t xml:space="preserve">112</w:t>
            </w:r>
          </w:p>
        </w:tc>
        <w:tc>
          <w:tcPr>
            <w:tcW w:type="dxa" w:w="1754"/>
          </w:tcPr>
          <w:p>
            <w:pPr>
              <w:pStyle w:val="Compact"/>
              <w:spacing w:before="20" w:after="20" w:line="240" w:lineRule="auto"/>
              <w:jc w:val="left"/>
            </w:pPr>
            <w:r>
              <w:rPr>
                <w:rFonts w:ascii="Liberation Sans Narrow" w:hAnsi="Liberation Sans Narrow"/>
                <w:b w:val="0"/>
                <w:sz w:val="17"/>
              </w:rPr>
              <w:t xml:space="preserve">Art. 855</w:t>
            </w:r>
          </w:p>
        </w:tc>
        <w:tc>
          <w:tcPr>
            <w:tcW w:type="dxa" w:w="797"/>
          </w:tcPr>
          <w:p>
            <w:pPr>
              <w:pStyle w:val="Compact"/>
              <w:spacing w:before="20" w:after="20" w:line="240" w:lineRule="auto"/>
              <w:jc w:val="right"/>
            </w:pPr>
            <w:r>
              <w:rPr>
                <w:rFonts w:ascii="Liberation Sans Narrow" w:hAnsi="Liberation Sans Narrow"/>
                <w:b/>
                <w:sz w:val="17"/>
              </w:rPr>
              <w:t xml:space="preserve">150</w:t>
            </w:r>
          </w:p>
        </w:tc>
        <w:tc>
          <w:tcPr>
            <w:tcW w:type="dxa" w:w="1754"/>
          </w:tcPr>
          <w:p>
            <w:pPr>
              <w:pStyle w:val="Compact"/>
              <w:spacing w:before="20" w:after="20" w:line="240" w:lineRule="auto"/>
              <w:jc w:val="left"/>
            </w:pPr>
            <w:r>
              <w:rPr>
                <w:rFonts w:ascii="Liberation Sans Narrow" w:hAnsi="Liberation Sans Narrow"/>
                <w:b w:val="0"/>
                <w:sz w:val="17"/>
              </w:rPr>
              <w:t xml:space="preserve">Art. 1045</w:t>
            </w:r>
          </w:p>
        </w:tc>
        <w:tc>
          <w:tcPr>
            <w:tcW w:type="dxa" w:w="797"/>
          </w:tcPr>
          <w:p>
            <w:pPr>
              <w:pStyle w:val="Compact"/>
              <w:spacing w:before="20" w:after="20" w:line="240" w:lineRule="auto"/>
              <w:jc w:val="right"/>
            </w:pPr>
            <w:r>
              <w:rPr>
                <w:rFonts w:ascii="Liberation Sans Narrow" w:hAnsi="Liberation Sans Narrow"/>
                <w:b/>
                <w:sz w:val="17"/>
              </w:rPr>
              <w:t xml:space="preserve">194</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478</w:t>
            </w:r>
          </w:p>
        </w:tc>
        <w:tc>
          <w:tcPr>
            <w:tcW w:type="dxa" w:w="797"/>
          </w:tcPr>
          <w:p>
            <w:pPr>
              <w:pStyle w:val="Compact"/>
              <w:spacing w:before="20" w:after="20" w:line="240" w:lineRule="auto"/>
              <w:jc w:val="right"/>
            </w:pPr>
            <w:r>
              <w:rPr>
                <w:rFonts w:ascii="Liberation Sans Narrow" w:hAnsi="Liberation Sans Narrow"/>
                <w:b/>
                <w:sz w:val="17"/>
              </w:rPr>
              <w:t xml:space="preserve">65</w:t>
            </w:r>
          </w:p>
        </w:tc>
        <w:tc>
          <w:tcPr>
            <w:tcW w:type="dxa" w:w="1754"/>
          </w:tcPr>
          <w:p>
            <w:pPr>
              <w:pStyle w:val="Compact"/>
              <w:spacing w:before="20" w:after="20" w:line="240" w:lineRule="auto"/>
              <w:jc w:val="left"/>
            </w:pPr>
            <w:r>
              <w:rPr>
                <w:rFonts w:ascii="Liberation Sans Narrow" w:hAnsi="Liberation Sans Narrow"/>
                <w:b w:val="0"/>
                <w:sz w:val="17"/>
              </w:rPr>
              <w:t xml:space="preserve">Art. 667</w:t>
            </w:r>
          </w:p>
        </w:tc>
        <w:tc>
          <w:tcPr>
            <w:tcW w:type="dxa" w:w="797"/>
          </w:tcPr>
          <w:p>
            <w:pPr>
              <w:pStyle w:val="Compact"/>
              <w:spacing w:before="20" w:after="20" w:line="240" w:lineRule="auto"/>
              <w:jc w:val="right"/>
            </w:pPr>
            <w:r>
              <w:rPr>
                <w:rFonts w:ascii="Liberation Sans Narrow" w:hAnsi="Liberation Sans Narrow"/>
                <w:b/>
                <w:sz w:val="17"/>
              </w:rPr>
              <w:t xml:space="preserve">112</w:t>
            </w:r>
          </w:p>
        </w:tc>
        <w:tc>
          <w:tcPr>
            <w:tcW w:type="dxa" w:w="1754"/>
          </w:tcPr>
          <w:p>
            <w:pPr>
              <w:pStyle w:val="Compact"/>
              <w:spacing w:before="20" w:after="20" w:line="240" w:lineRule="auto"/>
              <w:jc w:val="left"/>
            </w:pPr>
            <w:r>
              <w:rPr>
                <w:rFonts w:ascii="Liberation Sans Narrow" w:hAnsi="Liberation Sans Narrow"/>
                <w:b w:val="0"/>
                <w:sz w:val="17"/>
              </w:rPr>
              <w:t xml:space="preserve">Art. 856</w:t>
            </w:r>
          </w:p>
        </w:tc>
        <w:tc>
          <w:tcPr>
            <w:tcW w:type="dxa" w:w="797"/>
          </w:tcPr>
          <w:p>
            <w:pPr>
              <w:pStyle w:val="Compact"/>
              <w:spacing w:before="20" w:after="20" w:line="240" w:lineRule="auto"/>
              <w:jc w:val="right"/>
            </w:pPr>
            <w:r>
              <w:rPr>
                <w:rFonts w:ascii="Liberation Sans Narrow" w:hAnsi="Liberation Sans Narrow"/>
                <w:b/>
                <w:sz w:val="17"/>
              </w:rPr>
              <w:t xml:space="preserve">150</w:t>
            </w:r>
          </w:p>
        </w:tc>
        <w:tc>
          <w:tcPr>
            <w:tcW w:type="dxa" w:w="1754"/>
          </w:tcPr>
          <w:p>
            <w:pPr>
              <w:pStyle w:val="Compact"/>
              <w:spacing w:before="20" w:after="20" w:line="240" w:lineRule="auto"/>
              <w:jc w:val="left"/>
            </w:pPr>
            <w:r>
              <w:rPr>
                <w:rFonts w:ascii="Liberation Sans Narrow" w:hAnsi="Liberation Sans Narrow"/>
                <w:b w:val="0"/>
                <w:sz w:val="17"/>
              </w:rPr>
              <w:t xml:space="preserve">Art. 1046</w:t>
            </w:r>
          </w:p>
        </w:tc>
        <w:tc>
          <w:tcPr>
            <w:tcW w:type="dxa" w:w="797"/>
          </w:tcPr>
          <w:p>
            <w:pPr>
              <w:pStyle w:val="Compact"/>
              <w:spacing w:before="20" w:after="20" w:line="240" w:lineRule="auto"/>
              <w:jc w:val="right"/>
            </w:pPr>
            <w:r>
              <w:rPr>
                <w:rFonts w:ascii="Liberation Sans Narrow" w:hAnsi="Liberation Sans Narrow"/>
                <w:b/>
                <w:sz w:val="17"/>
              </w:rPr>
              <w:t xml:space="preserve">194</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479</w:t>
            </w:r>
          </w:p>
        </w:tc>
        <w:tc>
          <w:tcPr>
            <w:tcW w:type="dxa" w:w="797"/>
          </w:tcPr>
          <w:p>
            <w:pPr>
              <w:pStyle w:val="Compact"/>
              <w:spacing w:before="20" w:after="20" w:line="240" w:lineRule="auto"/>
              <w:jc w:val="right"/>
            </w:pPr>
            <w:r>
              <w:rPr>
                <w:rFonts w:ascii="Liberation Sans Narrow" w:hAnsi="Liberation Sans Narrow"/>
                <w:b/>
                <w:sz w:val="17"/>
              </w:rPr>
              <w:t xml:space="preserve">66</w:t>
            </w:r>
          </w:p>
        </w:tc>
        <w:tc>
          <w:tcPr>
            <w:tcW w:type="dxa" w:w="1754"/>
          </w:tcPr>
          <w:p>
            <w:pPr>
              <w:pStyle w:val="Compact"/>
              <w:spacing w:before="20" w:after="20" w:line="240" w:lineRule="auto"/>
              <w:jc w:val="left"/>
            </w:pPr>
            <w:r>
              <w:rPr>
                <w:rFonts w:ascii="Liberation Sans Narrow" w:hAnsi="Liberation Sans Narrow"/>
                <w:b w:val="0"/>
                <w:sz w:val="17"/>
              </w:rPr>
              <w:t xml:space="preserve">Art. 668</w:t>
            </w:r>
          </w:p>
        </w:tc>
        <w:tc>
          <w:tcPr>
            <w:tcW w:type="dxa" w:w="797"/>
          </w:tcPr>
          <w:p>
            <w:pPr>
              <w:pStyle w:val="Compact"/>
              <w:spacing w:before="20" w:after="20" w:line="240" w:lineRule="auto"/>
              <w:jc w:val="right"/>
            </w:pPr>
            <w:r>
              <w:rPr>
                <w:rFonts w:ascii="Liberation Sans Narrow" w:hAnsi="Liberation Sans Narrow"/>
                <w:b/>
                <w:sz w:val="17"/>
              </w:rPr>
              <w:t xml:space="preserve">112</w:t>
            </w:r>
          </w:p>
        </w:tc>
        <w:tc>
          <w:tcPr>
            <w:tcW w:type="dxa" w:w="1754"/>
          </w:tcPr>
          <w:p>
            <w:pPr>
              <w:pStyle w:val="Compact"/>
              <w:spacing w:before="20" w:after="20" w:line="240" w:lineRule="auto"/>
              <w:jc w:val="left"/>
            </w:pPr>
            <w:r>
              <w:rPr>
                <w:rFonts w:ascii="Liberation Sans Narrow" w:hAnsi="Liberation Sans Narrow"/>
                <w:b w:val="0"/>
                <w:sz w:val="17"/>
              </w:rPr>
              <w:t xml:space="preserve">Art. 857</w:t>
            </w:r>
          </w:p>
        </w:tc>
        <w:tc>
          <w:tcPr>
            <w:tcW w:type="dxa" w:w="797"/>
          </w:tcPr>
          <w:p>
            <w:pPr>
              <w:pStyle w:val="Compact"/>
              <w:spacing w:before="20" w:after="20" w:line="240" w:lineRule="auto"/>
              <w:jc w:val="right"/>
            </w:pPr>
            <w:r>
              <w:rPr>
                <w:rFonts w:ascii="Liberation Sans Narrow" w:hAnsi="Liberation Sans Narrow"/>
                <w:b/>
                <w:sz w:val="17"/>
              </w:rPr>
              <w:t xml:space="preserve">150</w:t>
            </w:r>
          </w:p>
        </w:tc>
        <w:tc>
          <w:tcPr>
            <w:tcW w:type="dxa" w:w="1754"/>
          </w:tcPr>
          <w:p>
            <w:pPr>
              <w:pStyle w:val="Compact"/>
              <w:spacing w:before="20" w:after="20" w:line="240" w:lineRule="auto"/>
              <w:jc w:val="left"/>
            </w:pPr>
            <w:r>
              <w:rPr>
                <w:rFonts w:ascii="Liberation Sans Narrow" w:hAnsi="Liberation Sans Narrow"/>
                <w:b w:val="0"/>
                <w:sz w:val="17"/>
              </w:rPr>
              <w:t xml:space="preserve">Art. 1047</w:t>
            </w:r>
          </w:p>
        </w:tc>
        <w:tc>
          <w:tcPr>
            <w:tcW w:type="dxa" w:w="797"/>
          </w:tcPr>
          <w:p>
            <w:pPr>
              <w:pStyle w:val="Compact"/>
              <w:spacing w:before="20" w:after="20" w:line="240" w:lineRule="auto"/>
              <w:jc w:val="right"/>
            </w:pPr>
            <w:r>
              <w:rPr>
                <w:rFonts w:ascii="Liberation Sans Narrow" w:hAnsi="Liberation Sans Narrow"/>
                <w:b/>
                <w:sz w:val="17"/>
              </w:rPr>
              <w:t xml:space="preserve">194</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480</w:t>
            </w:r>
          </w:p>
        </w:tc>
        <w:tc>
          <w:tcPr>
            <w:tcW w:type="dxa" w:w="797"/>
          </w:tcPr>
          <w:p>
            <w:pPr>
              <w:pStyle w:val="Compact"/>
              <w:spacing w:before="20" w:after="20" w:line="240" w:lineRule="auto"/>
              <w:jc w:val="right"/>
            </w:pPr>
            <w:r>
              <w:rPr>
                <w:rFonts w:ascii="Liberation Sans Narrow" w:hAnsi="Liberation Sans Narrow"/>
                <w:b/>
                <w:sz w:val="17"/>
              </w:rPr>
              <w:t xml:space="preserve">66</w:t>
            </w:r>
          </w:p>
        </w:tc>
        <w:tc>
          <w:tcPr>
            <w:tcW w:type="dxa" w:w="1754"/>
          </w:tcPr>
          <w:p>
            <w:pPr>
              <w:pStyle w:val="Compact"/>
              <w:spacing w:before="20" w:after="20" w:line="240" w:lineRule="auto"/>
              <w:jc w:val="left"/>
            </w:pPr>
            <w:r>
              <w:rPr>
                <w:rFonts w:ascii="Liberation Sans Narrow" w:hAnsi="Liberation Sans Narrow"/>
                <w:b w:val="0"/>
                <w:sz w:val="17"/>
              </w:rPr>
              <w:t xml:space="preserve">Art. 669</w:t>
            </w:r>
          </w:p>
        </w:tc>
        <w:tc>
          <w:tcPr>
            <w:tcW w:type="dxa" w:w="797"/>
          </w:tcPr>
          <w:p>
            <w:pPr>
              <w:pStyle w:val="Compact"/>
              <w:spacing w:before="20" w:after="20" w:line="240" w:lineRule="auto"/>
              <w:jc w:val="right"/>
            </w:pPr>
            <w:r>
              <w:rPr>
                <w:rFonts w:ascii="Liberation Sans Narrow" w:hAnsi="Liberation Sans Narrow"/>
                <w:b/>
                <w:sz w:val="17"/>
              </w:rPr>
              <w:t xml:space="preserve">112</w:t>
            </w:r>
          </w:p>
        </w:tc>
        <w:tc>
          <w:tcPr>
            <w:tcW w:type="dxa" w:w="1754"/>
          </w:tcPr>
          <w:p>
            <w:pPr>
              <w:pStyle w:val="Compact"/>
              <w:spacing w:before="20" w:after="20" w:line="240" w:lineRule="auto"/>
              <w:jc w:val="left"/>
            </w:pPr>
            <w:r>
              <w:rPr>
                <w:rFonts w:ascii="Liberation Sans Narrow" w:hAnsi="Liberation Sans Narrow"/>
                <w:b w:val="0"/>
                <w:sz w:val="17"/>
              </w:rPr>
              <w:t xml:space="preserve">Art. 858</w:t>
            </w:r>
          </w:p>
        </w:tc>
        <w:tc>
          <w:tcPr>
            <w:tcW w:type="dxa" w:w="797"/>
          </w:tcPr>
          <w:p>
            <w:pPr>
              <w:pStyle w:val="Compact"/>
              <w:spacing w:before="20" w:after="20" w:line="240" w:lineRule="auto"/>
              <w:jc w:val="right"/>
            </w:pPr>
            <w:r>
              <w:rPr>
                <w:rFonts w:ascii="Liberation Sans Narrow" w:hAnsi="Liberation Sans Narrow"/>
                <w:b/>
                <w:sz w:val="17"/>
              </w:rPr>
              <w:t xml:space="preserve">150</w:t>
            </w:r>
          </w:p>
        </w:tc>
        <w:tc>
          <w:tcPr>
            <w:tcW w:type="dxa" w:w="1754"/>
          </w:tcPr>
          <w:p>
            <w:pPr>
              <w:pStyle w:val="Compact"/>
              <w:spacing w:before="20" w:after="20" w:line="240" w:lineRule="auto"/>
              <w:jc w:val="left"/>
            </w:pPr>
            <w:r>
              <w:rPr>
                <w:rFonts w:ascii="Liberation Sans Narrow" w:hAnsi="Liberation Sans Narrow"/>
                <w:b w:val="0"/>
                <w:sz w:val="17"/>
              </w:rPr>
              <w:t xml:space="preserve">Art. 1048</w:t>
            </w:r>
          </w:p>
        </w:tc>
        <w:tc>
          <w:tcPr>
            <w:tcW w:type="dxa" w:w="797"/>
          </w:tcPr>
          <w:p>
            <w:pPr>
              <w:pStyle w:val="Compact"/>
              <w:spacing w:before="20" w:after="20" w:line="240" w:lineRule="auto"/>
              <w:jc w:val="right"/>
            </w:pPr>
            <w:r>
              <w:rPr>
                <w:rFonts w:ascii="Liberation Sans Narrow" w:hAnsi="Liberation Sans Narrow"/>
                <w:b/>
                <w:sz w:val="17"/>
              </w:rPr>
              <w:t xml:space="preserve">194</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481</w:t>
            </w:r>
          </w:p>
        </w:tc>
        <w:tc>
          <w:tcPr>
            <w:tcW w:type="dxa" w:w="797"/>
          </w:tcPr>
          <w:p>
            <w:pPr>
              <w:pStyle w:val="Compact"/>
              <w:spacing w:before="20" w:after="20" w:line="240" w:lineRule="auto"/>
              <w:jc w:val="right"/>
            </w:pPr>
            <w:r>
              <w:rPr>
                <w:rFonts w:ascii="Liberation Sans Narrow" w:hAnsi="Liberation Sans Narrow"/>
                <w:b/>
                <w:sz w:val="17"/>
              </w:rPr>
              <w:t xml:space="preserve">67</w:t>
            </w:r>
          </w:p>
        </w:tc>
        <w:tc>
          <w:tcPr>
            <w:tcW w:type="dxa" w:w="1754"/>
          </w:tcPr>
          <w:p>
            <w:pPr>
              <w:pStyle w:val="Compact"/>
              <w:spacing w:before="20" w:after="20" w:line="240" w:lineRule="auto"/>
              <w:jc w:val="left"/>
            </w:pPr>
            <w:r>
              <w:rPr>
                <w:rFonts w:ascii="Liberation Sans Narrow" w:hAnsi="Liberation Sans Narrow"/>
                <w:b w:val="0"/>
                <w:sz w:val="17"/>
              </w:rPr>
              <w:t xml:space="preserve">Art. 670</w:t>
            </w:r>
          </w:p>
        </w:tc>
        <w:tc>
          <w:tcPr>
            <w:tcW w:type="dxa" w:w="797"/>
          </w:tcPr>
          <w:p>
            <w:pPr>
              <w:pStyle w:val="Compact"/>
              <w:spacing w:before="20" w:after="20" w:line="240" w:lineRule="auto"/>
              <w:jc w:val="right"/>
            </w:pPr>
            <w:r>
              <w:rPr>
                <w:rFonts w:ascii="Liberation Sans Narrow" w:hAnsi="Liberation Sans Narrow"/>
                <w:b/>
                <w:sz w:val="17"/>
              </w:rPr>
              <w:t xml:space="preserve">113</w:t>
            </w:r>
          </w:p>
        </w:tc>
        <w:tc>
          <w:tcPr>
            <w:tcW w:type="dxa" w:w="1754"/>
          </w:tcPr>
          <w:p>
            <w:pPr>
              <w:pStyle w:val="Compact"/>
              <w:spacing w:before="20" w:after="20" w:line="240" w:lineRule="auto"/>
              <w:jc w:val="left"/>
            </w:pPr>
            <w:r>
              <w:rPr>
                <w:rFonts w:ascii="Liberation Sans Narrow" w:hAnsi="Liberation Sans Narrow"/>
                <w:b w:val="0"/>
                <w:sz w:val="17"/>
              </w:rPr>
              <w:t xml:space="preserve">Art. 859</w:t>
            </w:r>
          </w:p>
        </w:tc>
        <w:tc>
          <w:tcPr>
            <w:tcW w:type="dxa" w:w="797"/>
          </w:tcPr>
          <w:p>
            <w:pPr>
              <w:pStyle w:val="Compact"/>
              <w:spacing w:before="20" w:after="20" w:line="240" w:lineRule="auto"/>
              <w:jc w:val="right"/>
            </w:pPr>
            <w:r>
              <w:rPr>
                <w:rFonts w:ascii="Liberation Sans Narrow" w:hAnsi="Liberation Sans Narrow"/>
                <w:b/>
                <w:sz w:val="17"/>
              </w:rPr>
              <w:t xml:space="preserve">150</w:t>
            </w:r>
          </w:p>
        </w:tc>
        <w:tc>
          <w:tcPr>
            <w:tcW w:type="dxa" w:w="1754"/>
          </w:tcPr>
          <w:p>
            <w:pPr>
              <w:pStyle w:val="Compact"/>
              <w:spacing w:before="20" w:after="20" w:line="240" w:lineRule="auto"/>
              <w:jc w:val="left"/>
            </w:pPr>
            <w:r>
              <w:rPr>
                <w:rFonts w:ascii="Liberation Sans Narrow" w:hAnsi="Liberation Sans Narrow"/>
                <w:b w:val="0"/>
                <w:sz w:val="17"/>
              </w:rPr>
              <w:t xml:space="preserve">Art. 1049</w:t>
            </w:r>
          </w:p>
        </w:tc>
        <w:tc>
          <w:tcPr>
            <w:tcW w:type="dxa" w:w="797"/>
          </w:tcPr>
          <w:p>
            <w:pPr>
              <w:pStyle w:val="Compact"/>
              <w:spacing w:before="20" w:after="20" w:line="240" w:lineRule="auto"/>
              <w:jc w:val="right"/>
            </w:pPr>
            <w:r>
              <w:rPr>
                <w:rFonts w:ascii="Liberation Sans Narrow" w:hAnsi="Liberation Sans Narrow"/>
                <w:b/>
                <w:sz w:val="17"/>
              </w:rPr>
              <w:t xml:space="preserve">194</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482</w:t>
            </w:r>
          </w:p>
        </w:tc>
        <w:tc>
          <w:tcPr>
            <w:tcW w:type="dxa" w:w="797"/>
          </w:tcPr>
          <w:p>
            <w:pPr>
              <w:pStyle w:val="Compact"/>
              <w:spacing w:before="20" w:after="20" w:line="240" w:lineRule="auto"/>
              <w:jc w:val="right"/>
            </w:pPr>
            <w:r>
              <w:rPr>
                <w:rFonts w:ascii="Liberation Sans Narrow" w:hAnsi="Liberation Sans Narrow"/>
                <w:b/>
                <w:sz w:val="17"/>
              </w:rPr>
              <w:t xml:space="preserve">67</w:t>
            </w:r>
          </w:p>
        </w:tc>
        <w:tc>
          <w:tcPr>
            <w:tcW w:type="dxa" w:w="1754"/>
          </w:tcPr>
          <w:p>
            <w:pPr>
              <w:pStyle w:val="Compact"/>
              <w:spacing w:before="20" w:after="20" w:line="240" w:lineRule="auto"/>
              <w:jc w:val="left"/>
            </w:pPr>
            <w:r>
              <w:rPr>
                <w:rFonts w:ascii="Liberation Sans Narrow" w:hAnsi="Liberation Sans Narrow"/>
                <w:b w:val="0"/>
                <w:sz w:val="17"/>
              </w:rPr>
              <w:t xml:space="preserve">Art. 671</w:t>
            </w:r>
          </w:p>
        </w:tc>
        <w:tc>
          <w:tcPr>
            <w:tcW w:type="dxa" w:w="797"/>
          </w:tcPr>
          <w:p>
            <w:pPr>
              <w:pStyle w:val="Compact"/>
              <w:spacing w:before="20" w:after="20" w:line="240" w:lineRule="auto"/>
              <w:jc w:val="right"/>
            </w:pPr>
            <w:r>
              <w:rPr>
                <w:rFonts w:ascii="Liberation Sans Narrow" w:hAnsi="Liberation Sans Narrow"/>
                <w:b/>
                <w:sz w:val="17"/>
              </w:rPr>
              <w:t xml:space="preserve">113</w:t>
            </w:r>
          </w:p>
        </w:tc>
        <w:tc>
          <w:tcPr>
            <w:tcW w:type="dxa" w:w="1754"/>
          </w:tcPr>
          <w:p>
            <w:pPr>
              <w:pStyle w:val="Compact"/>
              <w:spacing w:before="20" w:after="20" w:line="240" w:lineRule="auto"/>
              <w:jc w:val="left"/>
            </w:pPr>
            <w:r>
              <w:rPr>
                <w:rFonts w:ascii="Liberation Sans Narrow" w:hAnsi="Liberation Sans Narrow"/>
                <w:b w:val="0"/>
                <w:sz w:val="17"/>
              </w:rPr>
              <w:t xml:space="preserve">Art. 860</w:t>
            </w:r>
          </w:p>
        </w:tc>
        <w:tc>
          <w:tcPr>
            <w:tcW w:type="dxa" w:w="797"/>
          </w:tcPr>
          <w:p>
            <w:pPr>
              <w:pStyle w:val="Compact"/>
              <w:spacing w:before="20" w:after="20" w:line="240" w:lineRule="auto"/>
              <w:jc w:val="right"/>
            </w:pPr>
            <w:r>
              <w:rPr>
                <w:rFonts w:ascii="Liberation Sans Narrow" w:hAnsi="Liberation Sans Narrow"/>
                <w:b/>
                <w:sz w:val="17"/>
              </w:rPr>
              <w:t xml:space="preserve">150</w:t>
            </w:r>
          </w:p>
        </w:tc>
        <w:tc>
          <w:tcPr>
            <w:tcW w:type="dxa" w:w="1754"/>
          </w:tcPr>
          <w:p>
            <w:pPr>
              <w:pStyle w:val="Compact"/>
              <w:spacing w:before="20" w:after="20" w:line="240" w:lineRule="auto"/>
              <w:jc w:val="left"/>
            </w:pPr>
            <w:r>
              <w:rPr>
                <w:rFonts w:ascii="Liberation Sans Narrow" w:hAnsi="Liberation Sans Narrow"/>
                <w:b w:val="0"/>
                <w:sz w:val="17"/>
              </w:rPr>
              <w:t xml:space="preserve">Art. 1050</w:t>
            </w:r>
          </w:p>
        </w:tc>
        <w:tc>
          <w:tcPr>
            <w:tcW w:type="dxa" w:w="797"/>
          </w:tcPr>
          <w:p>
            <w:pPr>
              <w:pStyle w:val="Compact"/>
              <w:spacing w:before="20" w:after="20" w:line="240" w:lineRule="auto"/>
              <w:jc w:val="right"/>
            </w:pPr>
            <w:r>
              <w:rPr>
                <w:rFonts w:ascii="Liberation Sans Narrow" w:hAnsi="Liberation Sans Narrow"/>
                <w:b/>
                <w:sz w:val="17"/>
              </w:rPr>
              <w:t xml:space="preserve">194</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483</w:t>
            </w:r>
          </w:p>
        </w:tc>
        <w:tc>
          <w:tcPr>
            <w:tcW w:type="dxa" w:w="797"/>
          </w:tcPr>
          <w:p>
            <w:pPr>
              <w:pStyle w:val="Compact"/>
              <w:spacing w:before="20" w:after="20" w:line="240" w:lineRule="auto"/>
              <w:jc w:val="right"/>
            </w:pPr>
            <w:r>
              <w:rPr>
                <w:rFonts w:ascii="Liberation Sans Narrow" w:hAnsi="Liberation Sans Narrow"/>
                <w:b/>
                <w:sz w:val="17"/>
              </w:rPr>
              <w:t xml:space="preserve">67</w:t>
            </w:r>
          </w:p>
        </w:tc>
        <w:tc>
          <w:tcPr>
            <w:tcW w:type="dxa" w:w="1754"/>
          </w:tcPr>
          <w:p>
            <w:pPr>
              <w:pStyle w:val="Compact"/>
              <w:spacing w:before="20" w:after="20" w:line="240" w:lineRule="auto"/>
              <w:jc w:val="left"/>
            </w:pPr>
            <w:r>
              <w:rPr>
                <w:rFonts w:ascii="Liberation Sans Narrow" w:hAnsi="Liberation Sans Narrow"/>
                <w:b w:val="0"/>
                <w:sz w:val="17"/>
              </w:rPr>
              <w:t xml:space="preserve">Art. 672</w:t>
            </w:r>
          </w:p>
        </w:tc>
        <w:tc>
          <w:tcPr>
            <w:tcW w:type="dxa" w:w="797"/>
          </w:tcPr>
          <w:p>
            <w:pPr>
              <w:pStyle w:val="Compact"/>
              <w:spacing w:before="20" w:after="20" w:line="240" w:lineRule="auto"/>
              <w:jc w:val="right"/>
            </w:pPr>
            <w:r>
              <w:rPr>
                <w:rFonts w:ascii="Liberation Sans Narrow" w:hAnsi="Liberation Sans Narrow"/>
                <w:b/>
                <w:sz w:val="17"/>
              </w:rPr>
              <w:t xml:space="preserve">113</w:t>
            </w:r>
          </w:p>
        </w:tc>
        <w:tc>
          <w:tcPr>
            <w:tcW w:type="dxa" w:w="1754"/>
          </w:tcPr>
          <w:p>
            <w:pPr>
              <w:pStyle w:val="Compact"/>
              <w:spacing w:before="20" w:after="20" w:line="240" w:lineRule="auto"/>
              <w:jc w:val="left"/>
            </w:pPr>
            <w:r>
              <w:rPr>
                <w:rFonts w:ascii="Liberation Sans Narrow" w:hAnsi="Liberation Sans Narrow"/>
                <w:b w:val="0"/>
                <w:sz w:val="17"/>
              </w:rPr>
              <w:t xml:space="preserve">Art. 861</w:t>
            </w:r>
          </w:p>
        </w:tc>
        <w:tc>
          <w:tcPr>
            <w:tcW w:type="dxa" w:w="797"/>
          </w:tcPr>
          <w:p>
            <w:pPr>
              <w:pStyle w:val="Compact"/>
              <w:spacing w:before="20" w:after="20" w:line="240" w:lineRule="auto"/>
              <w:jc w:val="right"/>
            </w:pPr>
            <w:r>
              <w:rPr>
                <w:rFonts w:ascii="Liberation Sans Narrow" w:hAnsi="Liberation Sans Narrow"/>
                <w:b/>
                <w:sz w:val="17"/>
              </w:rPr>
              <w:t xml:space="preserve">151</w:t>
            </w:r>
          </w:p>
        </w:tc>
        <w:tc>
          <w:tcPr>
            <w:tcW w:type="dxa" w:w="1754"/>
          </w:tcPr>
          <w:p>
            <w:pPr>
              <w:pStyle w:val="Compact"/>
              <w:spacing w:before="20" w:after="20" w:line="240" w:lineRule="auto"/>
              <w:jc w:val="left"/>
            </w:pPr>
            <w:r>
              <w:rPr>
                <w:rFonts w:ascii="Liberation Sans Narrow" w:hAnsi="Liberation Sans Narrow"/>
                <w:b w:val="0"/>
                <w:sz w:val="17"/>
              </w:rPr>
              <w:t xml:space="preserve">Art. 1051</w:t>
            </w:r>
          </w:p>
        </w:tc>
        <w:tc>
          <w:tcPr>
            <w:tcW w:type="dxa" w:w="797"/>
          </w:tcPr>
          <w:p>
            <w:pPr>
              <w:pStyle w:val="Compact"/>
              <w:spacing w:before="20" w:after="20" w:line="240" w:lineRule="auto"/>
              <w:jc w:val="right"/>
            </w:pPr>
            <w:r>
              <w:rPr>
                <w:rFonts w:ascii="Liberation Sans Narrow" w:hAnsi="Liberation Sans Narrow"/>
                <w:b/>
                <w:sz w:val="17"/>
              </w:rPr>
              <w:t xml:space="preserve">194</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484</w:t>
            </w:r>
          </w:p>
        </w:tc>
        <w:tc>
          <w:tcPr>
            <w:tcW w:type="dxa" w:w="797"/>
          </w:tcPr>
          <w:p>
            <w:pPr>
              <w:pStyle w:val="Compact"/>
              <w:spacing w:before="20" w:after="20" w:line="240" w:lineRule="auto"/>
              <w:jc w:val="right"/>
            </w:pPr>
            <w:r>
              <w:rPr>
                <w:rFonts w:ascii="Liberation Sans Narrow" w:hAnsi="Liberation Sans Narrow"/>
                <w:b/>
                <w:sz w:val="17"/>
              </w:rPr>
              <w:t xml:space="preserve">67</w:t>
            </w:r>
          </w:p>
        </w:tc>
        <w:tc>
          <w:tcPr>
            <w:tcW w:type="dxa" w:w="1754"/>
          </w:tcPr>
          <w:p>
            <w:pPr>
              <w:pStyle w:val="Compact"/>
              <w:spacing w:before="20" w:after="20" w:line="240" w:lineRule="auto"/>
              <w:jc w:val="left"/>
            </w:pPr>
            <w:r>
              <w:rPr>
                <w:rFonts w:ascii="Liberation Sans Narrow" w:hAnsi="Liberation Sans Narrow"/>
                <w:b w:val="0"/>
                <w:sz w:val="17"/>
              </w:rPr>
              <w:t xml:space="preserve">Art. 673</w:t>
            </w:r>
          </w:p>
        </w:tc>
        <w:tc>
          <w:tcPr>
            <w:tcW w:type="dxa" w:w="797"/>
          </w:tcPr>
          <w:p>
            <w:pPr>
              <w:pStyle w:val="Compact"/>
              <w:spacing w:before="20" w:after="20" w:line="240" w:lineRule="auto"/>
              <w:jc w:val="right"/>
            </w:pPr>
            <w:r>
              <w:rPr>
                <w:rFonts w:ascii="Liberation Sans Narrow" w:hAnsi="Liberation Sans Narrow"/>
                <w:b/>
                <w:sz w:val="17"/>
              </w:rPr>
              <w:t xml:space="preserve">113</w:t>
            </w:r>
          </w:p>
        </w:tc>
        <w:tc>
          <w:tcPr>
            <w:tcW w:type="dxa" w:w="1754"/>
          </w:tcPr>
          <w:p>
            <w:pPr>
              <w:pStyle w:val="Compact"/>
              <w:spacing w:before="20" w:after="20" w:line="240" w:lineRule="auto"/>
              <w:jc w:val="left"/>
            </w:pPr>
            <w:r>
              <w:rPr>
                <w:rFonts w:ascii="Liberation Sans Narrow" w:hAnsi="Liberation Sans Narrow"/>
                <w:b w:val="0"/>
                <w:sz w:val="17"/>
              </w:rPr>
              <w:t xml:space="preserve">Art. 862</w:t>
            </w:r>
          </w:p>
        </w:tc>
        <w:tc>
          <w:tcPr>
            <w:tcW w:type="dxa" w:w="797"/>
          </w:tcPr>
          <w:p>
            <w:pPr>
              <w:pStyle w:val="Compact"/>
              <w:spacing w:before="20" w:after="20" w:line="240" w:lineRule="auto"/>
              <w:jc w:val="right"/>
            </w:pPr>
            <w:r>
              <w:rPr>
                <w:rFonts w:ascii="Liberation Sans Narrow" w:hAnsi="Liberation Sans Narrow"/>
                <w:b/>
                <w:sz w:val="17"/>
              </w:rPr>
              <w:t xml:space="preserve">151</w:t>
            </w:r>
          </w:p>
        </w:tc>
        <w:tc>
          <w:tcPr>
            <w:tcW w:type="dxa" w:w="1754"/>
          </w:tcPr>
          <w:p>
            <w:pPr>
              <w:pStyle w:val="Compact"/>
              <w:spacing w:before="20" w:after="20" w:line="240" w:lineRule="auto"/>
              <w:jc w:val="left"/>
            </w:pPr>
            <w:r>
              <w:rPr>
                <w:rFonts w:ascii="Liberation Sans Narrow" w:hAnsi="Liberation Sans Narrow"/>
                <w:b w:val="0"/>
                <w:sz w:val="17"/>
              </w:rPr>
              <w:t xml:space="preserve">Art. 1052</w:t>
            </w:r>
          </w:p>
        </w:tc>
        <w:tc>
          <w:tcPr>
            <w:tcW w:type="dxa" w:w="797"/>
          </w:tcPr>
          <w:p>
            <w:pPr>
              <w:pStyle w:val="Compact"/>
              <w:spacing w:before="20" w:after="20" w:line="240" w:lineRule="auto"/>
              <w:jc w:val="right"/>
            </w:pPr>
            <w:r>
              <w:rPr>
                <w:rFonts w:ascii="Liberation Sans Narrow" w:hAnsi="Liberation Sans Narrow"/>
                <w:b/>
                <w:sz w:val="17"/>
              </w:rPr>
              <w:t xml:space="preserve">195</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485</w:t>
            </w:r>
          </w:p>
        </w:tc>
        <w:tc>
          <w:tcPr>
            <w:tcW w:type="dxa" w:w="797"/>
          </w:tcPr>
          <w:p>
            <w:pPr>
              <w:pStyle w:val="Compact"/>
              <w:spacing w:before="20" w:after="20" w:line="240" w:lineRule="auto"/>
              <w:jc w:val="right"/>
            </w:pPr>
            <w:r>
              <w:rPr>
                <w:rFonts w:ascii="Liberation Sans Narrow" w:hAnsi="Liberation Sans Narrow"/>
                <w:b/>
                <w:sz w:val="17"/>
              </w:rPr>
              <w:t xml:space="preserve">67</w:t>
            </w:r>
          </w:p>
        </w:tc>
        <w:tc>
          <w:tcPr>
            <w:tcW w:type="dxa" w:w="1754"/>
          </w:tcPr>
          <w:p>
            <w:pPr>
              <w:pStyle w:val="Compact"/>
              <w:spacing w:before="20" w:after="20" w:line="240" w:lineRule="auto"/>
              <w:jc w:val="left"/>
            </w:pPr>
            <w:r>
              <w:rPr>
                <w:rFonts w:ascii="Liberation Sans Narrow" w:hAnsi="Liberation Sans Narrow"/>
                <w:b w:val="0"/>
                <w:sz w:val="17"/>
              </w:rPr>
              <w:t xml:space="preserve">Art. 674</w:t>
            </w:r>
          </w:p>
        </w:tc>
        <w:tc>
          <w:tcPr>
            <w:tcW w:type="dxa" w:w="797"/>
          </w:tcPr>
          <w:p>
            <w:pPr>
              <w:pStyle w:val="Compact"/>
              <w:spacing w:before="20" w:after="20" w:line="240" w:lineRule="auto"/>
              <w:jc w:val="right"/>
            </w:pPr>
            <w:r>
              <w:rPr>
                <w:rFonts w:ascii="Liberation Sans Narrow" w:hAnsi="Liberation Sans Narrow"/>
                <w:b/>
                <w:sz w:val="17"/>
              </w:rPr>
              <w:t xml:space="preserve">113</w:t>
            </w:r>
          </w:p>
        </w:tc>
        <w:tc>
          <w:tcPr>
            <w:tcW w:type="dxa" w:w="1754"/>
          </w:tcPr>
          <w:p>
            <w:pPr>
              <w:pStyle w:val="Compact"/>
              <w:spacing w:before="20" w:after="20" w:line="240" w:lineRule="auto"/>
              <w:jc w:val="left"/>
            </w:pPr>
            <w:r>
              <w:rPr>
                <w:rFonts w:ascii="Liberation Sans Narrow" w:hAnsi="Liberation Sans Narrow"/>
                <w:b w:val="0"/>
                <w:sz w:val="17"/>
              </w:rPr>
              <w:t xml:space="preserve">Art. 863</w:t>
            </w:r>
          </w:p>
        </w:tc>
        <w:tc>
          <w:tcPr>
            <w:tcW w:type="dxa" w:w="797"/>
          </w:tcPr>
          <w:p>
            <w:pPr>
              <w:pStyle w:val="Compact"/>
              <w:spacing w:before="20" w:after="20" w:line="240" w:lineRule="auto"/>
              <w:jc w:val="right"/>
            </w:pPr>
            <w:r>
              <w:rPr>
                <w:rFonts w:ascii="Liberation Sans Narrow" w:hAnsi="Liberation Sans Narrow"/>
                <w:b/>
                <w:sz w:val="17"/>
              </w:rPr>
              <w:t xml:space="preserve">151</w:t>
            </w:r>
          </w:p>
        </w:tc>
        <w:tc>
          <w:tcPr>
            <w:tcW w:type="dxa" w:w="1754"/>
          </w:tcPr>
          <w:p>
            <w:pPr>
              <w:pStyle w:val="Compact"/>
              <w:spacing w:before="20" w:after="20" w:line="240" w:lineRule="auto"/>
              <w:jc w:val="left"/>
            </w:pPr>
            <w:r>
              <w:rPr>
                <w:rFonts w:ascii="Liberation Sans Narrow" w:hAnsi="Liberation Sans Narrow"/>
                <w:b w:val="0"/>
                <w:sz w:val="17"/>
              </w:rPr>
              <w:t xml:space="preserve">Art. 1053</w:t>
            </w:r>
          </w:p>
        </w:tc>
        <w:tc>
          <w:tcPr>
            <w:tcW w:type="dxa" w:w="797"/>
          </w:tcPr>
          <w:p>
            <w:pPr>
              <w:pStyle w:val="Compact"/>
              <w:spacing w:before="20" w:after="20" w:line="240" w:lineRule="auto"/>
              <w:jc w:val="right"/>
            </w:pPr>
            <w:r>
              <w:rPr>
                <w:rFonts w:ascii="Liberation Sans Narrow" w:hAnsi="Liberation Sans Narrow"/>
                <w:b/>
                <w:sz w:val="17"/>
              </w:rPr>
              <w:t xml:space="preserve">195</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486</w:t>
            </w:r>
          </w:p>
        </w:tc>
        <w:tc>
          <w:tcPr>
            <w:tcW w:type="dxa" w:w="797"/>
          </w:tcPr>
          <w:p>
            <w:pPr>
              <w:pStyle w:val="Compact"/>
              <w:spacing w:before="20" w:after="20" w:line="240" w:lineRule="auto"/>
              <w:jc w:val="right"/>
            </w:pPr>
            <w:r>
              <w:rPr>
                <w:rFonts w:ascii="Liberation Sans Narrow" w:hAnsi="Liberation Sans Narrow"/>
                <w:b/>
                <w:sz w:val="17"/>
              </w:rPr>
              <w:t xml:space="preserve">68</w:t>
            </w:r>
          </w:p>
        </w:tc>
        <w:tc>
          <w:tcPr>
            <w:tcW w:type="dxa" w:w="1754"/>
          </w:tcPr>
          <w:p>
            <w:pPr>
              <w:pStyle w:val="Compact"/>
              <w:spacing w:before="20" w:after="20" w:line="240" w:lineRule="auto"/>
              <w:jc w:val="left"/>
            </w:pPr>
            <w:r>
              <w:rPr>
                <w:rFonts w:ascii="Liberation Sans Narrow" w:hAnsi="Liberation Sans Narrow"/>
                <w:b w:val="0"/>
                <w:sz w:val="17"/>
              </w:rPr>
              <w:t xml:space="preserve">Art. 675</w:t>
            </w:r>
          </w:p>
        </w:tc>
        <w:tc>
          <w:tcPr>
            <w:tcW w:type="dxa" w:w="797"/>
          </w:tcPr>
          <w:p>
            <w:pPr>
              <w:pStyle w:val="Compact"/>
              <w:spacing w:before="20" w:after="20" w:line="240" w:lineRule="auto"/>
              <w:jc w:val="right"/>
            </w:pPr>
            <w:r>
              <w:rPr>
                <w:rFonts w:ascii="Liberation Sans Narrow" w:hAnsi="Liberation Sans Narrow"/>
                <w:b/>
                <w:sz w:val="17"/>
              </w:rPr>
              <w:t xml:space="preserve">115</w:t>
            </w:r>
          </w:p>
        </w:tc>
        <w:tc>
          <w:tcPr>
            <w:tcW w:type="dxa" w:w="1754"/>
          </w:tcPr>
          <w:p>
            <w:pPr>
              <w:pStyle w:val="Compact"/>
              <w:spacing w:before="20" w:after="20" w:line="240" w:lineRule="auto"/>
              <w:jc w:val="left"/>
            </w:pPr>
            <w:r>
              <w:rPr>
                <w:rFonts w:ascii="Liberation Sans Narrow" w:hAnsi="Liberation Sans Narrow"/>
                <w:b w:val="0"/>
                <w:sz w:val="17"/>
              </w:rPr>
              <w:t xml:space="preserve">Art. 864</w:t>
            </w:r>
          </w:p>
        </w:tc>
        <w:tc>
          <w:tcPr>
            <w:tcW w:type="dxa" w:w="797"/>
          </w:tcPr>
          <w:p>
            <w:pPr>
              <w:pStyle w:val="Compact"/>
              <w:spacing w:before="20" w:after="20" w:line="240" w:lineRule="auto"/>
              <w:jc w:val="right"/>
            </w:pPr>
            <w:r>
              <w:rPr>
                <w:rFonts w:ascii="Liberation Sans Narrow" w:hAnsi="Liberation Sans Narrow"/>
                <w:b/>
                <w:sz w:val="17"/>
              </w:rPr>
              <w:t xml:space="preserve">152</w:t>
            </w:r>
          </w:p>
        </w:tc>
        <w:tc>
          <w:tcPr>
            <w:tcW w:type="dxa" w:w="1754"/>
          </w:tcPr>
          <w:p>
            <w:pPr>
              <w:pStyle w:val="Compact"/>
              <w:spacing w:before="20" w:after="20" w:line="240" w:lineRule="auto"/>
              <w:jc w:val="left"/>
            </w:pPr>
            <w:r>
              <w:rPr>
                <w:rFonts w:ascii="Liberation Sans Narrow" w:hAnsi="Liberation Sans Narrow"/>
                <w:b w:val="0"/>
                <w:sz w:val="17"/>
              </w:rPr>
              <w:t xml:space="preserve">Art. 1054</w:t>
            </w:r>
          </w:p>
        </w:tc>
        <w:tc>
          <w:tcPr>
            <w:tcW w:type="dxa" w:w="797"/>
          </w:tcPr>
          <w:p>
            <w:pPr>
              <w:pStyle w:val="Compact"/>
              <w:spacing w:before="20" w:after="20" w:line="240" w:lineRule="auto"/>
              <w:jc w:val="right"/>
            </w:pPr>
            <w:r>
              <w:rPr>
                <w:rFonts w:ascii="Liberation Sans Narrow" w:hAnsi="Liberation Sans Narrow"/>
                <w:b/>
                <w:sz w:val="17"/>
              </w:rPr>
              <w:t xml:space="preserve">195</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487</w:t>
            </w:r>
          </w:p>
        </w:tc>
        <w:tc>
          <w:tcPr>
            <w:tcW w:type="dxa" w:w="797"/>
          </w:tcPr>
          <w:p>
            <w:pPr>
              <w:pStyle w:val="Compact"/>
              <w:spacing w:before="20" w:after="20" w:line="240" w:lineRule="auto"/>
              <w:jc w:val="right"/>
            </w:pPr>
            <w:r>
              <w:rPr>
                <w:rFonts w:ascii="Liberation Sans Narrow" w:hAnsi="Liberation Sans Narrow"/>
                <w:b/>
                <w:sz w:val="17"/>
              </w:rPr>
              <w:t xml:space="preserve">68</w:t>
            </w:r>
          </w:p>
        </w:tc>
        <w:tc>
          <w:tcPr>
            <w:tcW w:type="dxa" w:w="1754"/>
          </w:tcPr>
          <w:p>
            <w:pPr>
              <w:pStyle w:val="Compact"/>
              <w:spacing w:before="20" w:after="20" w:line="240" w:lineRule="auto"/>
              <w:jc w:val="left"/>
            </w:pPr>
            <w:r>
              <w:rPr>
                <w:rFonts w:ascii="Liberation Sans Narrow" w:hAnsi="Liberation Sans Narrow"/>
                <w:b w:val="0"/>
                <w:sz w:val="17"/>
              </w:rPr>
              <w:t xml:space="preserve">Art. 676</w:t>
            </w:r>
          </w:p>
        </w:tc>
        <w:tc>
          <w:tcPr>
            <w:tcW w:type="dxa" w:w="797"/>
          </w:tcPr>
          <w:p>
            <w:pPr>
              <w:pStyle w:val="Compact"/>
              <w:spacing w:before="20" w:after="20" w:line="240" w:lineRule="auto"/>
              <w:jc w:val="right"/>
            </w:pPr>
            <w:r>
              <w:rPr>
                <w:rFonts w:ascii="Liberation Sans Narrow" w:hAnsi="Liberation Sans Narrow"/>
                <w:b/>
                <w:sz w:val="17"/>
              </w:rPr>
              <w:t xml:space="preserve">115</w:t>
            </w:r>
          </w:p>
        </w:tc>
        <w:tc>
          <w:tcPr>
            <w:tcW w:type="dxa" w:w="1754"/>
          </w:tcPr>
          <w:p>
            <w:pPr>
              <w:pStyle w:val="Compact"/>
              <w:spacing w:before="20" w:after="20" w:line="240" w:lineRule="auto"/>
              <w:jc w:val="left"/>
            </w:pPr>
            <w:r>
              <w:rPr>
                <w:rFonts w:ascii="Liberation Sans Narrow" w:hAnsi="Liberation Sans Narrow"/>
                <w:b w:val="0"/>
                <w:sz w:val="17"/>
              </w:rPr>
              <w:t xml:space="preserve">Art. 865</w:t>
            </w:r>
          </w:p>
        </w:tc>
        <w:tc>
          <w:tcPr>
            <w:tcW w:type="dxa" w:w="797"/>
          </w:tcPr>
          <w:p>
            <w:pPr>
              <w:pStyle w:val="Compact"/>
              <w:spacing w:before="20" w:after="20" w:line="240" w:lineRule="auto"/>
              <w:jc w:val="right"/>
            </w:pPr>
            <w:r>
              <w:rPr>
                <w:rFonts w:ascii="Liberation Sans Narrow" w:hAnsi="Liberation Sans Narrow"/>
                <w:b/>
                <w:sz w:val="17"/>
              </w:rPr>
              <w:t xml:space="preserve">152</w:t>
            </w:r>
          </w:p>
        </w:tc>
        <w:tc>
          <w:tcPr>
            <w:tcW w:type="dxa" w:w="1754"/>
          </w:tcPr>
          <w:p>
            <w:pPr>
              <w:pStyle w:val="Compact"/>
              <w:spacing w:before="20" w:after="20" w:line="240" w:lineRule="auto"/>
              <w:jc w:val="left"/>
            </w:pPr>
            <w:r>
              <w:rPr>
                <w:rFonts w:ascii="Liberation Sans Narrow" w:hAnsi="Liberation Sans Narrow"/>
                <w:b w:val="0"/>
                <w:sz w:val="17"/>
              </w:rPr>
              <w:t xml:space="preserve">Art. 1055</w:t>
            </w:r>
          </w:p>
        </w:tc>
        <w:tc>
          <w:tcPr>
            <w:tcW w:type="dxa" w:w="797"/>
          </w:tcPr>
          <w:p>
            <w:pPr>
              <w:pStyle w:val="Compact"/>
              <w:spacing w:before="20" w:after="20" w:line="240" w:lineRule="auto"/>
              <w:jc w:val="right"/>
            </w:pPr>
            <w:r>
              <w:rPr>
                <w:rFonts w:ascii="Liberation Sans Narrow" w:hAnsi="Liberation Sans Narrow"/>
                <w:b/>
                <w:sz w:val="17"/>
              </w:rPr>
              <w:t xml:space="preserve">195</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488</w:t>
            </w:r>
          </w:p>
        </w:tc>
        <w:tc>
          <w:tcPr>
            <w:tcW w:type="dxa" w:w="797"/>
          </w:tcPr>
          <w:p>
            <w:pPr>
              <w:pStyle w:val="Compact"/>
              <w:spacing w:before="20" w:after="20" w:line="240" w:lineRule="auto"/>
              <w:jc w:val="right"/>
            </w:pPr>
            <w:r>
              <w:rPr>
                <w:rFonts w:ascii="Liberation Sans Narrow" w:hAnsi="Liberation Sans Narrow"/>
                <w:b/>
                <w:sz w:val="17"/>
              </w:rPr>
              <w:t xml:space="preserve">68</w:t>
            </w:r>
          </w:p>
        </w:tc>
        <w:tc>
          <w:tcPr>
            <w:tcW w:type="dxa" w:w="1754"/>
          </w:tcPr>
          <w:p>
            <w:pPr>
              <w:pStyle w:val="Compact"/>
              <w:spacing w:before="20" w:after="20" w:line="240" w:lineRule="auto"/>
              <w:jc w:val="left"/>
            </w:pPr>
            <w:r>
              <w:rPr>
                <w:rFonts w:ascii="Liberation Sans Narrow" w:hAnsi="Liberation Sans Narrow"/>
                <w:b w:val="0"/>
                <w:sz w:val="17"/>
              </w:rPr>
              <w:t xml:space="preserve">Art. 677</w:t>
            </w:r>
          </w:p>
        </w:tc>
        <w:tc>
          <w:tcPr>
            <w:tcW w:type="dxa" w:w="797"/>
          </w:tcPr>
          <w:p>
            <w:pPr>
              <w:pStyle w:val="Compact"/>
              <w:spacing w:before="20" w:after="20" w:line="240" w:lineRule="auto"/>
              <w:jc w:val="right"/>
            </w:pPr>
            <w:r>
              <w:rPr>
                <w:rFonts w:ascii="Liberation Sans Narrow" w:hAnsi="Liberation Sans Narrow"/>
                <w:b/>
                <w:sz w:val="17"/>
              </w:rPr>
              <w:t xml:space="preserve">115</w:t>
            </w:r>
          </w:p>
        </w:tc>
        <w:tc>
          <w:tcPr>
            <w:tcW w:type="dxa" w:w="1754"/>
          </w:tcPr>
          <w:p>
            <w:pPr>
              <w:pStyle w:val="Compact"/>
              <w:spacing w:before="20" w:after="20" w:line="240" w:lineRule="auto"/>
              <w:jc w:val="left"/>
            </w:pPr>
            <w:r>
              <w:rPr>
                <w:rFonts w:ascii="Liberation Sans Narrow" w:hAnsi="Liberation Sans Narrow"/>
                <w:b w:val="0"/>
                <w:sz w:val="17"/>
              </w:rPr>
              <w:t xml:space="preserve">Art. 866</w:t>
            </w:r>
          </w:p>
        </w:tc>
        <w:tc>
          <w:tcPr>
            <w:tcW w:type="dxa" w:w="797"/>
          </w:tcPr>
          <w:p>
            <w:pPr>
              <w:pStyle w:val="Compact"/>
              <w:spacing w:before="20" w:after="20" w:line="240" w:lineRule="auto"/>
              <w:jc w:val="right"/>
            </w:pPr>
            <w:r>
              <w:rPr>
                <w:rFonts w:ascii="Liberation Sans Narrow" w:hAnsi="Liberation Sans Narrow"/>
                <w:b/>
                <w:sz w:val="17"/>
              </w:rPr>
              <w:t xml:space="preserve">152</w:t>
            </w:r>
          </w:p>
        </w:tc>
        <w:tc>
          <w:tcPr>
            <w:tcW w:type="dxa" w:w="1754"/>
          </w:tcPr>
          <w:p>
            <w:pPr>
              <w:pStyle w:val="Compact"/>
              <w:spacing w:before="20" w:after="20" w:line="240" w:lineRule="auto"/>
              <w:jc w:val="left"/>
            </w:pPr>
            <w:r>
              <w:rPr>
                <w:rFonts w:ascii="Liberation Sans Narrow" w:hAnsi="Liberation Sans Narrow"/>
                <w:b w:val="0"/>
                <w:sz w:val="17"/>
              </w:rPr>
              <w:t xml:space="preserve">Art. 1056</w:t>
            </w:r>
          </w:p>
        </w:tc>
        <w:tc>
          <w:tcPr>
            <w:tcW w:type="dxa" w:w="797"/>
          </w:tcPr>
          <w:p>
            <w:pPr>
              <w:pStyle w:val="Compact"/>
              <w:spacing w:before="20" w:after="20" w:line="240" w:lineRule="auto"/>
              <w:jc w:val="right"/>
            </w:pPr>
            <w:r>
              <w:rPr>
                <w:rFonts w:ascii="Liberation Sans Narrow" w:hAnsi="Liberation Sans Narrow"/>
                <w:b/>
                <w:sz w:val="17"/>
              </w:rPr>
              <w:t xml:space="preserve">195</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489</w:t>
            </w:r>
          </w:p>
        </w:tc>
        <w:tc>
          <w:tcPr>
            <w:tcW w:type="dxa" w:w="797"/>
          </w:tcPr>
          <w:p>
            <w:pPr>
              <w:pStyle w:val="Compact"/>
              <w:spacing w:before="20" w:after="20" w:line="240" w:lineRule="auto"/>
              <w:jc w:val="right"/>
            </w:pPr>
            <w:r>
              <w:rPr>
                <w:rFonts w:ascii="Liberation Sans Narrow" w:hAnsi="Liberation Sans Narrow"/>
                <w:b/>
                <w:sz w:val="17"/>
              </w:rPr>
              <w:t xml:space="preserve">69</w:t>
            </w:r>
          </w:p>
        </w:tc>
        <w:tc>
          <w:tcPr>
            <w:tcW w:type="dxa" w:w="1754"/>
          </w:tcPr>
          <w:p>
            <w:pPr>
              <w:pStyle w:val="Compact"/>
              <w:spacing w:before="20" w:after="20" w:line="240" w:lineRule="auto"/>
              <w:jc w:val="left"/>
            </w:pPr>
            <w:r>
              <w:rPr>
                <w:rFonts w:ascii="Liberation Sans Narrow" w:hAnsi="Liberation Sans Narrow"/>
                <w:b w:val="0"/>
                <w:sz w:val="17"/>
              </w:rPr>
              <w:t xml:space="preserve">Art. 678</w:t>
            </w:r>
          </w:p>
        </w:tc>
        <w:tc>
          <w:tcPr>
            <w:tcW w:type="dxa" w:w="797"/>
          </w:tcPr>
          <w:p>
            <w:pPr>
              <w:pStyle w:val="Compact"/>
              <w:spacing w:before="20" w:after="20" w:line="240" w:lineRule="auto"/>
              <w:jc w:val="right"/>
            </w:pPr>
            <w:r>
              <w:rPr>
                <w:rFonts w:ascii="Liberation Sans Narrow" w:hAnsi="Liberation Sans Narrow"/>
                <w:b/>
                <w:sz w:val="17"/>
              </w:rPr>
              <w:t xml:space="preserve">115</w:t>
            </w:r>
          </w:p>
        </w:tc>
        <w:tc>
          <w:tcPr>
            <w:tcW w:type="dxa" w:w="1754"/>
          </w:tcPr>
          <w:p>
            <w:pPr>
              <w:pStyle w:val="Compact"/>
              <w:spacing w:before="20" w:after="20" w:line="240" w:lineRule="auto"/>
              <w:jc w:val="left"/>
            </w:pPr>
            <w:r>
              <w:rPr>
                <w:rFonts w:ascii="Liberation Sans Narrow" w:hAnsi="Liberation Sans Narrow"/>
                <w:b w:val="0"/>
                <w:sz w:val="17"/>
              </w:rPr>
              <w:t xml:space="preserve">Art. 867</w:t>
            </w:r>
          </w:p>
        </w:tc>
        <w:tc>
          <w:tcPr>
            <w:tcW w:type="dxa" w:w="797"/>
          </w:tcPr>
          <w:p>
            <w:pPr>
              <w:pStyle w:val="Compact"/>
              <w:spacing w:before="20" w:after="20" w:line="240" w:lineRule="auto"/>
              <w:jc w:val="right"/>
            </w:pPr>
            <w:r>
              <w:rPr>
                <w:rFonts w:ascii="Liberation Sans Narrow" w:hAnsi="Liberation Sans Narrow"/>
                <w:b/>
                <w:sz w:val="17"/>
              </w:rPr>
              <w:t xml:space="preserve">152</w:t>
            </w:r>
          </w:p>
        </w:tc>
        <w:tc>
          <w:tcPr>
            <w:tcW w:type="dxa" w:w="1754"/>
          </w:tcPr>
          <w:p>
            <w:pPr>
              <w:pStyle w:val="Compact"/>
              <w:spacing w:before="20" w:after="20" w:line="240" w:lineRule="auto"/>
              <w:jc w:val="left"/>
            </w:pPr>
            <w:r>
              <w:rPr>
                <w:rFonts w:ascii="Liberation Sans Narrow" w:hAnsi="Liberation Sans Narrow"/>
                <w:b w:val="0"/>
                <w:sz w:val="17"/>
              </w:rPr>
              <w:t xml:space="preserve">Art. 1057</w:t>
            </w:r>
          </w:p>
        </w:tc>
        <w:tc>
          <w:tcPr>
            <w:tcW w:type="dxa" w:w="797"/>
          </w:tcPr>
          <w:p>
            <w:pPr>
              <w:pStyle w:val="Compact"/>
              <w:spacing w:before="20" w:after="20" w:line="240" w:lineRule="auto"/>
              <w:jc w:val="right"/>
            </w:pPr>
            <w:r>
              <w:rPr>
                <w:rFonts w:ascii="Liberation Sans Narrow" w:hAnsi="Liberation Sans Narrow"/>
                <w:b/>
                <w:sz w:val="17"/>
              </w:rPr>
              <w:t xml:space="preserve">195</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490</w:t>
            </w:r>
          </w:p>
        </w:tc>
        <w:tc>
          <w:tcPr>
            <w:tcW w:type="dxa" w:w="797"/>
          </w:tcPr>
          <w:p>
            <w:pPr>
              <w:pStyle w:val="Compact"/>
              <w:spacing w:before="20" w:after="20" w:line="240" w:lineRule="auto"/>
              <w:jc w:val="right"/>
            </w:pPr>
            <w:r>
              <w:rPr>
                <w:rFonts w:ascii="Liberation Sans Narrow" w:hAnsi="Liberation Sans Narrow"/>
                <w:b/>
                <w:sz w:val="17"/>
              </w:rPr>
              <w:t xml:space="preserve">69</w:t>
            </w:r>
          </w:p>
        </w:tc>
        <w:tc>
          <w:tcPr>
            <w:tcW w:type="dxa" w:w="1754"/>
          </w:tcPr>
          <w:p>
            <w:pPr>
              <w:pStyle w:val="Compact"/>
              <w:spacing w:before="20" w:after="20" w:line="240" w:lineRule="auto"/>
              <w:jc w:val="left"/>
            </w:pPr>
            <w:r>
              <w:rPr>
                <w:rFonts w:ascii="Liberation Sans Narrow" w:hAnsi="Liberation Sans Narrow"/>
                <w:b w:val="0"/>
                <w:sz w:val="17"/>
              </w:rPr>
              <w:t xml:space="preserve">Art. 679</w:t>
            </w:r>
          </w:p>
        </w:tc>
        <w:tc>
          <w:tcPr>
            <w:tcW w:type="dxa" w:w="797"/>
          </w:tcPr>
          <w:p>
            <w:pPr>
              <w:pStyle w:val="Compact"/>
              <w:spacing w:before="20" w:after="20" w:line="240" w:lineRule="auto"/>
              <w:jc w:val="right"/>
            </w:pPr>
            <w:r>
              <w:rPr>
                <w:rFonts w:ascii="Liberation Sans Narrow" w:hAnsi="Liberation Sans Narrow"/>
                <w:b/>
                <w:sz w:val="17"/>
              </w:rPr>
              <w:t xml:space="preserve">115</w:t>
            </w:r>
          </w:p>
        </w:tc>
        <w:tc>
          <w:tcPr>
            <w:tcW w:type="dxa" w:w="1754"/>
          </w:tcPr>
          <w:p>
            <w:pPr>
              <w:pStyle w:val="Compact"/>
              <w:spacing w:before="20" w:after="20" w:line="240" w:lineRule="auto"/>
              <w:jc w:val="left"/>
            </w:pPr>
            <w:r>
              <w:rPr>
                <w:rFonts w:ascii="Liberation Sans Narrow" w:hAnsi="Liberation Sans Narrow"/>
                <w:b w:val="0"/>
                <w:sz w:val="17"/>
              </w:rPr>
              <w:t xml:space="preserve">Art. 868</w:t>
            </w:r>
          </w:p>
        </w:tc>
        <w:tc>
          <w:tcPr>
            <w:tcW w:type="dxa" w:w="797"/>
          </w:tcPr>
          <w:p>
            <w:pPr>
              <w:pStyle w:val="Compact"/>
              <w:spacing w:before="20" w:after="20" w:line="240" w:lineRule="auto"/>
              <w:jc w:val="right"/>
            </w:pPr>
            <w:r>
              <w:rPr>
                <w:rFonts w:ascii="Liberation Sans Narrow" w:hAnsi="Liberation Sans Narrow"/>
                <w:b/>
                <w:sz w:val="17"/>
              </w:rPr>
              <w:t xml:space="preserve">152</w:t>
            </w:r>
          </w:p>
        </w:tc>
        <w:tc>
          <w:tcPr>
            <w:tcW w:type="dxa" w:w="1754"/>
          </w:tcPr>
          <w:p>
            <w:pPr>
              <w:pStyle w:val="Compact"/>
              <w:spacing w:before="20" w:after="20" w:line="240" w:lineRule="auto"/>
              <w:jc w:val="left"/>
            </w:pPr>
            <w:r>
              <w:rPr>
                <w:rFonts w:ascii="Liberation Sans Narrow" w:hAnsi="Liberation Sans Narrow"/>
                <w:b w:val="0"/>
                <w:sz w:val="17"/>
              </w:rPr>
              <w:t xml:space="preserve">Art. 1058</w:t>
            </w:r>
          </w:p>
        </w:tc>
        <w:tc>
          <w:tcPr>
            <w:tcW w:type="dxa" w:w="797"/>
          </w:tcPr>
          <w:p>
            <w:pPr>
              <w:pStyle w:val="Compact"/>
              <w:spacing w:before="20" w:after="20" w:line="240" w:lineRule="auto"/>
              <w:jc w:val="right"/>
            </w:pPr>
            <w:r>
              <w:rPr>
                <w:rFonts w:ascii="Liberation Sans Narrow" w:hAnsi="Liberation Sans Narrow"/>
                <w:b/>
                <w:sz w:val="17"/>
              </w:rPr>
              <w:t xml:space="preserve">195</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491</w:t>
            </w:r>
          </w:p>
        </w:tc>
        <w:tc>
          <w:tcPr>
            <w:tcW w:type="dxa" w:w="797"/>
          </w:tcPr>
          <w:p>
            <w:pPr>
              <w:pStyle w:val="Compact"/>
              <w:spacing w:before="20" w:after="20" w:line="240" w:lineRule="auto"/>
              <w:jc w:val="right"/>
            </w:pPr>
            <w:r>
              <w:rPr>
                <w:rFonts w:ascii="Liberation Sans Narrow" w:hAnsi="Liberation Sans Narrow"/>
                <w:b/>
                <w:sz w:val="17"/>
              </w:rPr>
              <w:t xml:space="preserve">69</w:t>
            </w:r>
          </w:p>
        </w:tc>
        <w:tc>
          <w:tcPr>
            <w:tcW w:type="dxa" w:w="1754"/>
          </w:tcPr>
          <w:p>
            <w:pPr>
              <w:pStyle w:val="Compact"/>
              <w:spacing w:before="20" w:after="20" w:line="240" w:lineRule="auto"/>
              <w:jc w:val="left"/>
            </w:pPr>
            <w:r>
              <w:rPr>
                <w:rFonts w:ascii="Liberation Sans Narrow" w:hAnsi="Liberation Sans Narrow"/>
                <w:b w:val="0"/>
                <w:sz w:val="17"/>
              </w:rPr>
              <w:t xml:space="preserve">Art. 680</w:t>
            </w:r>
          </w:p>
        </w:tc>
        <w:tc>
          <w:tcPr>
            <w:tcW w:type="dxa" w:w="797"/>
          </w:tcPr>
          <w:p>
            <w:pPr>
              <w:pStyle w:val="Compact"/>
              <w:spacing w:before="20" w:after="20" w:line="240" w:lineRule="auto"/>
              <w:jc w:val="right"/>
            </w:pPr>
            <w:r>
              <w:rPr>
                <w:rFonts w:ascii="Liberation Sans Narrow" w:hAnsi="Liberation Sans Narrow"/>
                <w:b/>
                <w:sz w:val="17"/>
              </w:rPr>
              <w:t xml:space="preserve">115</w:t>
            </w:r>
          </w:p>
        </w:tc>
        <w:tc>
          <w:tcPr>
            <w:tcW w:type="dxa" w:w="1754"/>
          </w:tcPr>
          <w:p>
            <w:pPr>
              <w:pStyle w:val="Compact"/>
              <w:spacing w:before="20" w:after="20" w:line="240" w:lineRule="auto"/>
              <w:jc w:val="left"/>
            </w:pPr>
            <w:r>
              <w:rPr>
                <w:rFonts w:ascii="Liberation Sans Narrow" w:hAnsi="Liberation Sans Narrow"/>
                <w:b w:val="0"/>
                <w:sz w:val="17"/>
              </w:rPr>
              <w:t xml:space="preserve">Art. 869</w:t>
            </w:r>
          </w:p>
        </w:tc>
        <w:tc>
          <w:tcPr>
            <w:tcW w:type="dxa" w:w="797"/>
          </w:tcPr>
          <w:p>
            <w:pPr>
              <w:pStyle w:val="Compact"/>
              <w:spacing w:before="20" w:after="20" w:line="240" w:lineRule="auto"/>
              <w:jc w:val="right"/>
            </w:pPr>
            <w:r>
              <w:rPr>
                <w:rFonts w:ascii="Liberation Sans Narrow" w:hAnsi="Liberation Sans Narrow"/>
                <w:b/>
                <w:sz w:val="17"/>
              </w:rPr>
              <w:t xml:space="preserve">152</w:t>
            </w:r>
          </w:p>
        </w:tc>
        <w:tc>
          <w:tcPr>
            <w:tcW w:type="dxa" w:w="1754"/>
          </w:tcPr>
          <w:p>
            <w:pPr>
              <w:pStyle w:val="Compact"/>
              <w:spacing w:before="20" w:after="20" w:line="240" w:lineRule="auto"/>
              <w:jc w:val="left"/>
            </w:pPr>
            <w:r>
              <w:rPr>
                <w:rFonts w:ascii="Liberation Sans Narrow" w:hAnsi="Liberation Sans Narrow"/>
                <w:b w:val="0"/>
                <w:sz w:val="17"/>
              </w:rPr>
              <w:t xml:space="preserve">Art. 1059</w:t>
            </w:r>
          </w:p>
        </w:tc>
        <w:tc>
          <w:tcPr>
            <w:tcW w:type="dxa" w:w="797"/>
          </w:tcPr>
          <w:p>
            <w:pPr>
              <w:pStyle w:val="Compact"/>
              <w:spacing w:before="20" w:after="20" w:line="240" w:lineRule="auto"/>
              <w:jc w:val="right"/>
            </w:pPr>
            <w:r>
              <w:rPr>
                <w:rFonts w:ascii="Liberation Sans Narrow" w:hAnsi="Liberation Sans Narrow"/>
                <w:b/>
                <w:sz w:val="17"/>
              </w:rPr>
              <w:t xml:space="preserve">195</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492</w:t>
            </w:r>
          </w:p>
        </w:tc>
        <w:tc>
          <w:tcPr>
            <w:tcW w:type="dxa" w:w="797"/>
          </w:tcPr>
          <w:p>
            <w:pPr>
              <w:pStyle w:val="Compact"/>
              <w:spacing w:before="20" w:after="20" w:line="240" w:lineRule="auto"/>
              <w:jc w:val="right"/>
            </w:pPr>
            <w:r>
              <w:rPr>
                <w:rFonts w:ascii="Liberation Sans Narrow" w:hAnsi="Liberation Sans Narrow"/>
                <w:b/>
                <w:sz w:val="17"/>
              </w:rPr>
              <w:t xml:space="preserve">70</w:t>
            </w:r>
          </w:p>
        </w:tc>
        <w:tc>
          <w:tcPr>
            <w:tcW w:type="dxa" w:w="1754"/>
          </w:tcPr>
          <w:p>
            <w:pPr>
              <w:pStyle w:val="Compact"/>
              <w:spacing w:before="20" w:after="20" w:line="240" w:lineRule="auto"/>
              <w:jc w:val="left"/>
            </w:pPr>
            <w:r>
              <w:rPr>
                <w:rFonts w:ascii="Liberation Sans Narrow" w:hAnsi="Liberation Sans Narrow"/>
                <w:b w:val="0"/>
                <w:sz w:val="17"/>
              </w:rPr>
              <w:t xml:space="preserve">Art. 681</w:t>
            </w:r>
          </w:p>
        </w:tc>
        <w:tc>
          <w:tcPr>
            <w:tcW w:type="dxa" w:w="797"/>
          </w:tcPr>
          <w:p>
            <w:pPr>
              <w:pStyle w:val="Compact"/>
              <w:spacing w:before="20" w:after="20" w:line="240" w:lineRule="auto"/>
              <w:jc w:val="right"/>
            </w:pPr>
            <w:r>
              <w:rPr>
                <w:rFonts w:ascii="Liberation Sans Narrow" w:hAnsi="Liberation Sans Narrow"/>
                <w:b/>
                <w:sz w:val="17"/>
              </w:rPr>
              <w:t xml:space="preserve">115</w:t>
            </w:r>
          </w:p>
        </w:tc>
        <w:tc>
          <w:tcPr>
            <w:tcW w:type="dxa" w:w="1754"/>
          </w:tcPr>
          <w:p>
            <w:pPr>
              <w:pStyle w:val="Compact"/>
              <w:spacing w:before="20" w:after="20" w:line="240" w:lineRule="auto"/>
              <w:jc w:val="left"/>
            </w:pPr>
            <w:r>
              <w:rPr>
                <w:rFonts w:ascii="Liberation Sans Narrow" w:hAnsi="Liberation Sans Narrow"/>
                <w:b w:val="0"/>
                <w:sz w:val="17"/>
              </w:rPr>
              <w:t xml:space="preserve">Art. 870</w:t>
            </w:r>
          </w:p>
        </w:tc>
        <w:tc>
          <w:tcPr>
            <w:tcW w:type="dxa" w:w="797"/>
          </w:tcPr>
          <w:p>
            <w:pPr>
              <w:pStyle w:val="Compact"/>
              <w:spacing w:before="20" w:after="20" w:line="240" w:lineRule="auto"/>
              <w:jc w:val="right"/>
            </w:pPr>
            <w:r>
              <w:rPr>
                <w:rFonts w:ascii="Liberation Sans Narrow" w:hAnsi="Liberation Sans Narrow"/>
                <w:b/>
                <w:sz w:val="17"/>
              </w:rPr>
              <w:t xml:space="preserve">152</w:t>
            </w:r>
          </w:p>
        </w:tc>
        <w:tc>
          <w:tcPr>
            <w:tcW w:type="dxa" w:w="1754"/>
          </w:tcPr>
          <w:p>
            <w:pPr>
              <w:pStyle w:val="Compact"/>
              <w:spacing w:before="20" w:after="20" w:line="240" w:lineRule="auto"/>
              <w:jc w:val="left"/>
            </w:pPr>
            <w:r>
              <w:rPr>
                <w:rFonts w:ascii="Liberation Sans Narrow" w:hAnsi="Liberation Sans Narrow"/>
                <w:b w:val="0"/>
                <w:sz w:val="17"/>
              </w:rPr>
              <w:t xml:space="preserve">Art. 1060</w:t>
            </w:r>
          </w:p>
        </w:tc>
        <w:tc>
          <w:tcPr>
            <w:tcW w:type="dxa" w:w="797"/>
          </w:tcPr>
          <w:p>
            <w:pPr>
              <w:pStyle w:val="Compact"/>
              <w:spacing w:before="20" w:after="20" w:line="240" w:lineRule="auto"/>
              <w:jc w:val="right"/>
            </w:pPr>
            <w:r>
              <w:rPr>
                <w:rFonts w:ascii="Liberation Sans Narrow" w:hAnsi="Liberation Sans Narrow"/>
                <w:b/>
                <w:sz w:val="17"/>
              </w:rPr>
              <w:t xml:space="preserve">195</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493</w:t>
            </w:r>
          </w:p>
        </w:tc>
        <w:tc>
          <w:tcPr>
            <w:tcW w:type="dxa" w:w="797"/>
          </w:tcPr>
          <w:p>
            <w:pPr>
              <w:pStyle w:val="Compact"/>
              <w:spacing w:before="20" w:after="20" w:line="240" w:lineRule="auto"/>
              <w:jc w:val="right"/>
            </w:pPr>
            <w:r>
              <w:rPr>
                <w:rFonts w:ascii="Liberation Sans Narrow" w:hAnsi="Liberation Sans Narrow"/>
                <w:b/>
                <w:sz w:val="17"/>
              </w:rPr>
              <w:t xml:space="preserve">70</w:t>
            </w:r>
          </w:p>
        </w:tc>
        <w:tc>
          <w:tcPr>
            <w:tcW w:type="dxa" w:w="1754"/>
          </w:tcPr>
          <w:p>
            <w:pPr>
              <w:pStyle w:val="Compact"/>
              <w:spacing w:before="20" w:after="20" w:line="240" w:lineRule="auto"/>
              <w:jc w:val="left"/>
            </w:pPr>
            <w:r>
              <w:rPr>
                <w:rFonts w:ascii="Liberation Sans Narrow" w:hAnsi="Liberation Sans Narrow"/>
                <w:b w:val="0"/>
                <w:sz w:val="17"/>
              </w:rPr>
              <w:t xml:space="preserve">Art. 682</w:t>
            </w:r>
          </w:p>
        </w:tc>
        <w:tc>
          <w:tcPr>
            <w:tcW w:type="dxa" w:w="797"/>
          </w:tcPr>
          <w:p>
            <w:pPr>
              <w:pStyle w:val="Compact"/>
              <w:spacing w:before="20" w:after="20" w:line="240" w:lineRule="auto"/>
              <w:jc w:val="right"/>
            </w:pPr>
            <w:r>
              <w:rPr>
                <w:rFonts w:ascii="Liberation Sans Narrow" w:hAnsi="Liberation Sans Narrow"/>
                <w:b/>
                <w:sz w:val="17"/>
              </w:rPr>
              <w:t xml:space="preserve">116</w:t>
            </w:r>
          </w:p>
        </w:tc>
        <w:tc>
          <w:tcPr>
            <w:tcW w:type="dxa" w:w="1754"/>
          </w:tcPr>
          <w:p>
            <w:pPr>
              <w:pStyle w:val="Compact"/>
              <w:spacing w:before="20" w:after="20" w:line="240" w:lineRule="auto"/>
              <w:jc w:val="left"/>
            </w:pPr>
            <w:r>
              <w:rPr>
                <w:rFonts w:ascii="Liberation Sans Narrow" w:hAnsi="Liberation Sans Narrow"/>
                <w:b w:val="0"/>
                <w:sz w:val="17"/>
              </w:rPr>
              <w:t xml:space="preserve">Art. 871</w:t>
            </w:r>
          </w:p>
        </w:tc>
        <w:tc>
          <w:tcPr>
            <w:tcW w:type="dxa" w:w="797"/>
          </w:tcPr>
          <w:p>
            <w:pPr>
              <w:pStyle w:val="Compact"/>
              <w:spacing w:before="20" w:after="20" w:line="240" w:lineRule="auto"/>
              <w:jc w:val="right"/>
            </w:pPr>
            <w:r>
              <w:rPr>
                <w:rFonts w:ascii="Liberation Sans Narrow" w:hAnsi="Liberation Sans Narrow"/>
                <w:b/>
                <w:sz w:val="17"/>
              </w:rPr>
              <w:t xml:space="preserve">152</w:t>
            </w:r>
          </w:p>
        </w:tc>
        <w:tc>
          <w:tcPr>
            <w:tcW w:type="dxa" w:w="1754"/>
          </w:tcPr>
          <w:p>
            <w:pPr>
              <w:pStyle w:val="Compact"/>
              <w:spacing w:before="20" w:after="20" w:line="240" w:lineRule="auto"/>
              <w:jc w:val="left"/>
            </w:pPr>
            <w:r>
              <w:rPr>
                <w:rFonts w:ascii="Liberation Sans Narrow" w:hAnsi="Liberation Sans Narrow"/>
                <w:b w:val="0"/>
                <w:sz w:val="17"/>
              </w:rPr>
              <w:t xml:space="preserve">Art. 1061</w:t>
            </w:r>
          </w:p>
        </w:tc>
        <w:tc>
          <w:tcPr>
            <w:tcW w:type="dxa" w:w="797"/>
          </w:tcPr>
          <w:p>
            <w:pPr>
              <w:pStyle w:val="Compact"/>
              <w:spacing w:before="20" w:after="20" w:line="240" w:lineRule="auto"/>
              <w:jc w:val="right"/>
            </w:pPr>
            <w:r>
              <w:rPr>
                <w:rFonts w:ascii="Liberation Sans Narrow" w:hAnsi="Liberation Sans Narrow"/>
                <w:b/>
                <w:sz w:val="17"/>
              </w:rPr>
              <w:t xml:space="preserve">195</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494</w:t>
            </w:r>
          </w:p>
        </w:tc>
        <w:tc>
          <w:tcPr>
            <w:tcW w:type="dxa" w:w="797"/>
          </w:tcPr>
          <w:p>
            <w:pPr>
              <w:pStyle w:val="Compact"/>
              <w:spacing w:before="20" w:after="20" w:line="240" w:lineRule="auto"/>
              <w:jc w:val="right"/>
            </w:pPr>
            <w:r>
              <w:rPr>
                <w:rFonts w:ascii="Liberation Sans Narrow" w:hAnsi="Liberation Sans Narrow"/>
                <w:b/>
                <w:sz w:val="17"/>
              </w:rPr>
              <w:t xml:space="preserve">70</w:t>
            </w:r>
          </w:p>
        </w:tc>
        <w:tc>
          <w:tcPr>
            <w:tcW w:type="dxa" w:w="1754"/>
          </w:tcPr>
          <w:p>
            <w:pPr>
              <w:pStyle w:val="Compact"/>
              <w:spacing w:before="20" w:after="20" w:line="240" w:lineRule="auto"/>
              <w:jc w:val="left"/>
            </w:pPr>
            <w:r>
              <w:rPr>
                <w:rFonts w:ascii="Liberation Sans Narrow" w:hAnsi="Liberation Sans Narrow"/>
                <w:b w:val="0"/>
                <w:sz w:val="17"/>
              </w:rPr>
              <w:t xml:space="preserve">Art. 683</w:t>
            </w:r>
          </w:p>
        </w:tc>
        <w:tc>
          <w:tcPr>
            <w:tcW w:type="dxa" w:w="797"/>
          </w:tcPr>
          <w:p>
            <w:pPr>
              <w:pStyle w:val="Compact"/>
              <w:spacing w:before="20" w:after="20" w:line="240" w:lineRule="auto"/>
              <w:jc w:val="right"/>
            </w:pPr>
            <w:r>
              <w:rPr>
                <w:rFonts w:ascii="Liberation Sans Narrow" w:hAnsi="Liberation Sans Narrow"/>
                <w:b/>
                <w:sz w:val="17"/>
              </w:rPr>
              <w:t xml:space="preserve">116</w:t>
            </w:r>
          </w:p>
        </w:tc>
        <w:tc>
          <w:tcPr>
            <w:tcW w:type="dxa" w:w="1754"/>
          </w:tcPr>
          <w:p>
            <w:pPr>
              <w:pStyle w:val="Compact"/>
              <w:spacing w:before="20" w:after="20" w:line="240" w:lineRule="auto"/>
              <w:jc w:val="left"/>
            </w:pPr>
            <w:r>
              <w:rPr>
                <w:rFonts w:ascii="Liberation Sans Narrow" w:hAnsi="Liberation Sans Narrow"/>
                <w:b w:val="0"/>
                <w:sz w:val="17"/>
              </w:rPr>
              <w:t xml:space="preserve">Art. 872</w:t>
            </w:r>
          </w:p>
        </w:tc>
        <w:tc>
          <w:tcPr>
            <w:tcW w:type="dxa" w:w="797"/>
          </w:tcPr>
          <w:p>
            <w:pPr>
              <w:pStyle w:val="Compact"/>
              <w:spacing w:before="20" w:after="20" w:line="240" w:lineRule="auto"/>
              <w:jc w:val="right"/>
            </w:pPr>
            <w:r>
              <w:rPr>
                <w:rFonts w:ascii="Liberation Sans Narrow" w:hAnsi="Liberation Sans Narrow"/>
                <w:b/>
                <w:sz w:val="17"/>
              </w:rPr>
              <w:t xml:space="preserve">153</w:t>
            </w:r>
          </w:p>
        </w:tc>
        <w:tc>
          <w:tcPr>
            <w:tcW w:type="dxa" w:w="1754"/>
          </w:tcPr>
          <w:p>
            <w:pPr>
              <w:pStyle w:val="Compact"/>
              <w:spacing w:before="20" w:after="20" w:line="240" w:lineRule="auto"/>
              <w:jc w:val="left"/>
            </w:pPr>
            <w:r>
              <w:rPr>
                <w:rFonts w:ascii="Liberation Sans Narrow" w:hAnsi="Liberation Sans Narrow"/>
                <w:b w:val="0"/>
                <w:sz w:val="17"/>
              </w:rPr>
              <w:t xml:space="preserve">Art. 1062</w:t>
            </w:r>
          </w:p>
        </w:tc>
        <w:tc>
          <w:tcPr>
            <w:tcW w:type="dxa" w:w="797"/>
          </w:tcPr>
          <w:p>
            <w:pPr>
              <w:pStyle w:val="Compact"/>
              <w:spacing w:before="20" w:after="20" w:line="240" w:lineRule="auto"/>
              <w:jc w:val="right"/>
            </w:pPr>
            <w:r>
              <w:rPr>
                <w:rFonts w:ascii="Liberation Sans Narrow" w:hAnsi="Liberation Sans Narrow"/>
                <w:b/>
                <w:sz w:val="17"/>
              </w:rPr>
              <w:t xml:space="preserve">196</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495</w:t>
            </w:r>
          </w:p>
        </w:tc>
        <w:tc>
          <w:tcPr>
            <w:tcW w:type="dxa" w:w="797"/>
          </w:tcPr>
          <w:p>
            <w:pPr>
              <w:pStyle w:val="Compact"/>
              <w:spacing w:before="20" w:after="20" w:line="240" w:lineRule="auto"/>
              <w:jc w:val="right"/>
            </w:pPr>
            <w:r>
              <w:rPr>
                <w:rFonts w:ascii="Liberation Sans Narrow" w:hAnsi="Liberation Sans Narrow"/>
                <w:b/>
                <w:sz w:val="17"/>
              </w:rPr>
              <w:t xml:space="preserve">70</w:t>
            </w:r>
          </w:p>
        </w:tc>
        <w:tc>
          <w:tcPr>
            <w:tcW w:type="dxa" w:w="1754"/>
          </w:tcPr>
          <w:p>
            <w:pPr>
              <w:pStyle w:val="Compact"/>
              <w:spacing w:before="20" w:after="20" w:line="240" w:lineRule="auto"/>
              <w:jc w:val="left"/>
            </w:pPr>
            <w:r>
              <w:rPr>
                <w:rFonts w:ascii="Liberation Sans Narrow" w:hAnsi="Liberation Sans Narrow"/>
                <w:b w:val="0"/>
                <w:sz w:val="17"/>
              </w:rPr>
              <w:t xml:space="preserve">Art. 684</w:t>
            </w:r>
          </w:p>
        </w:tc>
        <w:tc>
          <w:tcPr>
            <w:tcW w:type="dxa" w:w="797"/>
          </w:tcPr>
          <w:p>
            <w:pPr>
              <w:pStyle w:val="Compact"/>
              <w:spacing w:before="20" w:after="20" w:line="240" w:lineRule="auto"/>
              <w:jc w:val="right"/>
            </w:pPr>
            <w:r>
              <w:rPr>
                <w:rFonts w:ascii="Liberation Sans Narrow" w:hAnsi="Liberation Sans Narrow"/>
                <w:b/>
                <w:sz w:val="17"/>
              </w:rPr>
              <w:t xml:space="preserve">116</w:t>
            </w:r>
          </w:p>
        </w:tc>
        <w:tc>
          <w:tcPr>
            <w:tcW w:type="dxa" w:w="1754"/>
          </w:tcPr>
          <w:p>
            <w:pPr>
              <w:pStyle w:val="Compact"/>
              <w:spacing w:before="20" w:after="20" w:line="240" w:lineRule="auto"/>
              <w:jc w:val="left"/>
            </w:pPr>
            <w:r>
              <w:rPr>
                <w:rFonts w:ascii="Liberation Sans Narrow" w:hAnsi="Liberation Sans Narrow"/>
                <w:b w:val="0"/>
                <w:sz w:val="17"/>
              </w:rPr>
              <w:t xml:space="preserve">Art. 873</w:t>
            </w:r>
          </w:p>
        </w:tc>
        <w:tc>
          <w:tcPr>
            <w:tcW w:type="dxa" w:w="797"/>
          </w:tcPr>
          <w:p>
            <w:pPr>
              <w:pStyle w:val="Compact"/>
              <w:spacing w:before="20" w:after="20" w:line="240" w:lineRule="auto"/>
              <w:jc w:val="right"/>
            </w:pPr>
            <w:r>
              <w:rPr>
                <w:rFonts w:ascii="Liberation Sans Narrow" w:hAnsi="Liberation Sans Narrow"/>
                <w:b/>
                <w:sz w:val="17"/>
              </w:rPr>
              <w:t xml:space="preserve">153</w:t>
            </w:r>
          </w:p>
        </w:tc>
        <w:tc>
          <w:tcPr>
            <w:tcW w:type="dxa" w:w="1754"/>
          </w:tcPr>
          <w:p>
            <w:pPr>
              <w:pStyle w:val="Compact"/>
              <w:spacing w:before="20" w:after="20" w:line="240" w:lineRule="auto"/>
              <w:jc w:val="left"/>
            </w:pPr>
            <w:r>
              <w:rPr>
                <w:rFonts w:ascii="Liberation Sans Narrow" w:hAnsi="Liberation Sans Narrow"/>
                <w:b w:val="0"/>
                <w:sz w:val="17"/>
              </w:rPr>
              <w:t xml:space="preserve">Art. 1063</w:t>
            </w:r>
          </w:p>
        </w:tc>
        <w:tc>
          <w:tcPr>
            <w:tcW w:type="dxa" w:w="797"/>
          </w:tcPr>
          <w:p>
            <w:pPr>
              <w:pStyle w:val="Compact"/>
              <w:spacing w:before="20" w:after="20" w:line="240" w:lineRule="auto"/>
              <w:jc w:val="right"/>
            </w:pPr>
            <w:r>
              <w:rPr>
                <w:rFonts w:ascii="Liberation Sans Narrow" w:hAnsi="Liberation Sans Narrow"/>
                <w:b/>
                <w:sz w:val="17"/>
              </w:rPr>
              <w:t xml:space="preserve">196</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496</w:t>
            </w:r>
          </w:p>
        </w:tc>
        <w:tc>
          <w:tcPr>
            <w:tcW w:type="dxa" w:w="797"/>
          </w:tcPr>
          <w:p>
            <w:pPr>
              <w:pStyle w:val="Compact"/>
              <w:spacing w:before="20" w:after="20" w:line="240" w:lineRule="auto"/>
              <w:jc w:val="right"/>
            </w:pPr>
            <w:r>
              <w:rPr>
                <w:rFonts w:ascii="Liberation Sans Narrow" w:hAnsi="Liberation Sans Narrow"/>
                <w:b/>
                <w:sz w:val="17"/>
              </w:rPr>
              <w:t xml:space="preserve">71</w:t>
            </w:r>
          </w:p>
        </w:tc>
        <w:tc>
          <w:tcPr>
            <w:tcW w:type="dxa" w:w="1754"/>
          </w:tcPr>
          <w:p>
            <w:pPr>
              <w:pStyle w:val="Compact"/>
              <w:spacing w:before="20" w:after="20" w:line="240" w:lineRule="auto"/>
              <w:jc w:val="left"/>
            </w:pPr>
            <w:r>
              <w:rPr>
                <w:rFonts w:ascii="Liberation Sans Narrow" w:hAnsi="Liberation Sans Narrow"/>
                <w:b w:val="0"/>
                <w:sz w:val="17"/>
              </w:rPr>
              <w:t xml:space="preserve">Art. 685</w:t>
            </w:r>
          </w:p>
        </w:tc>
        <w:tc>
          <w:tcPr>
            <w:tcW w:type="dxa" w:w="797"/>
          </w:tcPr>
          <w:p>
            <w:pPr>
              <w:pStyle w:val="Compact"/>
              <w:spacing w:before="20" w:after="20" w:line="240" w:lineRule="auto"/>
              <w:jc w:val="right"/>
            </w:pPr>
            <w:r>
              <w:rPr>
                <w:rFonts w:ascii="Liberation Sans Narrow" w:hAnsi="Liberation Sans Narrow"/>
                <w:b/>
                <w:sz w:val="17"/>
              </w:rPr>
              <w:t xml:space="preserve">116</w:t>
            </w:r>
          </w:p>
        </w:tc>
        <w:tc>
          <w:tcPr>
            <w:tcW w:type="dxa" w:w="1754"/>
          </w:tcPr>
          <w:p>
            <w:pPr>
              <w:pStyle w:val="Compact"/>
              <w:spacing w:before="20" w:after="20" w:line="240" w:lineRule="auto"/>
              <w:jc w:val="left"/>
            </w:pPr>
            <w:r>
              <w:rPr>
                <w:rFonts w:ascii="Liberation Sans Narrow" w:hAnsi="Liberation Sans Narrow"/>
                <w:b w:val="0"/>
                <w:sz w:val="17"/>
              </w:rPr>
              <w:t xml:space="preserve">Art. 874</w:t>
            </w:r>
          </w:p>
        </w:tc>
        <w:tc>
          <w:tcPr>
            <w:tcW w:type="dxa" w:w="797"/>
          </w:tcPr>
          <w:p>
            <w:pPr>
              <w:pStyle w:val="Compact"/>
              <w:spacing w:before="20" w:after="20" w:line="240" w:lineRule="auto"/>
              <w:jc w:val="right"/>
            </w:pPr>
            <w:r>
              <w:rPr>
                <w:rFonts w:ascii="Liberation Sans Narrow" w:hAnsi="Liberation Sans Narrow"/>
                <w:b/>
                <w:sz w:val="17"/>
              </w:rPr>
              <w:t xml:space="preserve">153</w:t>
            </w:r>
          </w:p>
        </w:tc>
        <w:tc>
          <w:tcPr>
            <w:tcW w:type="dxa" w:w="1754"/>
          </w:tcPr>
          <w:p>
            <w:pPr>
              <w:pStyle w:val="Compact"/>
              <w:spacing w:before="20" w:after="20" w:line="240" w:lineRule="auto"/>
              <w:jc w:val="left"/>
            </w:pPr>
            <w:r>
              <w:rPr>
                <w:rFonts w:ascii="Liberation Sans Narrow" w:hAnsi="Liberation Sans Narrow"/>
                <w:b w:val="0"/>
                <w:sz w:val="17"/>
              </w:rPr>
              <w:t xml:space="preserve">Art. 1064</w:t>
            </w:r>
          </w:p>
        </w:tc>
        <w:tc>
          <w:tcPr>
            <w:tcW w:type="dxa" w:w="797"/>
          </w:tcPr>
          <w:p>
            <w:pPr>
              <w:pStyle w:val="Compact"/>
              <w:spacing w:before="20" w:after="20" w:line="240" w:lineRule="auto"/>
              <w:jc w:val="right"/>
            </w:pPr>
            <w:r>
              <w:rPr>
                <w:rFonts w:ascii="Liberation Sans Narrow" w:hAnsi="Liberation Sans Narrow"/>
                <w:b/>
                <w:sz w:val="17"/>
              </w:rPr>
              <w:t xml:space="preserve">196</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497</w:t>
            </w:r>
          </w:p>
        </w:tc>
        <w:tc>
          <w:tcPr>
            <w:tcW w:type="dxa" w:w="797"/>
          </w:tcPr>
          <w:p>
            <w:pPr>
              <w:pStyle w:val="Compact"/>
              <w:spacing w:before="20" w:after="20" w:line="240" w:lineRule="auto"/>
              <w:jc w:val="right"/>
            </w:pPr>
            <w:r>
              <w:rPr>
                <w:rFonts w:ascii="Liberation Sans Narrow" w:hAnsi="Liberation Sans Narrow"/>
                <w:b/>
                <w:sz w:val="17"/>
              </w:rPr>
              <w:t xml:space="preserve">72</w:t>
            </w:r>
          </w:p>
        </w:tc>
        <w:tc>
          <w:tcPr>
            <w:tcW w:type="dxa" w:w="1754"/>
          </w:tcPr>
          <w:p>
            <w:pPr>
              <w:pStyle w:val="Compact"/>
              <w:spacing w:before="20" w:after="20" w:line="240" w:lineRule="auto"/>
              <w:jc w:val="left"/>
            </w:pPr>
            <w:r>
              <w:rPr>
                <w:rFonts w:ascii="Liberation Sans Narrow" w:hAnsi="Liberation Sans Narrow"/>
                <w:b w:val="0"/>
                <w:sz w:val="17"/>
              </w:rPr>
              <w:t xml:space="preserve">Art. 686</w:t>
            </w:r>
          </w:p>
        </w:tc>
        <w:tc>
          <w:tcPr>
            <w:tcW w:type="dxa" w:w="797"/>
          </w:tcPr>
          <w:p>
            <w:pPr>
              <w:pStyle w:val="Compact"/>
              <w:spacing w:before="20" w:after="20" w:line="240" w:lineRule="auto"/>
              <w:jc w:val="right"/>
            </w:pPr>
            <w:r>
              <w:rPr>
                <w:rFonts w:ascii="Liberation Sans Narrow" w:hAnsi="Liberation Sans Narrow"/>
                <w:b/>
                <w:sz w:val="17"/>
              </w:rPr>
              <w:t xml:space="preserve">116</w:t>
            </w:r>
          </w:p>
        </w:tc>
        <w:tc>
          <w:tcPr>
            <w:tcW w:type="dxa" w:w="1754"/>
          </w:tcPr>
          <w:p>
            <w:pPr>
              <w:pStyle w:val="Compact"/>
              <w:spacing w:before="20" w:after="20" w:line="240" w:lineRule="auto"/>
              <w:jc w:val="left"/>
            </w:pPr>
            <w:r>
              <w:rPr>
                <w:rFonts w:ascii="Liberation Sans Narrow" w:hAnsi="Liberation Sans Narrow"/>
                <w:b w:val="0"/>
                <w:sz w:val="17"/>
              </w:rPr>
              <w:t xml:space="preserve">Art. 875</w:t>
            </w:r>
          </w:p>
        </w:tc>
        <w:tc>
          <w:tcPr>
            <w:tcW w:type="dxa" w:w="797"/>
          </w:tcPr>
          <w:p>
            <w:pPr>
              <w:pStyle w:val="Compact"/>
              <w:spacing w:before="20" w:after="20" w:line="240" w:lineRule="auto"/>
              <w:jc w:val="right"/>
            </w:pPr>
            <w:r>
              <w:rPr>
                <w:rFonts w:ascii="Liberation Sans Narrow" w:hAnsi="Liberation Sans Narrow"/>
                <w:b/>
                <w:sz w:val="17"/>
              </w:rPr>
              <w:t xml:space="preserve">153</w:t>
            </w:r>
          </w:p>
        </w:tc>
        <w:tc>
          <w:tcPr>
            <w:tcW w:type="dxa" w:w="1754"/>
          </w:tcPr>
          <w:p>
            <w:pPr>
              <w:pStyle w:val="Compact"/>
              <w:spacing w:before="20" w:after="20" w:line="240" w:lineRule="auto"/>
              <w:jc w:val="left"/>
            </w:pPr>
            <w:r>
              <w:rPr>
                <w:rFonts w:ascii="Liberation Sans Narrow" w:hAnsi="Liberation Sans Narrow"/>
                <w:b w:val="0"/>
                <w:sz w:val="17"/>
              </w:rPr>
              <w:t xml:space="preserve">Art. 1065</w:t>
            </w:r>
          </w:p>
        </w:tc>
        <w:tc>
          <w:tcPr>
            <w:tcW w:type="dxa" w:w="797"/>
          </w:tcPr>
          <w:p>
            <w:pPr>
              <w:pStyle w:val="Compact"/>
              <w:spacing w:before="20" w:after="20" w:line="240" w:lineRule="auto"/>
              <w:jc w:val="right"/>
            </w:pPr>
            <w:r>
              <w:rPr>
                <w:rFonts w:ascii="Liberation Sans Narrow" w:hAnsi="Liberation Sans Narrow"/>
                <w:b/>
                <w:sz w:val="17"/>
              </w:rPr>
              <w:t xml:space="preserve">196</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498</w:t>
            </w:r>
          </w:p>
        </w:tc>
        <w:tc>
          <w:tcPr>
            <w:tcW w:type="dxa" w:w="797"/>
          </w:tcPr>
          <w:p>
            <w:pPr>
              <w:pStyle w:val="Compact"/>
              <w:spacing w:before="20" w:after="20" w:line="240" w:lineRule="auto"/>
              <w:jc w:val="right"/>
            </w:pPr>
            <w:r>
              <w:rPr>
                <w:rFonts w:ascii="Liberation Sans Narrow" w:hAnsi="Liberation Sans Narrow"/>
                <w:b/>
                <w:sz w:val="17"/>
              </w:rPr>
              <w:t xml:space="preserve">72</w:t>
            </w:r>
          </w:p>
        </w:tc>
        <w:tc>
          <w:tcPr>
            <w:tcW w:type="dxa" w:w="1754"/>
          </w:tcPr>
          <w:p>
            <w:pPr>
              <w:pStyle w:val="Compact"/>
              <w:spacing w:before="20" w:after="20" w:line="240" w:lineRule="auto"/>
              <w:jc w:val="left"/>
            </w:pPr>
            <w:r>
              <w:rPr>
                <w:rFonts w:ascii="Liberation Sans Narrow" w:hAnsi="Liberation Sans Narrow"/>
                <w:b w:val="0"/>
                <w:sz w:val="17"/>
              </w:rPr>
              <w:t xml:space="preserve">Art. 687</w:t>
            </w:r>
          </w:p>
        </w:tc>
        <w:tc>
          <w:tcPr>
            <w:tcW w:type="dxa" w:w="797"/>
          </w:tcPr>
          <w:p>
            <w:pPr>
              <w:pStyle w:val="Compact"/>
              <w:spacing w:before="20" w:after="20" w:line="240" w:lineRule="auto"/>
              <w:jc w:val="right"/>
            </w:pPr>
            <w:r>
              <w:rPr>
                <w:rFonts w:ascii="Liberation Sans Narrow" w:hAnsi="Liberation Sans Narrow"/>
                <w:b/>
                <w:sz w:val="17"/>
              </w:rPr>
              <w:t xml:space="preserve">116</w:t>
            </w:r>
          </w:p>
        </w:tc>
        <w:tc>
          <w:tcPr>
            <w:tcW w:type="dxa" w:w="1754"/>
          </w:tcPr>
          <w:p>
            <w:pPr>
              <w:pStyle w:val="Compact"/>
              <w:spacing w:before="20" w:after="20" w:line="240" w:lineRule="auto"/>
              <w:jc w:val="left"/>
            </w:pPr>
            <w:r>
              <w:rPr>
                <w:rFonts w:ascii="Liberation Sans Narrow" w:hAnsi="Liberation Sans Narrow"/>
                <w:b w:val="0"/>
                <w:sz w:val="17"/>
              </w:rPr>
              <w:t xml:space="preserve">Art. 876</w:t>
            </w:r>
          </w:p>
        </w:tc>
        <w:tc>
          <w:tcPr>
            <w:tcW w:type="dxa" w:w="797"/>
          </w:tcPr>
          <w:p>
            <w:pPr>
              <w:pStyle w:val="Compact"/>
              <w:spacing w:before="20" w:after="20" w:line="240" w:lineRule="auto"/>
              <w:jc w:val="right"/>
            </w:pPr>
            <w:r>
              <w:rPr>
                <w:rFonts w:ascii="Liberation Sans Narrow" w:hAnsi="Liberation Sans Narrow"/>
                <w:b/>
                <w:sz w:val="17"/>
              </w:rPr>
              <w:t xml:space="preserve">154</w:t>
            </w:r>
          </w:p>
        </w:tc>
        <w:tc>
          <w:tcPr>
            <w:tcW w:type="dxa" w:w="1754"/>
          </w:tcPr>
          <w:p>
            <w:pPr>
              <w:pStyle w:val="Compact"/>
              <w:spacing w:before="20" w:after="20" w:line="240" w:lineRule="auto"/>
              <w:jc w:val="left"/>
            </w:pPr>
            <w:r>
              <w:rPr>
                <w:rFonts w:ascii="Liberation Sans Narrow" w:hAnsi="Liberation Sans Narrow"/>
                <w:b w:val="0"/>
                <w:sz w:val="17"/>
              </w:rPr>
              <w:t xml:space="preserve">Art. 1066</w:t>
            </w:r>
          </w:p>
        </w:tc>
        <w:tc>
          <w:tcPr>
            <w:tcW w:type="dxa" w:w="797"/>
          </w:tcPr>
          <w:p>
            <w:pPr>
              <w:pStyle w:val="Compact"/>
              <w:spacing w:before="20" w:after="20" w:line="240" w:lineRule="auto"/>
              <w:jc w:val="right"/>
            </w:pPr>
            <w:r>
              <w:rPr>
                <w:rFonts w:ascii="Liberation Sans Narrow" w:hAnsi="Liberation Sans Narrow"/>
                <w:b/>
                <w:sz w:val="17"/>
              </w:rPr>
              <w:t xml:space="preserve">196</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499</w:t>
            </w:r>
          </w:p>
        </w:tc>
        <w:tc>
          <w:tcPr>
            <w:tcW w:type="dxa" w:w="797"/>
          </w:tcPr>
          <w:p>
            <w:pPr>
              <w:pStyle w:val="Compact"/>
              <w:spacing w:before="20" w:after="20" w:line="240" w:lineRule="auto"/>
              <w:jc w:val="right"/>
            </w:pPr>
            <w:r>
              <w:rPr>
                <w:rFonts w:ascii="Liberation Sans Narrow" w:hAnsi="Liberation Sans Narrow"/>
                <w:b/>
                <w:sz w:val="17"/>
              </w:rPr>
              <w:t xml:space="preserve">72</w:t>
            </w:r>
          </w:p>
        </w:tc>
        <w:tc>
          <w:tcPr>
            <w:tcW w:type="dxa" w:w="1754"/>
          </w:tcPr>
          <w:p>
            <w:pPr>
              <w:pStyle w:val="Compact"/>
              <w:spacing w:before="20" w:after="20" w:line="240" w:lineRule="auto"/>
              <w:jc w:val="left"/>
            </w:pPr>
            <w:r>
              <w:rPr>
                <w:rFonts w:ascii="Liberation Sans Narrow" w:hAnsi="Liberation Sans Narrow"/>
                <w:b w:val="0"/>
                <w:sz w:val="17"/>
              </w:rPr>
              <w:t xml:space="preserve">Art. 688</w:t>
            </w:r>
          </w:p>
        </w:tc>
        <w:tc>
          <w:tcPr>
            <w:tcW w:type="dxa" w:w="797"/>
          </w:tcPr>
          <w:p>
            <w:pPr>
              <w:pStyle w:val="Compact"/>
              <w:spacing w:before="20" w:after="20" w:line="240" w:lineRule="auto"/>
              <w:jc w:val="right"/>
            </w:pPr>
            <w:r>
              <w:rPr>
                <w:rFonts w:ascii="Liberation Sans Narrow" w:hAnsi="Liberation Sans Narrow"/>
                <w:b/>
                <w:sz w:val="17"/>
              </w:rPr>
              <w:t xml:space="preserve">116</w:t>
            </w:r>
          </w:p>
        </w:tc>
        <w:tc>
          <w:tcPr>
            <w:tcW w:type="dxa" w:w="1754"/>
          </w:tcPr>
          <w:p>
            <w:pPr>
              <w:pStyle w:val="Compact"/>
              <w:spacing w:before="20" w:after="20" w:line="240" w:lineRule="auto"/>
              <w:jc w:val="left"/>
            </w:pPr>
            <w:r>
              <w:rPr>
                <w:rFonts w:ascii="Liberation Sans Narrow" w:hAnsi="Liberation Sans Narrow"/>
                <w:b w:val="0"/>
                <w:sz w:val="17"/>
              </w:rPr>
              <w:t xml:space="preserve">Art. 877</w:t>
            </w:r>
          </w:p>
        </w:tc>
        <w:tc>
          <w:tcPr>
            <w:tcW w:type="dxa" w:w="797"/>
          </w:tcPr>
          <w:p>
            <w:pPr>
              <w:pStyle w:val="Compact"/>
              <w:spacing w:before="20" w:after="20" w:line="240" w:lineRule="auto"/>
              <w:jc w:val="right"/>
            </w:pPr>
            <w:r>
              <w:rPr>
                <w:rFonts w:ascii="Liberation Sans Narrow" w:hAnsi="Liberation Sans Narrow"/>
                <w:b/>
                <w:sz w:val="17"/>
              </w:rPr>
              <w:t xml:space="preserve">154</w:t>
            </w:r>
          </w:p>
        </w:tc>
        <w:tc>
          <w:tcPr>
            <w:tcW w:type="dxa" w:w="1754"/>
          </w:tcPr>
          <w:p>
            <w:pPr>
              <w:pStyle w:val="Compact"/>
              <w:spacing w:before="20" w:after="20" w:line="240" w:lineRule="auto"/>
              <w:jc w:val="left"/>
            </w:pPr>
            <w:r>
              <w:rPr>
                <w:rFonts w:ascii="Liberation Sans Narrow" w:hAnsi="Liberation Sans Narrow"/>
                <w:b w:val="0"/>
                <w:sz w:val="17"/>
              </w:rPr>
              <w:t xml:space="preserve">Art. 1067</w:t>
            </w:r>
          </w:p>
        </w:tc>
        <w:tc>
          <w:tcPr>
            <w:tcW w:type="dxa" w:w="797"/>
          </w:tcPr>
          <w:p>
            <w:pPr>
              <w:pStyle w:val="Compact"/>
              <w:spacing w:before="20" w:after="20" w:line="240" w:lineRule="auto"/>
              <w:jc w:val="right"/>
            </w:pPr>
            <w:r>
              <w:rPr>
                <w:rFonts w:ascii="Liberation Sans Narrow" w:hAnsi="Liberation Sans Narrow"/>
                <w:b/>
                <w:sz w:val="17"/>
              </w:rPr>
              <w:t xml:space="preserve">196</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500</w:t>
            </w:r>
          </w:p>
        </w:tc>
        <w:tc>
          <w:tcPr>
            <w:tcW w:type="dxa" w:w="797"/>
          </w:tcPr>
          <w:p>
            <w:pPr>
              <w:pStyle w:val="Compact"/>
              <w:spacing w:before="20" w:after="20" w:line="240" w:lineRule="auto"/>
              <w:jc w:val="right"/>
            </w:pPr>
            <w:r>
              <w:rPr>
                <w:rFonts w:ascii="Liberation Sans Narrow" w:hAnsi="Liberation Sans Narrow"/>
                <w:b/>
                <w:sz w:val="17"/>
              </w:rPr>
              <w:t xml:space="preserve">72</w:t>
            </w:r>
          </w:p>
        </w:tc>
        <w:tc>
          <w:tcPr>
            <w:tcW w:type="dxa" w:w="1754"/>
          </w:tcPr>
          <w:p>
            <w:pPr>
              <w:pStyle w:val="Compact"/>
              <w:spacing w:before="20" w:after="20" w:line="240" w:lineRule="auto"/>
              <w:jc w:val="left"/>
            </w:pPr>
            <w:r>
              <w:rPr>
                <w:rFonts w:ascii="Liberation Sans Narrow" w:hAnsi="Liberation Sans Narrow"/>
                <w:b w:val="0"/>
                <w:sz w:val="17"/>
              </w:rPr>
              <w:t xml:space="preserve">Art. 689</w:t>
            </w:r>
          </w:p>
        </w:tc>
        <w:tc>
          <w:tcPr>
            <w:tcW w:type="dxa" w:w="797"/>
          </w:tcPr>
          <w:p>
            <w:pPr>
              <w:pStyle w:val="Compact"/>
              <w:spacing w:before="20" w:after="20" w:line="240" w:lineRule="auto"/>
              <w:jc w:val="right"/>
            </w:pPr>
            <w:r>
              <w:rPr>
                <w:rFonts w:ascii="Liberation Sans Narrow" w:hAnsi="Liberation Sans Narrow"/>
                <w:b/>
                <w:sz w:val="17"/>
              </w:rPr>
              <w:t xml:space="preserve">117</w:t>
            </w:r>
          </w:p>
        </w:tc>
        <w:tc>
          <w:tcPr>
            <w:tcW w:type="dxa" w:w="1754"/>
          </w:tcPr>
          <w:p>
            <w:pPr>
              <w:pStyle w:val="Compact"/>
              <w:spacing w:before="20" w:after="20" w:line="240" w:lineRule="auto"/>
              <w:jc w:val="left"/>
            </w:pPr>
            <w:r>
              <w:rPr>
                <w:rFonts w:ascii="Liberation Sans Narrow" w:hAnsi="Liberation Sans Narrow"/>
                <w:b w:val="0"/>
                <w:sz w:val="17"/>
              </w:rPr>
              <w:t xml:space="preserve">Art. 878</w:t>
            </w:r>
          </w:p>
        </w:tc>
        <w:tc>
          <w:tcPr>
            <w:tcW w:type="dxa" w:w="797"/>
          </w:tcPr>
          <w:p>
            <w:pPr>
              <w:pStyle w:val="Compact"/>
              <w:spacing w:before="20" w:after="20" w:line="240" w:lineRule="auto"/>
              <w:jc w:val="right"/>
            </w:pPr>
            <w:r>
              <w:rPr>
                <w:rFonts w:ascii="Liberation Sans Narrow" w:hAnsi="Liberation Sans Narrow"/>
                <w:b/>
                <w:sz w:val="17"/>
              </w:rPr>
              <w:t xml:space="preserve">155</w:t>
            </w:r>
          </w:p>
        </w:tc>
        <w:tc>
          <w:tcPr>
            <w:tcW w:type="dxa" w:w="1754"/>
          </w:tcPr>
          <w:p>
            <w:pPr>
              <w:pStyle w:val="Compact"/>
              <w:spacing w:before="20" w:after="20" w:line="240" w:lineRule="auto"/>
              <w:jc w:val="left"/>
            </w:pPr>
            <w:r>
              <w:rPr>
                <w:rFonts w:ascii="Liberation Sans Narrow" w:hAnsi="Liberation Sans Narrow"/>
                <w:b w:val="0"/>
                <w:sz w:val="17"/>
              </w:rPr>
              <w:t xml:space="preserve">Art. 1068</w:t>
            </w:r>
          </w:p>
        </w:tc>
        <w:tc>
          <w:tcPr>
            <w:tcW w:type="dxa" w:w="797"/>
          </w:tcPr>
          <w:p>
            <w:pPr>
              <w:pStyle w:val="Compact"/>
              <w:spacing w:before="20" w:after="20" w:line="240" w:lineRule="auto"/>
              <w:jc w:val="right"/>
            </w:pPr>
            <w:r>
              <w:rPr>
                <w:rFonts w:ascii="Liberation Sans Narrow" w:hAnsi="Liberation Sans Narrow"/>
                <w:b/>
                <w:sz w:val="17"/>
              </w:rPr>
              <w:t xml:space="preserve">196</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501</w:t>
            </w:r>
          </w:p>
        </w:tc>
        <w:tc>
          <w:tcPr>
            <w:tcW w:type="dxa" w:w="797"/>
          </w:tcPr>
          <w:p>
            <w:pPr>
              <w:pStyle w:val="Compact"/>
              <w:spacing w:before="20" w:after="20" w:line="240" w:lineRule="auto"/>
              <w:jc w:val="right"/>
            </w:pPr>
            <w:r>
              <w:rPr>
                <w:rFonts w:ascii="Liberation Sans Narrow" w:hAnsi="Liberation Sans Narrow"/>
                <w:b/>
                <w:sz w:val="17"/>
              </w:rPr>
              <w:t xml:space="preserve">73</w:t>
            </w:r>
          </w:p>
        </w:tc>
        <w:tc>
          <w:tcPr>
            <w:tcW w:type="dxa" w:w="1754"/>
          </w:tcPr>
          <w:p>
            <w:pPr>
              <w:pStyle w:val="Compact"/>
              <w:spacing w:before="20" w:after="20" w:line="240" w:lineRule="auto"/>
              <w:jc w:val="left"/>
            </w:pPr>
            <w:r>
              <w:rPr>
                <w:rFonts w:ascii="Liberation Sans Narrow" w:hAnsi="Liberation Sans Narrow"/>
                <w:b w:val="0"/>
                <w:sz w:val="17"/>
              </w:rPr>
              <w:t xml:space="preserve">Art. 690</w:t>
            </w:r>
          </w:p>
        </w:tc>
        <w:tc>
          <w:tcPr>
            <w:tcW w:type="dxa" w:w="797"/>
          </w:tcPr>
          <w:p>
            <w:pPr>
              <w:pStyle w:val="Compact"/>
              <w:spacing w:before="20" w:after="20" w:line="240" w:lineRule="auto"/>
              <w:jc w:val="right"/>
            </w:pPr>
            <w:r>
              <w:rPr>
                <w:rFonts w:ascii="Liberation Sans Narrow" w:hAnsi="Liberation Sans Narrow"/>
                <w:b/>
                <w:sz w:val="17"/>
              </w:rPr>
              <w:t xml:space="preserve">117</w:t>
            </w:r>
          </w:p>
        </w:tc>
        <w:tc>
          <w:tcPr>
            <w:tcW w:type="dxa" w:w="1754"/>
          </w:tcPr>
          <w:p>
            <w:pPr>
              <w:pStyle w:val="Compact"/>
              <w:spacing w:before="20" w:after="20" w:line="240" w:lineRule="auto"/>
              <w:jc w:val="left"/>
            </w:pPr>
            <w:r>
              <w:rPr>
                <w:rFonts w:ascii="Liberation Sans Narrow" w:hAnsi="Liberation Sans Narrow"/>
                <w:b w:val="0"/>
                <w:sz w:val="17"/>
              </w:rPr>
              <w:t xml:space="preserve">Art. 879</w:t>
            </w:r>
          </w:p>
        </w:tc>
        <w:tc>
          <w:tcPr>
            <w:tcW w:type="dxa" w:w="797"/>
          </w:tcPr>
          <w:p>
            <w:pPr>
              <w:pStyle w:val="Compact"/>
              <w:spacing w:before="20" w:after="20" w:line="240" w:lineRule="auto"/>
              <w:jc w:val="right"/>
            </w:pPr>
            <w:r>
              <w:rPr>
                <w:rFonts w:ascii="Liberation Sans Narrow" w:hAnsi="Liberation Sans Narrow"/>
                <w:b/>
                <w:sz w:val="17"/>
              </w:rPr>
              <w:t xml:space="preserve">155</w:t>
            </w:r>
          </w:p>
        </w:tc>
        <w:tc>
          <w:tcPr>
            <w:tcW w:type="dxa" w:w="1754"/>
          </w:tcPr>
          <w:p>
            <w:pPr>
              <w:pStyle w:val="Compact"/>
              <w:spacing w:before="20" w:after="20" w:line="240" w:lineRule="auto"/>
              <w:jc w:val="left"/>
            </w:pPr>
            <w:r>
              <w:rPr>
                <w:rFonts w:ascii="Liberation Sans Narrow" w:hAnsi="Liberation Sans Narrow"/>
                <w:b w:val="0"/>
                <w:sz w:val="17"/>
              </w:rPr>
              <w:t xml:space="preserve">Art. 1069</w:t>
            </w:r>
          </w:p>
        </w:tc>
        <w:tc>
          <w:tcPr>
            <w:tcW w:type="dxa" w:w="797"/>
          </w:tcPr>
          <w:p>
            <w:pPr>
              <w:pStyle w:val="Compact"/>
              <w:spacing w:before="20" w:after="20" w:line="240" w:lineRule="auto"/>
              <w:jc w:val="right"/>
            </w:pPr>
            <w:r>
              <w:rPr>
                <w:rFonts w:ascii="Liberation Sans Narrow" w:hAnsi="Liberation Sans Narrow"/>
                <w:b/>
                <w:sz w:val="17"/>
              </w:rPr>
              <w:t xml:space="preserve">196</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502</w:t>
            </w:r>
          </w:p>
        </w:tc>
        <w:tc>
          <w:tcPr>
            <w:tcW w:type="dxa" w:w="797"/>
          </w:tcPr>
          <w:p>
            <w:pPr>
              <w:pStyle w:val="Compact"/>
              <w:spacing w:before="20" w:after="20" w:line="240" w:lineRule="auto"/>
              <w:jc w:val="right"/>
            </w:pPr>
            <w:r>
              <w:rPr>
                <w:rFonts w:ascii="Liberation Sans Narrow" w:hAnsi="Liberation Sans Narrow"/>
                <w:b/>
                <w:sz w:val="17"/>
              </w:rPr>
              <w:t xml:space="preserve">73</w:t>
            </w:r>
          </w:p>
        </w:tc>
        <w:tc>
          <w:tcPr>
            <w:tcW w:type="dxa" w:w="1754"/>
          </w:tcPr>
          <w:p>
            <w:pPr>
              <w:pStyle w:val="Compact"/>
              <w:spacing w:before="20" w:after="20" w:line="240" w:lineRule="auto"/>
              <w:jc w:val="left"/>
            </w:pPr>
            <w:r>
              <w:rPr>
                <w:rFonts w:ascii="Liberation Sans Narrow" w:hAnsi="Liberation Sans Narrow"/>
                <w:b w:val="0"/>
                <w:sz w:val="17"/>
              </w:rPr>
              <w:t xml:space="preserve">Art. 691</w:t>
            </w:r>
          </w:p>
        </w:tc>
        <w:tc>
          <w:tcPr>
            <w:tcW w:type="dxa" w:w="797"/>
          </w:tcPr>
          <w:p>
            <w:pPr>
              <w:pStyle w:val="Compact"/>
              <w:spacing w:before="20" w:after="20" w:line="240" w:lineRule="auto"/>
              <w:jc w:val="right"/>
            </w:pPr>
            <w:r>
              <w:rPr>
                <w:rFonts w:ascii="Liberation Sans Narrow" w:hAnsi="Liberation Sans Narrow"/>
                <w:b/>
                <w:sz w:val="17"/>
              </w:rPr>
              <w:t xml:space="preserve">117</w:t>
            </w:r>
          </w:p>
        </w:tc>
        <w:tc>
          <w:tcPr>
            <w:tcW w:type="dxa" w:w="1754"/>
          </w:tcPr>
          <w:p>
            <w:pPr>
              <w:pStyle w:val="Compact"/>
              <w:spacing w:before="20" w:after="20" w:line="240" w:lineRule="auto"/>
              <w:jc w:val="left"/>
            </w:pPr>
            <w:r>
              <w:rPr>
                <w:rFonts w:ascii="Liberation Sans Narrow" w:hAnsi="Liberation Sans Narrow"/>
                <w:b w:val="0"/>
                <w:sz w:val="17"/>
              </w:rPr>
              <w:t xml:space="preserve">Art. 880</w:t>
            </w:r>
          </w:p>
        </w:tc>
        <w:tc>
          <w:tcPr>
            <w:tcW w:type="dxa" w:w="797"/>
          </w:tcPr>
          <w:p>
            <w:pPr>
              <w:pStyle w:val="Compact"/>
              <w:spacing w:before="20" w:after="20" w:line="240" w:lineRule="auto"/>
              <w:jc w:val="right"/>
            </w:pPr>
            <w:r>
              <w:rPr>
                <w:rFonts w:ascii="Liberation Sans Narrow" w:hAnsi="Liberation Sans Narrow"/>
                <w:b/>
                <w:sz w:val="17"/>
              </w:rPr>
              <w:t xml:space="preserve">155</w:t>
            </w:r>
          </w:p>
        </w:tc>
        <w:tc>
          <w:tcPr>
            <w:tcW w:type="dxa" w:w="1754"/>
          </w:tcPr>
          <w:p>
            <w:pPr>
              <w:pStyle w:val="Compact"/>
              <w:spacing w:before="20" w:after="20" w:line="240" w:lineRule="auto"/>
              <w:jc w:val="left"/>
            </w:pPr>
            <w:r>
              <w:rPr>
                <w:rFonts w:ascii="Liberation Sans Narrow" w:hAnsi="Liberation Sans Narrow"/>
                <w:b w:val="0"/>
                <w:sz w:val="17"/>
              </w:rPr>
              <w:t xml:space="preserve">Art. 1070</w:t>
            </w:r>
          </w:p>
        </w:tc>
        <w:tc>
          <w:tcPr>
            <w:tcW w:type="dxa" w:w="797"/>
          </w:tcPr>
          <w:p>
            <w:pPr>
              <w:pStyle w:val="Compact"/>
              <w:spacing w:before="20" w:after="20" w:line="240" w:lineRule="auto"/>
              <w:jc w:val="right"/>
            </w:pPr>
            <w:r>
              <w:rPr>
                <w:rFonts w:ascii="Liberation Sans Narrow" w:hAnsi="Liberation Sans Narrow"/>
                <w:b/>
                <w:sz w:val="17"/>
              </w:rPr>
              <w:t xml:space="preserve">196</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503</w:t>
            </w:r>
          </w:p>
        </w:tc>
        <w:tc>
          <w:tcPr>
            <w:tcW w:type="dxa" w:w="797"/>
          </w:tcPr>
          <w:p>
            <w:pPr>
              <w:pStyle w:val="Compact"/>
              <w:spacing w:before="20" w:after="20" w:line="240" w:lineRule="auto"/>
              <w:jc w:val="right"/>
            </w:pPr>
            <w:r>
              <w:rPr>
                <w:rFonts w:ascii="Liberation Sans Narrow" w:hAnsi="Liberation Sans Narrow"/>
                <w:b/>
                <w:sz w:val="17"/>
              </w:rPr>
              <w:t xml:space="preserve">73</w:t>
            </w:r>
          </w:p>
        </w:tc>
        <w:tc>
          <w:tcPr>
            <w:tcW w:type="dxa" w:w="1754"/>
          </w:tcPr>
          <w:p>
            <w:pPr>
              <w:pStyle w:val="Compact"/>
              <w:spacing w:before="20" w:after="20" w:line="240" w:lineRule="auto"/>
              <w:jc w:val="left"/>
            </w:pPr>
            <w:r>
              <w:rPr>
                <w:rFonts w:ascii="Liberation Sans Narrow" w:hAnsi="Liberation Sans Narrow"/>
                <w:b w:val="0"/>
                <w:sz w:val="17"/>
              </w:rPr>
              <w:t xml:space="preserve">Art. 692</w:t>
            </w:r>
          </w:p>
        </w:tc>
        <w:tc>
          <w:tcPr>
            <w:tcW w:type="dxa" w:w="797"/>
          </w:tcPr>
          <w:p>
            <w:pPr>
              <w:pStyle w:val="Compact"/>
              <w:spacing w:before="20" w:after="20" w:line="240" w:lineRule="auto"/>
              <w:jc w:val="right"/>
            </w:pPr>
            <w:r>
              <w:rPr>
                <w:rFonts w:ascii="Liberation Sans Narrow" w:hAnsi="Liberation Sans Narrow"/>
                <w:b/>
                <w:sz w:val="17"/>
              </w:rPr>
              <w:t xml:space="preserve">117</w:t>
            </w:r>
          </w:p>
        </w:tc>
        <w:tc>
          <w:tcPr>
            <w:tcW w:type="dxa" w:w="1754"/>
          </w:tcPr>
          <w:p>
            <w:pPr>
              <w:pStyle w:val="Compact"/>
              <w:spacing w:before="20" w:after="20" w:line="240" w:lineRule="auto"/>
              <w:jc w:val="left"/>
            </w:pPr>
            <w:r>
              <w:rPr>
                <w:rFonts w:ascii="Liberation Sans Narrow" w:hAnsi="Liberation Sans Narrow"/>
                <w:b w:val="0"/>
                <w:sz w:val="17"/>
              </w:rPr>
              <w:t xml:space="preserve">Art. 881</w:t>
            </w:r>
          </w:p>
        </w:tc>
        <w:tc>
          <w:tcPr>
            <w:tcW w:type="dxa" w:w="797"/>
          </w:tcPr>
          <w:p>
            <w:pPr>
              <w:pStyle w:val="Compact"/>
              <w:spacing w:before="20" w:after="20" w:line="240" w:lineRule="auto"/>
              <w:jc w:val="right"/>
            </w:pPr>
            <w:r>
              <w:rPr>
                <w:rFonts w:ascii="Liberation Sans Narrow" w:hAnsi="Liberation Sans Narrow"/>
                <w:b/>
                <w:sz w:val="17"/>
              </w:rPr>
              <w:t xml:space="preserve">155</w:t>
            </w:r>
          </w:p>
        </w:tc>
        <w:tc>
          <w:tcPr>
            <w:tcW w:type="dxa" w:w="1754"/>
          </w:tcPr>
          <w:p>
            <w:pPr>
              <w:pStyle w:val="Compact"/>
              <w:spacing w:before="20" w:after="20" w:line="240" w:lineRule="auto"/>
              <w:jc w:val="left"/>
            </w:pPr>
            <w:r>
              <w:rPr>
                <w:rFonts w:ascii="Liberation Sans Narrow" w:hAnsi="Liberation Sans Narrow"/>
                <w:b w:val="0"/>
                <w:sz w:val="17"/>
              </w:rPr>
              <w:t xml:space="preserve">Art. 1071</w:t>
            </w:r>
          </w:p>
        </w:tc>
        <w:tc>
          <w:tcPr>
            <w:tcW w:type="dxa" w:w="797"/>
          </w:tcPr>
          <w:p>
            <w:pPr>
              <w:pStyle w:val="Compact"/>
              <w:spacing w:before="20" w:after="20" w:line="240" w:lineRule="auto"/>
              <w:jc w:val="right"/>
            </w:pPr>
            <w:r>
              <w:rPr>
                <w:rFonts w:ascii="Liberation Sans Narrow" w:hAnsi="Liberation Sans Narrow"/>
                <w:b/>
                <w:sz w:val="17"/>
              </w:rPr>
              <w:t xml:space="preserve">196</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504</w:t>
            </w:r>
          </w:p>
        </w:tc>
        <w:tc>
          <w:tcPr>
            <w:tcW w:type="dxa" w:w="797"/>
          </w:tcPr>
          <w:p>
            <w:pPr>
              <w:pStyle w:val="Compact"/>
              <w:spacing w:before="20" w:after="20" w:line="240" w:lineRule="auto"/>
              <w:jc w:val="right"/>
            </w:pPr>
            <w:r>
              <w:rPr>
                <w:rFonts w:ascii="Liberation Sans Narrow" w:hAnsi="Liberation Sans Narrow"/>
                <w:b/>
                <w:sz w:val="17"/>
              </w:rPr>
              <w:t xml:space="preserve">73</w:t>
            </w:r>
          </w:p>
        </w:tc>
        <w:tc>
          <w:tcPr>
            <w:tcW w:type="dxa" w:w="1754"/>
          </w:tcPr>
          <w:p>
            <w:pPr>
              <w:pStyle w:val="Compact"/>
              <w:spacing w:before="20" w:after="20" w:line="240" w:lineRule="auto"/>
              <w:jc w:val="left"/>
            </w:pPr>
            <w:r>
              <w:rPr>
                <w:rFonts w:ascii="Liberation Sans Narrow" w:hAnsi="Liberation Sans Narrow"/>
                <w:b w:val="0"/>
                <w:sz w:val="17"/>
              </w:rPr>
              <w:t xml:space="preserve">Art. 693</w:t>
            </w:r>
          </w:p>
        </w:tc>
        <w:tc>
          <w:tcPr>
            <w:tcW w:type="dxa" w:w="797"/>
          </w:tcPr>
          <w:p>
            <w:pPr>
              <w:pStyle w:val="Compact"/>
              <w:spacing w:before="20" w:after="20" w:line="240" w:lineRule="auto"/>
              <w:jc w:val="right"/>
            </w:pPr>
            <w:r>
              <w:rPr>
                <w:rFonts w:ascii="Liberation Sans Narrow" w:hAnsi="Liberation Sans Narrow"/>
                <w:b/>
                <w:sz w:val="17"/>
              </w:rPr>
              <w:t xml:space="preserve">117</w:t>
            </w:r>
          </w:p>
        </w:tc>
        <w:tc>
          <w:tcPr>
            <w:tcW w:type="dxa" w:w="1754"/>
          </w:tcPr>
          <w:p>
            <w:pPr>
              <w:pStyle w:val="Compact"/>
              <w:spacing w:before="20" w:after="20" w:line="240" w:lineRule="auto"/>
              <w:jc w:val="left"/>
            </w:pPr>
            <w:r>
              <w:rPr>
                <w:rFonts w:ascii="Liberation Sans Narrow" w:hAnsi="Liberation Sans Narrow"/>
                <w:b w:val="0"/>
                <w:sz w:val="17"/>
              </w:rPr>
              <w:t xml:space="preserve">Art. 882</w:t>
            </w:r>
          </w:p>
        </w:tc>
        <w:tc>
          <w:tcPr>
            <w:tcW w:type="dxa" w:w="797"/>
          </w:tcPr>
          <w:p>
            <w:pPr>
              <w:pStyle w:val="Compact"/>
              <w:spacing w:before="20" w:after="20" w:line="240" w:lineRule="auto"/>
              <w:jc w:val="right"/>
            </w:pPr>
            <w:r>
              <w:rPr>
                <w:rFonts w:ascii="Liberation Sans Narrow" w:hAnsi="Liberation Sans Narrow"/>
                <w:b/>
                <w:sz w:val="17"/>
              </w:rPr>
              <w:t xml:space="preserve">156</w:t>
            </w:r>
          </w:p>
        </w:tc>
        <w:tc>
          <w:tcPr>
            <w:tcW w:type="dxa" w:w="1754"/>
          </w:tcPr>
          <w:p>
            <w:pPr>
              <w:pStyle w:val="Compact"/>
              <w:spacing w:before="20" w:after="20" w:line="240" w:lineRule="auto"/>
              <w:jc w:val="left"/>
            </w:pPr>
            <w:r>
              <w:rPr>
                <w:rFonts w:ascii="Liberation Sans Narrow" w:hAnsi="Liberation Sans Narrow"/>
                <w:b w:val="0"/>
                <w:sz w:val="17"/>
              </w:rPr>
              <w:t xml:space="preserve">Art. 1072</w:t>
            </w:r>
          </w:p>
        </w:tc>
        <w:tc>
          <w:tcPr>
            <w:tcW w:type="dxa" w:w="797"/>
          </w:tcPr>
          <w:p>
            <w:pPr>
              <w:pStyle w:val="Compact"/>
              <w:spacing w:before="20" w:after="20" w:line="240" w:lineRule="auto"/>
              <w:jc w:val="right"/>
            </w:pPr>
            <w:r>
              <w:rPr>
                <w:rFonts w:ascii="Liberation Sans Narrow" w:hAnsi="Liberation Sans Narrow"/>
                <w:b/>
                <w:sz w:val="17"/>
              </w:rPr>
              <w:t xml:space="preserve">197</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505</w:t>
            </w:r>
          </w:p>
        </w:tc>
        <w:tc>
          <w:tcPr>
            <w:tcW w:type="dxa" w:w="797"/>
          </w:tcPr>
          <w:p>
            <w:pPr>
              <w:pStyle w:val="Compact"/>
              <w:spacing w:before="20" w:after="20" w:line="240" w:lineRule="auto"/>
              <w:jc w:val="right"/>
            </w:pPr>
            <w:r>
              <w:rPr>
                <w:rFonts w:ascii="Liberation Sans Narrow" w:hAnsi="Liberation Sans Narrow"/>
                <w:b/>
                <w:sz w:val="17"/>
              </w:rPr>
              <w:t xml:space="preserve">74</w:t>
            </w:r>
          </w:p>
        </w:tc>
        <w:tc>
          <w:tcPr>
            <w:tcW w:type="dxa" w:w="1754"/>
          </w:tcPr>
          <w:p>
            <w:pPr>
              <w:pStyle w:val="Compact"/>
              <w:spacing w:before="20" w:after="20" w:line="240" w:lineRule="auto"/>
              <w:jc w:val="left"/>
            </w:pPr>
            <w:r>
              <w:rPr>
                <w:rFonts w:ascii="Liberation Sans Narrow" w:hAnsi="Liberation Sans Narrow"/>
                <w:b w:val="0"/>
                <w:sz w:val="17"/>
              </w:rPr>
              <w:t xml:space="preserve">Art. 694</w:t>
            </w:r>
          </w:p>
        </w:tc>
        <w:tc>
          <w:tcPr>
            <w:tcW w:type="dxa" w:w="797"/>
          </w:tcPr>
          <w:p>
            <w:pPr>
              <w:pStyle w:val="Compact"/>
              <w:spacing w:before="20" w:after="20" w:line="240" w:lineRule="auto"/>
              <w:jc w:val="right"/>
            </w:pPr>
            <w:r>
              <w:rPr>
                <w:rFonts w:ascii="Liberation Sans Narrow" w:hAnsi="Liberation Sans Narrow"/>
                <w:b/>
                <w:sz w:val="17"/>
              </w:rPr>
              <w:t xml:space="preserve">117</w:t>
            </w:r>
          </w:p>
        </w:tc>
        <w:tc>
          <w:tcPr>
            <w:tcW w:type="dxa" w:w="1754"/>
          </w:tcPr>
          <w:p>
            <w:pPr>
              <w:pStyle w:val="Compact"/>
              <w:spacing w:before="20" w:after="20" w:line="240" w:lineRule="auto"/>
              <w:jc w:val="left"/>
            </w:pPr>
            <w:r>
              <w:rPr>
                <w:rFonts w:ascii="Liberation Sans Narrow" w:hAnsi="Liberation Sans Narrow"/>
                <w:b w:val="0"/>
                <w:sz w:val="17"/>
              </w:rPr>
              <w:t xml:space="preserve">Art. 883</w:t>
            </w:r>
          </w:p>
        </w:tc>
        <w:tc>
          <w:tcPr>
            <w:tcW w:type="dxa" w:w="797"/>
          </w:tcPr>
          <w:p>
            <w:pPr>
              <w:pStyle w:val="Compact"/>
              <w:spacing w:before="20" w:after="20" w:line="240" w:lineRule="auto"/>
              <w:jc w:val="right"/>
            </w:pPr>
            <w:r>
              <w:rPr>
                <w:rFonts w:ascii="Liberation Sans Narrow" w:hAnsi="Liberation Sans Narrow"/>
                <w:b/>
                <w:sz w:val="17"/>
              </w:rPr>
              <w:t xml:space="preserve">156</w:t>
            </w:r>
          </w:p>
        </w:tc>
        <w:tc>
          <w:tcPr>
            <w:tcW w:type="dxa" w:w="1754"/>
          </w:tcPr>
          <w:p>
            <w:pPr>
              <w:pStyle w:val="Compact"/>
              <w:spacing w:before="20" w:after="20" w:line="240" w:lineRule="auto"/>
              <w:jc w:val="left"/>
            </w:pPr>
          </w:p>
        </w:tc>
        <w:tc>
          <w:tcPr>
            <w:tcW w:type="dxa" w:w="797"/>
          </w:tcPr>
          <w:p>
            <w:pPr>
              <w:pStyle w:val="Compact"/>
              <w:spacing w:before="20" w:after="20" w:line="240" w:lineRule="auto"/>
              <w:jc w:val="right"/>
            </w:pP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506</w:t>
            </w:r>
          </w:p>
        </w:tc>
        <w:tc>
          <w:tcPr>
            <w:tcW w:type="dxa" w:w="797"/>
          </w:tcPr>
          <w:p>
            <w:pPr>
              <w:pStyle w:val="Compact"/>
              <w:spacing w:before="20" w:after="20" w:line="240" w:lineRule="auto"/>
              <w:jc w:val="right"/>
            </w:pPr>
            <w:r>
              <w:rPr>
                <w:rFonts w:ascii="Liberation Sans Narrow" w:hAnsi="Liberation Sans Narrow"/>
                <w:b/>
                <w:sz w:val="17"/>
              </w:rPr>
              <w:t xml:space="preserve">74</w:t>
            </w:r>
          </w:p>
        </w:tc>
        <w:tc>
          <w:tcPr>
            <w:tcW w:type="dxa" w:w="1754"/>
          </w:tcPr>
          <w:p>
            <w:pPr>
              <w:pStyle w:val="Compact"/>
              <w:spacing w:before="20" w:after="20" w:line="240" w:lineRule="auto"/>
              <w:jc w:val="left"/>
            </w:pPr>
            <w:r>
              <w:rPr>
                <w:rFonts w:ascii="Liberation Sans Narrow" w:hAnsi="Liberation Sans Narrow"/>
                <w:b w:val="0"/>
                <w:sz w:val="17"/>
              </w:rPr>
              <w:t xml:space="preserve">Art. 695</w:t>
            </w:r>
          </w:p>
        </w:tc>
        <w:tc>
          <w:tcPr>
            <w:tcW w:type="dxa" w:w="797"/>
          </w:tcPr>
          <w:p>
            <w:pPr>
              <w:pStyle w:val="Compact"/>
              <w:spacing w:before="20" w:after="20" w:line="240" w:lineRule="auto"/>
              <w:jc w:val="right"/>
            </w:pPr>
            <w:r>
              <w:rPr>
                <w:rFonts w:ascii="Liberation Sans Narrow" w:hAnsi="Liberation Sans Narrow"/>
                <w:b/>
                <w:sz w:val="17"/>
              </w:rPr>
              <w:t xml:space="preserve">117</w:t>
            </w:r>
          </w:p>
        </w:tc>
        <w:tc>
          <w:tcPr>
            <w:tcW w:type="dxa" w:w="1754"/>
          </w:tcPr>
          <w:p>
            <w:pPr>
              <w:pStyle w:val="Compact"/>
              <w:spacing w:before="20" w:after="20" w:line="240" w:lineRule="auto"/>
              <w:jc w:val="left"/>
            </w:pPr>
            <w:r>
              <w:rPr>
                <w:rFonts w:ascii="Liberation Sans Narrow" w:hAnsi="Liberation Sans Narrow"/>
                <w:b w:val="0"/>
                <w:sz w:val="17"/>
              </w:rPr>
              <w:t xml:space="preserve">Art. 884</w:t>
            </w:r>
          </w:p>
        </w:tc>
        <w:tc>
          <w:tcPr>
            <w:tcW w:type="dxa" w:w="797"/>
          </w:tcPr>
          <w:p>
            <w:pPr>
              <w:pStyle w:val="Compact"/>
              <w:spacing w:before="20" w:after="20" w:line="240" w:lineRule="auto"/>
              <w:jc w:val="right"/>
            </w:pPr>
            <w:r>
              <w:rPr>
                <w:rFonts w:ascii="Liberation Sans Narrow" w:hAnsi="Liberation Sans Narrow"/>
                <w:b/>
                <w:sz w:val="17"/>
              </w:rPr>
              <w:t xml:space="preserve">156</w:t>
            </w:r>
          </w:p>
        </w:tc>
        <w:tc>
          <w:tcPr>
            <w:tcW w:type="dxa" w:w="1754"/>
          </w:tcPr>
          <w:p>
            <w:pPr>
              <w:pStyle w:val="Compact"/>
              <w:spacing w:before="20" w:after="20" w:line="240" w:lineRule="auto"/>
              <w:jc w:val="left"/>
            </w:pPr>
          </w:p>
        </w:tc>
        <w:tc>
          <w:tcPr>
            <w:tcW w:type="dxa" w:w="797"/>
          </w:tcPr>
          <w:p>
            <w:pPr>
              <w:pStyle w:val="Compact"/>
              <w:spacing w:before="20" w:after="20" w:line="240" w:lineRule="auto"/>
              <w:jc w:val="right"/>
            </w:pPr>
          </w:p>
        </w:tc>
      </w:tr>
    </w:tbl>
    <w:bookmarkEnd w:id="937"/>
    <w:bookmarkStart w:id="940" w:name="licença"/>
    <w:p>
      <w:pPr>
        <w:pStyle w:val="Heading1"/>
        <w:pBdr>
          <w:left w:val="single" w:sz="48" w:space="8" w:color="1F3A5F"/>
        </w:pBdr>
        <w:shd w:val="clear" w:color="auto" w:fill="DCE6F2"/>
        <w:spacing w:before="120" w:after="60"/>
        <w:ind w:left="142"/>
      </w:pPr>
      <w:r>
        <w:t xml:space="preserve">Licença</w:t>
      </w:r>
    </w:p>
    <w:p>
      <w:pPr>
        <w:pStyle w:val="FirstParagraph"/>
        <w:spacing w:after="60"/>
        <w:jc w:val="both"/>
      </w:pPr>
      <w:r>
        <w:rPr>
          <w:b/>
          <w:bCs/>
        </w:rPr>
        <w:t xml:space="preserve">© 2026 Domingos José de Souza Lima Júnior.</w:t>
      </w:r>
      <w:r>
        <w:t xml:space="preserve"> </w:t>
      </w:r>
      <w:r>
        <w:t xml:space="preserve">Esta obra está licenciada sob a Licença Creative Commons Atribuição 4.0 Internacional (CC BY 4.0):</w:t>
      </w:r>
      <w:r>
        <w:t xml:space="preserve"> </w:t>
      </w:r>
      <w:hyperlink r:id="rId938">
        <w:r>
          <w:rPr>
            <w:rStyle w:val="Hyperlink"/>
          </w:rPr>
          <w:t xml:space="preserve">https://creativecommons.org/licenses/by/4.0/deed.pt-br</w:t>
        </w:r>
      </w:hyperlink>
      <w:r>
        <w:t xml:space="preserve">. É permitido copiar, redistribuir e adaptar o material, em qualquer meio ou formato e inclusive para fins comerciais, desde que se dê o crédito adequado ao autor, se indique se foram feitas alterações e se inclua o link para a licença.</w:t>
      </w:r>
    </w:p>
    <w:p>
      <w:pPr>
        <w:pStyle w:val="BodyText"/>
        <w:spacing w:after="60"/>
        <w:jc w:val="both"/>
      </w:pPr>
      <w:r>
        <w:rPr>
          <w:b/>
          <w:bCs/>
        </w:rPr>
        <w:t xml:space="preserve">Material de terceiros.</w:t>
      </w:r>
      <w:r>
        <w:t xml:space="preserve"> </w:t>
      </w:r>
      <w:r>
        <w:t xml:space="preserve">A licença alcança a contribuição original do autor (seleção, organização, sínteses e anotações). Textos de lei e decisões judiciais são atos oficiais, não protegidos por direito autoral (Lei nº 9.610/1998, art. 8º, IV), e o que for obtido de repositório de terceiros mantém as condições de sua origem.</w:t>
      </w:r>
    </w:p>
    <w:p>
      <w:pPr>
        <w:pStyle w:val="BodyText"/>
        <w:spacing w:after="60"/>
        <w:jc w:val="both"/>
      </w:pPr>
      <w:r>
        <w:rPr>
          <w:b/>
          <w:bCs/>
        </w:rPr>
        <w:t xml:space="preserve">Tradução.</w:t>
      </w:r>
      <w:r>
        <w:t xml:space="preserve"> </w:t>
      </w:r>
      <w:r>
        <w:t xml:space="preserve">O texto a seguir é tradução não oficial para o português, feita para conveniência do leitor. A Creative Commons não é parte dela nem a endossa. Havendo divergência, prevalece o texto oficial em inglês:</w:t>
      </w:r>
      <w:r>
        <w:t xml:space="preserve"> </w:t>
      </w:r>
      <w:hyperlink r:id="rId939">
        <w:r>
          <w:rPr>
            <w:rStyle w:val="Hyperlink"/>
          </w:rPr>
          <w:t xml:space="preserve">https://creativecommons.org/licenses/by/4.0/legalcode.en</w:t>
        </w:r>
      </w:hyperlink>
      <w:r>
        <w:t xml:space="preserve">.</w:t>
      </w:r>
    </w:p>
    <w:p>
      <w:pPr>
        <w:pStyle w:val="BodyText"/>
        <w:spacing w:after="60"/>
        <w:jc w:val="both"/>
      </w:pPr>
      <w:r>
        <w:rPr>
          <w:b/>
          <w:bCs/>
        </w:rPr>
        <w:t xml:space="preserve">Creative Commons Atribuição 4.0 Internacional: Licença Pública</w:t>
      </w:r>
    </w:p>
    <w:p>
      <w:pPr>
        <w:pStyle w:val="BodyText"/>
        <w:spacing w:after="60"/>
        <w:jc w:val="both"/>
      </w:pPr>
      <w:r>
        <w:t xml:space="preserve">Ao exercer os Direitos Licenciados (definidos abaixo), Você aceita e concorda em ficar vinculado aos termos e condições desta Licença Pública Creative Commons Atribuição 4.0 Internacional (</w:t>
      </w:r>
      <w:r>
        <w:t xml:space="preserve">“Licença Pública”</w:t>
      </w:r>
      <w:r>
        <w:t xml:space="preserve">). Na medida em que esta Licença Pública possa ser interpretada como um contrato, Você recebe os Direitos Licenciados em contrapartida à Sua aceitação destes termos e condições, e o Licenciante Lhe concede tais direitos em contrapartida aos benefícios que recebe por disponibilizar o Material Licenciado sob estes termos e condições.</w:t>
      </w:r>
    </w:p>
    <w:p>
      <w:pPr>
        <w:pStyle w:val="BodyText"/>
        <w:spacing w:after="60"/>
        <w:jc w:val="both"/>
      </w:pPr>
      <w:r>
        <w:rPr>
          <w:b/>
          <w:bCs/>
        </w:rPr>
        <w:t xml:space="preserve">Seção 1 – Definições.</w:t>
      </w:r>
    </w:p>
    <w:p>
      <w:pPr>
        <w:pStyle w:val="BodyText"/>
        <w:spacing w:after="60"/>
        <w:jc w:val="both"/>
      </w:pPr>
      <w:r>
        <w:t xml:space="preserve">a.</w:t>
      </w:r>
      <w:r>
        <w:t xml:space="preserve"> </w:t>
      </w:r>
      <w:r>
        <w:rPr>
          <w:i/>
          <w:iCs/>
        </w:rPr>
        <w:t xml:space="preserve">Material Adaptado</w:t>
      </w:r>
      <w:r>
        <w:t xml:space="preserve"> </w:t>
      </w:r>
      <w:r>
        <w:t xml:space="preserve">é o material sujeito a Direitos Autorais e Direitos Similares que seja derivado do Material Licenciado ou nele baseado, e no qual o Material Licenciado seja traduzido, alterado, arranjado, transformado ou de outro modo modificado de maneira que exija permissão segundo os Direitos Autorais e Direitos Similares detidos pelo Licenciante. Para os fins desta Licença Pública, quando o Material Licenciado for obra musical, interpretação ou fonograma, o Material Adaptado é sempre produzido quando o Material Licenciado for sincronizado, em relação temporal, com imagem em movimento.</w:t>
      </w:r>
    </w:p>
    <w:p>
      <w:pPr>
        <w:pStyle w:val="BodyText"/>
        <w:spacing w:after="60"/>
        <w:jc w:val="both"/>
      </w:pPr>
      <w:r>
        <w:t xml:space="preserve">b.</w:t>
      </w:r>
      <w:r>
        <w:t xml:space="preserve"> </w:t>
      </w:r>
      <w:r>
        <w:rPr>
          <w:i/>
          <w:iCs/>
        </w:rPr>
        <w:t xml:space="preserve">Licença do Adaptador</w:t>
      </w:r>
      <w:r>
        <w:t xml:space="preserve"> </w:t>
      </w:r>
      <w:r>
        <w:t xml:space="preserve">é a licença que Você aplica aos Seus Direitos Autorais e Direitos Similares sobre as Suas contribuições ao Material Adaptado, de acordo com os termos e condições desta Licença Pública.</w:t>
      </w:r>
    </w:p>
    <w:p>
      <w:pPr>
        <w:pStyle w:val="BodyText"/>
        <w:spacing w:after="60"/>
        <w:jc w:val="both"/>
      </w:pPr>
      <w:r>
        <w:t xml:space="preserve">c.</w:t>
      </w:r>
      <w:r>
        <w:t xml:space="preserve"> </w:t>
      </w:r>
      <w:r>
        <w:rPr>
          <w:i/>
          <w:iCs/>
        </w:rPr>
        <w:t xml:space="preserve">Direitos Autorais e Direitos Similares</w:t>
      </w:r>
      <w:r>
        <w:t xml:space="preserve"> </w:t>
      </w:r>
      <w:r>
        <w:t xml:space="preserve">são os direitos autorais e/ou direitos similares estreitamente relacionados aos direitos autorais, incluindo, sem limitação, execução, radiodifusão, fonograma e Direitos Sui Generis sobre Bancos de Dados, independentemente de como os direitos sejam rotulados ou categorizados. Para os fins desta Licença Pública, os direitos especificados na Seção 2(b)(1)-(2) não são Direitos Autorais e Direitos Similares.</w:t>
      </w:r>
    </w:p>
    <w:p>
      <w:pPr>
        <w:pStyle w:val="BodyText"/>
        <w:spacing w:after="60"/>
        <w:jc w:val="both"/>
      </w:pPr>
      <w:r>
        <w:t xml:space="preserve">d.</w:t>
      </w:r>
      <w:r>
        <w:t xml:space="preserve"> </w:t>
      </w:r>
      <w:r>
        <w:rPr>
          <w:i/>
          <w:iCs/>
        </w:rPr>
        <w:t xml:space="preserve">Medidas Tecnológicas Efetivas</w:t>
      </w:r>
      <w:r>
        <w:t xml:space="preserve"> </w:t>
      </w:r>
      <w:r>
        <w:t xml:space="preserve">são as medidas que, na ausência de autorização adequada, não podem ser contornadas segundo leis que cumpram as obrigações do Artigo 11 do Tratado da Organização Mundial da Propriedade Intelectual (OMPI) sobre Direito de Autor, adotado em 20 de dezembro de 1996, e/ou acordos internacionais semelhantes.</w:t>
      </w:r>
    </w:p>
    <w:p>
      <w:pPr>
        <w:pStyle w:val="BodyText"/>
        <w:spacing w:after="60"/>
        <w:jc w:val="both"/>
      </w:pPr>
      <w:r>
        <w:t xml:space="preserve">e.</w:t>
      </w:r>
      <w:r>
        <w:t xml:space="preserve"> </w:t>
      </w:r>
      <w:r>
        <w:rPr>
          <w:i/>
          <w:iCs/>
        </w:rPr>
        <w:t xml:space="preserve">Exceções e Limitações</w:t>
      </w:r>
      <w:r>
        <w:t xml:space="preserve"> </w:t>
      </w:r>
      <w:r>
        <w:t xml:space="preserve">são o uso justo (</w:t>
      </w:r>
      <w:r>
        <w:rPr>
          <w:i/>
          <w:iCs/>
        </w:rPr>
        <w:t xml:space="preserve">fair use</w:t>
      </w:r>
      <w:r>
        <w:t xml:space="preserve">), o tratamento justo (</w:t>
      </w:r>
      <w:r>
        <w:rPr>
          <w:i/>
          <w:iCs/>
        </w:rPr>
        <w:t xml:space="preserve">fair dealing</w:t>
      </w:r>
      <w:r>
        <w:t xml:space="preserve">) e/ou qualquer outra exceção ou limitação aos Direitos Autorais e Direitos Similares que se aplique ao Seu uso do Material Licenciado.</w:t>
      </w:r>
    </w:p>
    <w:p>
      <w:pPr>
        <w:pStyle w:val="BodyText"/>
        <w:spacing w:after="60"/>
        <w:jc w:val="both"/>
      </w:pPr>
      <w:r>
        <w:t xml:space="preserve">f.</w:t>
      </w:r>
      <w:r>
        <w:t xml:space="preserve"> </w:t>
      </w:r>
      <w:r>
        <w:rPr>
          <w:i/>
          <w:iCs/>
        </w:rPr>
        <w:t xml:space="preserve">Material Licenciado</w:t>
      </w:r>
      <w:r>
        <w:t xml:space="preserve"> </w:t>
      </w:r>
      <w:r>
        <w:t xml:space="preserve">é a obra artística ou literária, o banco de dados ou outro material ao qual o Licenciante aplicou esta Licença Pública.</w:t>
      </w:r>
    </w:p>
    <w:p>
      <w:pPr>
        <w:pStyle w:val="BodyText"/>
        <w:spacing w:after="60"/>
        <w:jc w:val="both"/>
      </w:pPr>
      <w:r>
        <w:t xml:space="preserve">g.</w:t>
      </w:r>
      <w:r>
        <w:t xml:space="preserve"> </w:t>
      </w:r>
      <w:r>
        <w:rPr>
          <w:i/>
          <w:iCs/>
        </w:rPr>
        <w:t xml:space="preserve">Direitos Licenciados</w:t>
      </w:r>
      <w:r>
        <w:t xml:space="preserve"> </w:t>
      </w:r>
      <w:r>
        <w:t xml:space="preserve">são os direitos concedidos a Você nos termos e condições desta Licença Pública, limitados a todos os Direitos Autorais e Direitos Similares que se apliquem ao Seu uso do Material Licenciado e que o Licenciante tenha autoridade para licenciar.</w:t>
      </w:r>
    </w:p>
    <w:p>
      <w:pPr>
        <w:pStyle w:val="BodyText"/>
        <w:spacing w:after="60"/>
        <w:jc w:val="both"/>
      </w:pPr>
      <w:r>
        <w:t xml:space="preserve">h.</w:t>
      </w:r>
      <w:r>
        <w:t xml:space="preserve"> </w:t>
      </w:r>
      <w:r>
        <w:rPr>
          <w:i/>
          <w:iCs/>
        </w:rPr>
        <w:t xml:space="preserve">Licenciante</w:t>
      </w:r>
      <w:r>
        <w:t xml:space="preserve"> </w:t>
      </w:r>
      <w:r>
        <w:t xml:space="preserve">é a pessoa física ou as pessoas físicas, ou a entidade ou as entidades, que concede(m) direitos nesta Licença Pública.</w:t>
      </w:r>
    </w:p>
    <w:p>
      <w:pPr>
        <w:pStyle w:val="BodyText"/>
        <w:spacing w:after="60"/>
        <w:jc w:val="both"/>
      </w:pPr>
      <w:r>
        <w:t xml:space="preserve">i.</w:t>
      </w:r>
      <w:r>
        <w:t xml:space="preserve"> </w:t>
      </w:r>
      <w:r>
        <w:rPr>
          <w:i/>
          <w:iCs/>
        </w:rPr>
        <w:t xml:space="preserve">Compartilhar</w:t>
      </w:r>
      <w:r>
        <w:t xml:space="preserve"> </w:t>
      </w:r>
      <w:r>
        <w:t xml:space="preserve">é fornecer material ao público por qualquer meio ou processo que exija permissão segundo os Direitos Licenciados, como reprodução, exibição pública, execução pública, distribuição, disseminação, comunicação ou importação, e tornar o material disponível ao público, inclusive de modo que seus membros possam acessá-lo de local e em momento por eles individualmente escolhidos.</w:t>
      </w:r>
    </w:p>
    <w:p>
      <w:pPr>
        <w:pStyle w:val="BodyText"/>
        <w:spacing w:after="60"/>
        <w:jc w:val="both"/>
      </w:pPr>
      <w:r>
        <w:t xml:space="preserve">j.</w:t>
      </w:r>
      <w:r>
        <w:t xml:space="preserve"> </w:t>
      </w:r>
      <w:r>
        <w:rPr>
          <w:i/>
          <w:iCs/>
        </w:rPr>
        <w:t xml:space="preserve">Direitos Sui Generis sobre Bancos de Dados</w:t>
      </w:r>
      <w:r>
        <w:t xml:space="preserve"> </w:t>
      </w:r>
      <w:r>
        <w:t xml:space="preserve">são os direitos, distintos dos direitos autorais, decorrentes da Diretiva 96/9/CE do Parlamento Europeu e do Conselho, de 11 de março de 1996, relativa à proteção jurídica das bases de dados, conforme alterada e/ou sucedida, bem como outros direitos essencialmente equivalentes em qualquer parte do mundo.</w:t>
      </w:r>
    </w:p>
    <w:p>
      <w:pPr>
        <w:pStyle w:val="BodyText"/>
        <w:spacing w:after="60"/>
        <w:jc w:val="both"/>
      </w:pPr>
      <w:r>
        <w:t xml:space="preserve">k.</w:t>
      </w:r>
      <w:r>
        <w:t xml:space="preserve"> </w:t>
      </w:r>
      <w:r>
        <w:rPr>
          <w:i/>
          <w:iCs/>
        </w:rPr>
        <w:t xml:space="preserve">Você</w:t>
      </w:r>
      <w:r>
        <w:t xml:space="preserve"> </w:t>
      </w:r>
      <w:r>
        <w:t xml:space="preserve">é a pessoa física ou a entidade que exerce os Direitos Licenciados nesta Licença Pública.</w:t>
      </w:r>
      <w:r>
        <w:t xml:space="preserve"> </w:t>
      </w:r>
      <w:r>
        <w:rPr>
          <w:i/>
          <w:iCs/>
        </w:rPr>
        <w:t xml:space="preserve">Seu</w:t>
      </w:r>
      <w:r>
        <w:t xml:space="preserve"> </w:t>
      </w:r>
      <w:r>
        <w:t xml:space="preserve">tem significado correspondente.</w:t>
      </w:r>
    </w:p>
    <w:p>
      <w:pPr>
        <w:pStyle w:val="BodyText"/>
        <w:spacing w:after="60"/>
        <w:jc w:val="both"/>
      </w:pPr>
      <w:r>
        <w:rPr>
          <w:b/>
          <w:bCs/>
        </w:rPr>
        <w:t xml:space="preserve">Seção 2 – Abrangência.</w:t>
      </w:r>
    </w:p>
    <w:p>
      <w:pPr>
        <w:pStyle w:val="BodyText"/>
        <w:spacing w:after="60"/>
        <w:jc w:val="both"/>
      </w:pPr>
      <w:r>
        <w:t xml:space="preserve">a.</w:t>
      </w:r>
      <w:r>
        <w:t xml:space="preserve"> </w:t>
      </w:r>
      <w:r>
        <w:rPr>
          <w:i/>
          <w:iCs/>
        </w:rPr>
        <w:t xml:space="preserve">Concessão da licença.</w:t>
      </w:r>
    </w:p>
    <w:p>
      <w:pPr>
        <w:pStyle w:val="BodyText"/>
        <w:spacing w:after="60"/>
        <w:jc w:val="both"/>
      </w:pPr>
      <w:r>
        <w:t xml:space="preserve">1. Sujeito aos termos e condições desta Licença Pública, o Licenciante concede a Você, por este ato, uma licença mundial, gratuita, não sublicenciável, não exclusiva e irrevogável para exercer os Direitos Licenciados sobre o Material Licenciado, a fim de:</w:t>
      </w:r>
    </w:p>
    <w:p>
      <w:pPr>
        <w:pStyle w:val="BodyText"/>
        <w:spacing w:after="60"/>
        <w:jc w:val="both"/>
      </w:pPr>
      <w:r>
        <w:t xml:space="preserve">A. reproduzir e Compartilhar o Material Licenciado, no todo ou em parte; e</w:t>
      </w:r>
    </w:p>
    <w:p>
      <w:pPr>
        <w:pStyle w:val="BodyText"/>
        <w:spacing w:after="60"/>
        <w:jc w:val="both"/>
      </w:pPr>
      <w:r>
        <w:t xml:space="preserve">B. produzir, reproduzir e Compartilhar Material Adaptado.</w:t>
      </w:r>
    </w:p>
    <w:p>
      <w:pPr>
        <w:pStyle w:val="BodyText"/>
        <w:spacing w:after="60"/>
        <w:jc w:val="both"/>
      </w:pPr>
      <w:r>
        <w:t xml:space="preserve">2. Exceções e Limitações. Para evitar dúvidas, quando as Exceções e Limitações se aplicarem ao Seu uso, esta Licença Pública não se aplica e Você não precisa cumprir seus termos e condições.</w:t>
      </w:r>
    </w:p>
    <w:p>
      <w:pPr>
        <w:pStyle w:val="BodyText"/>
        <w:spacing w:after="60"/>
        <w:jc w:val="both"/>
      </w:pPr>
      <w:r>
        <w:t xml:space="preserve">3. Vigência. A vigência desta Licença Pública é a especificada na Seção 6(a).</w:t>
      </w:r>
    </w:p>
    <w:p>
      <w:pPr>
        <w:pStyle w:val="BodyText"/>
        <w:spacing w:after="60"/>
        <w:jc w:val="both"/>
      </w:pPr>
      <w:r>
        <w:t xml:space="preserve">4. Meios e formatos; modificações técnicas permitidas. O Licenciante autoriza Você a exercer os Direitos Licenciados em todos os meios e formatos, conhecidos agora ou criados no futuro, e a fazer as modificações técnicas necessárias para tanto. O Licenciante renuncia e/ou concorda em não exercer qualquer direito ou autoridade para Lhe proibir as modificações técnicas necessárias ao exercício dos Direitos Licenciados, inclusive as necessárias para contornar Medidas Tecnológicas Efetivas. Para os fins desta Licença Pública, a simples realização de modificações autorizadas por esta Seção 2(a)(4) nunca produz Material Adaptado.</w:t>
      </w:r>
    </w:p>
    <w:p>
      <w:pPr>
        <w:pStyle w:val="BodyText"/>
        <w:spacing w:after="60"/>
        <w:jc w:val="both"/>
      </w:pPr>
      <w:r>
        <w:t xml:space="preserve">5. Destinatários subsequentes.</w:t>
      </w:r>
    </w:p>
    <w:p>
      <w:pPr>
        <w:pStyle w:val="BodyText"/>
        <w:spacing w:after="60"/>
        <w:jc w:val="both"/>
      </w:pPr>
      <w:r>
        <w:t xml:space="preserve">A. Oferta do Licenciante – Material Licenciado. Todo destinatário do Material Licenciado recebe automaticamente do Licenciante uma oferta para exercer os Direitos Licenciados nos termos e condições desta Licença Pública.</w:t>
      </w:r>
    </w:p>
    <w:p>
      <w:pPr>
        <w:pStyle w:val="BodyText"/>
        <w:spacing w:after="60"/>
        <w:jc w:val="both"/>
      </w:pPr>
      <w:r>
        <w:t xml:space="preserve">B. Sem restrições subsequentes. Você não pode oferecer nem impor termos ou condições adicionais ou diferentes sobre o Material Licenciado, nem aplicar a ele Medidas Tecnológicas Efetivas, se isso restringir o exercício dos Direitos Licenciados por qualquer destinatário do Material Licenciado.</w:t>
      </w:r>
    </w:p>
    <w:p>
      <w:pPr>
        <w:pStyle w:val="BodyText"/>
        <w:spacing w:after="60"/>
        <w:jc w:val="both"/>
      </w:pPr>
      <w:r>
        <w:t xml:space="preserve">6. Sem endosso. Nada nesta Licença Pública constitui nem pode ser interpretado como permissão para afirmar ou sugerir que Você, ou o Seu uso do Material Licenciado, está ligado, é patrocinado, endossado ou recebeu status oficial do Licenciante ou de outros designados para receber atribuição, conforme a Seção 3(a)(1)(A)(i).</w:t>
      </w:r>
    </w:p>
    <w:p>
      <w:pPr>
        <w:pStyle w:val="BodyText"/>
        <w:spacing w:after="60"/>
        <w:jc w:val="both"/>
      </w:pPr>
      <w:r>
        <w:t xml:space="preserve">b.</w:t>
      </w:r>
      <w:r>
        <w:t xml:space="preserve"> </w:t>
      </w:r>
      <w:r>
        <w:rPr>
          <w:i/>
          <w:iCs/>
        </w:rPr>
        <w:t xml:space="preserve">Outros direitos.</w:t>
      </w:r>
    </w:p>
    <w:p>
      <w:pPr>
        <w:pStyle w:val="BodyText"/>
        <w:spacing w:after="60"/>
        <w:jc w:val="both"/>
      </w:pPr>
      <w:r>
        <w:t xml:space="preserve">1. Os direitos morais, como o direito à integridade, não são licenciados por esta Licença Pública, tampouco os direitos de imagem, de privacidade e outros direitos de personalidade semelhantes; contudo, na medida do possível, o Licenciante renuncia e/ou concorda em não exercer tais direitos que detenha, na medida limitada necessária para permitir que Você exerça os Direitos Licenciados, mas não além disso.</w:t>
      </w:r>
    </w:p>
    <w:p>
      <w:pPr>
        <w:pStyle w:val="BodyText"/>
        <w:spacing w:after="60"/>
        <w:jc w:val="both"/>
      </w:pPr>
      <w:r>
        <w:t xml:space="preserve">2. Os direitos de patente e de marca não são licenciados por esta Licença Pública.</w:t>
      </w:r>
    </w:p>
    <w:p>
      <w:pPr>
        <w:pStyle w:val="BodyText"/>
        <w:spacing w:after="60"/>
        <w:jc w:val="both"/>
      </w:pPr>
      <w:r>
        <w:t xml:space="preserve">3. Na medida do possível, o Licenciante renuncia a qualquer direito de cobrar royalties de Você pelo exercício dos Direitos Licenciados, seja diretamente, seja por meio de entidade de gestão coletiva, em qualquer regime de licenciamento legal ou compulsório, voluntário ou renunciável. Em todos os demais casos, o Licenciante reserva-se expressamente o direito de cobrar tais royalties.</w:t>
      </w:r>
    </w:p>
    <w:p>
      <w:pPr>
        <w:pStyle w:val="BodyText"/>
        <w:spacing w:after="60"/>
        <w:jc w:val="both"/>
      </w:pPr>
      <w:r>
        <w:rPr>
          <w:b/>
          <w:bCs/>
        </w:rPr>
        <w:t xml:space="preserve">Seção 3 – Condições da Licença.</w:t>
      </w:r>
    </w:p>
    <w:p>
      <w:pPr>
        <w:pStyle w:val="BodyText"/>
        <w:spacing w:after="60"/>
        <w:jc w:val="both"/>
      </w:pPr>
      <w:r>
        <w:t xml:space="preserve">O exercício dos Direitos Licenciados por Você está expressamente sujeito às seguintes condições.</w:t>
      </w:r>
    </w:p>
    <w:p>
      <w:pPr>
        <w:pStyle w:val="BodyText"/>
        <w:spacing w:after="60"/>
        <w:jc w:val="both"/>
      </w:pPr>
      <w:r>
        <w:t xml:space="preserve">a.</w:t>
      </w:r>
      <w:r>
        <w:t xml:space="preserve"> </w:t>
      </w:r>
      <w:r>
        <w:rPr>
          <w:i/>
          <w:iCs/>
        </w:rPr>
        <w:t xml:space="preserve">Atribuição.</w:t>
      </w:r>
    </w:p>
    <w:p>
      <w:pPr>
        <w:pStyle w:val="BodyText"/>
        <w:spacing w:after="60"/>
        <w:jc w:val="both"/>
      </w:pPr>
      <w:r>
        <w:t xml:space="preserve">1. Se Você Compartilhar o Material Licenciado (inclusive em forma modificada), Você deve:</w:t>
      </w:r>
    </w:p>
    <w:p>
      <w:pPr>
        <w:pStyle w:val="BodyText"/>
        <w:spacing w:after="60"/>
        <w:jc w:val="both"/>
      </w:pPr>
      <w:r>
        <w:t xml:space="preserve">A. manter o seguinte, se fornecido pelo Licenciante com o Material Licenciado:</w:t>
      </w:r>
    </w:p>
    <w:p>
      <w:pPr>
        <w:pStyle w:val="BodyText"/>
        <w:spacing w:after="60"/>
        <w:jc w:val="both"/>
      </w:pPr>
      <w:r>
        <w:t xml:space="preserve">i. a identificação do(s) criador(es) do Material Licenciado e de outros designados para receber atribuição, de qualquer modo razoável solicitado pelo Licenciante (inclusive por pseudônimo, se designado);</w:t>
      </w:r>
    </w:p>
    <w:p>
      <w:pPr>
        <w:pStyle w:val="BodyText"/>
        <w:spacing w:after="60"/>
        <w:jc w:val="both"/>
      </w:pPr>
      <w:r>
        <w:t xml:space="preserve">ii. um aviso de direitos autorais;</w:t>
      </w:r>
    </w:p>
    <w:p>
      <w:pPr>
        <w:pStyle w:val="BodyText"/>
        <w:spacing w:after="60"/>
        <w:jc w:val="both"/>
      </w:pPr>
      <w:r>
        <w:t xml:space="preserve">iii. um aviso que faça referência a esta Licença Pública;</w:t>
      </w:r>
    </w:p>
    <w:p>
      <w:pPr>
        <w:pStyle w:val="BodyText"/>
        <w:spacing w:after="60"/>
        <w:jc w:val="both"/>
      </w:pPr>
      <w:r>
        <w:t xml:space="preserve">iv. um aviso que faça referência à exclusão de garantias;</w:t>
      </w:r>
    </w:p>
    <w:p>
      <w:pPr>
        <w:pStyle w:val="BodyText"/>
        <w:spacing w:after="60"/>
        <w:jc w:val="both"/>
      </w:pPr>
      <w:r>
        <w:t xml:space="preserve">v. um Identificador Uniforme de Recurso (URI) ou hiperlink para o Material Licenciado, na medida do razoavelmente possível;</w:t>
      </w:r>
    </w:p>
    <w:p>
      <w:pPr>
        <w:pStyle w:val="BodyText"/>
        <w:spacing w:after="60"/>
        <w:jc w:val="both"/>
      </w:pPr>
      <w:r>
        <w:t xml:space="preserve">B. indicar se Você modificou o Material Licenciado e manter a indicação de eventuais modificações anteriores; e</w:t>
      </w:r>
    </w:p>
    <w:p>
      <w:pPr>
        <w:pStyle w:val="BodyText"/>
        <w:spacing w:after="60"/>
        <w:jc w:val="both"/>
      </w:pPr>
      <w:r>
        <w:t xml:space="preserve">C. indicar que o Material Licenciado está licenciado sob esta Licença Pública e incluir o texto desta Licença Pública ou o URI ou hiperlink para ela.</w:t>
      </w:r>
    </w:p>
    <w:p>
      <w:pPr>
        <w:pStyle w:val="BodyText"/>
        <w:spacing w:after="60"/>
        <w:jc w:val="both"/>
      </w:pPr>
      <w:r>
        <w:t xml:space="preserve">2. Você pode cumprir as condições da Seção 3(a)(1) de qualquer modo razoável, conforme o meio, os recursos e o contexto em que Compartilhar o Material Licenciado. Por exemplo, pode ser razoável cumpri-las fornecendo um URI ou hiperlink para um recurso que contenha as informações exigidas.</w:t>
      </w:r>
    </w:p>
    <w:p>
      <w:pPr>
        <w:pStyle w:val="BodyText"/>
        <w:spacing w:after="60"/>
        <w:jc w:val="both"/>
      </w:pPr>
      <w:r>
        <w:t xml:space="preserve">3. Se solicitado pelo Licenciante, Você deve remover qualquer das informações exigidas pela Seção 3(a)(1)(A), na medida do razoavelmente possível.</w:t>
      </w:r>
    </w:p>
    <w:p>
      <w:pPr>
        <w:pStyle w:val="BodyText"/>
        <w:spacing w:after="60"/>
        <w:jc w:val="both"/>
      </w:pPr>
      <w:r>
        <w:t xml:space="preserve">4. Se Você Compartilhar Material Adaptado que produzir, a Licença do Adaptador que Você aplicar não deve impedir que os destinatários do Material Adaptado cumpram esta Licença Pública.</w:t>
      </w:r>
    </w:p>
    <w:p>
      <w:pPr>
        <w:pStyle w:val="BodyText"/>
        <w:spacing w:after="60"/>
        <w:jc w:val="both"/>
      </w:pPr>
      <w:r>
        <w:rPr>
          <w:b/>
          <w:bCs/>
        </w:rPr>
        <w:t xml:space="preserve">Seção 4 – Direitos Sui Generis sobre Bancos de Dados.</w:t>
      </w:r>
    </w:p>
    <w:p>
      <w:pPr>
        <w:pStyle w:val="BodyText"/>
        <w:spacing w:after="60"/>
        <w:jc w:val="both"/>
      </w:pPr>
      <w:r>
        <w:t xml:space="preserve">Quando os Direitos Licenciados incluírem Direitos Sui Generis sobre Bancos de Dados que se apliquem ao Seu uso do Material Licenciado:</w:t>
      </w:r>
    </w:p>
    <w:p>
      <w:pPr>
        <w:pStyle w:val="BodyText"/>
        <w:spacing w:after="60"/>
        <w:jc w:val="both"/>
      </w:pPr>
      <w:r>
        <w:t xml:space="preserve">a. para evitar dúvidas, a Seção 2(a)(1) concede a Você o direito de extrair, reutilizar, reproduzir e Compartilhar todo o conteúdo do banco de dados ou parte substancial dele;</w:t>
      </w:r>
    </w:p>
    <w:p>
      <w:pPr>
        <w:pStyle w:val="BodyText"/>
        <w:spacing w:after="60"/>
        <w:jc w:val="both"/>
      </w:pPr>
      <w:r>
        <w:t xml:space="preserve">b. se Você incluir todo o conteúdo do banco de dados ou parte substancial dele em um banco de dados sobre o qual tenha Direitos Sui Generis sobre Bancos de Dados, então o banco de dados sobre o qual Você tem Direitos Sui Generis sobre Bancos de Dados (mas não seus conteúdos individuais) é Material Adaptado; e</w:t>
      </w:r>
    </w:p>
    <w:p>
      <w:pPr>
        <w:pStyle w:val="BodyText"/>
        <w:spacing w:after="60"/>
        <w:jc w:val="both"/>
      </w:pPr>
      <w:r>
        <w:t xml:space="preserve">c. Você deve cumprir as condições da Seção 3(a) se Compartilhar todo o conteúdo do banco de dados ou parte substancial dele.</w:t>
      </w:r>
    </w:p>
    <w:p>
      <w:pPr>
        <w:pStyle w:val="BodyText"/>
        <w:spacing w:after="60"/>
        <w:jc w:val="both"/>
      </w:pPr>
      <w:r>
        <w:t xml:space="preserve">Para evitar dúvidas, esta Seção 4 complementa, e não substitui, as Suas obrigações nesta Licença Pública quando os Direitos Licenciados incluírem outros Direitos Autorais e Direitos Similares.</w:t>
      </w:r>
    </w:p>
    <w:p>
      <w:pPr>
        <w:pStyle w:val="BodyText"/>
        <w:spacing w:after="60"/>
        <w:jc w:val="both"/>
      </w:pPr>
      <w:r>
        <w:rPr>
          <w:b/>
          <w:bCs/>
        </w:rPr>
        <w:t xml:space="preserve">Seção 5 – Exclusão de Garantias e Limitação de Responsabilidade.</w:t>
      </w:r>
    </w:p>
    <w:p>
      <w:pPr>
        <w:pStyle w:val="BodyText"/>
        <w:spacing w:after="60"/>
        <w:jc w:val="both"/>
      </w:pPr>
      <w:r>
        <w:t xml:space="preserve">a. Salvo se o Licenciante assumir compromisso diverso em separado, na medida do possível o Licenciante oferece o Material Licenciado no estado em que se encontra e conforme disponível, e não presta declarações nem garantias de qualquer espécie sobre o Material Licenciado, sejam expressas, implícitas, legais ou de outra natureza. Isso inclui, sem limitação, garantias de titularidade, comerciabilidade, adequação a um fim específico, não violação, ausência de defeitos latentes ou de outra ordem, exatidão, ou presença ou ausência de erros, conhecidos ou detectáveis ou não. Quando a exclusão de garantias não for permitida, no todo ou em parte, esta exclusão pode não se aplicar a Você.</w:t>
      </w:r>
    </w:p>
    <w:p>
      <w:pPr>
        <w:pStyle w:val="BodyText"/>
        <w:spacing w:after="60"/>
        <w:jc w:val="both"/>
      </w:pPr>
      <w:r>
        <w:t xml:space="preserve">b. Na medida do possível, em nenhuma hipótese o Licenciante responderá perante Você, com base em qualquer teoria jurídica (incluindo, sem limitação, negligência) ou de outro modo, por quaisquer perdas, custos, despesas ou danos diretos, especiais, indiretos, incidentais, consequenciais, punitivos, exemplares ou de outra natureza decorrentes desta Licença Pública ou do uso do Material Licenciado, ainda que o Licenciante tenha sido avisado da possibilidade de tais perdas, custos, despesas ou danos. Quando a limitação de responsabilidade não for permitida, no todo ou em parte, esta limitação pode não se aplicar a Você.</w:t>
      </w:r>
    </w:p>
    <w:p>
      <w:pPr>
        <w:pStyle w:val="BodyText"/>
        <w:spacing w:after="60"/>
        <w:jc w:val="both"/>
      </w:pPr>
      <w:r>
        <w:t xml:space="preserve">c. A exclusão de garantias e a limitação de responsabilidade acima previstas devem ser interpretadas, na medida do possível, de modo a se aproximarem ao máximo de uma exclusão absoluta e de uma renúncia a toda responsabilidade.</w:t>
      </w:r>
    </w:p>
    <w:p>
      <w:pPr>
        <w:pStyle w:val="BodyText"/>
        <w:spacing w:after="60"/>
        <w:jc w:val="both"/>
      </w:pPr>
      <w:r>
        <w:rPr>
          <w:b/>
          <w:bCs/>
        </w:rPr>
        <w:t xml:space="preserve">Seção 6 – Vigência e Extinção.</w:t>
      </w:r>
    </w:p>
    <w:p>
      <w:pPr>
        <w:pStyle w:val="BodyText"/>
        <w:spacing w:after="60"/>
        <w:jc w:val="both"/>
      </w:pPr>
      <w:r>
        <w:t xml:space="preserve">a. Esta Licença Pública aplica-se durante o prazo dos Direitos Autorais e Direitos Similares aqui licenciados. Contudo, se Você descumprir esta Licença Pública, os Seus direitos nela previstos se extinguem automaticamente.</w:t>
      </w:r>
    </w:p>
    <w:p>
      <w:pPr>
        <w:pStyle w:val="BodyText"/>
        <w:spacing w:after="60"/>
        <w:jc w:val="both"/>
      </w:pPr>
      <w:r>
        <w:t xml:space="preserve">b. Quando o Seu direito de usar o Material Licenciado se extinguir nos termos da Seção 6(a), ele é restabelecido:</w:t>
      </w:r>
    </w:p>
    <w:p>
      <w:pPr>
        <w:pStyle w:val="BodyText"/>
        <w:spacing w:after="60"/>
        <w:jc w:val="both"/>
      </w:pPr>
      <w:r>
        <w:t xml:space="preserve">1. automaticamente, a partir da data em que a violação for sanada, desde que sanada em até 30 dias após Você tomar conhecimento dela; ou</w:t>
      </w:r>
    </w:p>
    <w:p>
      <w:pPr>
        <w:pStyle w:val="BodyText"/>
        <w:spacing w:after="60"/>
        <w:jc w:val="both"/>
      </w:pPr>
      <w:r>
        <w:t xml:space="preserve">2. mediante restabelecimento expresso pelo Licenciante.</w:t>
      </w:r>
    </w:p>
    <w:p>
      <w:pPr>
        <w:pStyle w:val="BodyText"/>
        <w:spacing w:after="60"/>
        <w:jc w:val="both"/>
      </w:pPr>
      <w:r>
        <w:t xml:space="preserve">c. Para evitar dúvidas, esta Seção 6(b) não afeta qualquer direito que o Licenciante possa ter de buscar reparação pelas Suas violações desta Licença Pública.</w:t>
      </w:r>
    </w:p>
    <w:p>
      <w:pPr>
        <w:pStyle w:val="BodyText"/>
        <w:spacing w:after="60"/>
        <w:jc w:val="both"/>
      </w:pPr>
      <w:r>
        <w:t xml:space="preserve">d. Para evitar dúvidas, o Licenciante também pode oferecer o Material Licenciado sob termos ou condições distintos ou deixar de distribuí-lo a qualquer momento; contudo, isso não extingue esta Licença Pública.</w:t>
      </w:r>
    </w:p>
    <w:p>
      <w:pPr>
        <w:pStyle w:val="BodyText"/>
        <w:spacing w:after="60"/>
        <w:jc w:val="both"/>
      </w:pPr>
      <w:r>
        <w:t xml:space="preserve">e. As Seções 1, 5, 6, 7 e 8 subsistem à extinção desta Licença Pública.</w:t>
      </w:r>
    </w:p>
    <w:p>
      <w:pPr>
        <w:pStyle w:val="BodyText"/>
        <w:spacing w:after="60"/>
        <w:jc w:val="both"/>
      </w:pPr>
      <w:r>
        <w:rPr>
          <w:b/>
          <w:bCs/>
        </w:rPr>
        <w:t xml:space="preserve">Seção 7 – Outros Termos e Condições.</w:t>
      </w:r>
    </w:p>
    <w:p>
      <w:pPr>
        <w:pStyle w:val="BodyText"/>
        <w:spacing w:after="60"/>
        <w:jc w:val="both"/>
      </w:pPr>
      <w:r>
        <w:t xml:space="preserve">a. O Licenciante não ficará vinculado a termos ou condições adicionais ou diferentes comunicados por Você, salvo se expressamente acordados.</w:t>
      </w:r>
    </w:p>
    <w:p>
      <w:pPr>
        <w:pStyle w:val="BodyText"/>
        <w:spacing w:after="60"/>
        <w:jc w:val="both"/>
      </w:pPr>
      <w:r>
        <w:t xml:space="preserve">b. Quaisquer arranjos, entendimentos ou acordos relativos ao Material Licenciado não declarados aqui são separados e independentes dos termos e condições desta Licença Pública.</w:t>
      </w:r>
    </w:p>
    <w:p>
      <w:pPr>
        <w:pStyle w:val="BodyText"/>
        <w:spacing w:after="60"/>
        <w:jc w:val="both"/>
      </w:pPr>
      <w:r>
        <w:rPr>
          <w:b/>
          <w:bCs/>
        </w:rPr>
        <w:t xml:space="preserve">Seção 8 – Interpretação.</w:t>
      </w:r>
    </w:p>
    <w:p>
      <w:pPr>
        <w:pStyle w:val="BodyText"/>
        <w:spacing w:after="60"/>
        <w:jc w:val="both"/>
      </w:pPr>
      <w:r>
        <w:t xml:space="preserve">a. Para evitar dúvidas, esta Licença Pública não reduz, limita, restringe nem impõe condições a qualquer uso do Material Licenciado que possa ser feito legalmente sem permissão segundo esta Licença Pública, e não deve ser interpretada nesse sentido.</w:t>
      </w:r>
    </w:p>
    <w:p>
      <w:pPr>
        <w:pStyle w:val="BodyText"/>
        <w:spacing w:after="60"/>
        <w:jc w:val="both"/>
      </w:pPr>
      <w:r>
        <w:t xml:space="preserve">b. Na medida do possível, se qualquer disposição desta Licença Pública for considerada inexequível, ela será reformada automaticamente na medida mínima necessária para torná-la exequível. Se a disposição não puder ser reformada, será separada desta Licença Pública, sem afetar a exequibilidade dos demais termos e condições.</w:t>
      </w:r>
    </w:p>
    <w:p>
      <w:pPr>
        <w:pStyle w:val="BodyText"/>
        <w:spacing w:after="60"/>
        <w:jc w:val="both"/>
      </w:pPr>
      <w:r>
        <w:t xml:space="preserve">c. Nenhum termo ou condição desta Licença Pública será objeto de renúncia, e nenhum descumprimento será consentido, salvo se expressamente acordado pelo Licenciante.</w:t>
      </w:r>
    </w:p>
    <w:p>
      <w:pPr>
        <w:pStyle w:val="BodyText"/>
        <w:spacing w:after="60"/>
        <w:jc w:val="both"/>
      </w:pPr>
      <w:r>
        <w:t xml:space="preserve">d. Nada nesta Licença Pública constitui nem pode ser interpretado como limitação ou renúncia a quaisquer privilégios e imunidades aplicáveis ao Licenciante ou a Você, inclusive quanto aos processos judiciais de qualquer jurisdição ou autoridade.</w:t>
      </w:r>
    </w:p>
    <w:p>
      <w:pPr>
        <w:pStyle w:val="BodyText"/>
        <w:spacing w:after="60"/>
        <w:jc w:val="both"/>
      </w:pPr>
      <w:r>
        <w:t xml:space="preserve">A Creative Commons não é parte em suas licenças públicas. Não obstante, a Creative Commons pode optar por aplicar uma de suas licenças públicas a material que publique e, nesses casos, será considerada</w:t>
      </w:r>
      <w:r>
        <w:t xml:space="preserve"> </w:t>
      </w:r>
      <w:r>
        <w:t xml:space="preserve">“Licenciante”</w:t>
      </w:r>
      <w:r>
        <w:t xml:space="preserve">. O texto das licenças públicas Creative Commons é dedicado ao domínio público pela Declaração de Dedicação ao Domínio Público CC0. Salvo para o fim limitado de indicar que o material é compartilhado sob uma licença pública Creative Commons ou conforme de outro modo permitido pelas políticas da Creative Commons publicadas em creativecommons.org/policies, a Creative Commons não autoriza o uso da marca</w:t>
      </w:r>
      <w:r>
        <w:t xml:space="preserve"> </w:t>
      </w:r>
      <w:r>
        <w:t xml:space="preserve">“Creative Commons”</w:t>
      </w:r>
      <w:r>
        <w:t xml:space="preserve"> </w:t>
      </w:r>
      <w:r>
        <w:t xml:space="preserve">nem de qualquer outra marca ou logotipo seu sem consentimento prévio por escrito, incluindo, sem limitação, em conexão com modificações não autorizadas de suas licenças públicas ou com quaisquer outros arranjos, entendimentos ou acordos relativos ao uso de material licenciado. Para evitar dúvidas, este parágrafo não integra as licenças públicas.</w:t>
      </w:r>
    </w:p>
    <w:p>
      <w:pPr>
        <w:pStyle w:val="BodyText"/>
        <w:spacing w:after="60"/>
        <w:jc w:val="both"/>
      </w:pPr>
      <w:r>
        <w:t xml:space="preserve">A Creative Commons pode ser contatada em creativecommons.org.</w:t>
      </w:r>
    </w:p>
    <w:bookmarkEnd w:id="940"/>
    <w:sectPr>
      <w:headerReference w:type="default" r:id="rId14"/>
      <w:footnotePr>
        <w:numRestart w:val="eachSect"/>
      </w:footnotePr>
      <w:pgSz w:w="11906" w:h="16838"/>
      <w:pgMar w:top="850" w:left="850" w:bottom="964" w:right="8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erif" w:hAnsi="Liberation Serif"/>
        <w:sz w:val="20"/>
      </w:rPr>
      <w:fldChar w:fldCharType="begin"/>
    </w:r>
    <w:r>
      <w:rPr>
        <w:rFonts w:ascii="Liberation Serif" w:hAnsi="Liberation Serif"/>
        <w:sz w:val="20"/>
      </w:rPr>
      <w:instrText xml:space="preserve"> PAGE </w:instrText>
    </w:r>
    <w:r>
      <w:rPr>
        <w:rFonts w:ascii="Liberation Serif" w:hAnsi="Liberation Serif"/>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2E75B6"/>
      </w:pBdr>
      <w:tabs>
        <w:tab w:pos="10205" w:val="right"/>
      </w:tabs>
    </w:pPr>
    <w:r>
      <w:rPr>
        <w:rFonts w:ascii="Liberation Sans" w:hAnsi="Liberation Sans"/>
        <w:smallCaps/>
        <w:color w:val="595959"/>
        <w:sz w:val="16"/>
      </w:rPr>
      <w:t>CPC anotado · Parte Especial</w:t>
    </w:r>
    <w:r>
      <w:tab/>
    </w:r>
    <w:r>
      <w:rPr>
        <w:rFonts w:ascii="Liberation Sans" w:hAnsi="Liberation Sans"/>
        <w:color w:val="595959"/>
        <w:sz w:val="16"/>
      </w:rPr>
      <w:t>Arts. 318 a 1.072</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2E75B6"/>
      </w:pBdr>
      <w:tabs>
        <w:tab w:pos="10205" w:val="right"/>
      </w:tabs>
    </w:pPr>
    <w:r>
      <w:rPr>
        <w:rFonts w:ascii="Liberation Sans" w:hAnsi="Liberation Sans"/>
        <w:smallCaps/>
        <w:color w:val="595959"/>
        <w:sz w:val="16"/>
      </w:rPr>
      <w:t>CPC anotado · Parte Especial</w:t>
    </w:r>
    <w:r>
      <w:tab/>
    </w:r>
    <w:r>
      <w:rPr>
        <w:rFonts w:ascii="Liberation Sans" w:hAnsi="Liberation Sans"/>
        <w:color w:val="1F3A5F"/>
        <w:sz w:val="16"/>
      </w:rPr>
      <w:t>Livro I: do processo de conhecimento e do cumprimento de sentença (arts. 318 a 770)</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2E75B6"/>
      </w:pBdr>
      <w:tabs>
        <w:tab w:pos="10205" w:val="right"/>
      </w:tabs>
    </w:pPr>
    <w:r>
      <w:rPr>
        <w:rFonts w:ascii="Liberation Sans" w:hAnsi="Liberation Sans"/>
        <w:smallCaps/>
        <w:color w:val="595959"/>
        <w:sz w:val="16"/>
      </w:rPr>
      <w:t>CPC anotado · Parte Especial</w:t>
    </w:r>
    <w:r>
      <w:tab/>
    </w:r>
    <w:r>
      <w:rPr>
        <w:rFonts w:ascii="Liberation Sans" w:hAnsi="Liberation Sans"/>
        <w:color w:val="1F3A5F"/>
        <w:sz w:val="16"/>
      </w:rPr>
      <w:t>Livro II: do processo de execução (arts. 771 a 925)</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2E75B6"/>
      </w:pBdr>
      <w:tabs>
        <w:tab w:pos="10205" w:val="right"/>
      </w:tabs>
    </w:pPr>
    <w:r>
      <w:rPr>
        <w:rFonts w:ascii="Liberation Sans" w:hAnsi="Liberation Sans"/>
        <w:smallCaps/>
        <w:color w:val="595959"/>
        <w:sz w:val="16"/>
      </w:rPr>
      <w:t>CPC anotado · Parte Especial</w:t>
    </w:r>
    <w:r>
      <w:tab/>
    </w:r>
    <w:r>
      <w:rPr>
        <w:rFonts w:ascii="Liberation Sans" w:hAnsi="Liberation Sans"/>
        <w:color w:val="1F3A5F"/>
        <w:sz w:val="16"/>
      </w:rPr>
      <w:t>Livro III: dos processos nos tribunais e dos meios de impugnação das decisões judiciais (arts. 926 a 1.044)</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2E75B6"/>
      </w:pBdr>
      <w:tabs>
        <w:tab w:pos="10205" w:val="right"/>
      </w:tabs>
    </w:pPr>
    <w:r>
      <w:rPr>
        <w:rFonts w:ascii="Liberation Sans" w:hAnsi="Liberation Sans"/>
        <w:smallCaps/>
        <w:color w:val="595959"/>
        <w:sz w:val="16"/>
      </w:rPr>
      <w:t>CPC anotado · Parte Especial</w:t>
    </w:r>
    <w:r>
      <w:tab/>
    </w:r>
    <w:r>
      <w:rPr>
        <w:rFonts w:ascii="Liberation Sans" w:hAnsi="Liberation Sans"/>
        <w:color w:val="1F3A5F"/>
        <w:sz w:val="16"/>
      </w:rPr>
      <w:t>Livro Complementar: disposições finais e transitórias (arts. 1.045 a 1.072)</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2E75B6"/>
      </w:pBdr>
      <w:tabs>
        <w:tab w:pos="10205" w:val="right"/>
      </w:tabs>
    </w:pPr>
    <w:r>
      <w:rPr>
        <w:rFonts w:ascii="Liberation Sans" w:hAnsi="Liberation Sans"/>
        <w:smallCaps/>
        <w:color w:val="595959"/>
        <w:sz w:val="16"/>
      </w:rPr>
      <w:t>CPC anotado · Parte Especial</w:t>
    </w:r>
    <w:r>
      <w:tab/>
    </w:r>
    <w:r>
      <w:rPr>
        <w:rFonts w:ascii="Liberation Sans" w:hAnsi="Liberation Sans"/>
        <w:color w:val="595959"/>
        <w:sz w:val="16"/>
      </w:rPr>
      <w:t>Arts. 318 a 1.072</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autoHyphenatio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t-BR"/>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40" w:lineRule="auto"/>
    </w:pPr>
    <w:rPr>
      <w:rFonts w:ascii="Liberation Serif" w:hAnsi="Liberation Serif" w:cs="Liberation Serif" w:eastAsia="Liberation Serif"/>
      <w:b w:val="0"/>
      <w:color w:val="000000"/>
      <w:sz w:val="20"/>
    </w:rPr>
  </w:style>
  <w:style w:styleId="BodyText" w:type="paragraph">
    <w:name w:val="Body Text"/>
    <w:basedOn w:val="Normal"/>
    <w:link w:val="BodyTextChar"/>
    <w:qFormat/>
    <w:pPr>
      <w:spacing w:after="180" w:before="180" w:line="240" w:lineRule="auto"/>
    </w:pPr>
    <w:rPr>
      <w:rFonts w:ascii="Liberation Serif" w:hAnsi="Liberation Serif" w:cs="Liberation Serif" w:eastAsia="Liberation Serif"/>
      <w:b w:val="0"/>
      <w:color w:val="000000"/>
      <w:sz w:val="20"/>
    </w:rPr>
  </w:style>
  <w:style w:customStyle="1" w:styleId="FirstParagraph" w:type="paragraph">
    <w:name w:val="First Paragraph"/>
    <w:basedOn w:val="BodyText"/>
    <w:next w:val="BodyText"/>
    <w:qFormat/>
    <w:pPr>
      <w:spacing w:line="240" w:lineRule="auto"/>
    </w:pPr>
    <w:rPr>
      <w:rFonts w:ascii="Liberation Serif" w:hAnsi="Liberation Serif" w:cs="Liberation Serif" w:eastAsia="Liberation Serif"/>
      <w:b w:val="0"/>
      <w:color w:val="000000"/>
      <w:sz w:val="20"/>
    </w:rPr>
  </w:style>
  <w:style w:customStyle="1" w:styleId="Compact" w:type="paragraph">
    <w:name w:val="Compact"/>
    <w:basedOn w:val="BodyText"/>
    <w:qFormat/>
    <w:pPr>
      <w:spacing w:after="36" w:before="36" w:line="240" w:lineRule="auto"/>
    </w:pPr>
    <w:rPr>
      <w:rFonts w:ascii="Liberation Serif" w:hAnsi="Liberation Serif" w:cs="Liberation Serif" w:eastAsia="Liberation Serif"/>
      <w:b w:val="0"/>
      <w:color w:val="000000"/>
      <w:sz w:val="20"/>
    </w:rPr>
  </w:style>
  <w:style w:styleId="Title" w:type="paragraph">
    <w:name w:val="Title"/>
    <w:basedOn w:val="Normal"/>
    <w:next w:val="BodyText"/>
    <w:link w:val="TitleChar"/>
    <w:uiPriority w:val="10"/>
    <w:qFormat/>
    <w:rsid w:val="00A10FD9"/>
    <w:pPr>
      <w:keepNext/>
      <w:spacing w:after="60" w:line="240" w:lineRule="auto" w:before="120"/>
      <w:contextualSpacing/>
      <w:jc w:val="center"/>
    </w:pPr>
    <w:rPr>
      <w:rFonts w:ascii="Liberation Serif" w:hAnsi="Liberation Serif" w:cs="Liberation Serif" w:eastAsia="Liberation Serif"/>
      <w:b/>
      <w:color w:val="000000"/>
      <w:sz w:val="3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keepNext/>
      <w:numPr>
        <w:ilvl w:val="1"/>
      </w:numPr>
      <w:spacing w:line="240" w:lineRule="auto" w:before="120" w:after="60"/>
    </w:pPr>
    <w:rPr>
      <w:rFonts w:ascii="Liberation Serif" w:hAnsi="Liberation Serif" w:cs="Liberation Serif" w:eastAsia="Liberation Serif"/>
      <w:b w:val="0"/>
      <w:color w:val="000000"/>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line="240" w:lineRule="auto"/>
    </w:pPr>
    <w:rPr>
      <w:rFonts w:ascii="Liberation Serif" w:hAnsi="Liberation Serif" w:cs="Liberation Serif" w:eastAsia="Liberation Serif"/>
      <w:b w:val="0"/>
      <w:color w:val="000000"/>
      <w:sz w:val="24"/>
      <w:szCs w:val="24"/>
    </w:rPr>
  </w:style>
  <w:style w:styleId="Date" w:type="paragraph">
    <w:name w:val="Date"/>
    <w:basedOn w:val="Title"/>
    <w:next w:val="BodyText"/>
    <w:qFormat/>
    <w:pPr>
      <w:keepNext/>
      <w:keepLines/>
      <w:spacing w:line="240" w:lineRule="auto"/>
    </w:pPr>
    <w:rPr>
      <w:rFonts w:ascii="Liberation Serif" w:hAnsi="Liberation Serif" w:cs="Liberation Serif" w:eastAsia="Liberation Serif"/>
      <w:b w:val="0"/>
      <w:color w:val="000000"/>
      <w:sz w:val="24"/>
      <w:szCs w:val="24"/>
    </w:rPr>
  </w:style>
  <w:style w:customStyle="1" w:styleId="AbstractTitle" w:type="paragraph">
    <w:name w:val="Abstract Title"/>
    <w:basedOn w:val="Normal"/>
    <w:next w:val="Abstract"/>
    <w:qFormat/>
    <w:pPr>
      <w:keepNext/>
      <w:keepLines/>
      <w:spacing w:after="0" w:before="300" w:line="240" w:lineRule="auto"/>
      <w:jc w:val="center"/>
    </w:pPr>
    <w:rPr>
      <w:rFonts w:ascii="Liberation Serif" w:hAnsi="Liberation Serif" w:cs="Liberation Serif" w:eastAsia="Liberation Serif"/>
      <w:b w:val="0"/>
      <w:color w:val="000000"/>
      <w:sz w:val="20"/>
      <w:szCs w:val="20"/>
    </w:rPr>
  </w:style>
  <w:style w:customStyle="1" w:styleId="Abstract" w:type="paragraph">
    <w:name w:val="Abstract"/>
    <w:basedOn w:val="Normal"/>
    <w:next w:val="BodyText"/>
    <w:qFormat/>
    <w:pPr>
      <w:keepNext/>
      <w:keepLines/>
      <w:spacing w:after="300" w:before="100" w:line="240" w:lineRule="auto"/>
    </w:pPr>
    <w:rPr>
      <w:rFonts w:ascii="Liberation Serif" w:hAnsi="Liberation Serif" w:cs="Liberation Serif" w:eastAsia="Liberation Serif"/>
      <w:b w:val="0"/>
      <w:color w:val="000000"/>
      <w:sz w:val="20"/>
      <w:szCs w:val="20"/>
    </w:rPr>
  </w:style>
  <w:style w:styleId="Bibliography" w:type="paragraph">
    <w:name w:val="Bibliography"/>
    <w:basedOn w:val="Normal"/>
    <w:next w:val="Bibliography"/>
    <w:qFormat/>
    <w:pPr>
      <w:spacing w:line="240" w:lineRule="auto"/>
    </w:pPr>
    <w:rPr>
      <w:rFonts w:ascii="Liberation Serif" w:hAnsi="Liberation Serif" w:cs="Liberation Serif" w:eastAsia="Liberation Serif"/>
      <w:b w:val="0"/>
      <w:color w:val="000000"/>
      <w:sz w:val="20"/>
    </w:rPr>
  </w:style>
  <w:style w:styleId="Heading1" w:type="paragraph">
    <w:name w:val="heading 1"/>
    <w:basedOn w:val="Normal"/>
    <w:next w:val="BodyText"/>
    <w:link w:val="Heading1Char"/>
    <w:uiPriority w:val="9"/>
    <w:qFormat/>
    <w:rsid w:val="00A10FD9"/>
    <w:pPr>
      <w:keepNext/>
      <w:keepLines/>
      <w:spacing w:after="60" w:before="120" w:line="240" w:lineRule="auto"/>
      <w:outlineLvl w:val="0"/>
    </w:pPr>
    <w:rPr>
      <w:rFonts w:ascii="Liberation Sans" w:hAnsi="Liberation Sans" w:cs="Liberation Sans" w:eastAsia="Liberation Sans"/>
      <w:b/>
      <w:color w:val="1F3A5F"/>
      <w:sz w:val="28"/>
      <w:szCs w:val="40"/>
    </w:rPr>
  </w:style>
  <w:style w:styleId="Heading2" w:type="paragraph">
    <w:name w:val="heading 2"/>
    <w:basedOn w:val="Normal"/>
    <w:next w:val="BodyText"/>
    <w:link w:val="Heading2Char"/>
    <w:uiPriority w:val="9"/>
    <w:semiHidden/>
    <w:unhideWhenUsed/>
    <w:qFormat/>
    <w:rsid w:val="00A10FD9"/>
    <w:pPr>
      <w:keepNext/>
      <w:keepLines/>
      <w:spacing w:after="60" w:before="120" w:line="240" w:lineRule="auto"/>
      <w:outlineLvl w:val="1"/>
    </w:pPr>
    <w:rPr>
      <w:rFonts w:ascii="Liberation Sans" w:hAnsi="Liberation Sans" w:cs="Liberation Sans" w:eastAsia="Liberation Sans"/>
      <w:b/>
      <w:color w:val="1F3A5F"/>
      <w:sz w:val="20"/>
      <w:szCs w:val="32"/>
    </w:rPr>
  </w:style>
  <w:style w:styleId="Heading3" w:type="paragraph">
    <w:name w:val="heading 3"/>
    <w:basedOn w:val="Normal"/>
    <w:next w:val="BodyText"/>
    <w:link w:val="Heading3Char"/>
    <w:uiPriority w:val="9"/>
    <w:semiHidden/>
    <w:unhideWhenUsed/>
    <w:qFormat/>
    <w:rsid w:val="00A10FD9"/>
    <w:pPr>
      <w:keepNext/>
      <w:keepLines/>
      <w:spacing w:after="60" w:before="120" w:line="240" w:lineRule="auto"/>
      <w:outlineLvl w:val="2"/>
    </w:pPr>
    <w:rPr>
      <w:rFonts w:ascii="Liberation Sans" w:hAnsi="Liberation Sans" w:cs="Liberation Sans" w:eastAsia="Liberation Sans"/>
      <w:b/>
      <w:color w:val="1F3A5F"/>
      <w:sz w:val="20"/>
      <w:szCs w:val="28"/>
    </w:rPr>
  </w:style>
  <w:style w:styleId="Heading4" w:type="paragraph">
    <w:name w:val="heading 4"/>
    <w:basedOn w:val="Normal"/>
    <w:next w:val="BodyText"/>
    <w:link w:val="Heading4Char"/>
    <w:uiPriority w:val="9"/>
    <w:semiHidden/>
    <w:unhideWhenUsed/>
    <w:qFormat/>
    <w:rsid w:val="00A10FD9"/>
    <w:pPr>
      <w:keepNext/>
      <w:keepLines/>
      <w:spacing w:after="60" w:before="120" w:line="240" w:lineRule="auto"/>
      <w:outlineLvl w:val="3"/>
    </w:pPr>
    <w:rPr>
      <w:rFonts w:ascii="Liberation Sans" w:hAnsi="Liberation Sans" w:cs="Liberation Sans" w:eastAsia="Liberation Sans"/>
      <w:b/>
      <w:i/>
      <w:iCs/>
      <w:color w:val="1F3A5F"/>
      <w:sz w:val="20"/>
    </w:rPr>
  </w:style>
  <w:style w:styleId="Heading5" w:type="paragraph">
    <w:name w:val="heading 5"/>
    <w:basedOn w:val="Normal"/>
    <w:next w:val="BodyText"/>
    <w:link w:val="Heading5Char"/>
    <w:uiPriority w:val="9"/>
    <w:semiHidden/>
    <w:unhideWhenUsed/>
    <w:qFormat/>
    <w:rsid w:val="00A10FD9"/>
    <w:pPr>
      <w:keepNext/>
      <w:keepLines/>
      <w:spacing w:after="60" w:before="120" w:line="240" w:lineRule="auto"/>
      <w:outlineLvl w:val="4"/>
    </w:pPr>
    <w:rPr>
      <w:rFonts w:ascii="Liberation Sans" w:hAnsi="Liberation Sans" w:cs="Liberation Sans" w:eastAsia="Liberation Sans"/>
      <w:b/>
      <w:color w:val="1F3A5F"/>
      <w:sz w:val="20"/>
    </w:rPr>
  </w:style>
  <w:style w:styleId="Heading6" w:type="paragraph">
    <w:name w:val="heading 6"/>
    <w:basedOn w:val="Normal"/>
    <w:next w:val="BodyText"/>
    <w:link w:val="Heading6Char"/>
    <w:uiPriority w:val="9"/>
    <w:semiHidden/>
    <w:unhideWhenUsed/>
    <w:qFormat/>
    <w:rsid w:val="00A10FD9"/>
    <w:pPr>
      <w:keepNext/>
      <w:keepLines/>
      <w:spacing w:after="60" w:before="120" w:line="240" w:lineRule="auto"/>
      <w:outlineLvl w:val="5"/>
    </w:pPr>
    <w:rPr>
      <w:rFonts w:ascii="Liberation Sans" w:hAnsi="Liberation Sans" w:cs="Liberation Sans" w:eastAsia="Liberation Sans"/>
      <w:b/>
      <w:i/>
      <w:iCs/>
      <w:color w:val="1F3A5F"/>
      <w:sz w:val="20"/>
    </w:rPr>
  </w:style>
  <w:style w:styleId="Heading7" w:type="paragraph">
    <w:name w:val="heading 7"/>
    <w:basedOn w:val="Normal"/>
    <w:next w:val="BodyText"/>
    <w:link w:val="Heading7Char"/>
    <w:uiPriority w:val="9"/>
    <w:semiHidden/>
    <w:unhideWhenUsed/>
    <w:qFormat/>
    <w:rsid w:val="00A10FD9"/>
    <w:pPr>
      <w:keepNext/>
      <w:keepLines/>
      <w:spacing w:after="60" w:before="120" w:line="240" w:lineRule="auto"/>
      <w:outlineLvl w:val="6"/>
    </w:pPr>
    <w:rPr>
      <w:rFonts w:ascii="Liberation Sans" w:hAnsi="Liberation Sans" w:cs="Liberation Sans" w:eastAsia="Liberation Sans"/>
      <w:b/>
      <w:color w:val="1F3A5F"/>
      <w:sz w:val="20"/>
    </w:rPr>
  </w:style>
  <w:style w:styleId="Heading8" w:type="paragraph">
    <w:name w:val="heading 8"/>
    <w:basedOn w:val="Normal"/>
    <w:next w:val="BodyText"/>
    <w:link w:val="Heading8Char"/>
    <w:uiPriority w:val="9"/>
    <w:semiHidden/>
    <w:unhideWhenUsed/>
    <w:qFormat/>
    <w:rsid w:val="00A10FD9"/>
    <w:pPr>
      <w:keepNext/>
      <w:keepLines/>
      <w:spacing w:after="60" w:line="240" w:lineRule="auto" w:before="120"/>
      <w:outlineLvl w:val="7"/>
    </w:pPr>
    <w:rPr>
      <w:rFonts w:ascii="Liberation Sans" w:hAnsi="Liberation Sans" w:cs="Liberation Sans" w:eastAsia="Liberation Sans"/>
      <w:b/>
      <w:i/>
      <w:iCs/>
      <w:color w:val="1F3A5F"/>
      <w:sz w:val="20"/>
    </w:rPr>
  </w:style>
  <w:style w:styleId="Heading9" w:type="paragraph">
    <w:name w:val="heading 9"/>
    <w:basedOn w:val="Normal"/>
    <w:next w:val="BodyText"/>
    <w:link w:val="Heading9Char"/>
    <w:uiPriority w:val="9"/>
    <w:semiHidden/>
    <w:unhideWhenUsed/>
    <w:qFormat/>
    <w:rsid w:val="00A10FD9"/>
    <w:pPr>
      <w:keepNext/>
      <w:keepLines/>
      <w:spacing w:after="60" w:line="240" w:lineRule="auto" w:before="120"/>
      <w:outlineLvl w:val="8"/>
    </w:pPr>
    <w:rPr>
      <w:rFonts w:ascii="Liberation Sans" w:hAnsi="Liberation Sans" w:cs="Liberation Sans" w:eastAsia="Liberation Sans"/>
      <w:b/>
      <w:color w:val="1F3A5F"/>
      <w:sz w:val="20"/>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line="240" w:lineRule="auto"/>
      <w:ind w:firstLine="0" w:left="480" w:right="480"/>
    </w:pPr>
    <w:rPr>
      <w:rFonts w:ascii="Liberation Serif" w:hAnsi="Liberation Serif" w:cs="Liberation Serif" w:eastAsia="Liberation Serif"/>
      <w:b w:val="0"/>
      <w:color w:val="000000"/>
      <w:sz w:val="20"/>
    </w:rPr>
  </w:style>
  <w:style w:styleId="FootnoteText" w:type="paragraph">
    <w:name w:val="Footnote Text"/>
    <w:basedOn w:val="Normal"/>
    <w:next w:val="FootnoteText"/>
    <w:uiPriority w:val="9"/>
    <w:unhideWhenUsed/>
    <w:qFormat/>
    <w:pPr>
      <w:spacing w:line="240" w:lineRule="auto"/>
    </w:pPr>
    <w:rPr>
      <w:rFonts w:ascii="Liberation Serif" w:hAnsi="Liberation Serif" w:cs="Liberation Serif" w:eastAsia="Liberation Serif"/>
      <w:b w:val="0"/>
      <w:color w:val="000000"/>
      <w:sz w:val="20"/>
    </w:rPr>
  </w:style>
  <w:style w:styleId="FootnoteBlockText" w:type="paragraph">
    <w:name w:val="Footnote Block Text"/>
    <w:basedOn w:val="FootnoteText"/>
    <w:next w:val="FootnoteText"/>
    <w:uiPriority w:val="9"/>
    <w:unhideWhenUsed/>
    <w:qFormat/>
    <w:pPr>
      <w:spacing w:after="100" w:before="100" w:line="240" w:lineRule="auto"/>
      <w:ind w:firstLine="0" w:left="480" w:right="480"/>
    </w:pPr>
    <w:rPr>
      <w:rFonts w:ascii="Liberation Serif" w:hAnsi="Liberation Serif" w:cs="Liberation Serif" w:eastAsia="Liberation Serif"/>
      <w:b w:val="0"/>
      <w:color w:val="000000"/>
      <w:sz w:val="2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line="240" w:lineRule="auto"/>
    </w:pPr>
    <w:rPr>
      <w:rFonts w:ascii="Liberation Serif" w:hAnsi="Liberation Serif" w:cs="Liberation Serif" w:eastAsia="Liberation Serif"/>
      <w:b w:val="0"/>
      <w:color w:val="000000"/>
      <w:sz w:val="20"/>
    </w:rPr>
  </w:style>
  <w:style w:customStyle="1" w:styleId="Definition" w:type="paragraph">
    <w:name w:val="Definition"/>
    <w:basedOn w:val="Normal"/>
    <w:pPr>
      <w:spacing w:line="240" w:lineRule="auto"/>
    </w:pPr>
    <w:rPr>
      <w:rFonts w:ascii="Liberation Serif" w:hAnsi="Liberation Serif" w:cs="Liberation Serif" w:eastAsia="Liberation Serif"/>
      <w:b w:val="0"/>
      <w:color w:val="000000"/>
      <w:sz w:val="20"/>
    </w:rPr>
  </w:style>
  <w:style w:styleId="Caption" w:type="paragraph">
    <w:name w:val="Caption"/>
    <w:basedOn w:val="Normal"/>
    <w:link w:val="BodyTextChar"/>
    <w:pPr>
      <w:spacing w:after="120" w:before="0" w:line="240" w:lineRule="auto"/>
    </w:pPr>
    <w:rPr>
      <w:rFonts w:ascii="Liberation Serif" w:hAnsi="Liberation Serif" w:cs="Liberation Serif" w:eastAsia="Liberation Serif"/>
      <w:b w:val="0"/>
      <w:i/>
      <w:color w:val="000000"/>
      <w:sz w:val="20"/>
    </w:rPr>
  </w:style>
  <w:style w:customStyle="1" w:styleId="TableCaption" w:type="paragraph">
    <w:name w:val="Table Caption"/>
    <w:basedOn w:val="Caption"/>
    <w:pPr>
      <w:keepNext/>
      <w:spacing w:line="240" w:lineRule="auto"/>
    </w:pPr>
    <w:rPr>
      <w:rFonts w:ascii="Liberation Serif" w:hAnsi="Liberation Serif" w:cs="Liberation Serif" w:eastAsia="Liberation Serif"/>
      <w:b w:val="0"/>
      <w:color w:val="000000"/>
      <w:sz w:val="20"/>
    </w:rPr>
  </w:style>
  <w:style w:customStyle="1" w:styleId="ImageCaption" w:type="paragraph">
    <w:name w:val="Image Caption"/>
    <w:basedOn w:val="Caption"/>
    <w:pPr>
      <w:spacing w:line="240" w:lineRule="auto"/>
    </w:pPr>
    <w:rPr>
      <w:rFonts w:ascii="Liberation Serif" w:hAnsi="Liberation Serif" w:cs="Liberation Serif" w:eastAsia="Liberation Serif"/>
      <w:b w:val="0"/>
      <w:color w:val="000000"/>
      <w:sz w:val="20"/>
    </w:rPr>
  </w:style>
  <w:style w:customStyle="1" w:styleId="Figure" w:type="paragraph">
    <w:name w:val="Figure"/>
    <w:basedOn w:val="Normal"/>
    <w:pPr>
      <w:spacing w:line="240" w:lineRule="auto"/>
    </w:pPr>
    <w:rPr>
      <w:rFonts w:ascii="Liberation Serif" w:hAnsi="Liberation Serif" w:cs="Liberation Serif" w:eastAsia="Liberation Serif"/>
      <w:b w:val="0"/>
      <w:color w:val="000000"/>
      <w:sz w:val="20"/>
    </w:rPr>
  </w:style>
  <w:style w:customStyle="1" w:styleId="CaptionedFigure" w:type="paragraph">
    <w:name w:val="Captioned Figure"/>
    <w:basedOn w:val="Figure"/>
    <w:pPr>
      <w:keepNext/>
      <w:spacing w:line="240" w:lineRule="auto"/>
    </w:pPr>
    <w:rPr>
      <w:rFonts w:ascii="Liberation Serif" w:hAnsi="Liberation Serif" w:cs="Liberation Serif" w:eastAsia="Liberation Serif"/>
      <w:b w:val="0"/>
      <w:color w:val="000000"/>
      <w:sz w:val="2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40" w:lineRule="auto"/>
      <w:outlineLvl w:val="9"/>
    </w:pPr>
    <w:rPr>
      <w:rFonts w:ascii="Liberation Serif" w:hAnsi="Liberation Serif" w:cs="Liberation Serif" w:eastAsia="Liberation Serif"/>
      <w:b w:val="0"/>
      <w:bCs w:val="0"/>
      <w:color w:val="000000"/>
      <w:sz w:val="20"/>
    </w:rPr>
  </w:style>
  <w:style w:type="paragraph" w:customStyle="1" w:styleId="SourceCode">
    <w:name w:val="Source Code"/>
    <w:basedOn w:val="Normal"/>
    <w:link w:val="VerbatimChar"/>
    <w:pPr>
      <w:wordWrap w:val="off"/>
      <w:spacing w:line="240" w:lineRule="auto"/>
    </w:pPr>
    <w:rPr>
      <w:rFonts w:ascii="Liberation Serif" w:hAnsi="Liberation Serif" w:cs="Liberation Serif" w:eastAsia="Liberation Serif"/>
      <w:b w:val="0"/>
      <w:color w:val="000000"/>
      <w:sz w:val="20"/>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38" Type="http://schemas.openxmlformats.org/officeDocument/2006/relationships/hyperlink" Target="https://creativecommons.org/licenses/by/4.0/deed.pt-br" TargetMode="External"/><Relationship Id="rId939" Type="http://schemas.openxmlformats.org/officeDocument/2006/relationships/hyperlink" Target="https://creativecommons.org/licenses/by/4.0/legalcode.en" TargetMode="Externa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header" Target="header4.xml"/><Relationship Id="rId13" Type="http://schemas.openxmlformats.org/officeDocument/2006/relationships/header" Target="header5.xml"/><Relationship Id="rId14" Type="http://schemas.openxmlformats.org/officeDocument/2006/relationships/header" Target="header6.xml"/><Relationship Id="rId15" Type="http://schemas.openxmlformats.org/officeDocument/2006/relationships/footer" Target="footer1.xml"/></Relationships>
</file>

<file path=word/_rels/footnotes.xml.rels><?xml version='1.0' encoding='UTF-8' standalone='yes'?>
<Relationships xmlns="http://schemas.openxmlformats.org/package/2006/relationships"><Relationship Id="rId938" Type="http://schemas.openxmlformats.org/officeDocument/2006/relationships/hyperlink" Target="https://creativecommons.org/licenses/by/4.0/deed.pt-br" TargetMode="External"/><Relationship Id="rId939" Type="http://schemas.openxmlformats.org/officeDocument/2006/relationships/hyperlink" Target="https://creativecommons.org/licenses/by/4.0/legalcode.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Código de Processo Civil anotado: Parte Especial, arts. 318 a 1.072</dc:title>
  <dc:creator>Domingos José de Souza Lima Júnior</dc:creator>
  <dc:language>pt-BR</dc:language>
  <cp:keywords/>
  <dcterms:created xsi:type="dcterms:W3CDTF">2026-10-25T23:27:18Z</dcterms:created>
  <dcterms:modified xsi:type="dcterms:W3CDTF">2026-10-25T23:27:18Z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Realizado em 25 de outubro de 2026</vt:lpwstr>
  </property>
  <property fmtid="{D5CDD505-2E9C-101B-9397-08002B2CF9AE}" pid="3" name="subtitle">
    <vt:lpwstr>Estudo jurisprudencial do Supremo Tribunal Federal e do Superior Tribunal de Justiça</vt:lpwstr>
  </property>
  <property fmtid="{D5CDD505-2E9C-101B-9397-08002B2CF9AE}" pid="4" name="toc-title">
    <vt:lpwstr>Sumário</vt:lpwstr>
  </property>
</Properties>
</file>